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1CBE67C1" w:rsidR="00B21DA4" w:rsidRPr="006668EB" w:rsidRDefault="00B21DA4" w:rsidP="007C3C37">
      <w:pPr>
        <w:pStyle w:val="Heading1"/>
        <w:numPr>
          <w:ilvl w:val="0"/>
          <w:numId w:val="0"/>
        </w:numPr>
        <w:spacing w:before="0" w:line="240" w:lineRule="auto"/>
        <w:ind w:left="454" w:hanging="454"/>
        <w:jc w:val="center"/>
        <w:rPr>
          <w:rFonts w:ascii="Arial" w:hAnsi="Arial" w:cs="Arial"/>
          <w:b/>
          <w:bCs/>
          <w:color w:val="FF0000"/>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sidRPr="006668EB">
        <w:rPr>
          <w:rFonts w:ascii="Arial" w:hAnsi="Arial" w:cs="Arial"/>
          <w:b/>
          <w:bCs/>
          <w:color w:val="FF0000"/>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668EB">
        <w:rPr>
          <w:rFonts w:ascii="Arial" w:hAnsi="Arial" w:cs="Arial"/>
          <w:b/>
          <w:bCs/>
          <w:color w:val="FF0000"/>
          <w:sz w:val="40"/>
        </w:rPr>
        <w:t>OPERATION</w:t>
      </w:r>
      <w:bookmarkEnd w:id="41"/>
    </w:p>
    <w:p w14:paraId="0D23AD9A" w14:textId="77777777" w:rsidR="00B21DA4" w:rsidRPr="00C218CB" w:rsidRDefault="00B21DA4">
      <w:pPr>
        <w:jc w:val="both"/>
        <w:rPr>
          <w:rFonts w:ascii="Arial" w:hAnsi="Arial" w:cs="Arial"/>
          <w:sz w:val="6"/>
          <w:szCs w:val="22"/>
        </w:rPr>
      </w:pPr>
    </w:p>
    <w:p w14:paraId="2CC7A884" w14:textId="77777777" w:rsidR="00B21DA4" w:rsidRPr="00C218CB"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6"/>
          <w:szCs w:val="6"/>
        </w:rPr>
      </w:pPr>
    </w:p>
    <w:p w14:paraId="029892F1" w14:textId="07FA4711"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bookmarkStart w:id="42" w:name="_Hlk126302193"/>
    <w:p w14:paraId="269CC528" w14:textId="4E028738" w:rsidR="001C057A" w:rsidRPr="001C057A" w:rsidRDefault="001C057A" w:rsidP="001C057A">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C057A">
        <w:rPr>
          <w:rFonts w:ascii="Arial" w:hAnsi="Arial" w:cs="Arial"/>
          <w:b/>
          <w:bCs/>
          <w:sz w:val="20"/>
        </w:rPr>
        <w:fldChar w:fldCharType="begin"/>
      </w:r>
      <w:r w:rsidRPr="001C057A">
        <w:rPr>
          <w:rFonts w:ascii="Arial" w:hAnsi="Arial" w:cs="Arial"/>
          <w:b/>
          <w:bCs/>
          <w:sz w:val="20"/>
        </w:rPr>
        <w:instrText xml:space="preserve"> HYPERLINK  \l "_3.1.1_Procedural_fairness" </w:instrText>
      </w:r>
      <w:r w:rsidRPr="001C057A">
        <w:rPr>
          <w:rFonts w:ascii="Arial" w:hAnsi="Arial" w:cs="Arial"/>
          <w:b/>
          <w:bCs/>
          <w:sz w:val="20"/>
        </w:rPr>
      </w:r>
      <w:r w:rsidRPr="001C057A">
        <w:rPr>
          <w:rFonts w:ascii="Arial" w:hAnsi="Arial" w:cs="Arial"/>
          <w:b/>
          <w:bCs/>
          <w:sz w:val="20"/>
        </w:rPr>
        <w:fldChar w:fldCharType="separate"/>
      </w:r>
      <w:r w:rsidRPr="001C057A">
        <w:rPr>
          <w:rStyle w:val="Hyperlink"/>
          <w:rFonts w:ascii="Arial" w:hAnsi="Arial" w:cs="Arial"/>
          <w:b/>
          <w:bCs/>
          <w:sz w:val="20"/>
          <w:u w:val="none"/>
        </w:rPr>
        <w:tab/>
        <w:t>3.1.1</w:t>
      </w:r>
      <w:r w:rsidRPr="001C057A">
        <w:rPr>
          <w:rStyle w:val="Hyperlink"/>
          <w:rFonts w:ascii="Arial" w:hAnsi="Arial" w:cs="Arial"/>
          <w:b/>
          <w:bCs/>
          <w:sz w:val="20"/>
          <w:u w:val="none"/>
        </w:rPr>
        <w:tab/>
        <w:t>Procedural fairness (natural justice) generally</w:t>
      </w:r>
      <w:r w:rsidRPr="001C057A">
        <w:rPr>
          <w:rFonts w:ascii="Arial" w:hAnsi="Arial" w:cs="Arial"/>
          <w:b/>
          <w:bCs/>
          <w:sz w:val="20"/>
        </w:rPr>
        <w:fldChar w:fldCharType="end"/>
      </w:r>
    </w:p>
    <w:p w14:paraId="67444481" w14:textId="6EA95878" w:rsidR="001C057A" w:rsidRPr="00843C81" w:rsidRDefault="00000000" w:rsidP="001C057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2_Actual_or" w:history="1">
        <w:r w:rsidR="001C057A" w:rsidRPr="00843C81">
          <w:rPr>
            <w:rStyle w:val="Hyperlink"/>
            <w:rFonts w:ascii="Arial" w:hAnsi="Arial" w:cs="Arial"/>
            <w:b/>
            <w:bCs/>
            <w:sz w:val="20"/>
            <w:u w:val="none"/>
          </w:rPr>
          <w:tab/>
          <w:t>3.</w:t>
        </w:r>
        <w:r w:rsidR="00843C81" w:rsidRPr="00843C81">
          <w:rPr>
            <w:rStyle w:val="Hyperlink"/>
            <w:rFonts w:ascii="Arial" w:hAnsi="Arial" w:cs="Arial"/>
            <w:b/>
            <w:bCs/>
            <w:sz w:val="20"/>
            <w:u w:val="none"/>
          </w:rPr>
          <w:t>1</w:t>
        </w:r>
        <w:r w:rsidR="001C057A" w:rsidRPr="00843C81">
          <w:rPr>
            <w:rStyle w:val="Hyperlink"/>
            <w:rFonts w:ascii="Arial" w:hAnsi="Arial" w:cs="Arial"/>
            <w:b/>
            <w:bCs/>
            <w:sz w:val="20"/>
            <w:u w:val="none"/>
          </w:rPr>
          <w:t>.2</w:t>
        </w:r>
        <w:r w:rsidR="001C057A" w:rsidRPr="00843C81">
          <w:rPr>
            <w:rStyle w:val="Hyperlink"/>
            <w:rFonts w:ascii="Arial" w:hAnsi="Arial" w:cs="Arial"/>
            <w:b/>
            <w:bCs/>
            <w:sz w:val="20"/>
            <w:u w:val="none"/>
          </w:rPr>
          <w:tab/>
        </w:r>
        <w:r w:rsidR="00843C81" w:rsidRPr="00843C81">
          <w:rPr>
            <w:rStyle w:val="Hyperlink"/>
            <w:rFonts w:ascii="Arial" w:hAnsi="Arial" w:cs="Arial"/>
            <w:b/>
            <w:bCs/>
            <w:sz w:val="20"/>
            <w:u w:val="none"/>
          </w:rPr>
          <w:t>Actual or apprehended judicial bias</w:t>
        </w:r>
      </w:hyperlink>
    </w:p>
    <w:bookmarkEnd w:id="42"/>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000000"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 xml:space="preserve">Power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 xml:space="preserve">Res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000000"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 of leave by CCV to withdraw a protection application</w:t>
        </w:r>
      </w:hyperlink>
    </w:p>
    <w:p w14:paraId="090FA4E4" w14:textId="014F01C9" w:rsidR="00C218CB" w:rsidRPr="00756901" w:rsidRDefault="00000000" w:rsidP="00C218CB">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hyperlink w:anchor="_3.3.4.4_Implied_power" w:history="1">
        <w:r w:rsidR="00C218CB" w:rsidRPr="00756901">
          <w:rPr>
            <w:rStyle w:val="Hyperlink"/>
            <w:rFonts w:ascii="Arial" w:hAnsi="Arial" w:cs="Arial"/>
            <w:b/>
            <w:bCs/>
            <w:sz w:val="20"/>
            <w:u w:val="none"/>
          </w:rPr>
          <w:tab/>
        </w:r>
        <w:r w:rsidR="00C218CB" w:rsidRPr="00756901">
          <w:rPr>
            <w:rStyle w:val="Hyperlink"/>
            <w:rFonts w:ascii="Arial" w:hAnsi="Arial" w:cs="Arial"/>
            <w:b/>
            <w:bCs/>
            <w:sz w:val="20"/>
            <w:u w:val="none"/>
          </w:rPr>
          <w:tab/>
          <w:t>3.3.4.4  Implied power to reinstate a</w:t>
        </w:r>
        <w:r w:rsidR="00C11A19">
          <w:rPr>
            <w:rStyle w:val="Hyperlink"/>
            <w:rFonts w:ascii="Arial" w:hAnsi="Arial" w:cs="Arial"/>
            <w:b/>
            <w:bCs/>
            <w:sz w:val="20"/>
            <w:u w:val="none"/>
          </w:rPr>
          <w:t xml:space="preserve"> proceeding</w:t>
        </w:r>
        <w:r w:rsidR="00C218CB" w:rsidRPr="00756901">
          <w:rPr>
            <w:rStyle w:val="Hyperlink"/>
            <w:rFonts w:ascii="Arial" w:hAnsi="Arial" w:cs="Arial"/>
            <w:b/>
            <w:bCs/>
            <w:sz w:val="20"/>
            <w:u w:val="none"/>
          </w:rPr>
          <w:t xml:space="preserve"> which was struck out</w:t>
        </w:r>
      </w:hyperlink>
    </w:p>
    <w:p w14:paraId="1393F49F" w14:textId="762BCACA" w:rsidR="00843765" w:rsidRPr="00FA71D1"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000000"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0854E098" w:rsidR="00843765" w:rsidRPr="0022246F"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_1"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2BDB16B8" w:rsidR="00B21DA4" w:rsidRPr="00D13FB8" w:rsidRDefault="00D13FB8"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D13FB8">
        <w:rPr>
          <w:rFonts w:ascii="Arial" w:hAnsi="Arial" w:cs="Arial"/>
          <w:b/>
          <w:bCs/>
          <w:sz w:val="20"/>
        </w:rPr>
        <w:fldChar w:fldCharType="begin"/>
      </w:r>
      <w:r w:rsidRPr="00D13FB8">
        <w:rPr>
          <w:rFonts w:ascii="Arial" w:hAnsi="Arial" w:cs="Arial"/>
          <w:b/>
          <w:bCs/>
          <w:sz w:val="20"/>
        </w:rPr>
        <w:instrText xml:space="preserve"> HYPERLINK  \l "_3.5.3_Evidence" </w:instrText>
      </w:r>
      <w:r w:rsidRPr="00D13FB8">
        <w:rPr>
          <w:rFonts w:ascii="Arial" w:hAnsi="Arial" w:cs="Arial"/>
          <w:b/>
          <w:bCs/>
          <w:sz w:val="20"/>
        </w:rPr>
      </w:r>
      <w:r w:rsidRPr="00D13FB8">
        <w:rPr>
          <w:rFonts w:ascii="Arial" w:hAnsi="Arial" w:cs="Arial"/>
          <w:b/>
          <w:bCs/>
          <w:sz w:val="20"/>
        </w:rPr>
        <w:fldChar w:fldCharType="separate"/>
      </w:r>
      <w:r w:rsidR="00B21DA4" w:rsidRPr="00D13FB8">
        <w:rPr>
          <w:rStyle w:val="Hyperlink"/>
          <w:rFonts w:ascii="Arial" w:hAnsi="Arial" w:cs="Arial"/>
          <w:b/>
          <w:bCs/>
          <w:sz w:val="20"/>
          <w:u w:val="none"/>
        </w:rPr>
        <w:tab/>
        <w:t>3.5.3</w:t>
      </w:r>
      <w:r w:rsidR="00B21DA4" w:rsidRPr="00D13FB8">
        <w:rPr>
          <w:rStyle w:val="Hyperlink"/>
          <w:rFonts w:ascii="Arial" w:hAnsi="Arial" w:cs="Arial"/>
          <w:b/>
          <w:bCs/>
          <w:sz w:val="20"/>
          <w:u w:val="none"/>
        </w:rPr>
        <w:tab/>
      </w:r>
      <w:r w:rsidR="0019386A" w:rsidRPr="00D13FB8">
        <w:rPr>
          <w:rStyle w:val="Hyperlink"/>
          <w:rFonts w:ascii="Arial" w:hAnsi="Arial" w:cs="Arial"/>
          <w:b/>
          <w:bCs/>
          <w:sz w:val="20"/>
          <w:u w:val="none"/>
        </w:rPr>
        <w:t>Evidence</w:t>
      </w:r>
    </w:p>
    <w:p w14:paraId="4B4F911E" w14:textId="0C59E415" w:rsidR="003A0C37" w:rsidRPr="0022246F" w:rsidRDefault="00D13FB8"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r w:rsidRPr="00D13FB8">
        <w:rPr>
          <w:rFonts w:ascii="Arial" w:hAnsi="Arial" w:cs="Arial"/>
          <w:b/>
          <w:bCs/>
          <w:sz w:val="20"/>
        </w:rPr>
        <w:fldChar w:fldCharType="end"/>
      </w: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000000"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t xml:space="preserve">3.5.3.2  </w:t>
        </w:r>
        <w:r w:rsidR="007C1C82" w:rsidRPr="00FD5828">
          <w:rPr>
            <w:rStyle w:val="Hyperlink"/>
            <w:rFonts w:ascii="Arial" w:hAnsi="Arial" w:cs="Arial"/>
            <w:b/>
            <w:bCs/>
            <w:sz w:val="20"/>
            <w:u w:val="none"/>
          </w:rPr>
          <w:t>Admissibility of evidence in a contested criminal case</w:t>
        </w:r>
      </w:hyperlink>
    </w:p>
    <w:p w14:paraId="11625CF7" w14:textId="77777777" w:rsidR="0019386A" w:rsidRPr="00FD5828"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t xml:space="preserve">3.5.3.3  </w:t>
        </w:r>
        <w:r w:rsidR="007C1C82" w:rsidRPr="00FD5828">
          <w:rPr>
            <w:rStyle w:val="Hyperlink"/>
            <w:rFonts w:ascii="Arial" w:hAnsi="Arial" w:cs="Arial"/>
            <w:b/>
            <w:bCs/>
            <w:sz w:val="20"/>
            <w:u w:val="none"/>
          </w:rPr>
          <w:t>Admissibility of evidence in a Family Division case</w:t>
        </w:r>
      </w:hyperlink>
    </w:p>
    <w:p w14:paraId="05952FB9" w14:textId="408FE0B5"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t xml:space="preserve">3.5.3.4  </w:t>
        </w:r>
        <w:r w:rsidR="007C1C82" w:rsidRPr="0022246F">
          <w:rPr>
            <w:rStyle w:val="Hyperlink"/>
            <w:rFonts w:ascii="Arial" w:hAnsi="Arial" w:cs="Arial"/>
            <w:b/>
            <w:sz w:val="20"/>
            <w:u w:val="none"/>
          </w:rPr>
          <w:t>The hearsay rule and exceptions thereto</w:t>
        </w:r>
      </w:hyperlink>
    </w:p>
    <w:p w14:paraId="3D629C14" w14:textId="517F7BE7" w:rsidR="000F2CE5" w:rsidRPr="00106472" w:rsidRDefault="00000000" w:rsidP="000F2CE5">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33CC"/>
          <w:sz w:val="20"/>
        </w:rPr>
      </w:pPr>
      <w:hyperlink w:anchor="_3.5.3.5_Expert_evidence" w:history="1">
        <w:r w:rsidR="000F2CE5" w:rsidRPr="00106472">
          <w:rPr>
            <w:rStyle w:val="Hyperlink"/>
            <w:rFonts w:ascii="Arial" w:hAnsi="Arial" w:cs="Arial"/>
            <w:b/>
            <w:color w:val="0033CC"/>
            <w:sz w:val="20"/>
            <w:u w:val="none"/>
          </w:rPr>
          <w:tab/>
        </w:r>
        <w:r w:rsidR="000F2CE5" w:rsidRPr="00106472">
          <w:rPr>
            <w:rStyle w:val="Hyperlink"/>
            <w:rFonts w:ascii="Arial" w:hAnsi="Arial" w:cs="Arial"/>
            <w:b/>
            <w:color w:val="0033CC"/>
            <w:sz w:val="20"/>
            <w:u w:val="none"/>
          </w:rPr>
          <w:tab/>
          <w:t>3.5.3.</w:t>
        </w:r>
        <w:r w:rsidR="000F2CE5">
          <w:rPr>
            <w:rStyle w:val="Hyperlink"/>
            <w:rFonts w:ascii="Arial" w:hAnsi="Arial" w:cs="Arial"/>
            <w:b/>
            <w:color w:val="0033CC"/>
            <w:sz w:val="20"/>
            <w:u w:val="none"/>
          </w:rPr>
          <w:t>5</w:t>
        </w:r>
        <w:r w:rsidR="000F2CE5" w:rsidRPr="00106472">
          <w:rPr>
            <w:rStyle w:val="Hyperlink"/>
            <w:rFonts w:ascii="Arial" w:hAnsi="Arial" w:cs="Arial"/>
            <w:b/>
            <w:color w:val="0033CC"/>
            <w:sz w:val="20"/>
            <w:u w:val="none"/>
          </w:rPr>
          <w:t xml:space="preserve">  </w:t>
        </w:r>
        <w:r w:rsidR="00E02733">
          <w:rPr>
            <w:rStyle w:val="Hyperlink"/>
            <w:rFonts w:ascii="Arial" w:hAnsi="Arial" w:cs="Arial"/>
            <w:b/>
            <w:bCs/>
            <w:color w:val="0033CC"/>
            <w:sz w:val="20"/>
            <w:u w:val="none"/>
          </w:rPr>
          <w:t>E</w:t>
        </w:r>
        <w:r w:rsidR="000F2CE5">
          <w:rPr>
            <w:rStyle w:val="Hyperlink"/>
            <w:rFonts w:ascii="Arial" w:hAnsi="Arial" w:cs="Arial"/>
            <w:b/>
            <w:color w:val="0033CC"/>
            <w:sz w:val="20"/>
            <w:u w:val="none"/>
          </w:rPr>
          <w:t xml:space="preserve">xpert </w:t>
        </w:r>
        <w:r w:rsidR="000F2CE5" w:rsidRPr="00106472">
          <w:rPr>
            <w:rStyle w:val="Hyperlink"/>
            <w:rFonts w:ascii="Arial" w:hAnsi="Arial" w:cs="Arial"/>
            <w:b/>
            <w:color w:val="0033CC"/>
            <w:sz w:val="20"/>
            <w:u w:val="none"/>
          </w:rPr>
          <w:t>evidence</w:t>
        </w:r>
      </w:hyperlink>
    </w:p>
    <w:p w14:paraId="47548454" w14:textId="291CC7A2" w:rsidR="0019386A" w:rsidRPr="0022246F" w:rsidRDefault="00000000"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t>3.5.3.</w:t>
        </w:r>
        <w:r w:rsidR="000F2CE5">
          <w:rPr>
            <w:rStyle w:val="Hyperlink"/>
            <w:rFonts w:ascii="Arial" w:hAnsi="Arial" w:cs="Arial"/>
            <w:b/>
            <w:bCs/>
            <w:sz w:val="20"/>
            <w:u w:val="none"/>
          </w:rPr>
          <w:t>6</w:t>
        </w:r>
        <w:r w:rsidR="0019386A" w:rsidRPr="0022246F">
          <w:rPr>
            <w:rStyle w:val="Hyperlink"/>
            <w:rFonts w:ascii="Arial" w:hAnsi="Arial" w:cs="Arial"/>
            <w:b/>
            <w:bCs/>
            <w:sz w:val="20"/>
            <w:u w:val="none"/>
          </w:rPr>
          <w:t xml:space="preserve">  </w:t>
        </w:r>
        <w:r w:rsidR="007C1C82" w:rsidRPr="0022246F">
          <w:rPr>
            <w:rStyle w:val="Hyperlink"/>
            <w:rFonts w:ascii="Arial" w:hAnsi="Arial" w:cs="Arial"/>
            <w:b/>
            <w:sz w:val="20"/>
            <w:u w:val="none"/>
          </w:rPr>
          <w:t>Illegally</w:t>
        </w:r>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55DCAFD2" w14:textId="784669B9" w:rsidR="00106472" w:rsidRPr="0022246F" w:rsidRDefault="00000000" w:rsidP="0010647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Admissibility_of" w:history="1">
        <w:r w:rsidR="00106472" w:rsidRPr="0022246F">
          <w:rPr>
            <w:rStyle w:val="Hyperlink"/>
            <w:rFonts w:ascii="Arial" w:hAnsi="Arial" w:cs="Arial"/>
            <w:b/>
            <w:bCs/>
            <w:sz w:val="20"/>
            <w:u w:val="none"/>
          </w:rPr>
          <w:tab/>
        </w:r>
        <w:r w:rsidR="00106472" w:rsidRPr="0022246F">
          <w:rPr>
            <w:rStyle w:val="Hyperlink"/>
            <w:rFonts w:ascii="Arial" w:hAnsi="Arial" w:cs="Arial"/>
            <w:b/>
            <w:bCs/>
            <w:sz w:val="20"/>
            <w:u w:val="none"/>
          </w:rPr>
          <w:tab/>
          <w:t>3.5.3.</w:t>
        </w:r>
        <w:r w:rsidR="000F2CE5">
          <w:rPr>
            <w:rStyle w:val="Hyperlink"/>
            <w:rFonts w:ascii="Arial" w:hAnsi="Arial" w:cs="Arial"/>
            <w:b/>
            <w:bCs/>
            <w:sz w:val="20"/>
            <w:u w:val="none"/>
          </w:rPr>
          <w:t>7</w:t>
        </w:r>
        <w:r w:rsidR="00106472" w:rsidRPr="0022246F">
          <w:rPr>
            <w:rStyle w:val="Hyperlink"/>
            <w:rFonts w:ascii="Arial" w:hAnsi="Arial" w:cs="Arial"/>
            <w:b/>
            <w:bCs/>
            <w:sz w:val="20"/>
            <w:u w:val="none"/>
          </w:rPr>
          <w:t xml:space="preserve">  </w:t>
        </w:r>
        <w:r w:rsidR="00106472">
          <w:rPr>
            <w:rStyle w:val="Hyperlink"/>
            <w:rFonts w:ascii="Arial" w:hAnsi="Arial" w:cs="Arial"/>
            <w:b/>
            <w:sz w:val="20"/>
            <w:u w:val="none"/>
          </w:rPr>
          <w:t>Admissibility of tendency</w:t>
        </w:r>
        <w:r w:rsidR="00106472" w:rsidRPr="0022246F">
          <w:rPr>
            <w:rStyle w:val="Hyperlink"/>
            <w:rFonts w:ascii="Arial" w:hAnsi="Arial" w:cs="Arial"/>
            <w:b/>
            <w:sz w:val="20"/>
            <w:u w:val="none"/>
          </w:rPr>
          <w:t xml:space="preserve"> evidenc</w:t>
        </w:r>
        <w:r w:rsidR="00C41908">
          <w:rPr>
            <w:rStyle w:val="Hyperlink"/>
            <w:rFonts w:ascii="Arial" w:hAnsi="Arial" w:cs="Arial"/>
            <w:b/>
            <w:sz w:val="20"/>
            <w:u w:val="none"/>
          </w:rPr>
          <w:t>e and coincidence evidenc</w:t>
        </w:r>
        <w:r w:rsidR="00106472" w:rsidRPr="0022246F">
          <w:rPr>
            <w:rStyle w:val="Hyperlink"/>
            <w:rFonts w:ascii="Arial" w:hAnsi="Arial" w:cs="Arial"/>
            <w:b/>
            <w:sz w:val="20"/>
            <w:u w:val="none"/>
          </w:rPr>
          <w:t>e</w:t>
        </w:r>
      </w:hyperlink>
    </w:p>
    <w:p w14:paraId="4FD93955" w14:textId="56CA25C8"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8_Conflicting_evidence" w:history="1">
        <w:r w:rsidRPr="0066351D">
          <w:rPr>
            <w:rStyle w:val="Hyperlink"/>
            <w:rFonts w:ascii="Arial" w:hAnsi="Arial" w:cs="Arial"/>
            <w:b/>
            <w:sz w:val="20"/>
            <w:u w:val="none"/>
          </w:rPr>
          <w:t>3.5.3.</w:t>
        </w:r>
        <w:r w:rsidR="00106472">
          <w:rPr>
            <w:rStyle w:val="Hyperlink"/>
            <w:rFonts w:ascii="Arial" w:hAnsi="Arial" w:cs="Arial"/>
            <w:b/>
            <w:sz w:val="20"/>
            <w:u w:val="none"/>
          </w:rPr>
          <w:t>8</w:t>
        </w:r>
        <w:r w:rsidRPr="0066351D">
          <w:rPr>
            <w:rStyle w:val="Hyperlink"/>
            <w:rFonts w:ascii="Arial" w:hAnsi="Arial" w:cs="Arial"/>
            <w:b/>
            <w:sz w:val="20"/>
            <w:u w:val="none"/>
          </w:rPr>
          <w:t xml:space="preserve">  </w:t>
        </w:r>
        <w:r w:rsidR="00D53D45" w:rsidRPr="0066351D">
          <w:rPr>
            <w:rStyle w:val="Hyperlink"/>
            <w:rFonts w:ascii="Arial" w:hAnsi="Arial" w:cs="Arial"/>
            <w:b/>
            <w:sz w:val="20"/>
            <w:u w:val="none"/>
          </w:rPr>
          <w:t xml:space="preserve">Conflicting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50EDC635" w14:textId="0E3CDB7F" w:rsidR="006C4A9A" w:rsidRDefault="006C4A9A" w:rsidP="00EE5B6C">
      <w:pPr>
        <w:pBdr>
          <w:top w:val="single" w:sz="4" w:space="1" w:color="auto"/>
          <w:left w:val="single" w:sz="4" w:space="4" w:color="auto"/>
          <w:bottom w:val="single" w:sz="4" w:space="1" w:color="auto"/>
          <w:right w:val="single" w:sz="4" w:space="4" w:color="auto"/>
        </w:pBdr>
        <w:tabs>
          <w:tab w:val="left" w:pos="567"/>
        </w:tabs>
      </w:pPr>
      <w:r>
        <w:tab/>
      </w:r>
      <w:r>
        <w:tab/>
      </w:r>
      <w:hyperlink w:anchor="_3.5.3.9_Inadmissibility_without" w:history="1">
        <w:proofErr w:type="gramStart"/>
        <w:r w:rsidRPr="0066351D">
          <w:rPr>
            <w:rStyle w:val="Hyperlink"/>
            <w:rFonts w:ascii="Arial" w:hAnsi="Arial" w:cs="Arial"/>
            <w:b/>
            <w:sz w:val="20"/>
            <w:u w:val="none"/>
          </w:rPr>
          <w:t>3.5.3.</w:t>
        </w:r>
        <w:r>
          <w:rPr>
            <w:rStyle w:val="Hyperlink"/>
            <w:rFonts w:ascii="Arial" w:hAnsi="Arial" w:cs="Arial"/>
            <w:b/>
            <w:sz w:val="20"/>
            <w:u w:val="none"/>
          </w:rPr>
          <w:t>9</w:t>
        </w:r>
        <w:r w:rsidRPr="0066351D">
          <w:rPr>
            <w:rStyle w:val="Hyperlink"/>
            <w:rFonts w:ascii="Arial" w:hAnsi="Arial" w:cs="Arial"/>
            <w:b/>
            <w:sz w:val="20"/>
            <w:u w:val="none"/>
          </w:rPr>
          <w:t xml:space="preserve">  </w:t>
        </w:r>
        <w:r>
          <w:rPr>
            <w:rStyle w:val="Hyperlink"/>
            <w:rFonts w:ascii="Arial" w:hAnsi="Arial" w:cs="Arial"/>
            <w:b/>
            <w:sz w:val="20"/>
            <w:u w:val="none"/>
          </w:rPr>
          <w:t>Leave</w:t>
        </w:r>
        <w:proofErr w:type="gramEnd"/>
        <w:r>
          <w:rPr>
            <w:rStyle w:val="Hyperlink"/>
            <w:rFonts w:ascii="Arial" w:hAnsi="Arial" w:cs="Arial"/>
            <w:b/>
            <w:sz w:val="20"/>
            <w:u w:val="none"/>
          </w:rPr>
          <w:t xml:space="preserve"> required to adduce confidential communication or protected health info</w:t>
        </w:r>
      </w:hyperlink>
    </w:p>
    <w:p w14:paraId="1D0FA580" w14:textId="13A8E1DE" w:rsidR="00B21DA4" w:rsidRPr="0022246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t xml:space="preserve">3.5.5.1  </w:t>
        </w:r>
        <w:r w:rsidR="00120AA9" w:rsidRPr="00BA5B6D">
          <w:rPr>
            <w:rFonts w:ascii="Arial" w:hAnsi="Arial" w:cs="Arial"/>
            <w:b/>
            <w:color w:val="0000FF"/>
            <w:sz w:val="20"/>
          </w:rPr>
          <w:t>Use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000000"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t>3.5.6.1  The usual procedure</w:t>
        </w:r>
      </w:hyperlink>
    </w:p>
    <w:p w14:paraId="148DB127" w14:textId="297E0530"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22B3A">
        <w:rPr>
          <w:rStyle w:val="Hyperlink"/>
          <w:rFonts w:ascii="Arial" w:hAnsi="Arial" w:cs="Arial"/>
          <w:b/>
          <w:bCs/>
          <w:sz w:val="20"/>
          <w:u w:val="none"/>
        </w:rPr>
        <w:t>s</w:t>
      </w:r>
      <w:r w:rsidR="00C5633C">
        <w:rPr>
          <w:rStyle w:val="Hyperlink"/>
          <w:rFonts w:ascii="Arial" w:hAnsi="Arial" w:cs="Arial"/>
          <w:b/>
          <w:bCs/>
          <w:sz w:val="20"/>
          <w:u w:val="none"/>
        </w:rPr>
        <w:t>.</w:t>
      </w:r>
      <w:r w:rsidRPr="00367E55">
        <w:rPr>
          <w:rStyle w:val="Hyperlink"/>
          <w:rFonts w:ascii="Arial" w:hAnsi="Arial" w:cs="Arial"/>
          <w:b/>
          <w:bCs/>
          <w:sz w:val="20"/>
          <w:u w:val="none"/>
        </w:rPr>
        <w:t xml:space="preserve">215(1) </w:t>
      </w:r>
      <w:r w:rsidR="00C22B3A">
        <w:rPr>
          <w:rStyle w:val="Hyperlink"/>
          <w:rFonts w:ascii="Arial" w:hAnsi="Arial" w:cs="Arial"/>
          <w:b/>
          <w:bCs/>
          <w:sz w:val="20"/>
          <w:u w:val="none"/>
        </w:rPr>
        <w:t xml:space="preserve">&amp; 215B </w:t>
      </w:r>
      <w:r w:rsidRPr="00367E55">
        <w:rPr>
          <w:rStyle w:val="Hyperlink"/>
          <w:rFonts w:ascii="Arial" w:hAnsi="Arial" w:cs="Arial"/>
          <w:b/>
          <w:bCs/>
          <w:sz w:val="20"/>
          <w:u w:val="none"/>
        </w:rPr>
        <w:t>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77DD9C0C" w14:textId="5F5A509C" w:rsidR="00651374" w:rsidRPr="00651374"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r w:rsidR="00651374" w:rsidRPr="00651374">
        <w:rPr>
          <w:rFonts w:ascii="Arial" w:hAnsi="Arial" w:cs="Arial"/>
          <w:b/>
          <w:bCs/>
          <w:sz w:val="20"/>
        </w:rPr>
        <w:tab/>
      </w:r>
      <w:r w:rsidR="00651374" w:rsidRPr="00651374">
        <w:rPr>
          <w:rFonts w:ascii="Arial" w:hAnsi="Arial" w:cs="Arial"/>
          <w:b/>
          <w:bCs/>
          <w:sz w:val="20"/>
        </w:rPr>
        <w:tab/>
      </w:r>
      <w:hyperlink w:anchor="_3.5.6.5_Tips_for" w:history="1">
        <w:proofErr w:type="gramStart"/>
        <w:r w:rsidR="00651374" w:rsidRPr="00651374">
          <w:rPr>
            <w:rStyle w:val="Hyperlink"/>
            <w:rFonts w:ascii="Arial" w:hAnsi="Arial" w:cs="Arial"/>
            <w:b/>
            <w:bCs/>
            <w:sz w:val="20"/>
            <w:u w:val="none"/>
          </w:rPr>
          <w:t>3.5.6.5  Tips</w:t>
        </w:r>
        <w:proofErr w:type="gramEnd"/>
        <w:r w:rsidR="00651374" w:rsidRPr="00651374">
          <w:rPr>
            <w:rStyle w:val="Hyperlink"/>
            <w:rFonts w:ascii="Arial" w:hAnsi="Arial" w:cs="Arial"/>
            <w:b/>
            <w:bCs/>
            <w:sz w:val="20"/>
            <w:u w:val="none"/>
          </w:rPr>
          <w:t xml:space="preserve"> for advocates and witnesses in contested Family Division cases</w:t>
        </w:r>
      </w:hyperlink>
    </w:p>
    <w:p w14:paraId="469C4678" w14:textId="74831AA5" w:rsidR="00F25FA2" w:rsidRPr="00EF638E"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7_Compelling_production" w:history="1">
        <w:r w:rsidR="0059119D" w:rsidRPr="00EF638E">
          <w:rPr>
            <w:rStyle w:val="Hyperlink"/>
            <w:rFonts w:ascii="Arial" w:hAnsi="Arial" w:cs="Arial"/>
            <w:b/>
            <w:bCs/>
            <w:sz w:val="20"/>
            <w:u w:val="none"/>
          </w:rPr>
          <w:tab/>
          <w:t>3.5.7</w:t>
        </w:r>
        <w:r w:rsidR="0059119D" w:rsidRPr="00EF638E">
          <w:rPr>
            <w:rStyle w:val="Hyperlink"/>
            <w:rFonts w:ascii="Arial" w:hAnsi="Arial" w:cs="Arial"/>
            <w:b/>
            <w:bCs/>
            <w:sz w:val="20"/>
            <w:u w:val="none"/>
          </w:rPr>
          <w:tab/>
        </w:r>
        <w:r w:rsidR="00EF638E" w:rsidRPr="00EF638E">
          <w:rPr>
            <w:rStyle w:val="Hyperlink"/>
            <w:rFonts w:ascii="Arial" w:hAnsi="Arial" w:cs="Arial"/>
            <w:b/>
            <w:bCs/>
            <w:sz w:val="20"/>
            <w:u w:val="none"/>
          </w:rPr>
          <w:t>C</w:t>
        </w:r>
        <w:r w:rsidR="000232AB" w:rsidRPr="00EF638E">
          <w:rPr>
            <w:rStyle w:val="Hyperlink"/>
            <w:rFonts w:ascii="Arial" w:hAnsi="Arial" w:cs="Arial"/>
            <w:b/>
            <w:bCs/>
            <w:sz w:val="20"/>
            <w:u w:val="none"/>
          </w:rPr>
          <w:t>ompe</w:t>
        </w:r>
        <w:r w:rsidR="00EF638E" w:rsidRPr="00EF638E">
          <w:rPr>
            <w:rStyle w:val="Hyperlink"/>
            <w:rFonts w:ascii="Arial" w:hAnsi="Arial" w:cs="Arial"/>
            <w:b/>
            <w:bCs/>
            <w:sz w:val="20"/>
            <w:u w:val="none"/>
          </w:rPr>
          <w:t>l</w:t>
        </w:r>
        <w:r w:rsidR="000232AB" w:rsidRPr="00EF638E">
          <w:rPr>
            <w:rStyle w:val="Hyperlink"/>
            <w:rFonts w:ascii="Arial" w:hAnsi="Arial" w:cs="Arial"/>
            <w:b/>
            <w:bCs/>
            <w:sz w:val="20"/>
            <w:u w:val="none"/>
          </w:rPr>
          <w:t>l</w:t>
        </w:r>
        <w:r w:rsidR="00EF638E" w:rsidRPr="00EF638E">
          <w:rPr>
            <w:rStyle w:val="Hyperlink"/>
            <w:rFonts w:ascii="Arial" w:hAnsi="Arial" w:cs="Arial"/>
            <w:b/>
            <w:bCs/>
            <w:sz w:val="20"/>
            <w:u w:val="none"/>
          </w:rPr>
          <w:t>ing production</w:t>
        </w:r>
        <w:r w:rsidR="000232AB" w:rsidRPr="00EF638E">
          <w:rPr>
            <w:rStyle w:val="Hyperlink"/>
            <w:rFonts w:ascii="Arial" w:hAnsi="Arial" w:cs="Arial"/>
            <w:b/>
            <w:bCs/>
            <w:sz w:val="20"/>
            <w:u w:val="none"/>
          </w:rPr>
          <w:t xml:space="preserve"> of </w:t>
        </w:r>
        <w:r w:rsidR="00EF638E" w:rsidRPr="00EF638E">
          <w:rPr>
            <w:rStyle w:val="Hyperlink"/>
            <w:rFonts w:ascii="Arial" w:hAnsi="Arial" w:cs="Arial"/>
            <w:b/>
            <w:bCs/>
            <w:sz w:val="20"/>
            <w:u w:val="none"/>
          </w:rPr>
          <w:t xml:space="preserve">a </w:t>
        </w:r>
        <w:r w:rsidR="000232AB" w:rsidRPr="00EF638E">
          <w:rPr>
            <w:rStyle w:val="Hyperlink"/>
            <w:rFonts w:ascii="Arial" w:hAnsi="Arial" w:cs="Arial"/>
            <w:b/>
            <w:bCs/>
            <w:sz w:val="20"/>
            <w:u w:val="none"/>
          </w:rPr>
          <w:t>prisoner</w:t>
        </w:r>
        <w:r w:rsidR="00EF638E" w:rsidRPr="00EF638E">
          <w:rPr>
            <w:rStyle w:val="Hyperlink"/>
            <w:rFonts w:ascii="Arial" w:hAnsi="Arial" w:cs="Arial"/>
            <w:b/>
            <w:bCs/>
            <w:sz w:val="20"/>
            <w:u w:val="none"/>
          </w:rPr>
          <w:t xml:space="preserve">/detainee </w:t>
        </w:r>
        <w:r w:rsidR="000232AB" w:rsidRPr="00EF638E">
          <w:rPr>
            <w:rStyle w:val="Hyperlink"/>
            <w:rFonts w:ascii="Arial" w:hAnsi="Arial" w:cs="Arial"/>
            <w:b/>
            <w:bCs/>
            <w:sz w:val="20"/>
            <w:u w:val="none"/>
          </w:rPr>
          <w:t>at court</w:t>
        </w:r>
        <w:r w:rsidR="00EF638E" w:rsidRPr="00EF638E">
          <w:rPr>
            <w:rStyle w:val="Hyperlink"/>
            <w:rFonts w:ascii="Arial" w:hAnsi="Arial" w:cs="Arial"/>
            <w:b/>
            <w:bCs/>
            <w:sz w:val="20"/>
            <w:u w:val="none"/>
          </w:rPr>
          <w:t xml:space="preserve"> – Remand warrant/Gaol order</w:t>
        </w:r>
      </w:hyperlink>
    </w:p>
    <w:p w14:paraId="7448435B" w14:textId="024BD3B5"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_1"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0E3EC4D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3.5.9.1  </w:t>
        </w:r>
        <w:r w:rsidR="008A5C71" w:rsidRPr="00FD5828">
          <w:rPr>
            <w:rStyle w:val="Hyperlink"/>
            <w:rFonts w:ascii="Arial" w:hAnsi="Arial" w:cs="Arial"/>
            <w:b/>
            <w:bCs/>
            <w:sz w:val="20"/>
            <w:u w:val="none"/>
          </w:rPr>
          <w:t>Production under sub-poena</w:t>
        </w:r>
      </w:hyperlink>
    </w:p>
    <w:p w14:paraId="13E6F100"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3.5.9.2  </w:t>
        </w:r>
        <w:r w:rsidR="008A5C71" w:rsidRPr="00FD5828">
          <w:rPr>
            <w:rStyle w:val="Hyperlink"/>
            <w:rFonts w:ascii="Arial" w:hAnsi="Arial" w:cs="Arial"/>
            <w:b/>
            <w:bCs/>
            <w:sz w:val="20"/>
            <w:u w:val="none"/>
          </w:rPr>
          <w:t>Pre-hearing disclosure in the Criminal Division</w:t>
        </w:r>
      </w:hyperlink>
    </w:p>
    <w:p w14:paraId="1DB85C34" w14:textId="77777777" w:rsidR="00E8461D" w:rsidRPr="00FD5828" w:rsidRDefault="00000000"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3.5.9.3  </w:t>
        </w:r>
        <w:r w:rsidR="00BD4A44" w:rsidRPr="00FD5828">
          <w:rPr>
            <w:rStyle w:val="Hyperlink"/>
            <w:rFonts w:ascii="Arial" w:hAnsi="Arial" w:cs="Arial"/>
            <w:b/>
            <w:bCs/>
            <w:sz w:val="20"/>
            <w:u w:val="none"/>
          </w:rPr>
          <w:t>Production of “notes” in “apprehension cases” in the Family Division</w:t>
        </w:r>
      </w:hyperlink>
    </w:p>
    <w:p w14:paraId="44B5EA24" w14:textId="512454CB" w:rsidR="00595D4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r>
        <w:r w:rsidR="007961CE">
          <w:rPr>
            <w:rStyle w:val="Hyperlink"/>
            <w:rFonts w:ascii="Arial" w:hAnsi="Arial" w:cs="Arial"/>
            <w:b/>
            <w:bCs/>
            <w:sz w:val="20"/>
            <w:u w:val="none"/>
          </w:rPr>
          <w:t>W</w:t>
        </w:r>
        <w:r w:rsidR="00B87E69">
          <w:rPr>
            <w:rStyle w:val="Hyperlink"/>
            <w:rFonts w:ascii="Arial" w:hAnsi="Arial" w:cs="Arial"/>
            <w:b/>
            <w:bCs/>
            <w:sz w:val="20"/>
            <w:u w:val="none"/>
          </w:rPr>
          <w:t xml:space="preserve">itnesses in court </w:t>
        </w:r>
        <w:r w:rsidR="00595D4C" w:rsidRPr="00FD5828">
          <w:rPr>
            <w:rStyle w:val="Hyperlink"/>
            <w:rFonts w:ascii="Arial" w:hAnsi="Arial" w:cs="Arial"/>
            <w:b/>
            <w:bCs/>
            <w:sz w:val="20"/>
            <w:u w:val="none"/>
          </w:rPr>
          <w:t>cases</w:t>
        </w:r>
      </w:hyperlink>
    </w:p>
    <w:p w14:paraId="1D269B26" w14:textId="6048BC4B" w:rsidR="0033244E" w:rsidRPr="00D76666" w:rsidRDefault="00000000" w:rsidP="0033244E">
      <w:pPr>
        <w:pBdr>
          <w:top w:val="single" w:sz="4" w:space="1" w:color="auto"/>
          <w:left w:val="single" w:sz="4" w:space="4" w:color="auto"/>
          <w:bottom w:val="single" w:sz="4" w:space="1" w:color="auto"/>
          <w:right w:val="single" w:sz="4" w:space="4" w:color="auto"/>
        </w:pBdr>
        <w:tabs>
          <w:tab w:val="left" w:pos="567"/>
        </w:tabs>
        <w:ind w:firstLine="737"/>
        <w:rPr>
          <w:rStyle w:val="Hyperlink"/>
          <w:rFonts w:ascii="Arial" w:hAnsi="Arial" w:cs="Arial"/>
          <w:b/>
          <w:bCs/>
          <w:sz w:val="20"/>
          <w:u w:val="none"/>
        </w:rPr>
      </w:pPr>
      <w:hyperlink w:anchor="_3.5.10.1__Ensuring" w:history="1">
        <w:r w:rsidR="0033244E" w:rsidRPr="00D76666">
          <w:rPr>
            <w:rStyle w:val="Hyperlink"/>
            <w:rFonts w:ascii="Arial" w:hAnsi="Arial" w:cs="Arial"/>
            <w:b/>
            <w:bCs/>
            <w:sz w:val="20"/>
            <w:u w:val="none"/>
          </w:rPr>
          <w:t xml:space="preserve">3.5.10.1 Ensuring attendance of </w:t>
        </w:r>
        <w:r w:rsidR="00D76666" w:rsidRPr="00D76666">
          <w:rPr>
            <w:rStyle w:val="Hyperlink"/>
            <w:rFonts w:ascii="Arial" w:hAnsi="Arial" w:cs="Arial"/>
            <w:b/>
            <w:bCs/>
            <w:sz w:val="20"/>
            <w:u w:val="none"/>
          </w:rPr>
          <w:t xml:space="preserve">a </w:t>
        </w:r>
        <w:r w:rsidR="0033244E" w:rsidRPr="00D76666">
          <w:rPr>
            <w:rStyle w:val="Hyperlink"/>
            <w:rFonts w:ascii="Arial" w:hAnsi="Arial" w:cs="Arial"/>
            <w:b/>
            <w:bCs/>
            <w:sz w:val="20"/>
            <w:u w:val="none"/>
          </w:rPr>
          <w:t xml:space="preserve">witness and/or production of documents/things at </w:t>
        </w:r>
        <w:r w:rsidR="00D76666" w:rsidRPr="00D76666">
          <w:rPr>
            <w:rStyle w:val="Hyperlink"/>
            <w:rFonts w:ascii="Arial" w:hAnsi="Arial" w:cs="Arial"/>
            <w:b/>
            <w:bCs/>
            <w:sz w:val="20"/>
            <w:u w:val="none"/>
          </w:rPr>
          <w:t>C</w:t>
        </w:r>
        <w:r w:rsidR="0033244E" w:rsidRPr="00D76666">
          <w:rPr>
            <w:rStyle w:val="Hyperlink"/>
            <w:rFonts w:ascii="Arial" w:hAnsi="Arial" w:cs="Arial"/>
            <w:b/>
            <w:bCs/>
            <w:sz w:val="20"/>
            <w:u w:val="none"/>
          </w:rPr>
          <w:t>t</w:t>
        </w:r>
      </w:hyperlink>
    </w:p>
    <w:p w14:paraId="6D1AB793" w14:textId="1FBAA476"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begin"/>
      </w:r>
      <w:r w:rsidR="002125C5">
        <w:rPr>
          <w:rFonts w:ascii="Arial" w:hAnsi="Arial" w:cs="Arial"/>
          <w:b/>
          <w:sz w:val="20"/>
          <w:szCs w:val="20"/>
        </w:rPr>
        <w:instrText>HYPERLINK  \l "_A_WITNESS_SUMMONSES"</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A</w:t>
      </w:r>
      <w:r w:rsidRPr="0033244E">
        <w:rPr>
          <w:rStyle w:val="Hyperlink"/>
          <w:rFonts w:ascii="Arial" w:hAnsi="Arial" w:cs="Arial"/>
          <w:b/>
          <w:sz w:val="20"/>
          <w:szCs w:val="20"/>
          <w:u w:val="none"/>
        </w:rPr>
        <w:t xml:space="preserve">  Witness</w:t>
      </w:r>
      <w:proofErr w:type="gramEnd"/>
      <w:r w:rsidRPr="0033244E">
        <w:rPr>
          <w:rStyle w:val="Hyperlink"/>
          <w:rFonts w:ascii="Arial" w:hAnsi="Arial" w:cs="Arial"/>
          <w:b/>
          <w:sz w:val="20"/>
          <w:szCs w:val="20"/>
          <w:u w:val="none"/>
        </w:rPr>
        <w:t xml:space="preserve"> summonses in the Family Division</w:t>
      </w:r>
    </w:p>
    <w:p w14:paraId="35017A24" w14:textId="60ECF4C8"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002125C5">
        <w:rPr>
          <w:rFonts w:ascii="Arial" w:hAnsi="Arial" w:cs="Arial"/>
          <w:b/>
          <w:sz w:val="20"/>
          <w:szCs w:val="20"/>
        </w:rPr>
        <w:instrText>HYPERLINK  \l "_B_WITNESS_SUMMONSES"</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B</w:t>
      </w:r>
      <w:r w:rsidRPr="0033244E">
        <w:rPr>
          <w:rStyle w:val="Hyperlink"/>
          <w:rFonts w:ascii="Arial" w:hAnsi="Arial" w:cs="Arial"/>
          <w:b/>
          <w:sz w:val="20"/>
          <w:szCs w:val="20"/>
          <w:u w:val="none"/>
        </w:rPr>
        <w:t xml:space="preserve">  Witness</w:t>
      </w:r>
      <w:proofErr w:type="gramEnd"/>
      <w:r w:rsidRPr="0033244E">
        <w:rPr>
          <w:rStyle w:val="Hyperlink"/>
          <w:rFonts w:ascii="Arial" w:hAnsi="Arial" w:cs="Arial"/>
          <w:b/>
          <w:sz w:val="20"/>
          <w:szCs w:val="20"/>
          <w:u w:val="none"/>
        </w:rPr>
        <w:t xml:space="preserve"> summonses in the Criminal Division</w:t>
      </w:r>
    </w:p>
    <w:p w14:paraId="14B774BF" w14:textId="63B35883"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002125C5">
        <w:rPr>
          <w:rFonts w:ascii="Arial" w:hAnsi="Arial" w:cs="Arial"/>
          <w:b/>
          <w:sz w:val="20"/>
          <w:szCs w:val="20"/>
        </w:rPr>
        <w:instrText>HYPERLINK  \l "_C_NOTICES_TO"</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C</w:t>
      </w:r>
      <w:r w:rsidRPr="0033244E">
        <w:rPr>
          <w:rStyle w:val="Hyperlink"/>
          <w:rFonts w:ascii="Arial" w:hAnsi="Arial" w:cs="Arial"/>
          <w:b/>
          <w:sz w:val="20"/>
          <w:szCs w:val="20"/>
          <w:u w:val="none"/>
        </w:rPr>
        <w:t xml:space="preserve">  Notice</w:t>
      </w:r>
      <w:proofErr w:type="gramEnd"/>
      <w:r w:rsidRPr="0033244E">
        <w:rPr>
          <w:rStyle w:val="Hyperlink"/>
          <w:rFonts w:ascii="Arial" w:hAnsi="Arial" w:cs="Arial"/>
          <w:b/>
          <w:sz w:val="20"/>
          <w:szCs w:val="20"/>
          <w:u w:val="none"/>
        </w:rPr>
        <w:t xml:space="preserve"> to author of report</w:t>
      </w:r>
    </w:p>
    <w:p w14:paraId="5D0689AB" w14:textId="77777777"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bCs/>
          <w:sz w:val="20"/>
          <w:u w:val="none"/>
        </w:rPr>
      </w:pPr>
      <w:r w:rsidRPr="0033244E">
        <w:rPr>
          <w:rFonts w:ascii="Arial" w:hAnsi="Arial" w:cs="Arial"/>
          <w:b/>
          <w:sz w:val="20"/>
          <w:szCs w:val="20"/>
        </w:rPr>
        <w:fldChar w:fldCharType="end"/>
      </w:r>
      <w:hyperlink w:anchor="_3.5.10.2__Compellability" w:history="1">
        <w:proofErr w:type="gramStart"/>
        <w:r w:rsidRPr="0033244E">
          <w:rPr>
            <w:rStyle w:val="Hyperlink"/>
            <w:rFonts w:ascii="Arial" w:hAnsi="Arial" w:cs="Arial"/>
            <w:b/>
            <w:bCs/>
            <w:sz w:val="20"/>
            <w:u w:val="none"/>
          </w:rPr>
          <w:t>3.5.10.2  Competence</w:t>
        </w:r>
        <w:proofErr w:type="gramEnd"/>
        <w:r w:rsidRPr="0033244E">
          <w:rPr>
            <w:rStyle w:val="Hyperlink"/>
            <w:rFonts w:ascii="Arial" w:hAnsi="Arial" w:cs="Arial"/>
            <w:b/>
            <w:bCs/>
            <w:sz w:val="20"/>
            <w:u w:val="none"/>
          </w:rPr>
          <w:t xml:space="preserve"> and Compellability</w:t>
        </w:r>
      </w:hyperlink>
    </w:p>
    <w:p w14:paraId="5EDC4D7F" w14:textId="77777777"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begin"/>
      </w:r>
      <w:r w:rsidRPr="0033244E">
        <w:rPr>
          <w:rFonts w:ascii="Arial" w:hAnsi="Arial" w:cs="Arial"/>
          <w:b/>
          <w:sz w:val="20"/>
          <w:szCs w:val="20"/>
        </w:rPr>
        <w:instrText xml:space="preserve"> HYPERLINK  \l "_A_OFFENCES_FOR" </w:instrText>
      </w:r>
      <w:r w:rsidRPr="0033244E">
        <w:rPr>
          <w:rFonts w:ascii="Arial" w:hAnsi="Arial" w:cs="Arial"/>
          <w:b/>
          <w:sz w:val="20"/>
          <w:szCs w:val="20"/>
        </w:rPr>
      </w:r>
      <w:r w:rsidRPr="0033244E">
        <w:rPr>
          <w:rFonts w:ascii="Arial" w:hAnsi="Arial" w:cs="Arial"/>
          <w:b/>
          <w:sz w:val="20"/>
          <w:szCs w:val="20"/>
        </w:rPr>
        <w:fldChar w:fldCharType="separate"/>
      </w:r>
      <w:proofErr w:type="gramStart"/>
      <w:r w:rsidRPr="0033244E">
        <w:rPr>
          <w:rFonts w:ascii="Arial" w:hAnsi="Arial" w:cs="Arial"/>
          <w:b/>
          <w:color w:val="FFFFFF" w:themeColor="background1"/>
          <w:sz w:val="20"/>
          <w:szCs w:val="22"/>
          <w:shd w:val="clear" w:color="auto" w:fill="000000"/>
        </w:rPr>
        <w:t>A</w:t>
      </w:r>
      <w:r w:rsidRPr="0033244E">
        <w:rPr>
          <w:rStyle w:val="Hyperlink"/>
          <w:rFonts w:ascii="Arial" w:hAnsi="Arial" w:cs="Arial"/>
          <w:b/>
          <w:sz w:val="20"/>
          <w:szCs w:val="20"/>
          <w:u w:val="none"/>
        </w:rPr>
        <w:t xml:space="preserve">  Competence</w:t>
      </w:r>
      <w:proofErr w:type="gramEnd"/>
    </w:p>
    <w:p w14:paraId="3454CE6F" w14:textId="15AC15D1" w:rsidR="0033244E" w:rsidRPr="0033244E" w:rsidRDefault="0033244E" w:rsidP="0033244E">
      <w:pPr>
        <w:pBdr>
          <w:top w:val="single" w:sz="4" w:space="1" w:color="auto"/>
          <w:left w:val="single" w:sz="4" w:space="4" w:color="auto"/>
          <w:bottom w:val="single" w:sz="4" w:space="1" w:color="auto"/>
          <w:right w:val="single" w:sz="4" w:space="4" w:color="auto"/>
        </w:pBdr>
        <w:tabs>
          <w:tab w:val="left" w:pos="357"/>
        </w:tabs>
        <w:ind w:firstLine="1531"/>
        <w:rPr>
          <w:rStyle w:val="Hyperlink"/>
          <w:rFonts w:ascii="Arial" w:hAnsi="Arial" w:cs="Arial"/>
          <w:b/>
          <w:sz w:val="20"/>
          <w:szCs w:val="20"/>
          <w:u w:val="none"/>
          <w:shd w:val="clear" w:color="auto" w:fill="000000"/>
        </w:rPr>
      </w:pPr>
      <w:r w:rsidRPr="0033244E">
        <w:rPr>
          <w:rFonts w:ascii="Arial" w:hAnsi="Arial" w:cs="Arial"/>
          <w:b/>
          <w:sz w:val="20"/>
          <w:szCs w:val="20"/>
        </w:rPr>
        <w:fldChar w:fldCharType="end"/>
      </w:r>
      <w:r w:rsidRPr="0033244E">
        <w:rPr>
          <w:rFonts w:ascii="Arial" w:hAnsi="Arial" w:cs="Arial"/>
          <w:b/>
          <w:sz w:val="20"/>
          <w:szCs w:val="20"/>
        </w:rPr>
        <w:fldChar w:fldCharType="begin"/>
      </w:r>
      <w:r w:rsidRPr="0033244E">
        <w:rPr>
          <w:rFonts w:ascii="Arial" w:hAnsi="Arial" w:cs="Arial"/>
          <w:b/>
          <w:sz w:val="20"/>
          <w:szCs w:val="20"/>
        </w:rPr>
        <w:instrText xml:space="preserve"> HYPERLINK  \l "_A_OFFENCES_FOR" </w:instrText>
      </w:r>
      <w:r w:rsidRPr="0033244E">
        <w:rPr>
          <w:rFonts w:ascii="Arial" w:hAnsi="Arial" w:cs="Arial"/>
          <w:b/>
          <w:sz w:val="20"/>
          <w:szCs w:val="20"/>
        </w:rPr>
      </w:r>
      <w:r w:rsidRPr="0033244E">
        <w:rPr>
          <w:rFonts w:ascii="Arial" w:hAnsi="Arial" w:cs="Arial"/>
          <w:b/>
          <w:sz w:val="20"/>
          <w:szCs w:val="20"/>
        </w:rPr>
        <w:fldChar w:fldCharType="separate"/>
      </w:r>
      <w:proofErr w:type="gramStart"/>
      <w:r>
        <w:rPr>
          <w:rFonts w:ascii="Arial" w:hAnsi="Arial" w:cs="Arial"/>
          <w:b/>
          <w:color w:val="FFFFFF" w:themeColor="background1"/>
          <w:sz w:val="20"/>
          <w:szCs w:val="22"/>
          <w:shd w:val="clear" w:color="auto" w:fill="000000"/>
        </w:rPr>
        <w:t>B</w:t>
      </w:r>
      <w:r w:rsidRPr="0033244E">
        <w:rPr>
          <w:rStyle w:val="Hyperlink"/>
          <w:rFonts w:ascii="Arial" w:hAnsi="Arial" w:cs="Arial"/>
          <w:b/>
          <w:sz w:val="20"/>
          <w:szCs w:val="20"/>
          <w:u w:val="none"/>
        </w:rPr>
        <w:t xml:space="preserve">  Compe</w:t>
      </w:r>
      <w:r>
        <w:rPr>
          <w:rStyle w:val="Hyperlink"/>
          <w:rFonts w:ascii="Arial" w:hAnsi="Arial" w:cs="Arial"/>
          <w:b/>
          <w:sz w:val="20"/>
          <w:szCs w:val="20"/>
          <w:u w:val="none"/>
        </w:rPr>
        <w:t>llability</w:t>
      </w:r>
      <w:proofErr w:type="gramEnd"/>
    </w:p>
    <w:p w14:paraId="1326D044" w14:textId="36348763" w:rsidR="00B87E69" w:rsidRPr="00A80955" w:rsidRDefault="0033244E" w:rsidP="00010B64">
      <w:pPr>
        <w:pBdr>
          <w:top w:val="single" w:sz="4" w:space="1" w:color="auto"/>
          <w:left w:val="single" w:sz="4" w:space="4" w:color="auto"/>
          <w:bottom w:val="single" w:sz="4" w:space="1" w:color="auto"/>
          <w:right w:val="single" w:sz="4" w:space="4" w:color="auto"/>
        </w:pBdr>
        <w:tabs>
          <w:tab w:val="left" w:pos="567"/>
        </w:tabs>
        <w:ind w:left="567" w:hanging="567"/>
        <w:rPr>
          <w:rStyle w:val="Hyperlink"/>
          <w:rFonts w:ascii="Arial" w:hAnsi="Arial" w:cs="Arial"/>
          <w:b/>
          <w:bCs/>
          <w:sz w:val="20"/>
          <w:u w:val="none"/>
        </w:rPr>
      </w:pPr>
      <w:r w:rsidRPr="0033244E">
        <w:rPr>
          <w:rFonts w:ascii="Arial" w:hAnsi="Arial" w:cs="Arial"/>
          <w:b/>
          <w:sz w:val="20"/>
          <w:szCs w:val="20"/>
        </w:rPr>
        <w:fldChar w:fldCharType="end"/>
      </w:r>
      <w:r w:rsidR="00A80955" w:rsidRPr="00A80955">
        <w:rPr>
          <w:rFonts w:ascii="Arial" w:hAnsi="Arial" w:cs="Arial"/>
          <w:b/>
          <w:bCs/>
          <w:sz w:val="20"/>
        </w:rPr>
        <w:fldChar w:fldCharType="begin"/>
      </w:r>
      <w:r w:rsidR="00A80955" w:rsidRPr="00A80955">
        <w:rPr>
          <w:rFonts w:ascii="Arial" w:hAnsi="Arial" w:cs="Arial"/>
          <w:b/>
          <w:bCs/>
          <w:sz w:val="20"/>
        </w:rPr>
        <w:instrText xml:space="preserve"> HYPERLINK  \l "_3.5.10.3__Children" </w:instrText>
      </w:r>
      <w:r w:rsidR="00A80955" w:rsidRPr="00A80955">
        <w:rPr>
          <w:rFonts w:ascii="Arial" w:hAnsi="Arial" w:cs="Arial"/>
          <w:b/>
          <w:bCs/>
          <w:sz w:val="20"/>
        </w:rPr>
      </w:r>
      <w:r w:rsidR="00A80955" w:rsidRPr="00A80955">
        <w:rPr>
          <w:rFonts w:ascii="Arial" w:hAnsi="Arial" w:cs="Arial"/>
          <w:b/>
          <w:bCs/>
          <w:sz w:val="20"/>
        </w:rPr>
        <w:fldChar w:fldCharType="separate"/>
      </w:r>
      <w:r w:rsidR="00B87E69" w:rsidRPr="00A80955">
        <w:rPr>
          <w:rStyle w:val="Hyperlink"/>
          <w:rFonts w:ascii="Arial" w:hAnsi="Arial" w:cs="Arial"/>
          <w:b/>
          <w:bCs/>
          <w:sz w:val="20"/>
          <w:u w:val="none"/>
        </w:rPr>
        <w:tab/>
      </w:r>
      <w:r w:rsidR="00B87E69" w:rsidRPr="00A80955">
        <w:rPr>
          <w:rStyle w:val="Hyperlink"/>
          <w:rFonts w:ascii="Arial" w:hAnsi="Arial" w:cs="Arial"/>
          <w:b/>
          <w:bCs/>
          <w:sz w:val="20"/>
          <w:u w:val="none"/>
        </w:rPr>
        <w:tab/>
        <w:t>3.5.10.3 Children as witnesses in court cases</w:t>
      </w:r>
    </w:p>
    <w:p w14:paraId="0017E2F2" w14:textId="183AB99C" w:rsidR="00D13FB8" w:rsidRPr="00D13FB8" w:rsidRDefault="00A80955" w:rsidP="00FC18CA">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lastRenderedPageBreak/>
        <w:fldChar w:fldCharType="end"/>
      </w:r>
      <w:r w:rsidR="00D13FB8">
        <w:rPr>
          <w:rFonts w:ascii="Arial" w:hAnsi="Arial" w:cs="Arial"/>
          <w:b/>
          <w:bCs/>
          <w:sz w:val="20"/>
        </w:rPr>
        <w:fldChar w:fldCharType="begin"/>
      </w:r>
      <w:r w:rsidR="00D13FB8">
        <w:rPr>
          <w:rFonts w:ascii="Arial" w:hAnsi="Arial" w:cs="Arial"/>
          <w:b/>
          <w:bCs/>
          <w:sz w:val="20"/>
        </w:rPr>
        <w:instrText>HYPERLINK  \l "_3.5.10.3__Claim"</w:instrText>
      </w:r>
      <w:r w:rsidR="00D13FB8">
        <w:rPr>
          <w:rFonts w:ascii="Arial" w:hAnsi="Arial" w:cs="Arial"/>
          <w:b/>
          <w:bCs/>
          <w:sz w:val="20"/>
        </w:rPr>
      </w:r>
      <w:r w:rsidR="00D13FB8">
        <w:rPr>
          <w:rFonts w:ascii="Arial" w:hAnsi="Arial" w:cs="Arial"/>
          <w:b/>
          <w:bCs/>
          <w:sz w:val="20"/>
        </w:rPr>
        <w:fldChar w:fldCharType="separate"/>
      </w:r>
      <w:r w:rsidR="00D13FB8" w:rsidRPr="00D13FB8">
        <w:rPr>
          <w:rStyle w:val="Hyperlink"/>
          <w:rFonts w:ascii="Arial" w:hAnsi="Arial" w:cs="Arial"/>
          <w:b/>
          <w:bCs/>
          <w:sz w:val="20"/>
          <w:u w:val="none"/>
        </w:rPr>
        <w:tab/>
      </w:r>
      <w:r w:rsidR="00D13FB8" w:rsidRPr="00D13FB8">
        <w:rPr>
          <w:rStyle w:val="Hyperlink"/>
          <w:rFonts w:ascii="Arial" w:hAnsi="Arial" w:cs="Arial"/>
          <w:b/>
          <w:bCs/>
          <w:sz w:val="20"/>
          <w:u w:val="none"/>
        </w:rPr>
        <w:tab/>
        <w:t>3.5.10.</w:t>
      </w:r>
      <w:r w:rsidR="00B87E69">
        <w:rPr>
          <w:rStyle w:val="Hyperlink"/>
          <w:rFonts w:ascii="Arial" w:hAnsi="Arial" w:cs="Arial"/>
          <w:b/>
          <w:bCs/>
          <w:sz w:val="20"/>
          <w:u w:val="none"/>
        </w:rPr>
        <w:t>4</w:t>
      </w:r>
      <w:r w:rsidR="00D13FB8" w:rsidRPr="00D13FB8">
        <w:rPr>
          <w:rStyle w:val="Hyperlink"/>
          <w:rFonts w:ascii="Arial" w:hAnsi="Arial" w:cs="Arial"/>
          <w:b/>
          <w:bCs/>
          <w:sz w:val="20"/>
          <w:u w:val="none"/>
        </w:rPr>
        <w:t xml:space="preserve"> C</w:t>
      </w:r>
      <w:r w:rsidR="00D13FB8">
        <w:rPr>
          <w:rStyle w:val="Hyperlink"/>
          <w:rFonts w:ascii="Arial" w:hAnsi="Arial" w:cs="Arial"/>
          <w:b/>
          <w:bCs/>
          <w:sz w:val="20"/>
          <w:u w:val="none"/>
        </w:rPr>
        <w:t>laim of privilege by a witness</w:t>
      </w:r>
    </w:p>
    <w:p w14:paraId="56694ED4" w14:textId="6ED87F79" w:rsidR="009A6B9B" w:rsidRPr="00FC18CA" w:rsidRDefault="00D13FB8" w:rsidP="00FC18CA">
      <w:pPr>
        <w:pBdr>
          <w:top w:val="single" w:sz="4" w:space="1" w:color="auto"/>
          <w:left w:val="single" w:sz="4" w:space="4" w:color="auto"/>
          <w:bottom w:val="single" w:sz="4" w:space="1" w:color="auto"/>
          <w:right w:val="single" w:sz="4" w:space="4" w:color="auto"/>
        </w:pBdr>
        <w:tabs>
          <w:tab w:val="left" w:pos="567"/>
        </w:tabs>
      </w:pPr>
      <w:r>
        <w:rPr>
          <w:rFonts w:ascii="Arial" w:hAnsi="Arial" w:cs="Arial"/>
          <w:b/>
          <w:bCs/>
          <w:sz w:val="20"/>
        </w:rPr>
        <w:fldChar w:fldCharType="end"/>
      </w: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 etc. by a person other than an accused</w:t>
        </w:r>
      </w:hyperlink>
    </w:p>
    <w:p w14:paraId="57E174DA"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 etc. by an accused in a criminal or associated proceeding</w:t>
        </w:r>
      </w:hyperlink>
    </w:p>
    <w:p w14:paraId="7F4CB28C" w14:textId="77777777" w:rsidR="00556BDC" w:rsidRPr="00803AFF"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 arrangements for giving evidence in criminal proceedings</w:t>
        </w:r>
      </w:hyperlink>
    </w:p>
    <w:p w14:paraId="3C6A9F84" w14:textId="77777777" w:rsidR="00B7234C" w:rsidRPr="00FD5828" w:rsidRDefault="00000000"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0E6BC103" w:rsidR="00B8085D" w:rsidRPr="00FD5828" w:rsidRDefault="00000000"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42ED055C" w:rsidR="003B275F" w:rsidRDefault="00000000" w:rsidP="00B7234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000000"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4E5E624F" w:rsidR="00843765" w:rsidRPr="00FD5828" w:rsidRDefault="00000000" w:rsidP="00E02733">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 xml:space="preserve">Judgments </w:t>
        </w:r>
        <w:r w:rsidR="00EE547E">
          <w:rPr>
            <w:rStyle w:val="Hyperlink"/>
            <w:rFonts w:ascii="Arial" w:hAnsi="Arial" w:cs="Arial"/>
            <w:b/>
            <w:bCs/>
            <w:u w:val="none"/>
          </w:rPr>
          <w:t>&amp; O</w:t>
        </w:r>
        <w:r w:rsidR="00B21DA4" w:rsidRPr="00FD5828">
          <w:rPr>
            <w:rStyle w:val="Hyperlink"/>
            <w:rFonts w:ascii="Arial" w:hAnsi="Arial" w:cs="Arial"/>
            <w:b/>
            <w:bCs/>
            <w:u w:val="none"/>
          </w:rPr>
          <w:t>rders</w:t>
        </w:r>
      </w:hyperlink>
    </w:p>
    <w:p w14:paraId="7740051B" w14:textId="066661E3" w:rsidR="00D9355C" w:rsidRPr="00FD5828" w:rsidRDefault="00000000" w:rsidP="00E02733">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w:t>
        </w:r>
        <w:r w:rsidR="00EE547E">
          <w:rPr>
            <w:rStyle w:val="Hyperlink"/>
            <w:rFonts w:ascii="Arial" w:hAnsi="Arial" w:cs="Arial"/>
            <w:b/>
            <w:bCs/>
            <w:sz w:val="20"/>
            <w:u w:val="none"/>
          </w:rPr>
          <w:t>of and reasons for orders</w:t>
        </w:r>
      </w:hyperlink>
    </w:p>
    <w:p w14:paraId="664F87D7" w14:textId="5456FCF3" w:rsidR="00EE547E" w:rsidRPr="00AA5493" w:rsidRDefault="00000000" w:rsidP="00EE547E">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Provision_of" w:history="1">
        <w:r w:rsidR="00EE547E" w:rsidRPr="00AA5493">
          <w:rPr>
            <w:rStyle w:val="Hyperlink"/>
            <w:rFonts w:ascii="Arial" w:hAnsi="Arial" w:cs="Arial"/>
            <w:b/>
            <w:bCs/>
            <w:sz w:val="20"/>
            <w:u w:val="none"/>
          </w:rPr>
          <w:tab/>
          <w:t>3.7.2</w:t>
        </w:r>
        <w:r w:rsidR="00EE547E" w:rsidRPr="00AA5493">
          <w:rPr>
            <w:rStyle w:val="Hyperlink"/>
            <w:rFonts w:ascii="Arial" w:hAnsi="Arial" w:cs="Arial"/>
            <w:b/>
            <w:bCs/>
            <w:sz w:val="20"/>
            <w:u w:val="none"/>
          </w:rPr>
          <w:tab/>
          <w:t>Provision of orders to parties</w:t>
        </w:r>
      </w:hyperlink>
    </w:p>
    <w:p w14:paraId="6E10DE48" w14:textId="4C9043B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EE547E">
          <w:rPr>
            <w:rStyle w:val="Hyperlink"/>
            <w:rFonts w:ascii="Arial" w:hAnsi="Arial" w:cs="Arial"/>
            <w:b/>
            <w:bCs/>
            <w:sz w:val="20"/>
            <w:u w:val="none"/>
          </w:rPr>
          <w:t>3</w:t>
        </w:r>
        <w:r w:rsidR="00B21DA4" w:rsidRPr="00FD5828">
          <w:rPr>
            <w:rStyle w:val="Hyperlink"/>
            <w:rFonts w:ascii="Arial" w:hAnsi="Arial" w:cs="Arial"/>
            <w:b/>
            <w:bCs/>
            <w:sz w:val="20"/>
            <w:u w:val="none"/>
          </w:rPr>
          <w:tab/>
          <w:t>Judgments</w:t>
        </w:r>
      </w:hyperlink>
    </w:p>
    <w:p w14:paraId="2EB917FA" w14:textId="7E1C6C38" w:rsidR="007C1C82" w:rsidRPr="00FD5828" w:rsidRDefault="00000000"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 xml:space="preserve">Amending judgments </w:t>
        </w:r>
        <w:r w:rsidR="00067BE4">
          <w:rPr>
            <w:rStyle w:val="Hyperlink"/>
            <w:rFonts w:ascii="Arial" w:hAnsi="Arial" w:cs="Arial"/>
            <w:b/>
            <w:bCs/>
            <w:u w:val="none"/>
          </w:rPr>
          <w:t>–</w:t>
        </w:r>
        <w:r w:rsidR="007C1C82" w:rsidRPr="00FD5828">
          <w:rPr>
            <w:rStyle w:val="Hyperlink"/>
            <w:rFonts w:ascii="Arial" w:hAnsi="Arial" w:cs="Arial"/>
            <w:b/>
            <w:bCs/>
            <w:u w:val="none"/>
          </w:rPr>
          <w:t xml:space="preserve"> The</w:t>
        </w:r>
        <w:r w:rsidR="00067BE4">
          <w:rPr>
            <w:rStyle w:val="Hyperlink"/>
            <w:rFonts w:ascii="Arial" w:hAnsi="Arial" w:cs="Arial"/>
            <w:b/>
            <w:bCs/>
            <w:u w:val="none"/>
          </w:rPr>
          <w:t xml:space="preserve"> </w:t>
        </w:r>
        <w:r w:rsidR="007C1C82" w:rsidRPr="00FD5828">
          <w:rPr>
            <w:rStyle w:val="Hyperlink"/>
            <w:rFonts w:ascii="Arial" w:hAnsi="Arial" w:cs="Arial"/>
            <w:b/>
            <w:bCs/>
            <w:u w:val="none"/>
          </w:rPr>
          <w:t>'slip rule'</w:t>
        </w:r>
      </w:hyperlink>
    </w:p>
    <w:p w14:paraId="0DD9AA77" w14:textId="5E2997AF" w:rsidR="00843765" w:rsidRPr="00FD582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_1"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2ACEBE41" w:rsidR="00D9355C" w:rsidRPr="00FD5828" w:rsidRDefault="00000000"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r w:rsidR="00AA2DE5">
          <w:rPr>
            <w:rStyle w:val="Hyperlink"/>
            <w:rFonts w:ascii="Arial" w:hAnsi="Arial" w:cs="Arial"/>
            <w:b/>
            <w:bCs/>
            <w:sz w:val="20"/>
            <w:u w:val="none"/>
          </w:rPr>
          <w:t xml:space="preserve"> / </w:t>
        </w:r>
        <w:r w:rsidR="00AA2DE5" w:rsidRPr="00AA2DE5">
          <w:rPr>
            <w:rStyle w:val="Hyperlink"/>
            <w:rFonts w:ascii="Arial" w:hAnsi="Arial" w:cs="Arial"/>
            <w:b/>
            <w:bCs/>
            <w:i/>
            <w:iCs/>
            <w:sz w:val="20"/>
            <w:u w:val="none"/>
          </w:rPr>
          <w:t>amicus curiae</w:t>
        </w:r>
        <w:r w:rsidR="00B21DA4" w:rsidRPr="00FD5828">
          <w:rPr>
            <w:rStyle w:val="Hyperlink"/>
            <w:rFonts w:ascii="Arial" w:hAnsi="Arial" w:cs="Arial"/>
            <w:b/>
            <w:bCs/>
            <w:sz w:val="20"/>
            <w:u w:val="none"/>
          </w:rPr>
          <w:t>)</w:t>
        </w:r>
      </w:hyperlink>
      <w:r w:rsidR="00D9355C" w:rsidRPr="00FD5828">
        <w:rPr>
          <w:rFonts w:ascii="Arial" w:hAnsi="Arial" w:cs="Arial"/>
          <w:b/>
          <w:bCs/>
          <w:sz w:val="20"/>
        </w:rPr>
        <w:t xml:space="preserve"> </w:t>
      </w:r>
    </w:p>
    <w:p w14:paraId="65287B50"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000000"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000000"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74F981FC" w14:textId="3B459FFC" w:rsidR="00971446" w:rsidRPr="00803AFF" w:rsidRDefault="00803AFF" w:rsidP="00971446">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end"/>
      </w:r>
      <w:r w:rsidR="00971446" w:rsidRPr="00803AFF">
        <w:rPr>
          <w:rFonts w:ascii="Arial" w:hAnsi="Arial" w:cs="Arial"/>
          <w:b/>
          <w:bCs/>
          <w:sz w:val="20"/>
        </w:rPr>
        <w:fldChar w:fldCharType="begin"/>
      </w:r>
      <w:r w:rsidR="00482D33">
        <w:rPr>
          <w:rFonts w:ascii="Arial" w:hAnsi="Arial" w:cs="Arial"/>
          <w:b/>
          <w:bCs/>
          <w:sz w:val="20"/>
        </w:rPr>
        <w:instrText>HYPERLINK  \l "_3.9.7_Costs_against"</w:instrText>
      </w:r>
      <w:r w:rsidR="00971446" w:rsidRPr="00803AFF">
        <w:rPr>
          <w:rFonts w:ascii="Arial" w:hAnsi="Arial" w:cs="Arial"/>
          <w:b/>
          <w:bCs/>
          <w:sz w:val="20"/>
        </w:rPr>
      </w:r>
      <w:r w:rsidR="00971446" w:rsidRPr="00803AFF">
        <w:rPr>
          <w:rFonts w:ascii="Arial" w:hAnsi="Arial" w:cs="Arial"/>
          <w:b/>
          <w:bCs/>
          <w:sz w:val="20"/>
        </w:rPr>
        <w:fldChar w:fldCharType="separate"/>
      </w:r>
      <w:r w:rsidR="00971446" w:rsidRPr="00803AFF">
        <w:rPr>
          <w:rStyle w:val="Hyperlink"/>
          <w:rFonts w:ascii="Arial" w:hAnsi="Arial" w:cs="Arial"/>
          <w:b/>
          <w:bCs/>
          <w:sz w:val="20"/>
          <w:u w:val="none"/>
        </w:rPr>
        <w:tab/>
        <w:t>3.9.</w:t>
      </w:r>
      <w:r w:rsidR="00482D33">
        <w:rPr>
          <w:rStyle w:val="Hyperlink"/>
          <w:rFonts w:ascii="Arial" w:hAnsi="Arial" w:cs="Arial"/>
          <w:b/>
          <w:bCs/>
          <w:sz w:val="20"/>
          <w:u w:val="none"/>
        </w:rPr>
        <w:t>7</w:t>
      </w:r>
      <w:r w:rsidR="00971446" w:rsidRPr="00803AFF">
        <w:rPr>
          <w:rStyle w:val="Hyperlink"/>
          <w:rFonts w:ascii="Arial" w:hAnsi="Arial" w:cs="Arial"/>
          <w:b/>
          <w:bCs/>
          <w:sz w:val="20"/>
          <w:u w:val="none"/>
        </w:rPr>
        <w:tab/>
      </w:r>
      <w:r w:rsidR="00482D33">
        <w:rPr>
          <w:rStyle w:val="Hyperlink"/>
          <w:rFonts w:ascii="Arial" w:hAnsi="Arial" w:cs="Arial"/>
          <w:b/>
          <w:bCs/>
          <w:sz w:val="20"/>
          <w:u w:val="none"/>
        </w:rPr>
        <w:t>Costs against the Court</w:t>
      </w:r>
    </w:p>
    <w:p w14:paraId="3DE26577" w14:textId="4AAF1E1B" w:rsidR="00170463" w:rsidRDefault="00971446" w:rsidP="00170463">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end"/>
      </w:r>
      <w:r w:rsidR="00170463" w:rsidRPr="00170463">
        <w:rPr>
          <w:rFonts w:ascii="Arial" w:hAnsi="Arial" w:cs="Arial"/>
          <w:b/>
          <w:bCs/>
          <w:sz w:val="20"/>
        </w:rPr>
        <w:tab/>
      </w:r>
      <w:hyperlink w:anchor="_3.9.8_The_Appeal" w:history="1">
        <w:r w:rsidR="00170463" w:rsidRPr="00170463">
          <w:rPr>
            <w:rStyle w:val="Hyperlink"/>
            <w:rFonts w:ascii="Arial" w:hAnsi="Arial" w:cs="Arial"/>
            <w:b/>
            <w:bCs/>
            <w:sz w:val="20"/>
            <w:u w:val="none"/>
          </w:rPr>
          <w:t>3.9.8</w:t>
        </w:r>
        <w:r w:rsidR="00170463" w:rsidRPr="00170463">
          <w:rPr>
            <w:rStyle w:val="Hyperlink"/>
            <w:rFonts w:ascii="Arial" w:hAnsi="Arial" w:cs="Arial"/>
            <w:b/>
            <w:bCs/>
            <w:sz w:val="20"/>
            <w:u w:val="none"/>
          </w:rPr>
          <w:tab/>
        </w:r>
        <w:r w:rsidR="001C3EC1">
          <w:rPr>
            <w:rStyle w:val="Hyperlink"/>
            <w:rFonts w:ascii="Arial" w:hAnsi="Arial" w:cs="Arial"/>
            <w:b/>
            <w:bCs/>
            <w:sz w:val="20"/>
            <w:u w:val="none"/>
          </w:rPr>
          <w:t>Costs i</w:t>
        </w:r>
        <w:r w:rsidR="00411175">
          <w:rPr>
            <w:rStyle w:val="Hyperlink"/>
            <w:rFonts w:ascii="Arial" w:hAnsi="Arial" w:cs="Arial"/>
            <w:b/>
            <w:bCs/>
            <w:sz w:val="20"/>
            <w:u w:val="none"/>
          </w:rPr>
          <w:t xml:space="preserve">ndemnity </w:t>
        </w:r>
        <w:r w:rsidR="001C3EC1">
          <w:rPr>
            <w:rStyle w:val="Hyperlink"/>
            <w:rFonts w:ascii="Arial" w:hAnsi="Arial" w:cs="Arial"/>
            <w:b/>
            <w:bCs/>
            <w:sz w:val="20"/>
            <w:u w:val="none"/>
          </w:rPr>
          <w:t>c</w:t>
        </w:r>
        <w:r w:rsidR="00411175">
          <w:rPr>
            <w:rStyle w:val="Hyperlink"/>
            <w:rFonts w:ascii="Arial" w:hAnsi="Arial" w:cs="Arial"/>
            <w:b/>
            <w:bCs/>
            <w:sz w:val="20"/>
            <w:u w:val="none"/>
          </w:rPr>
          <w:t xml:space="preserve">ertificates under the </w:t>
        </w:r>
        <w:r w:rsidR="00170463" w:rsidRPr="00170463">
          <w:rPr>
            <w:rStyle w:val="Hyperlink"/>
            <w:rFonts w:ascii="Arial" w:hAnsi="Arial" w:cs="Arial"/>
            <w:b/>
            <w:bCs/>
            <w:sz w:val="20"/>
            <w:u w:val="none"/>
          </w:rPr>
          <w:t>Appeal Costs Act</w:t>
        </w:r>
      </w:hyperlink>
    </w:p>
    <w:p w14:paraId="05C2A479" w14:textId="0E7037E5" w:rsidR="008373EF" w:rsidRPr="008373EF" w:rsidRDefault="008373EF" w:rsidP="00170463">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8373EF">
        <w:rPr>
          <w:rStyle w:val="Hyperlink"/>
          <w:rFonts w:ascii="Arial" w:hAnsi="Arial" w:cs="Arial"/>
          <w:b/>
          <w:bCs/>
          <w:sz w:val="20"/>
          <w:u w:val="none"/>
        </w:rPr>
        <w:tab/>
      </w:r>
      <w:hyperlink w:anchor="_3.9.9_Costs_of" w:history="1">
        <w:r w:rsidRPr="008373EF">
          <w:rPr>
            <w:rStyle w:val="Hyperlink"/>
            <w:rFonts w:ascii="Arial" w:hAnsi="Arial" w:cs="Arial"/>
            <w:b/>
            <w:bCs/>
            <w:sz w:val="20"/>
            <w:u w:val="none"/>
          </w:rPr>
          <w:t>3.9.9</w:t>
        </w:r>
        <w:r w:rsidRPr="008373EF">
          <w:rPr>
            <w:rStyle w:val="Hyperlink"/>
            <w:rFonts w:ascii="Arial" w:hAnsi="Arial" w:cs="Arial"/>
            <w:b/>
            <w:bCs/>
            <w:sz w:val="20"/>
            <w:u w:val="none"/>
          </w:rPr>
          <w:tab/>
          <w:t>Costs of an intervener/contradictor</w:t>
        </w:r>
      </w:hyperlink>
    </w:p>
    <w:p w14:paraId="63EA71DE" w14:textId="172456C6" w:rsidR="00B21DA4" w:rsidRPr="00FD5828" w:rsidRDefault="00000000" w:rsidP="00971446">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0_Appeals/Reviews"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000000"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000000"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000000"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3" w:name="_Toc30608804"/>
      <w:bookmarkStart w:id="44" w:name="_Toc30610018"/>
      <w:bookmarkStart w:id="45" w:name="_Toc30610262"/>
      <w:bookmarkStart w:id="46" w:name="_Toc30638416"/>
      <w:bookmarkStart w:id="47" w:name="_Toc30644225"/>
      <w:bookmarkStart w:id="48" w:name="_Toc30644628"/>
      <w:bookmarkStart w:id="49" w:name="_Toc30645178"/>
      <w:bookmarkStart w:id="50" w:name="_Toc30646389"/>
      <w:bookmarkStart w:id="51" w:name="_Toc30646684"/>
      <w:bookmarkStart w:id="52" w:name="_Toc30646795"/>
      <w:bookmarkStart w:id="53" w:name="_Toc30648152"/>
      <w:bookmarkStart w:id="54" w:name="_Toc30649050"/>
      <w:bookmarkStart w:id="55" w:name="_Toc30649126"/>
      <w:bookmarkStart w:id="56" w:name="_Toc30649387"/>
      <w:bookmarkStart w:id="57" w:name="_Toc30649707"/>
      <w:bookmarkStart w:id="58" w:name="_Toc30651641"/>
      <w:bookmarkStart w:id="59" w:name="_Toc30652625"/>
      <w:bookmarkStart w:id="60" w:name="_Toc30652723"/>
      <w:bookmarkStart w:id="61" w:name="_Toc30654068"/>
      <w:bookmarkStart w:id="62" w:name="_Toc30654419"/>
      <w:bookmarkStart w:id="63" w:name="_Toc30655038"/>
      <w:bookmarkStart w:id="64" w:name="_Toc30655295"/>
      <w:bookmarkStart w:id="65" w:name="_Toc30656973"/>
      <w:bookmarkStart w:id="66" w:name="_Toc30661722"/>
      <w:bookmarkStart w:id="67" w:name="_Toc30666410"/>
      <w:bookmarkStart w:id="68" w:name="_Toc30666640"/>
      <w:bookmarkStart w:id="69" w:name="_Toc30667815"/>
      <w:bookmarkStart w:id="70" w:name="_Toc30669193"/>
      <w:bookmarkStart w:id="71" w:name="_Toc30671409"/>
      <w:bookmarkStart w:id="72" w:name="_Toc30673936"/>
      <w:bookmarkStart w:id="73" w:name="_Toc30691158"/>
      <w:bookmarkStart w:id="74" w:name="_Toc30691529"/>
      <w:bookmarkStart w:id="75" w:name="_Toc30691909"/>
      <w:bookmarkStart w:id="76" w:name="_Toc30692668"/>
      <w:bookmarkStart w:id="77" w:name="_Toc30693047"/>
      <w:bookmarkStart w:id="78" w:name="_Toc30693425"/>
      <w:bookmarkStart w:id="79" w:name="_Toc30693804"/>
      <w:bookmarkStart w:id="80" w:name="_Toc30694185"/>
      <w:bookmarkStart w:id="81" w:name="_Toc30698774"/>
      <w:bookmarkStart w:id="82" w:name="_Toc30699152"/>
      <w:bookmarkStart w:id="83" w:name="_Toc30699537"/>
      <w:bookmarkStart w:id="84" w:name="_Toc30700692"/>
      <w:bookmarkStart w:id="85" w:name="_Toc30701079"/>
      <w:bookmarkStart w:id="86" w:name="_Toc30743688"/>
      <w:bookmarkStart w:id="87" w:name="_Toc30754510"/>
      <w:bookmarkStart w:id="88" w:name="_Toc30756950"/>
      <w:bookmarkStart w:id="89" w:name="_Toc30757499"/>
      <w:bookmarkStart w:id="90" w:name="_Toc30757899"/>
      <w:bookmarkStart w:id="91" w:name="_Toc30762660"/>
      <w:bookmarkStart w:id="92" w:name="_Toc30767314"/>
      <w:bookmarkStart w:id="93"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7F9E59BD" w14:textId="77777777" w:rsidR="00B77BA2" w:rsidRDefault="00B77BA2" w:rsidP="00B77BA2">
      <w:pPr>
        <w:jc w:val="both"/>
        <w:rPr>
          <w:rFonts w:ascii="Arial" w:hAnsi="Arial" w:cs="Arial"/>
          <w:sz w:val="20"/>
        </w:rPr>
      </w:pPr>
    </w:p>
    <w:p w14:paraId="78E59700" w14:textId="77777777" w:rsidR="00B77BA2" w:rsidRPr="00BD3BA0" w:rsidRDefault="00B77BA2" w:rsidP="00B77BA2">
      <w:pPr>
        <w:jc w:val="center"/>
        <w:rPr>
          <w:rFonts w:ascii="Arial" w:hAnsi="Arial" w:cs="Arial"/>
          <w:b/>
          <w:bCs/>
          <w:sz w:val="22"/>
          <w:szCs w:val="28"/>
        </w:rPr>
      </w:pPr>
      <w:r w:rsidRPr="00BD3BA0">
        <w:rPr>
          <w:rFonts w:ascii="Arial" w:hAnsi="Arial" w:cs="Arial"/>
          <w:b/>
          <w:bCs/>
          <w:sz w:val="22"/>
          <w:szCs w:val="28"/>
        </w:rPr>
        <w:t>THE REST OF THIS PAGE IS BLANK</w:t>
      </w:r>
    </w:p>
    <w:p w14:paraId="1ADED835" w14:textId="77777777" w:rsidR="00B77BA2" w:rsidRDefault="00B77BA2" w:rsidP="00B77BA2">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4" w:name="_3.1_Roles_of"/>
      <w:bookmarkStart w:id="95" w:name="B31"/>
      <w:bookmarkEnd w:id="94"/>
      <w:bookmarkEnd w:id="95"/>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6" w:name="_3.1_Roles_of_1"/>
      <w:bookmarkEnd w:id="96"/>
      <w:r>
        <w:rPr>
          <w:rFonts w:ascii="Arial" w:hAnsi="Arial" w:cs="Arial"/>
          <w:b/>
          <w:bCs/>
        </w:rPr>
        <w:lastRenderedPageBreak/>
        <w:t>3.1</w:t>
      </w:r>
      <w:r>
        <w:rPr>
          <w:rFonts w:ascii="Arial" w:hAnsi="Arial" w:cs="Arial"/>
          <w:b/>
          <w:bCs/>
        </w:rPr>
        <w:tab/>
        <w:t>Roles of judicial officers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6A20A72D" w:rsidR="00235CEF" w:rsidRDefault="00235CEF">
      <w:pPr>
        <w:jc w:val="both"/>
        <w:rPr>
          <w:rFonts w:ascii="Arial" w:hAnsi="Arial" w:cs="Arial"/>
          <w:sz w:val="20"/>
        </w:rPr>
      </w:pPr>
      <w:r>
        <w:rPr>
          <w:rFonts w:ascii="Arial" w:hAnsi="Arial" w:cs="Arial"/>
          <w:sz w:val="20"/>
        </w:rPr>
        <w:t xml:space="preserve">In addition since May 2021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pPr>
        <w:numPr>
          <w:ilvl w:val="0"/>
          <w:numId w:val="64"/>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pPr>
        <w:numPr>
          <w:ilvl w:val="0"/>
          <w:numId w:val="64"/>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19279C8" w:rsidR="00B21DA4" w:rsidRDefault="00DE3F8C">
      <w:pPr>
        <w:jc w:val="both"/>
        <w:rPr>
          <w:rFonts w:ascii="Arial" w:hAnsi="Arial" w:cs="Arial"/>
          <w:sz w:val="20"/>
        </w:rPr>
      </w:pPr>
      <w:r>
        <w:rPr>
          <w:rFonts w:ascii="Arial" w:hAnsi="Arial" w:cs="Arial"/>
          <w:sz w:val="20"/>
        </w:rPr>
        <w:t>Only about 2</w:t>
      </w:r>
      <w:r w:rsidR="00B21DA4">
        <w:rPr>
          <w:rFonts w:ascii="Arial" w:hAnsi="Arial" w:cs="Arial"/>
          <w:sz w:val="20"/>
        </w:rPr>
        <w:t>% of all applications which are filed in the Family Division proceed to a final contested hearing</w:t>
      </w:r>
      <w:r w:rsidR="006C7EDC">
        <w:rPr>
          <w:rFonts w:ascii="Arial" w:hAnsi="Arial" w:cs="Arial"/>
          <w:sz w:val="20"/>
        </w:rPr>
        <w:t xml:space="preserve"> in which evidence is called</w:t>
      </w:r>
      <w:r w:rsidR="00B21DA4">
        <w:rPr>
          <w:rFonts w:ascii="Arial" w:hAnsi="Arial" w:cs="Arial"/>
          <w:sz w:val="20"/>
        </w:rPr>
        <w:t xml:space="preserve">, although a significantly greater percentage involve at least one contested interim hearing.  </w:t>
      </w:r>
      <w:r w:rsidR="008A191F">
        <w:rPr>
          <w:rFonts w:ascii="Arial" w:hAnsi="Arial" w:cs="Arial"/>
          <w:sz w:val="20"/>
        </w:rPr>
        <w:t>Likewise, o</w:t>
      </w:r>
      <w:r w:rsidR="00B21DA4">
        <w:rPr>
          <w:rFonts w:ascii="Arial" w:hAnsi="Arial" w:cs="Arial"/>
          <w:sz w:val="20"/>
        </w:rPr>
        <w:t>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7B875C80" w14:textId="77777777" w:rsidR="00D63D43" w:rsidRDefault="00D63D43" w:rsidP="00D63D43">
      <w:pPr>
        <w:jc w:val="both"/>
        <w:rPr>
          <w:rFonts w:ascii="Arial" w:hAnsi="Arial" w:cs="Arial"/>
          <w:sz w:val="20"/>
        </w:rPr>
      </w:pPr>
    </w:p>
    <w:p w14:paraId="12F49336" w14:textId="3C5683CB" w:rsidR="00D63D43" w:rsidRDefault="00D63D43" w:rsidP="00D63D43">
      <w:pPr>
        <w:jc w:val="both"/>
        <w:rPr>
          <w:rFonts w:ascii="Arial" w:hAnsi="Arial" w:cs="Arial"/>
          <w:sz w:val="20"/>
        </w:rPr>
      </w:pPr>
      <w:r>
        <w:rPr>
          <w:rFonts w:ascii="Arial" w:hAnsi="Arial" w:cs="Arial"/>
          <w:sz w:val="20"/>
        </w:rPr>
        <w:t xml:space="preserve">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w:t>
      </w:r>
      <w:r w:rsidR="008E2CB4">
        <w:rPr>
          <w:rFonts w:ascii="Arial" w:hAnsi="Arial" w:cs="Arial"/>
          <w:sz w:val="20"/>
        </w:rPr>
        <w:t>judicial officers</w:t>
      </w:r>
      <w:r>
        <w:rPr>
          <w:rFonts w:ascii="Arial" w:hAnsi="Arial" w:cs="Arial"/>
          <w:sz w:val="20"/>
        </w:rPr>
        <w:t xml:space="preserve"> of the Children's Court are bound to accept that interpretation of the law and apply it.</w:t>
      </w:r>
    </w:p>
    <w:p w14:paraId="49EF4719" w14:textId="77777777" w:rsidR="00D63D43" w:rsidRDefault="00D63D43" w:rsidP="00B843BA">
      <w:pPr>
        <w:jc w:val="both"/>
        <w:rPr>
          <w:rFonts w:ascii="Arial" w:hAnsi="Arial" w:cs="Arial"/>
          <w:color w:val="000000"/>
          <w:sz w:val="20"/>
        </w:rPr>
      </w:pPr>
    </w:p>
    <w:p w14:paraId="4F5F2C50" w14:textId="3F51125F"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r w:rsidR="00C97A31">
        <w:rPr>
          <w:rFonts w:ascii="Arial" w:hAnsi="Arial" w:cs="Arial"/>
          <w:sz w:val="20"/>
        </w:rPr>
        <w:t>–</w:t>
      </w:r>
    </w:p>
    <w:p w14:paraId="7809C960" w14:textId="2DA85E36"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pPr>
        <w:numPr>
          <w:ilvl w:val="0"/>
          <w:numId w:val="64"/>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A14D81F"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C97A31">
        <w:rPr>
          <w:rFonts w:ascii="Arial" w:hAnsi="Arial" w:cs="Arial"/>
          <w:sz w:val="20"/>
        </w:rPr>
        <w:t>–</w:t>
      </w:r>
    </w:p>
    <w:p w14:paraId="27B128F5" w14:textId="5FF2073F" w:rsidR="008C6C91" w:rsidRDefault="00472A52">
      <w:pPr>
        <w:pStyle w:val="ListParagraph"/>
        <w:numPr>
          <w:ilvl w:val="0"/>
          <w:numId w:val="86"/>
        </w:numPr>
        <w:ind w:left="357" w:hanging="357"/>
        <w:jc w:val="both"/>
        <w:rPr>
          <w:rFonts w:ascii="Arial" w:hAnsi="Arial" w:cs="Arial"/>
          <w:color w:val="000000"/>
          <w:sz w:val="20"/>
        </w:rPr>
      </w:pPr>
      <w:r>
        <w:rPr>
          <w:rFonts w:ascii="Arial" w:hAnsi="Arial" w:cs="Arial"/>
          <w:color w:val="000000"/>
          <w:sz w:val="20"/>
        </w:rPr>
        <w:lastRenderedPageBreak/>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0FB8D22" w:rsidR="000A7BEB" w:rsidRPr="00472A52" w:rsidRDefault="000A7BEB">
      <w:pPr>
        <w:pStyle w:val="ListParagraph"/>
        <w:numPr>
          <w:ilvl w:val="0"/>
          <w:numId w:val="86"/>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w:t>
      </w:r>
      <w:r w:rsidR="00F1736A">
        <w:rPr>
          <w:rFonts w:ascii="Arial" w:hAnsi="Arial" w:cs="Arial"/>
          <w:color w:val="000000"/>
          <w:sz w:val="20"/>
        </w:rPr>
        <w:t xml:space="preserve"> </w:t>
      </w:r>
      <w:r w:rsidR="00F1736A" w:rsidRPr="00F1736A">
        <w:rPr>
          <w:rFonts w:ascii="Arial" w:hAnsi="Arial" w:cs="Arial"/>
          <w:i/>
          <w:iCs/>
          <w:color w:val="000000"/>
          <w:sz w:val="20"/>
        </w:rPr>
        <w:t>Children, Youth and Families Act 2005</w:t>
      </w:r>
      <w:r>
        <w:rPr>
          <w:rFonts w:ascii="Arial" w:hAnsi="Arial" w:cs="Arial"/>
          <w:color w:val="000000"/>
          <w:sz w:val="20"/>
        </w:rPr>
        <w:t xml:space="preserve"> </w:t>
      </w:r>
      <w:r w:rsidR="00F1736A">
        <w:rPr>
          <w:rFonts w:ascii="Arial" w:hAnsi="Arial" w:cs="Arial"/>
          <w:color w:val="000000"/>
          <w:sz w:val="20"/>
        </w:rPr>
        <w:t>[</w:t>
      </w:r>
      <w:r>
        <w:rPr>
          <w:rFonts w:ascii="Arial" w:hAnsi="Arial" w:cs="Arial"/>
          <w:color w:val="000000"/>
          <w:sz w:val="20"/>
        </w:rPr>
        <w:t>CYFA</w:t>
      </w:r>
      <w:r w:rsidR="00F1736A">
        <w:rPr>
          <w:rFonts w:ascii="Arial" w:hAnsi="Arial" w:cs="Arial"/>
          <w:color w:val="000000"/>
          <w:sz w:val="20"/>
        </w:rPr>
        <w:t>]</w:t>
      </w:r>
      <w:r>
        <w:rPr>
          <w:rFonts w:ascii="Arial" w:hAnsi="Arial" w:cs="Arial"/>
          <w:color w:val="000000"/>
          <w:sz w:val="20"/>
        </w:rPr>
        <w:t xml:space="preserve"> in relation to the conduct and management of child protection proceedings in the Children’s Court.</w:t>
      </w:r>
    </w:p>
    <w:p w14:paraId="753E73A2" w14:textId="720C904E" w:rsidR="00091307" w:rsidRDefault="003232A7" w:rsidP="000A7BEB">
      <w:pPr>
        <w:spacing w:before="120"/>
        <w:jc w:val="both"/>
        <w:rPr>
          <w:rFonts w:ascii="Arial" w:hAnsi="Arial" w:cs="Arial"/>
          <w:color w:val="000000"/>
          <w:sz w:val="20"/>
        </w:rPr>
      </w:pPr>
      <w:r>
        <w:rPr>
          <w:rFonts w:ascii="Arial" w:hAnsi="Arial" w:cs="Arial"/>
          <w:color w:val="000000"/>
          <w:sz w:val="20"/>
        </w:rPr>
        <w:t xml:space="preserve">In the course of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proofErr w:type="spellStart"/>
      <w:r w:rsidR="00B66B64" w:rsidRPr="00472A52">
        <w:rPr>
          <w:rFonts w:ascii="Arial" w:hAnsi="Arial" w:cs="Arial"/>
          <w:i/>
          <w:iCs/>
          <w:color w:val="000000"/>
          <w:sz w:val="20"/>
        </w:rPr>
        <w:t>Nwagbo’s</w:t>
      </w:r>
      <w:proofErr w:type="spellEnd"/>
      <w:r w:rsidR="00B66B64" w:rsidRPr="00472A52">
        <w:rPr>
          <w:rFonts w:ascii="Arial" w:hAnsi="Arial" w:cs="Arial"/>
          <w:i/>
          <w:iCs/>
          <w:color w:val="000000"/>
          <w:sz w:val="20"/>
        </w:rPr>
        <w:t xml:space="preserve">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sidR="00C97A31">
        <w:rPr>
          <w:rFonts w:ascii="Arial" w:hAnsi="Arial" w:cs="Arial"/>
          <w:sz w:val="20"/>
        </w:rPr>
        <w:t>–</w:t>
      </w:r>
    </w:p>
    <w:p w14:paraId="654E0CB7" w14:textId="56817B2A" w:rsidR="00091307" w:rsidRPr="00E802F6" w:rsidRDefault="003232A7" w:rsidP="00C97A31">
      <w:pPr>
        <w:numPr>
          <w:ilvl w:val="0"/>
          <w:numId w:val="65"/>
        </w:numPr>
        <w:spacing w:before="60"/>
        <w:ind w:left="738" w:right="454" w:hanging="284"/>
        <w:jc w:val="both"/>
        <w:rPr>
          <w:rFonts w:ascii="Arial" w:hAnsi="Arial" w:cs="Arial"/>
          <w:sz w:val="20"/>
          <w:szCs w:val="20"/>
        </w:rPr>
      </w:pPr>
      <w:r>
        <w:rPr>
          <w:rFonts w:ascii="Arial" w:hAnsi="Arial" w:cs="Arial"/>
          <w:color w:val="000000"/>
          <w:sz w:val="20"/>
        </w:rPr>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w:t>
      </w:r>
      <w:proofErr w:type="spellStart"/>
      <w:r w:rsidRPr="003232A7">
        <w:rPr>
          <w:rFonts w:ascii="Arial" w:hAnsi="Arial" w:cs="Arial"/>
          <w:sz w:val="20"/>
          <w:szCs w:val="20"/>
        </w:rPr>
        <w:t>robe</w:t>
      </w:r>
      <w:proofErr w:type="spellEnd"/>
      <w:r w:rsidRPr="003232A7">
        <w:rPr>
          <w:rFonts w:ascii="Arial" w:hAnsi="Arial" w:cs="Arial"/>
          <w:sz w:val="20"/>
          <w:szCs w:val="20"/>
        </w:rPr>
        <w:t xml:space="preserv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pPr>
        <w:numPr>
          <w:ilvl w:val="0"/>
          <w:numId w:val="65"/>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1073623D" w14:textId="77777777" w:rsidR="005F231E" w:rsidRPr="00C812C2" w:rsidRDefault="002236D7">
      <w:pPr>
        <w:numPr>
          <w:ilvl w:val="0"/>
          <w:numId w:val="65"/>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pPr>
        <w:numPr>
          <w:ilvl w:val="0"/>
          <w:numId w:val="65"/>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pPr>
        <w:numPr>
          <w:ilvl w:val="0"/>
          <w:numId w:val="65"/>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pPr>
        <w:numPr>
          <w:ilvl w:val="0"/>
          <w:numId w:val="65"/>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pPr>
        <w:numPr>
          <w:ilvl w:val="0"/>
          <w:numId w:val="65"/>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pPr>
        <w:numPr>
          <w:ilvl w:val="0"/>
          <w:numId w:val="65"/>
        </w:numPr>
        <w:spacing w:before="60"/>
        <w:ind w:left="738" w:right="454" w:hanging="284"/>
        <w:jc w:val="both"/>
        <w:rPr>
          <w:rFonts w:ascii="Arial" w:hAnsi="Arial" w:cs="Arial"/>
          <w:color w:val="000000"/>
          <w:sz w:val="20"/>
        </w:rPr>
      </w:pPr>
      <w:r>
        <w:rPr>
          <w:rFonts w:ascii="Arial" w:hAnsi="Arial" w:cs="Arial"/>
          <w:color w:val="000000"/>
          <w:sz w:val="20"/>
        </w:rPr>
        <w:lastRenderedPageBreak/>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pPr>
        <w:numPr>
          <w:ilvl w:val="0"/>
          <w:numId w:val="65"/>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judge should not, during the course of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proofErr w:type="spellStart"/>
      <w:r w:rsidRPr="00D33CEF">
        <w:rPr>
          <w:rFonts w:ascii="Arial" w:eastAsia="Book Antiqua" w:hAnsi="Arial" w:cs="Arial"/>
          <w:i/>
          <w:sz w:val="20"/>
          <w:szCs w:val="20"/>
        </w:rPr>
        <w:t>Brdarovski</w:t>
      </w:r>
      <w:proofErr w:type="spellEnd"/>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pPr>
        <w:numPr>
          <w:ilvl w:val="0"/>
          <w:numId w:val="65"/>
        </w:numPr>
        <w:spacing w:before="60"/>
        <w:ind w:left="738" w:right="454" w:hanging="284"/>
        <w:jc w:val="both"/>
        <w:rPr>
          <w:rFonts w:ascii="Arial" w:hAnsi="Arial" w:cs="Arial"/>
          <w:color w:val="000000"/>
          <w:sz w:val="20"/>
        </w:rPr>
      </w:pPr>
      <w:r w:rsidRPr="00394692">
        <w:rPr>
          <w:rFonts w:ascii="Arial" w:hAnsi="Arial" w:cs="Arial"/>
          <w:sz w:val="20"/>
          <w:szCs w:val="20"/>
        </w:rPr>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proofErr w:type="spellStart"/>
      <w:r w:rsidRPr="00394692">
        <w:rPr>
          <w:rFonts w:ascii="Arial" w:eastAsia="Book Antiqua" w:hAnsi="Arial" w:cs="Arial"/>
          <w:i/>
          <w:sz w:val="20"/>
          <w:szCs w:val="20"/>
        </w:rPr>
        <w:t>Piccolotto</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[2015] VSCA 143, [31]–[35] (Redlich, Santamaria and Beach JJA)</w:t>
      </w:r>
      <w:r>
        <w:rPr>
          <w:rFonts w:ascii="Arial" w:hAnsi="Arial" w:cs="Arial"/>
          <w:sz w:val="20"/>
          <w:szCs w:val="20"/>
        </w:rPr>
        <w:t xml:space="preserve">; </w:t>
      </w:r>
      <w:proofErr w:type="spellStart"/>
      <w:r w:rsidRPr="00394692">
        <w:rPr>
          <w:rFonts w:ascii="Arial" w:eastAsia="Book Antiqua" w:hAnsi="Arial" w:cs="Arial"/>
          <w:i/>
          <w:sz w:val="20"/>
          <w:szCs w:val="20"/>
        </w:rPr>
        <w:t>Pyliotis</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pPr>
        <w:numPr>
          <w:ilvl w:val="0"/>
          <w:numId w:val="65"/>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pPr>
        <w:numPr>
          <w:ilvl w:val="0"/>
          <w:numId w:val="65"/>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circumstances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w:t>
      </w:r>
      <w:proofErr w:type="spellStart"/>
      <w:r w:rsidRPr="00394692">
        <w:rPr>
          <w:rFonts w:ascii="Arial" w:hAnsi="Arial" w:cs="Arial"/>
          <w:sz w:val="20"/>
          <w:szCs w:val="20"/>
        </w:rPr>
        <w:t>Heydon</w:t>
      </w:r>
      <w:proofErr w:type="spellEnd"/>
      <w:r w:rsidRPr="00394692">
        <w:rPr>
          <w:rFonts w:ascii="Arial" w:hAnsi="Arial" w:cs="Arial"/>
          <w:sz w:val="20"/>
          <w:szCs w:val="20"/>
        </w:rPr>
        <w:t xml:space="preserve"> JA, in the setting of civil litigation, sanctioned the robust approach to the conduct of a trial adopted by the judge at first instance as a ‘modern technique, and a not unacceptable one, particularly in a busy trial court under pressure from crowded lists’.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hard fought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proofErr w:type="spellStart"/>
      <w:r w:rsidR="00CD6C93" w:rsidRPr="00394692">
        <w:rPr>
          <w:rFonts w:ascii="Arial" w:hAnsi="Arial" w:cs="Arial"/>
          <w:i/>
          <w:iCs/>
          <w:sz w:val="20"/>
          <w:szCs w:val="20"/>
        </w:rPr>
        <w:t>Nwagbo’s</w:t>
      </w:r>
      <w:proofErr w:type="spellEnd"/>
      <w:r w:rsidR="00CD6C93" w:rsidRPr="00394692">
        <w:rPr>
          <w:rFonts w:ascii="Arial" w:hAnsi="Arial" w:cs="Arial"/>
          <w:i/>
          <w:iCs/>
          <w:sz w:val="20"/>
          <w:szCs w:val="20"/>
        </w:rPr>
        <w:t xml:space="preserve">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in order to understand technical issues in a case, or to endeavour to clarify those issues for the jury. </w:t>
      </w:r>
    </w:p>
    <w:p w14:paraId="7DE82AC4" w14:textId="7C6B4D34" w:rsidR="008C6C91" w:rsidRPr="00D33CEF" w:rsidRDefault="008C6C91">
      <w:pPr>
        <w:numPr>
          <w:ilvl w:val="1"/>
          <w:numId w:val="85"/>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0EA53AFA" w:rsidR="008C6C91" w:rsidRDefault="008C6C91" w:rsidP="00B843BA">
      <w:pPr>
        <w:jc w:val="both"/>
        <w:rPr>
          <w:rFonts w:ascii="Arial" w:hAnsi="Arial" w:cs="Arial"/>
          <w:sz w:val="20"/>
          <w:szCs w:val="20"/>
        </w:rPr>
      </w:pPr>
    </w:p>
    <w:p w14:paraId="75E7EBAC" w14:textId="440EE606" w:rsidR="00C24A57" w:rsidRDefault="00D53EB8" w:rsidP="00B843BA">
      <w:pPr>
        <w:jc w:val="both"/>
        <w:rPr>
          <w:rFonts w:ascii="Arial" w:hAnsi="Arial" w:cs="Arial"/>
          <w:sz w:val="20"/>
          <w:szCs w:val="20"/>
        </w:rPr>
      </w:pPr>
      <w:r w:rsidRPr="00D53EB8">
        <w:rPr>
          <w:rFonts w:ascii="Arial" w:hAnsi="Arial" w:cs="Arial"/>
          <w:sz w:val="20"/>
          <w:szCs w:val="20"/>
        </w:rPr>
        <w:t xml:space="preserve">See also </w:t>
      </w:r>
      <w:r w:rsidRPr="00D53EB8">
        <w:rPr>
          <w:rFonts w:ascii="Arial" w:hAnsi="Arial" w:cs="Arial"/>
          <w:i/>
          <w:iCs/>
          <w:sz w:val="20"/>
          <w:szCs w:val="20"/>
        </w:rPr>
        <w:t>Becker v The King</w:t>
      </w:r>
      <w:r w:rsidRPr="00D53EB8">
        <w:rPr>
          <w:rFonts w:ascii="Arial" w:hAnsi="Arial" w:cs="Arial"/>
          <w:sz w:val="20"/>
          <w:szCs w:val="20"/>
        </w:rPr>
        <w:t xml:space="preserve"> [2023] VSCA 332 </w:t>
      </w:r>
      <w:r>
        <w:rPr>
          <w:rFonts w:ascii="Arial" w:hAnsi="Arial" w:cs="Arial"/>
          <w:sz w:val="20"/>
          <w:szCs w:val="20"/>
        </w:rPr>
        <w:t xml:space="preserve">where </w:t>
      </w:r>
      <w:r w:rsidR="00C24A57">
        <w:rPr>
          <w:rFonts w:ascii="Arial" w:hAnsi="Arial" w:cs="Arial"/>
          <w:sz w:val="20"/>
          <w:szCs w:val="20"/>
        </w:rPr>
        <w:t xml:space="preserve">Emerton P, </w:t>
      </w:r>
      <w:r>
        <w:rPr>
          <w:rFonts w:ascii="Arial" w:hAnsi="Arial" w:cs="Arial"/>
          <w:sz w:val="20"/>
          <w:szCs w:val="20"/>
        </w:rPr>
        <w:t xml:space="preserve">Priest JA </w:t>
      </w:r>
      <w:r w:rsidR="00C24A57">
        <w:rPr>
          <w:rFonts w:ascii="Arial" w:hAnsi="Arial" w:cs="Arial"/>
          <w:sz w:val="20"/>
          <w:szCs w:val="20"/>
        </w:rPr>
        <w:t>&amp;</w:t>
      </w:r>
      <w:r>
        <w:rPr>
          <w:rFonts w:ascii="Arial" w:hAnsi="Arial" w:cs="Arial"/>
          <w:sz w:val="20"/>
          <w:szCs w:val="20"/>
        </w:rPr>
        <w:t xml:space="preserve"> Kidd AJA held at [</w:t>
      </w:r>
      <w:r w:rsidR="00E36E48">
        <w:rPr>
          <w:rFonts w:ascii="Arial" w:hAnsi="Arial" w:cs="Arial"/>
          <w:sz w:val="20"/>
          <w:szCs w:val="20"/>
        </w:rPr>
        <w:t>283</w:t>
      </w:r>
      <w:r>
        <w:rPr>
          <w:rFonts w:ascii="Arial" w:hAnsi="Arial" w:cs="Arial"/>
          <w:sz w:val="20"/>
          <w:szCs w:val="20"/>
        </w:rPr>
        <w:t xml:space="preserve">] that the trial judge – </w:t>
      </w:r>
      <w:r w:rsidR="008E2CB4">
        <w:rPr>
          <w:rFonts w:ascii="Arial" w:hAnsi="Arial" w:cs="Arial"/>
          <w:sz w:val="20"/>
          <w:szCs w:val="20"/>
        </w:rPr>
        <w:t>by</w:t>
      </w:r>
      <w:r>
        <w:rPr>
          <w:rFonts w:ascii="Arial" w:hAnsi="Arial" w:cs="Arial"/>
          <w:sz w:val="20"/>
          <w:szCs w:val="20"/>
        </w:rPr>
        <w:t xml:space="preserve"> making </w:t>
      </w:r>
      <w:r w:rsidR="00E755E8">
        <w:rPr>
          <w:rFonts w:ascii="Arial" w:hAnsi="Arial" w:cs="Arial"/>
          <w:sz w:val="20"/>
          <w:szCs w:val="20"/>
        </w:rPr>
        <w:t xml:space="preserve">extensive </w:t>
      </w:r>
      <w:r>
        <w:rPr>
          <w:rFonts w:ascii="Arial" w:hAnsi="Arial" w:cs="Arial"/>
          <w:sz w:val="20"/>
          <w:szCs w:val="20"/>
        </w:rPr>
        <w:t>comments during the prosecution opening</w:t>
      </w:r>
      <w:r w:rsidR="00E755E8">
        <w:rPr>
          <w:rFonts w:ascii="Arial" w:hAnsi="Arial" w:cs="Arial"/>
          <w:sz w:val="20"/>
          <w:szCs w:val="20"/>
        </w:rPr>
        <w:t xml:space="preserve"> and</w:t>
      </w:r>
      <w:r w:rsidR="00C24A57">
        <w:rPr>
          <w:rFonts w:ascii="Arial" w:hAnsi="Arial" w:cs="Arial"/>
          <w:sz w:val="20"/>
          <w:szCs w:val="20"/>
        </w:rPr>
        <w:t xml:space="preserve"> witness examination and when charging the jury </w:t>
      </w:r>
      <w:r>
        <w:rPr>
          <w:rFonts w:ascii="Arial" w:hAnsi="Arial" w:cs="Arial"/>
          <w:sz w:val="20"/>
          <w:szCs w:val="20"/>
        </w:rPr>
        <w:t>in a complex and document</w:t>
      </w:r>
      <w:r w:rsidR="00E36E48">
        <w:rPr>
          <w:rFonts w:ascii="Arial" w:hAnsi="Arial" w:cs="Arial"/>
          <w:sz w:val="20"/>
          <w:szCs w:val="20"/>
        </w:rPr>
        <w:t>-</w:t>
      </w:r>
      <w:r>
        <w:rPr>
          <w:rFonts w:ascii="Arial" w:hAnsi="Arial" w:cs="Arial"/>
          <w:sz w:val="20"/>
          <w:szCs w:val="20"/>
        </w:rPr>
        <w:t xml:space="preserve">heavy </w:t>
      </w:r>
      <w:r w:rsidR="00E36E48">
        <w:rPr>
          <w:rFonts w:ascii="Arial" w:hAnsi="Arial" w:cs="Arial"/>
          <w:sz w:val="20"/>
          <w:szCs w:val="20"/>
        </w:rPr>
        <w:t xml:space="preserve">alleged mortgage fraud </w:t>
      </w:r>
      <w:r>
        <w:rPr>
          <w:rFonts w:ascii="Arial" w:hAnsi="Arial" w:cs="Arial"/>
          <w:sz w:val="20"/>
          <w:szCs w:val="20"/>
        </w:rPr>
        <w:t xml:space="preserve">trial </w:t>
      </w:r>
      <w:r w:rsidR="00C24A57">
        <w:rPr>
          <w:rFonts w:ascii="Arial" w:hAnsi="Arial" w:cs="Arial"/>
          <w:sz w:val="20"/>
          <w:szCs w:val="20"/>
        </w:rPr>
        <w:t>–</w:t>
      </w:r>
      <w:r>
        <w:rPr>
          <w:rFonts w:ascii="Arial" w:hAnsi="Arial" w:cs="Arial"/>
          <w:sz w:val="20"/>
          <w:szCs w:val="20"/>
        </w:rPr>
        <w:t xml:space="preserve"> </w:t>
      </w:r>
      <w:r w:rsidR="00C24A57">
        <w:rPr>
          <w:rFonts w:ascii="Arial" w:hAnsi="Arial" w:cs="Arial"/>
          <w:sz w:val="20"/>
          <w:szCs w:val="20"/>
        </w:rPr>
        <w:t xml:space="preserve">had </w:t>
      </w:r>
      <w:r w:rsidR="008E2CB4">
        <w:rPr>
          <w:rFonts w:ascii="Arial" w:hAnsi="Arial" w:cs="Arial"/>
          <w:sz w:val="20"/>
          <w:szCs w:val="20"/>
        </w:rPr>
        <w:t>“</w:t>
      </w:r>
      <w:r w:rsidR="00C24A57">
        <w:rPr>
          <w:rFonts w:ascii="Arial" w:hAnsi="Arial" w:cs="Arial"/>
          <w:sz w:val="20"/>
          <w:szCs w:val="20"/>
        </w:rPr>
        <w:t>crossed the line</w:t>
      </w:r>
      <w:r w:rsidR="008E2CB4">
        <w:rPr>
          <w:rFonts w:ascii="Arial" w:hAnsi="Arial" w:cs="Arial"/>
          <w:sz w:val="20"/>
          <w:szCs w:val="20"/>
        </w:rPr>
        <w:t>…</w:t>
      </w:r>
      <w:r w:rsidR="00C24A57">
        <w:rPr>
          <w:rFonts w:ascii="Arial" w:hAnsi="Arial" w:cs="Arial"/>
          <w:sz w:val="20"/>
          <w:szCs w:val="20"/>
        </w:rPr>
        <w:t xml:space="preserve">between what may be acceptable intervention and comment by a trial judge to ensure a jury understands the issues in a case”.  </w:t>
      </w:r>
      <w:r w:rsidR="004D794C">
        <w:rPr>
          <w:rFonts w:ascii="Arial" w:hAnsi="Arial" w:cs="Arial"/>
          <w:sz w:val="20"/>
          <w:szCs w:val="20"/>
        </w:rPr>
        <w:t xml:space="preserve">Noting at [108] that “in an adversarial context…it is the parties who are the protagonists and hence who dictate the forensic landscape against which the facts fall to be determined” {per Doyle JA in </w:t>
      </w:r>
      <w:r w:rsidR="004D794C" w:rsidRPr="004D794C">
        <w:rPr>
          <w:rFonts w:ascii="Arial" w:hAnsi="Arial" w:cs="Arial"/>
          <w:i/>
          <w:iCs/>
          <w:sz w:val="20"/>
          <w:szCs w:val="20"/>
        </w:rPr>
        <w:t>Roberts v The Queen</w:t>
      </w:r>
      <w:r w:rsidR="004D794C">
        <w:rPr>
          <w:rFonts w:ascii="Arial" w:hAnsi="Arial" w:cs="Arial"/>
          <w:sz w:val="20"/>
          <w:szCs w:val="20"/>
        </w:rPr>
        <w:t xml:space="preserve"> (2022) 141 SASR 73 at [63]}, the Court held </w:t>
      </w:r>
      <w:r w:rsidR="00E36E48">
        <w:rPr>
          <w:rFonts w:ascii="Arial" w:hAnsi="Arial" w:cs="Arial"/>
          <w:sz w:val="20"/>
          <w:szCs w:val="20"/>
        </w:rPr>
        <w:t>at [6] that “the trial proceeded in a way that was inimical to the principles of adversarial justice…The result was that the applicant did not receive a fair trial according to law.”  A retrial was ordered.</w:t>
      </w:r>
    </w:p>
    <w:p w14:paraId="47628FF7" w14:textId="61F079DB" w:rsidR="00C24A57" w:rsidRDefault="00C24A57" w:rsidP="00B843BA">
      <w:pPr>
        <w:jc w:val="both"/>
        <w:rPr>
          <w:rFonts w:ascii="Arial" w:hAnsi="Arial" w:cs="Arial"/>
          <w:sz w:val="20"/>
          <w:szCs w:val="20"/>
        </w:rPr>
      </w:pPr>
    </w:p>
    <w:p w14:paraId="1C831D22" w14:textId="2F9B3FB4" w:rsidR="001C057A" w:rsidRPr="00312136" w:rsidRDefault="001C057A" w:rsidP="001C057A">
      <w:pPr>
        <w:pStyle w:val="Heading3"/>
        <w:keepNext/>
        <w:keepLines/>
        <w:spacing w:after="120" w:line="240" w:lineRule="auto"/>
        <w:rPr>
          <w:rFonts w:ascii="Arial" w:hAnsi="Arial" w:cs="Arial"/>
          <w:b/>
          <w:bCs/>
          <w:sz w:val="20"/>
        </w:rPr>
      </w:pPr>
      <w:bookmarkStart w:id="97" w:name="_3.1.1_Procedural_fairness"/>
      <w:bookmarkStart w:id="98" w:name="_Hlk142632735"/>
      <w:bookmarkEnd w:id="97"/>
      <w:r>
        <w:rPr>
          <w:rFonts w:ascii="Arial" w:hAnsi="Arial" w:cs="Arial"/>
          <w:b/>
          <w:bCs/>
          <w:sz w:val="20"/>
        </w:rPr>
        <w:t>3.1.1</w:t>
      </w:r>
      <w:r>
        <w:rPr>
          <w:rFonts w:ascii="Arial" w:hAnsi="Arial" w:cs="Arial"/>
          <w:b/>
          <w:bCs/>
          <w:sz w:val="20"/>
        </w:rPr>
        <w:tab/>
        <w:t>Procedural fairness (natural justice) generally</w:t>
      </w:r>
      <w:bookmarkEnd w:id="98"/>
    </w:p>
    <w:p w14:paraId="21FDEC13" w14:textId="77777777" w:rsidR="00B2600C" w:rsidRDefault="00B843BA" w:rsidP="00B2600C">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w:t>
      </w:r>
      <w:r w:rsidRPr="004907C7">
        <w:rPr>
          <w:rFonts w:ascii="Arial" w:hAnsi="Arial" w:cs="Arial"/>
          <w:b/>
          <w:bCs/>
          <w:color w:val="000000"/>
          <w:sz w:val="20"/>
        </w:rPr>
        <w:t>procedural fairness</w:t>
      </w:r>
      <w:r w:rsidRPr="001A1BF2">
        <w:rPr>
          <w:rFonts w:ascii="Arial" w:hAnsi="Arial" w:cs="Arial"/>
          <w:color w:val="000000"/>
          <w:sz w:val="20"/>
        </w:rPr>
        <w:t xml:space="preserve"> – sometimes described as “</w:t>
      </w:r>
      <w:r w:rsidRPr="004907C7">
        <w:rPr>
          <w:rFonts w:ascii="Arial" w:hAnsi="Arial" w:cs="Arial"/>
          <w:b/>
          <w:bCs/>
          <w:color w:val="000000"/>
          <w:sz w:val="20"/>
        </w:rPr>
        <w:t>natural justice</w:t>
      </w:r>
      <w:r w:rsidRPr="001A1BF2">
        <w:rPr>
          <w:rFonts w:ascii="Arial" w:hAnsi="Arial" w:cs="Arial"/>
          <w:color w:val="000000"/>
          <w:sz w:val="20"/>
        </w:rPr>
        <w:t>” – to all</w:t>
      </w:r>
      <w:r>
        <w:rPr>
          <w:rFonts w:ascii="Arial" w:hAnsi="Arial" w:cs="Arial"/>
          <w:sz w:val="20"/>
        </w:rPr>
        <w:t xml:space="preserve"> parties.  </w:t>
      </w:r>
      <w:r w:rsidR="00B2600C">
        <w:rPr>
          <w:rFonts w:ascii="Arial" w:hAnsi="Arial" w:cs="Arial"/>
          <w:sz w:val="20"/>
        </w:rPr>
        <w:t xml:space="preserve">In </w:t>
      </w:r>
      <w:r w:rsidR="00B2600C" w:rsidRPr="007F6791">
        <w:rPr>
          <w:rFonts w:ascii="Arial" w:hAnsi="Arial" w:cs="Arial"/>
          <w:i/>
          <w:iCs/>
          <w:sz w:val="20"/>
        </w:rPr>
        <w:t>Roberts v Harkness</w:t>
      </w:r>
      <w:r w:rsidR="00B2600C">
        <w:rPr>
          <w:rFonts w:ascii="Arial" w:hAnsi="Arial" w:cs="Arial"/>
          <w:sz w:val="20"/>
        </w:rPr>
        <w:t xml:space="preserve"> [2018] VSCA 215 the Court of Appeal (Maxwell P, Beach &amp; Niall JJA) stated:</w:t>
      </w:r>
    </w:p>
    <w:p w14:paraId="25565FD5" w14:textId="77777777" w:rsidR="00B2600C" w:rsidRDefault="00B2600C" w:rsidP="00B2600C">
      <w:pPr>
        <w:spacing w:before="60"/>
        <w:ind w:left="454" w:right="454"/>
        <w:jc w:val="both"/>
        <w:rPr>
          <w:rFonts w:ascii="Arial" w:hAnsi="Arial" w:cs="Arial"/>
          <w:sz w:val="20"/>
          <w:szCs w:val="20"/>
        </w:rPr>
      </w:pPr>
      <w:r>
        <w:rPr>
          <w:rFonts w:ascii="Arial" w:hAnsi="Arial" w:cs="Arial"/>
          <w:sz w:val="20"/>
        </w:rPr>
        <w:t xml:space="preserve">[46] “[It] is the fundamental obligation of every court </w:t>
      </w:r>
      <w:r w:rsidRPr="007F6791">
        <w:rPr>
          <w:rFonts w:ascii="Arial" w:hAnsi="Arial" w:cs="Arial"/>
          <w:sz w:val="20"/>
          <w:szCs w:val="20"/>
        </w:rPr>
        <w:t>to ensure a fair hearing for the parties before it</w:t>
      </w:r>
      <w:r>
        <w:rPr>
          <w:rFonts w:ascii="Arial" w:hAnsi="Arial" w:cs="Arial"/>
          <w:sz w:val="20"/>
          <w:szCs w:val="20"/>
        </w:rPr>
        <w:t xml:space="preserve">.  </w:t>
      </w:r>
      <w:r w:rsidRPr="007F6791">
        <w:rPr>
          <w:rFonts w:ascii="Arial" w:hAnsi="Arial" w:cs="Arial"/>
          <w:sz w:val="20"/>
          <w:szCs w:val="20"/>
        </w:rPr>
        <w:t>The High Court recently affirmed,</w:t>
      </w:r>
      <w:r>
        <w:rPr>
          <w:rFonts w:ascii="Arial" w:hAnsi="Arial" w:cs="Arial"/>
          <w:sz w:val="20"/>
          <w:szCs w:val="20"/>
        </w:rPr>
        <w:t xml:space="preserve"> </w:t>
      </w:r>
      <w:r w:rsidRPr="007F6791">
        <w:rPr>
          <w:rFonts w:ascii="Arial" w:hAnsi="Arial" w:cs="Arial"/>
          <w:sz w:val="20"/>
          <w:szCs w:val="20"/>
        </w:rPr>
        <w:t xml:space="preserve">in </w:t>
      </w:r>
      <w:r w:rsidRPr="00B2600C">
        <w:rPr>
          <w:rFonts w:ascii="Arial" w:hAnsi="Arial" w:cs="Arial"/>
          <w:i/>
          <w:iCs/>
          <w:sz w:val="20"/>
          <w:szCs w:val="20"/>
        </w:rPr>
        <w:t>Condon v Pompano Pty Ltd</w:t>
      </w:r>
      <w:r>
        <w:rPr>
          <w:rFonts w:ascii="Arial" w:hAnsi="Arial" w:cs="Arial"/>
          <w:sz w:val="20"/>
          <w:szCs w:val="20"/>
        </w:rPr>
        <w:t xml:space="preserve"> (2013) 252 CLR 38, 99 [156], </w:t>
      </w:r>
      <w:r w:rsidRPr="007F6791">
        <w:rPr>
          <w:rFonts w:ascii="Arial" w:hAnsi="Arial" w:cs="Arial"/>
          <w:sz w:val="20"/>
          <w:szCs w:val="20"/>
        </w:rPr>
        <w:t>that procedural fairness is ‘an essential attribute of a court’s procedure’</w:t>
      </w:r>
      <w:r>
        <w:rPr>
          <w:rFonts w:ascii="Arial" w:hAnsi="Arial" w:cs="Arial"/>
          <w:sz w:val="20"/>
          <w:szCs w:val="20"/>
        </w:rPr>
        <w:t xml:space="preserve"> </w:t>
      </w:r>
      <w:r w:rsidRPr="007F6791">
        <w:rPr>
          <w:rFonts w:ascii="Arial" w:hAnsi="Arial" w:cs="Arial"/>
          <w:sz w:val="20"/>
          <w:szCs w:val="20"/>
        </w:rPr>
        <w:t xml:space="preserve"> The</w:t>
      </w:r>
      <w:r>
        <w:rPr>
          <w:rFonts w:ascii="Arial" w:hAnsi="Arial" w:cs="Arial"/>
          <w:sz w:val="20"/>
          <w:szCs w:val="20"/>
        </w:rPr>
        <w:t> </w:t>
      </w:r>
      <w:r w:rsidRPr="007F6791">
        <w:rPr>
          <w:rFonts w:ascii="Arial" w:hAnsi="Arial" w:cs="Arial"/>
          <w:sz w:val="20"/>
          <w:szCs w:val="20"/>
        </w:rPr>
        <w:t xml:space="preserve">correlative right of each party to a fair hearing is firmly established at common law and — since 2006 — has been enshrined in s 24(1) of the Charter, which relevantly provides as follows: </w:t>
      </w:r>
    </w:p>
    <w:p w14:paraId="7DA73A6D" w14:textId="77777777" w:rsidR="00B2600C" w:rsidRPr="00B2600C" w:rsidRDefault="00B2600C" w:rsidP="00B2600C">
      <w:pPr>
        <w:spacing w:before="60"/>
        <w:ind w:left="907" w:right="907"/>
        <w:jc w:val="both"/>
        <w:rPr>
          <w:rFonts w:ascii="Arial" w:hAnsi="Arial" w:cs="Arial"/>
          <w:sz w:val="18"/>
          <w:szCs w:val="18"/>
        </w:rPr>
      </w:pPr>
      <w:r w:rsidRPr="00B2600C">
        <w:rPr>
          <w:rFonts w:ascii="Arial" w:hAnsi="Arial" w:cs="Arial"/>
          <w:sz w:val="18"/>
          <w:szCs w:val="18"/>
        </w:rPr>
        <w:t>‘A person charged with a criminal offence … has the right to have the charge … decided by a competent, independent and impartial court or tribunal after a fair and public hearing.’</w:t>
      </w:r>
    </w:p>
    <w:p w14:paraId="21AC0C84" w14:textId="5D475EBF"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[47] </w:t>
      </w:r>
      <w:r w:rsidRPr="007F6791">
        <w:rPr>
          <w:rFonts w:ascii="Arial" w:hAnsi="Arial" w:cs="Arial"/>
          <w:sz w:val="20"/>
          <w:szCs w:val="20"/>
        </w:rPr>
        <w:t>The existence of the fair hearing right being uncontroversial, the critical question is: ‘What does the duty to act fairly require in the circumstances of the particular case?’</w:t>
      </w:r>
      <w:r>
        <w:rPr>
          <w:rFonts w:ascii="Arial" w:hAnsi="Arial" w:cs="Arial"/>
          <w:sz w:val="20"/>
          <w:szCs w:val="20"/>
        </w:rPr>
        <w:t xml:space="preserve">  See </w:t>
      </w:r>
      <w:proofErr w:type="spellStart"/>
      <w:r w:rsidRPr="00B2600C">
        <w:rPr>
          <w:rFonts w:ascii="Arial" w:hAnsi="Arial" w:cs="Arial"/>
          <w:i/>
          <w:iCs/>
          <w:sz w:val="20"/>
          <w:szCs w:val="20"/>
        </w:rPr>
        <w:t>Kioa</w:t>
      </w:r>
      <w:proofErr w:type="spellEnd"/>
      <w:r w:rsidRPr="00B2600C">
        <w:rPr>
          <w:rFonts w:ascii="Arial" w:hAnsi="Arial" w:cs="Arial"/>
          <w:i/>
          <w:iCs/>
          <w:sz w:val="20"/>
          <w:szCs w:val="20"/>
        </w:rPr>
        <w:t xml:space="preserve"> v West</w:t>
      </w:r>
      <w:r>
        <w:rPr>
          <w:rFonts w:ascii="Arial" w:hAnsi="Arial" w:cs="Arial"/>
          <w:sz w:val="20"/>
          <w:szCs w:val="20"/>
        </w:rPr>
        <w:t xml:space="preserve"> (1985) 159 CLR 550, 585.  </w:t>
      </w:r>
      <w:r w:rsidRPr="007F6791">
        <w:rPr>
          <w:rFonts w:ascii="Arial" w:hAnsi="Arial" w:cs="Arial"/>
          <w:sz w:val="20"/>
          <w:szCs w:val="20"/>
        </w:rPr>
        <w:t>Natural justice is ‘fair play in action’</w:t>
      </w:r>
      <w:r>
        <w:rPr>
          <w:rFonts w:ascii="Arial" w:hAnsi="Arial" w:cs="Arial"/>
          <w:sz w:val="20"/>
          <w:szCs w:val="20"/>
        </w:rPr>
        <w:t xml:space="preserve">: </w:t>
      </w:r>
      <w:proofErr w:type="spellStart"/>
      <w:r w:rsidRPr="00B2600C">
        <w:rPr>
          <w:rFonts w:ascii="Arial" w:hAnsi="Arial" w:cs="Arial"/>
          <w:i/>
          <w:iCs/>
          <w:sz w:val="20"/>
          <w:szCs w:val="20"/>
        </w:rPr>
        <w:t>Salemi</w:t>
      </w:r>
      <w:proofErr w:type="spellEnd"/>
      <w:r w:rsidRPr="00B2600C">
        <w:rPr>
          <w:rFonts w:ascii="Arial" w:hAnsi="Arial" w:cs="Arial"/>
          <w:i/>
          <w:iCs/>
          <w:sz w:val="20"/>
          <w:szCs w:val="20"/>
        </w:rPr>
        <w:t xml:space="preserve"> v Minister for Immigration &amp; Ethnic Affairs (</w:t>
      </w:r>
      <w:proofErr w:type="spellStart"/>
      <w:r w:rsidRPr="00B2600C">
        <w:rPr>
          <w:rFonts w:ascii="Arial" w:hAnsi="Arial" w:cs="Arial"/>
          <w:i/>
          <w:iCs/>
          <w:sz w:val="20"/>
          <w:szCs w:val="20"/>
        </w:rPr>
        <w:t>Cth</w:t>
      </w:r>
      <w:proofErr w:type="spellEnd"/>
      <w:r w:rsidRPr="00B2600C">
        <w:rPr>
          <w:rFonts w:ascii="Arial" w:hAnsi="Arial" w:cs="Arial"/>
          <w:i/>
          <w:iCs/>
          <w:sz w:val="20"/>
          <w:szCs w:val="20"/>
        </w:rPr>
        <w:t>) [No 2]</w:t>
      </w:r>
      <w:r>
        <w:rPr>
          <w:rFonts w:ascii="Arial" w:hAnsi="Arial" w:cs="Arial"/>
          <w:sz w:val="20"/>
          <w:szCs w:val="20"/>
        </w:rPr>
        <w:t xml:space="preserve"> (1977) 137 CLRT 396, 445.  As Gleeson CJ said in Lam (2003) 214 CLR 1, 14 [38]: </w:t>
      </w:r>
    </w:p>
    <w:p w14:paraId="6511E1F0" w14:textId="0E785357" w:rsidR="00B2600C" w:rsidRPr="00B2600C" w:rsidRDefault="00B2600C" w:rsidP="00B2600C">
      <w:pPr>
        <w:spacing w:before="60"/>
        <w:ind w:left="907" w:right="907"/>
        <w:jc w:val="both"/>
        <w:rPr>
          <w:rFonts w:ascii="Arial" w:hAnsi="Arial" w:cs="Arial"/>
          <w:sz w:val="18"/>
          <w:szCs w:val="18"/>
        </w:rPr>
      </w:pPr>
      <w:r w:rsidRPr="00B2600C">
        <w:rPr>
          <w:rFonts w:ascii="Arial" w:hAnsi="Arial" w:cs="Arial"/>
          <w:sz w:val="18"/>
          <w:szCs w:val="18"/>
        </w:rPr>
        <w:t>‘Fairness is not an abstract concept. It is essentially practical. Whether one talks in terms of procedural fairness or natural justice, the concern of the law is to avoid practical injustice.’</w:t>
      </w:r>
    </w:p>
    <w:p w14:paraId="160AAE10" w14:textId="0811CB26"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[48] </w:t>
      </w:r>
      <w:r w:rsidRPr="007F6791">
        <w:rPr>
          <w:rFonts w:ascii="Arial" w:hAnsi="Arial" w:cs="Arial"/>
          <w:sz w:val="20"/>
          <w:szCs w:val="20"/>
        </w:rPr>
        <w:t>It is an essential requirement of a fair hearing that each party be given a ‘reasonable opportunity’ of presenting its case, whether in writing, or orally, or both</w:t>
      </w:r>
      <w:r w:rsidR="00CE0081">
        <w:rPr>
          <w:rFonts w:ascii="Arial" w:hAnsi="Arial" w:cs="Arial"/>
          <w:sz w:val="20"/>
          <w:szCs w:val="20"/>
        </w:rPr>
        <w:t xml:space="preserve">: </w:t>
      </w:r>
      <w:r w:rsidR="00CE0081" w:rsidRPr="00CE0081">
        <w:rPr>
          <w:rFonts w:ascii="Arial" w:hAnsi="Arial" w:cs="Arial"/>
          <w:i/>
          <w:iCs/>
          <w:sz w:val="20"/>
          <w:szCs w:val="20"/>
        </w:rPr>
        <w:t xml:space="preserve">Russell v Duke of Norfolk </w:t>
      </w:r>
      <w:r w:rsidR="00CE0081" w:rsidRPr="007F6791">
        <w:rPr>
          <w:rFonts w:ascii="Arial" w:hAnsi="Arial" w:cs="Arial"/>
          <w:sz w:val="20"/>
          <w:szCs w:val="20"/>
        </w:rPr>
        <w:t xml:space="preserve">(1949) 1 All ER 109, 118; </w:t>
      </w:r>
      <w:r w:rsidR="00CE0081" w:rsidRPr="00CE0081">
        <w:rPr>
          <w:rFonts w:ascii="Arial" w:hAnsi="Arial" w:cs="Arial"/>
          <w:i/>
          <w:iCs/>
          <w:sz w:val="20"/>
          <w:szCs w:val="20"/>
        </w:rPr>
        <w:t>Minister for Immigration and Border Protection v WZARH</w:t>
      </w:r>
      <w:r w:rsidR="00CE0081" w:rsidRPr="007F6791">
        <w:rPr>
          <w:rFonts w:ascii="Arial" w:hAnsi="Arial" w:cs="Arial"/>
          <w:sz w:val="20"/>
          <w:szCs w:val="20"/>
        </w:rPr>
        <w:t xml:space="preserve"> (2015) 256 CLR 326, 341 [55]; </w:t>
      </w:r>
      <w:r w:rsidR="00CE0081" w:rsidRPr="00CE0081">
        <w:rPr>
          <w:rFonts w:ascii="Arial" w:hAnsi="Arial" w:cs="Arial"/>
          <w:i/>
          <w:iCs/>
          <w:sz w:val="20"/>
          <w:szCs w:val="20"/>
        </w:rPr>
        <w:t>Shrestha v Migration Review Tribunal</w:t>
      </w:r>
      <w:r w:rsidR="00CE0081" w:rsidRPr="007F6791">
        <w:rPr>
          <w:rFonts w:ascii="Arial" w:hAnsi="Arial" w:cs="Arial"/>
          <w:sz w:val="20"/>
          <w:szCs w:val="20"/>
        </w:rPr>
        <w:t xml:space="preserve"> (2015) 229 FCR 301, 308-9 [38]–[41]</w:t>
      </w:r>
      <w:r w:rsidRPr="007F6791">
        <w:rPr>
          <w:rFonts w:ascii="Arial" w:hAnsi="Arial" w:cs="Arial"/>
          <w:sz w:val="20"/>
          <w:szCs w:val="20"/>
        </w:rPr>
        <w:t>. This will ordinarily include being informed of the case to be advanced by the opposing party and having an opportunity to respond</w:t>
      </w:r>
      <w:r>
        <w:rPr>
          <w:rFonts w:ascii="Arial" w:hAnsi="Arial" w:cs="Arial"/>
          <w:sz w:val="20"/>
          <w:szCs w:val="20"/>
        </w:rPr>
        <w:t xml:space="preserve">: </w:t>
      </w:r>
      <w:r w:rsidRPr="00B2600C">
        <w:rPr>
          <w:rFonts w:ascii="Arial" w:hAnsi="Arial" w:cs="Arial"/>
          <w:i/>
          <w:iCs/>
          <w:sz w:val="20"/>
          <w:szCs w:val="20"/>
        </w:rPr>
        <w:t>Condon v Pompano Pty Ltd</w:t>
      </w:r>
      <w:r>
        <w:rPr>
          <w:rFonts w:ascii="Arial" w:hAnsi="Arial" w:cs="Arial"/>
          <w:sz w:val="20"/>
          <w:szCs w:val="20"/>
        </w:rPr>
        <w:t xml:space="preserve"> at [157].</w:t>
      </w:r>
    </w:p>
    <w:p w14:paraId="13CB7581" w14:textId="3A1A320A" w:rsidR="00B2600C" w:rsidRDefault="00B2600C" w:rsidP="00B2600C">
      <w:pPr>
        <w:spacing w:before="60"/>
        <w:ind w:left="454" w:right="454"/>
        <w:jc w:val="both"/>
        <w:rPr>
          <w:rFonts w:ascii="Arial" w:hAnsi="Arial" w:cs="Arial"/>
          <w:sz w:val="20"/>
          <w:szCs w:val="20"/>
        </w:rPr>
      </w:pPr>
      <w:r>
        <w:rPr>
          <w:rFonts w:ascii="Arial" w:hAnsi="Arial" w:cs="Arial"/>
          <w:sz w:val="20"/>
          <w:szCs w:val="20"/>
        </w:rPr>
        <w:t xml:space="preserve">[49] </w:t>
      </w:r>
      <w:r w:rsidRPr="007F6791">
        <w:rPr>
          <w:rFonts w:ascii="Arial" w:hAnsi="Arial" w:cs="Arial"/>
          <w:sz w:val="20"/>
          <w:szCs w:val="20"/>
        </w:rPr>
        <w:t>Axiomatically, what is ‘reasonable’ for this purpose will depend on the circumstances of the case</w:t>
      </w:r>
      <w:r w:rsidR="00CE0081">
        <w:rPr>
          <w:rFonts w:ascii="Arial" w:hAnsi="Arial" w:cs="Arial"/>
          <w:sz w:val="20"/>
          <w:szCs w:val="20"/>
        </w:rPr>
        <w:t xml:space="preserve">: </w:t>
      </w:r>
      <w:r w:rsidR="00CE0081" w:rsidRPr="00CE0081">
        <w:rPr>
          <w:rFonts w:ascii="Arial" w:hAnsi="Arial" w:cs="Arial"/>
          <w:i/>
          <w:iCs/>
          <w:sz w:val="20"/>
          <w:szCs w:val="20"/>
        </w:rPr>
        <w:t>Russell</w:t>
      </w:r>
      <w:r w:rsidR="00CE0081">
        <w:rPr>
          <w:rFonts w:ascii="Arial" w:hAnsi="Arial" w:cs="Arial"/>
          <w:sz w:val="20"/>
          <w:szCs w:val="20"/>
        </w:rPr>
        <w:t xml:space="preserve"> (1949) 1 All ER 109, 118; </w:t>
      </w:r>
      <w:r w:rsidR="00CE0081" w:rsidRPr="00CE0081">
        <w:rPr>
          <w:rFonts w:ascii="Arial" w:hAnsi="Arial" w:cs="Arial"/>
          <w:i/>
          <w:iCs/>
          <w:sz w:val="20"/>
          <w:szCs w:val="20"/>
        </w:rPr>
        <w:t>National Companies and Securities Commission v News Corporation Ltd</w:t>
      </w:r>
      <w:r w:rsidR="00CE0081">
        <w:rPr>
          <w:rFonts w:ascii="Arial" w:hAnsi="Arial" w:cs="Arial"/>
          <w:sz w:val="20"/>
          <w:szCs w:val="20"/>
        </w:rPr>
        <w:t xml:space="preserve"> (1984) 156 CLR 296, 311-2, 319-20; </w:t>
      </w:r>
      <w:r w:rsidR="00CE0081" w:rsidRPr="00CE0081">
        <w:rPr>
          <w:rFonts w:ascii="Arial" w:hAnsi="Arial" w:cs="Arial"/>
          <w:i/>
          <w:iCs/>
          <w:sz w:val="20"/>
          <w:szCs w:val="20"/>
        </w:rPr>
        <w:t>Condon v Pompano Pty Ltd</w:t>
      </w:r>
      <w:r w:rsidR="00CE0081">
        <w:rPr>
          <w:rFonts w:ascii="Arial" w:hAnsi="Arial" w:cs="Arial"/>
          <w:sz w:val="20"/>
          <w:szCs w:val="20"/>
        </w:rPr>
        <w:t xml:space="preserve"> at [156]</w:t>
      </w:r>
      <w:r w:rsidRPr="007F6791">
        <w:rPr>
          <w:rFonts w:ascii="Arial" w:hAnsi="Arial" w:cs="Arial"/>
          <w:sz w:val="20"/>
          <w:szCs w:val="20"/>
        </w:rPr>
        <w:t xml:space="preserve">. </w:t>
      </w:r>
      <w:r w:rsidR="00CE0081">
        <w:rPr>
          <w:rFonts w:ascii="Arial" w:hAnsi="Arial" w:cs="Arial"/>
          <w:sz w:val="20"/>
          <w:szCs w:val="20"/>
        </w:rPr>
        <w:t xml:space="preserve"> </w:t>
      </w:r>
      <w:r w:rsidRPr="007F6791">
        <w:rPr>
          <w:rFonts w:ascii="Arial" w:hAnsi="Arial" w:cs="Arial"/>
          <w:sz w:val="20"/>
          <w:szCs w:val="20"/>
        </w:rPr>
        <w:t>Matters to be taken into account in determining the practical content of fairness in the particular case will include</w:t>
      </w:r>
      <w:r>
        <w:rPr>
          <w:rFonts w:ascii="Arial" w:hAnsi="Arial" w:cs="Arial"/>
          <w:sz w:val="20"/>
          <w:szCs w:val="20"/>
        </w:rPr>
        <w:t>:</w:t>
      </w:r>
    </w:p>
    <w:p w14:paraId="347549C4" w14:textId="0D8DF41F" w:rsidR="00B2600C" w:rsidRDefault="00B2600C" w:rsidP="00631A8B">
      <w:pPr>
        <w:ind w:left="811" w:right="454" w:hanging="357"/>
        <w:jc w:val="both"/>
        <w:rPr>
          <w:rFonts w:ascii="Arial" w:hAnsi="Arial" w:cs="Arial"/>
          <w:sz w:val="20"/>
          <w:szCs w:val="20"/>
        </w:rPr>
      </w:pPr>
      <w:r w:rsidRPr="007F6791">
        <w:rPr>
          <w:rFonts w:ascii="Arial" w:hAnsi="Arial" w:cs="Arial"/>
          <w:sz w:val="20"/>
          <w:szCs w:val="20"/>
        </w:rPr>
        <w:sym w:font="Symbol" w:char="F0B7"/>
      </w:r>
      <w:r>
        <w:rPr>
          <w:rFonts w:ascii="Arial" w:hAnsi="Arial" w:cs="Arial"/>
          <w:sz w:val="20"/>
          <w:szCs w:val="20"/>
        </w:rPr>
        <w:tab/>
      </w:r>
      <w:r w:rsidRPr="007F6791">
        <w:rPr>
          <w:rFonts w:ascii="Arial" w:hAnsi="Arial" w:cs="Arial"/>
          <w:sz w:val="20"/>
          <w:szCs w:val="20"/>
        </w:rPr>
        <w:t>the nature of the decision to be made;</w:t>
      </w:r>
    </w:p>
    <w:p w14:paraId="19DB0D60" w14:textId="4C8EF772" w:rsidR="00B2600C" w:rsidRDefault="00631A8B" w:rsidP="00631A8B">
      <w:pPr>
        <w:pStyle w:val="ListParagraph"/>
        <w:numPr>
          <w:ilvl w:val="0"/>
          <w:numId w:val="115"/>
        </w:numPr>
        <w:ind w:right="454"/>
        <w:jc w:val="both"/>
        <w:rPr>
          <w:rFonts w:ascii="Arial" w:hAnsi="Arial" w:cs="Arial"/>
          <w:sz w:val="20"/>
        </w:rPr>
      </w:pPr>
      <w:r w:rsidRPr="00631A8B">
        <w:rPr>
          <w:rFonts w:ascii="Arial" w:hAnsi="Arial" w:cs="Arial"/>
          <w:sz w:val="20"/>
        </w:rPr>
        <w:t>the nature and complexity of the issues in dispute;</w:t>
      </w:r>
    </w:p>
    <w:p w14:paraId="23B7B20C" w14:textId="72257D73" w:rsid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nature and complexity of the submissions which the party wishes to advance;</w:t>
      </w:r>
    </w:p>
    <w:p w14:paraId="234A88A9" w14:textId="5F0DFEC0" w:rsid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significance to that party of an adverse decision (‘what is at stake’</w:t>
      </w:r>
      <w:r w:rsidR="00CE0081">
        <w:rPr>
          <w:rFonts w:ascii="Arial" w:hAnsi="Arial" w:cs="Arial"/>
          <w:sz w:val="20"/>
        </w:rPr>
        <w:t xml:space="preserve">: </w:t>
      </w:r>
      <w:r w:rsidR="00CE0081" w:rsidRPr="00CE0081">
        <w:rPr>
          <w:rFonts w:ascii="Arial" w:hAnsi="Arial" w:cs="Arial"/>
          <w:i/>
          <w:iCs/>
          <w:sz w:val="20"/>
        </w:rPr>
        <w:t>Shrestha</w:t>
      </w:r>
      <w:r w:rsidR="00CE0081">
        <w:rPr>
          <w:rFonts w:ascii="Arial" w:hAnsi="Arial" w:cs="Arial"/>
          <w:sz w:val="20"/>
        </w:rPr>
        <w:t xml:space="preserve"> at [49] &amp; [54]</w:t>
      </w:r>
      <w:r w:rsidRPr="007F6791">
        <w:rPr>
          <w:rFonts w:ascii="Arial" w:hAnsi="Arial" w:cs="Arial"/>
          <w:sz w:val="20"/>
        </w:rPr>
        <w:t>);</w:t>
      </w:r>
      <w:r>
        <w:rPr>
          <w:rFonts w:ascii="Arial" w:hAnsi="Arial" w:cs="Arial"/>
          <w:sz w:val="20"/>
        </w:rPr>
        <w:t xml:space="preserve"> and</w:t>
      </w:r>
    </w:p>
    <w:p w14:paraId="0A529D48" w14:textId="574EA83B" w:rsidR="00631A8B" w:rsidRPr="00631A8B" w:rsidRDefault="00631A8B" w:rsidP="00631A8B">
      <w:pPr>
        <w:pStyle w:val="ListParagraph"/>
        <w:numPr>
          <w:ilvl w:val="0"/>
          <w:numId w:val="115"/>
        </w:numPr>
        <w:ind w:right="454"/>
        <w:jc w:val="both"/>
        <w:rPr>
          <w:rFonts w:ascii="Arial" w:hAnsi="Arial" w:cs="Arial"/>
          <w:sz w:val="20"/>
        </w:rPr>
      </w:pPr>
      <w:r w:rsidRPr="007F6791">
        <w:rPr>
          <w:rFonts w:ascii="Arial" w:hAnsi="Arial" w:cs="Arial"/>
          <w:sz w:val="20"/>
        </w:rPr>
        <w:t>the competing demands on the time and resources of the court or tribunal</w:t>
      </w:r>
      <w:r w:rsidR="00CE0081">
        <w:rPr>
          <w:rFonts w:ascii="Arial" w:hAnsi="Arial" w:cs="Arial"/>
          <w:sz w:val="20"/>
        </w:rPr>
        <w:t xml:space="preserve">: </w:t>
      </w:r>
      <w:r w:rsidR="00342362" w:rsidRPr="00342362">
        <w:rPr>
          <w:rFonts w:ascii="Arial" w:hAnsi="Arial" w:cs="Arial"/>
          <w:i/>
          <w:iCs/>
          <w:sz w:val="20"/>
        </w:rPr>
        <w:t>AMF 15 v Minister for Immigration and Border Protection</w:t>
      </w:r>
      <w:r w:rsidR="00342362">
        <w:rPr>
          <w:rFonts w:ascii="Arial" w:hAnsi="Arial" w:cs="Arial"/>
          <w:sz w:val="20"/>
        </w:rPr>
        <w:t xml:space="preserve"> (2015) 241 FCR 30, 48 [44](e); </w:t>
      </w:r>
      <w:r w:rsidR="00342362" w:rsidRPr="00342362">
        <w:rPr>
          <w:rFonts w:ascii="Arial" w:hAnsi="Arial" w:cs="Arial"/>
          <w:i/>
          <w:iCs/>
          <w:sz w:val="20"/>
        </w:rPr>
        <w:t>Shrestha</w:t>
      </w:r>
      <w:r w:rsidR="00342362">
        <w:rPr>
          <w:rFonts w:ascii="Arial" w:hAnsi="Arial" w:cs="Arial"/>
          <w:sz w:val="20"/>
        </w:rPr>
        <w:t xml:space="preserve"> at [53]-[54]; </w:t>
      </w:r>
      <w:r w:rsidR="00342362" w:rsidRPr="00342362">
        <w:rPr>
          <w:rFonts w:ascii="Arial" w:hAnsi="Arial" w:cs="Arial"/>
          <w:i/>
          <w:iCs/>
          <w:sz w:val="20"/>
        </w:rPr>
        <w:t>Barratt v Howard</w:t>
      </w:r>
      <w:r w:rsidR="00342362">
        <w:rPr>
          <w:rFonts w:ascii="Arial" w:hAnsi="Arial" w:cs="Arial"/>
          <w:sz w:val="20"/>
        </w:rPr>
        <w:t xml:space="preserve"> (2000) 96 FCR 428, 444-5 [50]-[54]; </w:t>
      </w:r>
      <w:r w:rsidR="00342362" w:rsidRPr="00342362">
        <w:rPr>
          <w:rFonts w:ascii="Arial" w:hAnsi="Arial" w:cs="Arial"/>
          <w:i/>
          <w:iCs/>
          <w:sz w:val="20"/>
        </w:rPr>
        <w:t>Chen v Minister for Immigration and Ethnic Affairs</w:t>
      </w:r>
      <w:r w:rsidR="00342362">
        <w:rPr>
          <w:rFonts w:ascii="Arial" w:hAnsi="Arial" w:cs="Arial"/>
          <w:sz w:val="20"/>
        </w:rPr>
        <w:t xml:space="preserve"> (1984) 48 FCR 591, 600-602.”</w:t>
      </w:r>
      <w:r w:rsidRPr="007F6791">
        <w:rPr>
          <w:rFonts w:ascii="Arial" w:hAnsi="Arial" w:cs="Arial"/>
          <w:sz w:val="20"/>
        </w:rPr>
        <w:t>.</w:t>
      </w:r>
    </w:p>
    <w:p w14:paraId="2DD61A4E" w14:textId="77777777" w:rsidR="00B2600C" w:rsidRDefault="00B2600C" w:rsidP="00B843BA">
      <w:pPr>
        <w:jc w:val="both"/>
        <w:rPr>
          <w:rFonts w:ascii="Arial" w:hAnsi="Arial" w:cs="Arial"/>
          <w:sz w:val="20"/>
        </w:rPr>
      </w:pPr>
    </w:p>
    <w:p w14:paraId="01F7107D" w14:textId="264B3251" w:rsidR="00B843BA" w:rsidRDefault="00B843BA" w:rsidP="00B843BA">
      <w:pPr>
        <w:jc w:val="both"/>
        <w:rPr>
          <w:rFonts w:ascii="Arial" w:hAnsi="Arial" w:cs="Arial"/>
          <w:sz w:val="20"/>
        </w:rPr>
      </w:pPr>
      <w:r>
        <w:rPr>
          <w:rFonts w:ascii="Arial" w:hAnsi="Arial" w:cs="Arial"/>
          <w:sz w:val="20"/>
        </w:rPr>
        <w:t xml:space="preserve">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CE0081">
      <w:pPr>
        <w:spacing w:before="60"/>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04945E20" w14:textId="77777777" w:rsidR="007F6791" w:rsidRDefault="007F6791" w:rsidP="00B843BA">
      <w:pPr>
        <w:jc w:val="both"/>
        <w:rPr>
          <w:rFonts w:ascii="Arial" w:hAnsi="Arial" w:cs="Arial"/>
          <w:sz w:val="20"/>
        </w:rPr>
      </w:pPr>
      <w:bookmarkStart w:id="99" w:name="_Hlk74894731"/>
    </w:p>
    <w:p w14:paraId="17EB20EF" w14:textId="32BB089E" w:rsidR="002F2123" w:rsidRDefault="002F2123" w:rsidP="00B843BA">
      <w:pPr>
        <w:jc w:val="both"/>
        <w:rPr>
          <w:rFonts w:ascii="Arial" w:hAnsi="Arial" w:cs="Arial"/>
          <w:sz w:val="20"/>
        </w:rPr>
      </w:pPr>
      <w:bookmarkStart w:id="100" w:name="_Hlk74895060"/>
      <w:r>
        <w:rPr>
          <w:rFonts w:ascii="Arial" w:hAnsi="Arial" w:cs="Arial"/>
          <w:sz w:val="20"/>
        </w:rPr>
        <w:lastRenderedPageBreak/>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D63D43">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w:t>
      </w:r>
      <w:proofErr w:type="spellStart"/>
      <w:r w:rsidR="00490B0F" w:rsidRPr="002F2123">
        <w:rPr>
          <w:rFonts w:ascii="Arial" w:hAnsi="Arial" w:cs="Arial"/>
          <w:sz w:val="20"/>
          <w:szCs w:val="20"/>
        </w:rPr>
        <w:t>eg</w:t>
      </w:r>
      <w:proofErr w:type="spellEnd"/>
      <w:r w:rsidR="00490B0F" w:rsidRPr="002F2123">
        <w:rPr>
          <w:rFonts w:ascii="Arial" w:hAnsi="Arial" w:cs="Arial"/>
          <w:sz w:val="20"/>
          <w:szCs w:val="20"/>
        </w:rPr>
        <w:t xml:space="preserve">,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w:t>
      </w:r>
      <w:proofErr w:type="spellStart"/>
      <w:r w:rsidR="00490B0F" w:rsidRPr="002F2123">
        <w:rPr>
          <w:rFonts w:ascii="Arial" w:hAnsi="Arial" w:cs="Arial"/>
          <w:sz w:val="20"/>
          <w:szCs w:val="20"/>
        </w:rPr>
        <w:t>Callinan</w:t>
      </w:r>
      <w:proofErr w:type="spellEnd"/>
      <w:r w:rsidR="00490B0F" w:rsidRPr="002F2123">
        <w:rPr>
          <w:rFonts w:ascii="Arial" w:hAnsi="Arial" w:cs="Arial"/>
          <w:sz w:val="20"/>
          <w:szCs w:val="20"/>
        </w:rPr>
        <w:t xml:space="preserve">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Pr="00C97A31" w:rsidRDefault="00AC42A5" w:rsidP="00230740">
      <w:pPr>
        <w:spacing w:before="80"/>
        <w:ind w:left="907" w:right="907"/>
        <w:jc w:val="both"/>
        <w:rPr>
          <w:rFonts w:ascii="Arial" w:hAnsi="Arial" w:cs="Arial"/>
          <w:sz w:val="18"/>
          <w:szCs w:val="18"/>
        </w:rPr>
      </w:pPr>
      <w:r w:rsidRPr="00C97A31">
        <w:rPr>
          <w:rFonts w:ascii="Arial" w:hAnsi="Arial" w:cs="Arial"/>
          <w:sz w:val="18"/>
          <w:szCs w:val="18"/>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p w14:paraId="099B8BAF" w14:textId="6F5541BD" w:rsidR="008F16B4" w:rsidRDefault="00DE6298" w:rsidP="00B843BA">
      <w:pPr>
        <w:jc w:val="both"/>
        <w:rPr>
          <w:rFonts w:ascii="Arial" w:hAnsi="Arial" w:cs="Arial"/>
          <w:sz w:val="20"/>
        </w:rPr>
      </w:pPr>
      <w:r>
        <w:rPr>
          <w:rFonts w:ascii="Arial" w:hAnsi="Arial" w:cs="Arial"/>
          <w:sz w:val="20"/>
        </w:rPr>
        <w:t xml:space="preserve">In </w:t>
      </w:r>
      <w:r w:rsidRPr="00DE6298">
        <w:rPr>
          <w:rFonts w:ascii="Arial" w:hAnsi="Arial" w:cs="Arial"/>
          <w:i/>
          <w:iCs/>
          <w:sz w:val="20"/>
        </w:rPr>
        <w:t>Moran v The King</w:t>
      </w:r>
      <w:r>
        <w:rPr>
          <w:rFonts w:ascii="Arial" w:hAnsi="Arial" w:cs="Arial"/>
          <w:sz w:val="20"/>
        </w:rPr>
        <w:t xml:space="preserve"> [2024] VSCA 13 the Court of Appeal held that the trial judge – sentencing the applicant on charges including reckless conduct endangering persons – had been in breach of procedural fairness by obtaining and relying on </w:t>
      </w:r>
      <w:r w:rsidR="008C01F3">
        <w:rPr>
          <w:rFonts w:ascii="Arial" w:hAnsi="Arial" w:cs="Arial"/>
          <w:sz w:val="20"/>
        </w:rPr>
        <w:t xml:space="preserve">the sentencing reasons of another judge in relation to one of the applicant’s prior criminal matters without giving the applicant an opportunity to be heard in relation to those reasons.  </w:t>
      </w:r>
      <w:r w:rsidR="008F16B4">
        <w:rPr>
          <w:rFonts w:ascii="Arial" w:hAnsi="Arial" w:cs="Arial"/>
          <w:sz w:val="20"/>
        </w:rPr>
        <w:t>See esp. at [48]-[51] where Walker &amp; Boyce JJA said:</w:t>
      </w:r>
    </w:p>
    <w:p w14:paraId="7AC24E93" w14:textId="77777777" w:rsidR="008F16B4" w:rsidRDefault="008F16B4" w:rsidP="008F16B4">
      <w:pPr>
        <w:spacing w:before="80"/>
        <w:ind w:left="454" w:right="454"/>
        <w:jc w:val="both"/>
        <w:rPr>
          <w:rFonts w:ascii="Arial" w:hAnsi="Arial" w:cs="Arial"/>
          <w:sz w:val="20"/>
          <w:szCs w:val="20"/>
        </w:rPr>
      </w:pPr>
      <w:r>
        <w:rPr>
          <w:rFonts w:ascii="Arial" w:hAnsi="Arial" w:cs="Arial"/>
          <w:sz w:val="20"/>
          <w:szCs w:val="20"/>
        </w:rPr>
        <w:t>[48] “</w:t>
      </w:r>
      <w:r w:rsidRPr="008F16B4">
        <w:rPr>
          <w:rFonts w:ascii="Arial" w:hAnsi="Arial" w:cs="Arial"/>
          <w:sz w:val="20"/>
          <w:szCs w:val="20"/>
        </w:rPr>
        <w:t xml:space="preserve">The applicant submitted that the sentencing judge denied him procedural fairness by obtaining the Judge Gwynn reasons and relying on them </w:t>
      </w:r>
      <w:proofErr w:type="gramStart"/>
      <w:r w:rsidRPr="008F16B4">
        <w:rPr>
          <w:rFonts w:ascii="Arial" w:hAnsi="Arial" w:cs="Arial"/>
          <w:sz w:val="20"/>
          <w:szCs w:val="20"/>
        </w:rPr>
        <w:t>in order to</w:t>
      </w:r>
      <w:proofErr w:type="gramEnd"/>
      <w:r w:rsidRPr="008F16B4">
        <w:rPr>
          <w:rFonts w:ascii="Arial" w:hAnsi="Arial" w:cs="Arial"/>
          <w:sz w:val="20"/>
          <w:szCs w:val="20"/>
        </w:rPr>
        <w:t xml:space="preserve"> take an adverse view of the applicant’s prospects of rehabilitation without first having notified the applicant’s legal representatives of his Honour’s intention to do so.</w:t>
      </w:r>
    </w:p>
    <w:p w14:paraId="72D9FF2B" w14:textId="538880DF" w:rsidR="008F16B4" w:rsidRPr="008F16B4" w:rsidRDefault="008F16B4" w:rsidP="008F16B4">
      <w:pPr>
        <w:spacing w:before="80"/>
        <w:ind w:left="454" w:right="454"/>
        <w:jc w:val="both"/>
        <w:rPr>
          <w:rFonts w:ascii="Arial" w:hAnsi="Arial" w:cs="Arial"/>
          <w:sz w:val="20"/>
          <w:szCs w:val="20"/>
        </w:rPr>
      </w:pPr>
      <w:r>
        <w:rPr>
          <w:rFonts w:ascii="Arial" w:hAnsi="Arial" w:cs="Arial"/>
          <w:sz w:val="20"/>
          <w:szCs w:val="20"/>
        </w:rPr>
        <w:t>[</w:t>
      </w:r>
      <w:r w:rsidRPr="008F16B4">
        <w:rPr>
          <w:rFonts w:ascii="Arial" w:hAnsi="Arial" w:cs="Arial"/>
          <w:sz w:val="20"/>
          <w:szCs w:val="20"/>
        </w:rPr>
        <w:t>49</w:t>
      </w:r>
      <w:r>
        <w:rPr>
          <w:rFonts w:ascii="Arial" w:hAnsi="Arial" w:cs="Arial"/>
          <w:sz w:val="20"/>
          <w:szCs w:val="20"/>
        </w:rPr>
        <w:t>]</w:t>
      </w:r>
      <w:r w:rsidRPr="008F16B4">
        <w:rPr>
          <w:rFonts w:ascii="Arial" w:hAnsi="Arial" w:cs="Arial"/>
          <w:sz w:val="20"/>
          <w:szCs w:val="20"/>
        </w:rPr>
        <w:t xml:space="preserve"> In support of this submission the applicant cited </w:t>
      </w:r>
      <w:r w:rsidRPr="008F16B4">
        <w:rPr>
          <w:rFonts w:ascii="Arial" w:hAnsi="Arial" w:cs="Arial"/>
          <w:i/>
          <w:iCs/>
          <w:sz w:val="20"/>
          <w:szCs w:val="20"/>
        </w:rPr>
        <w:t xml:space="preserve">Re Media Entertainment &amp; Arts Alliance; Ex </w:t>
      </w:r>
      <w:proofErr w:type="spellStart"/>
      <w:r w:rsidRPr="008F16B4">
        <w:rPr>
          <w:rFonts w:ascii="Arial" w:hAnsi="Arial" w:cs="Arial"/>
          <w:i/>
          <w:iCs/>
          <w:sz w:val="20"/>
          <w:szCs w:val="20"/>
        </w:rPr>
        <w:t>parte</w:t>
      </w:r>
      <w:proofErr w:type="spellEnd"/>
      <w:r w:rsidRPr="008F16B4">
        <w:rPr>
          <w:rFonts w:ascii="Arial" w:hAnsi="Arial" w:cs="Arial"/>
          <w:i/>
          <w:iCs/>
          <w:sz w:val="20"/>
          <w:szCs w:val="20"/>
        </w:rPr>
        <w:t xml:space="preserve"> Hoyts Corporation Pty Ltd</w:t>
      </w:r>
      <w:r w:rsidRPr="008F16B4">
        <w:rPr>
          <w:rFonts w:ascii="Arial" w:hAnsi="Arial" w:cs="Arial"/>
          <w:sz w:val="20"/>
          <w:szCs w:val="20"/>
        </w:rPr>
        <w:t xml:space="preserve"> (1994) 119 ALR 206, 210</w:t>
      </w:r>
      <w:r>
        <w:rPr>
          <w:rFonts w:ascii="Arial" w:hAnsi="Arial" w:cs="Arial"/>
          <w:sz w:val="20"/>
          <w:szCs w:val="20"/>
        </w:rPr>
        <w:t xml:space="preserve"> </w:t>
      </w:r>
      <w:r w:rsidRPr="008F16B4">
        <w:rPr>
          <w:rFonts w:ascii="Arial" w:hAnsi="Arial" w:cs="Arial"/>
          <w:sz w:val="20"/>
          <w:szCs w:val="20"/>
        </w:rPr>
        <w:t xml:space="preserve">where Mason CJ, Brennan, Deane, Dawson and </w:t>
      </w:r>
      <w:proofErr w:type="spellStart"/>
      <w:r w:rsidRPr="008F16B4">
        <w:rPr>
          <w:rFonts w:ascii="Arial" w:hAnsi="Arial" w:cs="Arial"/>
          <w:sz w:val="20"/>
          <w:szCs w:val="20"/>
        </w:rPr>
        <w:t>Gaudron</w:t>
      </w:r>
      <w:proofErr w:type="spellEnd"/>
      <w:r w:rsidRPr="008F16B4">
        <w:rPr>
          <w:rFonts w:ascii="Arial" w:hAnsi="Arial" w:cs="Arial"/>
          <w:sz w:val="20"/>
          <w:szCs w:val="20"/>
        </w:rPr>
        <w:t xml:space="preserve"> JJ observed that a judge’s decision must be made </w:t>
      </w:r>
      <w:proofErr w:type="gramStart"/>
      <w:r w:rsidRPr="008F16B4">
        <w:rPr>
          <w:rFonts w:ascii="Arial" w:hAnsi="Arial" w:cs="Arial"/>
          <w:sz w:val="20"/>
          <w:szCs w:val="20"/>
        </w:rPr>
        <w:t>on the basis of</w:t>
      </w:r>
      <w:proofErr w:type="gramEnd"/>
      <w:r w:rsidRPr="008F16B4">
        <w:rPr>
          <w:rFonts w:ascii="Arial" w:hAnsi="Arial" w:cs="Arial"/>
          <w:sz w:val="20"/>
          <w:szCs w:val="20"/>
        </w:rPr>
        <w:t xml:space="preserve"> the evidence and arguments in the case and not ‘on the basis of information which is independently acquired’. </w:t>
      </w:r>
      <w:r>
        <w:rPr>
          <w:rFonts w:ascii="Arial" w:hAnsi="Arial" w:cs="Arial"/>
          <w:sz w:val="20"/>
          <w:szCs w:val="20"/>
        </w:rPr>
        <w:t xml:space="preserve"> </w:t>
      </w:r>
      <w:r w:rsidRPr="008F16B4">
        <w:rPr>
          <w:rFonts w:ascii="Arial" w:hAnsi="Arial" w:cs="Arial"/>
          <w:sz w:val="20"/>
          <w:szCs w:val="20"/>
        </w:rPr>
        <w:t xml:space="preserve">The applicant also relied on this Court’s statement of principle in </w:t>
      </w:r>
      <w:r w:rsidRPr="008F16B4">
        <w:rPr>
          <w:rFonts w:ascii="Arial" w:hAnsi="Arial" w:cs="Arial"/>
          <w:i/>
          <w:iCs/>
          <w:sz w:val="20"/>
          <w:szCs w:val="20"/>
        </w:rPr>
        <w:lastRenderedPageBreak/>
        <w:t>SD v The Queen</w:t>
      </w:r>
      <w:r w:rsidRPr="008F16B4">
        <w:rPr>
          <w:rFonts w:ascii="Arial" w:hAnsi="Arial" w:cs="Arial"/>
          <w:sz w:val="20"/>
          <w:szCs w:val="20"/>
        </w:rPr>
        <w:t xml:space="preserve">, namely, that a court ‘is not entitled to </w:t>
      </w:r>
      <w:proofErr w:type="gramStart"/>
      <w:r w:rsidRPr="008F16B4">
        <w:rPr>
          <w:rFonts w:ascii="Arial" w:hAnsi="Arial" w:cs="Arial"/>
          <w:sz w:val="20"/>
          <w:szCs w:val="20"/>
        </w:rPr>
        <w:t>take into account</w:t>
      </w:r>
      <w:proofErr w:type="gramEnd"/>
      <w:r w:rsidRPr="008F16B4">
        <w:rPr>
          <w:rFonts w:ascii="Arial" w:hAnsi="Arial" w:cs="Arial"/>
          <w:sz w:val="20"/>
          <w:szCs w:val="20"/>
        </w:rPr>
        <w:t xml:space="preserve"> factual material not in evidence without notice to the parties’: (2013) 39 VR 487, 496 [37].</w:t>
      </w:r>
    </w:p>
    <w:p w14:paraId="3EF11C6D" w14:textId="77777777" w:rsidR="008F16B4" w:rsidRDefault="008F16B4" w:rsidP="008F16B4">
      <w:pPr>
        <w:spacing w:before="80"/>
        <w:ind w:left="454" w:right="454"/>
        <w:jc w:val="both"/>
        <w:rPr>
          <w:rFonts w:ascii="Arial" w:hAnsi="Arial" w:cs="Arial"/>
          <w:sz w:val="20"/>
          <w:szCs w:val="20"/>
        </w:rPr>
      </w:pPr>
      <w:r>
        <w:rPr>
          <w:rFonts w:ascii="Arial" w:hAnsi="Arial" w:cs="Arial"/>
          <w:sz w:val="20"/>
          <w:szCs w:val="20"/>
        </w:rPr>
        <w:t>[</w:t>
      </w:r>
      <w:r w:rsidRPr="008F16B4">
        <w:rPr>
          <w:rFonts w:ascii="Arial" w:hAnsi="Arial" w:cs="Arial"/>
          <w:sz w:val="20"/>
          <w:szCs w:val="20"/>
        </w:rPr>
        <w:t>50</w:t>
      </w:r>
      <w:r>
        <w:rPr>
          <w:rFonts w:ascii="Arial" w:hAnsi="Arial" w:cs="Arial"/>
          <w:sz w:val="20"/>
          <w:szCs w:val="20"/>
        </w:rPr>
        <w:t>]</w:t>
      </w:r>
      <w:r w:rsidRPr="008F16B4">
        <w:rPr>
          <w:rFonts w:ascii="Arial" w:hAnsi="Arial" w:cs="Arial"/>
          <w:sz w:val="20"/>
          <w:szCs w:val="20"/>
        </w:rPr>
        <w:t xml:space="preserve"> As noted above, the respondent conceded that there had been a breach of procedural fairness caused by the sentencing judge’s use of the Judge Gwynn reasons.</w:t>
      </w:r>
    </w:p>
    <w:p w14:paraId="57FFDF49" w14:textId="169DF5D3" w:rsidR="008F16B4" w:rsidRPr="008F16B4" w:rsidRDefault="008F16B4" w:rsidP="008F16B4">
      <w:pPr>
        <w:spacing w:before="80"/>
        <w:ind w:left="454" w:right="454"/>
        <w:jc w:val="both"/>
        <w:rPr>
          <w:rFonts w:ascii="Arial" w:hAnsi="Arial" w:cs="Arial"/>
          <w:sz w:val="16"/>
          <w:szCs w:val="20"/>
        </w:rPr>
      </w:pPr>
      <w:r w:rsidRPr="00D010E0">
        <w:rPr>
          <w:rFonts w:ascii="Arial" w:hAnsi="Arial" w:cs="Arial"/>
          <w:sz w:val="20"/>
          <w:szCs w:val="20"/>
        </w:rPr>
        <w:t xml:space="preserve">[51] We accept the applicant’s contention of error and the respondent’s concession in this regard concerning Ground 1(a) and (b). The concession is consistent with the decisions of this Court in </w:t>
      </w:r>
      <w:r w:rsidRPr="00D010E0">
        <w:rPr>
          <w:rFonts w:ascii="Arial" w:hAnsi="Arial" w:cs="Arial"/>
          <w:i/>
          <w:iCs/>
          <w:sz w:val="20"/>
          <w:szCs w:val="20"/>
        </w:rPr>
        <w:t>R v Ulla</w:t>
      </w:r>
      <w:r w:rsidR="00D010E0" w:rsidRPr="00D010E0">
        <w:rPr>
          <w:rFonts w:ascii="Arial" w:hAnsi="Arial" w:cs="Arial"/>
          <w:sz w:val="20"/>
          <w:szCs w:val="20"/>
        </w:rPr>
        <w:t xml:space="preserve"> [2004] VSCA 130</w:t>
      </w:r>
      <w:r w:rsidRPr="00D010E0">
        <w:rPr>
          <w:rFonts w:ascii="Arial" w:hAnsi="Arial" w:cs="Arial"/>
          <w:sz w:val="20"/>
          <w:szCs w:val="20"/>
        </w:rPr>
        <w:t xml:space="preserve"> and </w:t>
      </w:r>
      <w:r w:rsidRPr="00D010E0">
        <w:rPr>
          <w:rFonts w:ascii="Arial" w:hAnsi="Arial" w:cs="Arial"/>
          <w:i/>
          <w:iCs/>
          <w:sz w:val="20"/>
          <w:szCs w:val="20"/>
        </w:rPr>
        <w:t>R v Wise</w:t>
      </w:r>
      <w:r w:rsidR="00D010E0" w:rsidRPr="00D010E0">
        <w:rPr>
          <w:rFonts w:ascii="Arial" w:hAnsi="Arial" w:cs="Arial"/>
          <w:sz w:val="20"/>
          <w:szCs w:val="20"/>
        </w:rPr>
        <w:t xml:space="preserve"> (2000) 2 VR 287; [2000] VSCA 169</w:t>
      </w:r>
      <w:r w:rsidRPr="00D010E0">
        <w:rPr>
          <w:rFonts w:ascii="Arial" w:hAnsi="Arial" w:cs="Arial"/>
          <w:sz w:val="20"/>
          <w:szCs w:val="20"/>
        </w:rPr>
        <w:t xml:space="preserve">. Each was a case where procedural fairness was denied when a sentencing judge sentenced a person by reference to earlier sentencing reasons concerning that person, in circumstances where those reasons had not been brought to the attention of the sentenced </w:t>
      </w:r>
      <w:r w:rsidRPr="008F16B4">
        <w:rPr>
          <w:rFonts w:ascii="Arial" w:hAnsi="Arial" w:cs="Arial"/>
          <w:sz w:val="20"/>
          <w:szCs w:val="20"/>
        </w:rPr>
        <w:t>person’s legal representatives.</w:t>
      </w:r>
      <w:r>
        <w:rPr>
          <w:rFonts w:ascii="Arial" w:hAnsi="Arial" w:cs="Arial"/>
          <w:sz w:val="20"/>
          <w:szCs w:val="20"/>
        </w:rPr>
        <w:t>”</w:t>
      </w:r>
    </w:p>
    <w:p w14:paraId="73E3D633" w14:textId="2F4A7F3C" w:rsidR="00DE6298" w:rsidRDefault="008C01F3" w:rsidP="008F16B4">
      <w:pPr>
        <w:spacing w:before="60"/>
        <w:jc w:val="both"/>
        <w:rPr>
          <w:rFonts w:ascii="Arial" w:hAnsi="Arial" w:cs="Arial"/>
          <w:sz w:val="20"/>
        </w:rPr>
      </w:pPr>
      <w:r>
        <w:rPr>
          <w:rFonts w:ascii="Arial" w:hAnsi="Arial" w:cs="Arial"/>
          <w:sz w:val="20"/>
        </w:rPr>
        <w:t>The sentencing discretion being reopened, the Court of Appeal imposed a TES IMP 27m/18m in lieu of a TES IMP 31m/20m.</w:t>
      </w:r>
    </w:p>
    <w:p w14:paraId="317AEC0B" w14:textId="77777777" w:rsidR="00DE6298" w:rsidRDefault="00DE6298" w:rsidP="00B843BA">
      <w:pPr>
        <w:jc w:val="both"/>
        <w:rPr>
          <w:rFonts w:ascii="Arial" w:hAnsi="Arial" w:cs="Arial"/>
          <w:sz w:val="20"/>
        </w:rPr>
      </w:pPr>
    </w:p>
    <w:bookmarkEnd w:id="99"/>
    <w:bookmarkEnd w:id="100"/>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w:t>
      </w:r>
      <w:proofErr w:type="gramStart"/>
      <w:r>
        <w:rPr>
          <w:rFonts w:ascii="Arial" w:hAnsi="Arial" w:cs="Arial"/>
          <w:iCs/>
          <w:sz w:val="20"/>
        </w:rPr>
        <w:t>as a consequence of</w:t>
      </w:r>
      <w:proofErr w:type="gramEnd"/>
      <w:r>
        <w:rPr>
          <w:rFonts w:ascii="Arial" w:hAnsi="Arial" w:cs="Arial"/>
          <w:iCs/>
          <w:sz w:val="20"/>
        </w:rPr>
        <w:t xml:space="preserve">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677D8887" w:rsidR="0042120A" w:rsidRDefault="005E1242" w:rsidP="005E1242">
      <w:pPr>
        <w:spacing w:before="60"/>
        <w:jc w:val="both"/>
        <w:rPr>
          <w:rFonts w:ascii="Arial" w:hAnsi="Arial" w:cs="Arial"/>
          <w:color w:val="000000"/>
          <w:sz w:val="20"/>
        </w:rPr>
      </w:pPr>
      <w:r>
        <w:rPr>
          <w:rFonts w:ascii="Arial" w:hAnsi="Arial" w:cs="Arial"/>
          <w:color w:val="000000"/>
          <w:sz w:val="20"/>
        </w:rPr>
        <w:t xml:space="preserve">See also </w:t>
      </w:r>
      <w:bookmarkStart w:id="101" w:name="_Hlk122684910"/>
      <w:r w:rsidRPr="005E1242">
        <w:rPr>
          <w:rFonts w:ascii="Arial" w:hAnsi="Arial" w:cs="Arial"/>
          <w:i/>
          <w:iCs/>
          <w:color w:val="000000"/>
          <w:sz w:val="20"/>
        </w:rPr>
        <w:t>Stevens v DP World Melbourne Ltd</w:t>
      </w:r>
      <w:r>
        <w:rPr>
          <w:rFonts w:ascii="Arial" w:hAnsi="Arial" w:cs="Arial"/>
          <w:color w:val="000000"/>
          <w:sz w:val="20"/>
        </w:rPr>
        <w:t xml:space="preserve"> [2022] VSCA 285 at [22] &amp; [63</w:t>
      </w:r>
      <w:r w:rsidR="00030B8C">
        <w:rPr>
          <w:rFonts w:ascii="Arial" w:hAnsi="Arial" w:cs="Arial"/>
          <w:color w:val="000000"/>
          <w:sz w:val="20"/>
        </w:rPr>
        <w:t xml:space="preserve">]-ground </w:t>
      </w:r>
      <w:r>
        <w:rPr>
          <w:rFonts w:ascii="Arial" w:hAnsi="Arial" w:cs="Arial"/>
          <w:color w:val="000000"/>
          <w:sz w:val="20"/>
        </w:rPr>
        <w:t>(8).</w:t>
      </w:r>
      <w:bookmarkEnd w:id="101"/>
    </w:p>
    <w:p w14:paraId="67827236" w14:textId="2B1C5BC8" w:rsidR="005E1242" w:rsidRPr="00F81B96" w:rsidRDefault="005E1242" w:rsidP="00B843BA">
      <w:pPr>
        <w:jc w:val="both"/>
        <w:rPr>
          <w:rFonts w:ascii="Arial" w:hAnsi="Arial" w:cs="Arial"/>
          <w:color w:val="000000"/>
          <w:sz w:val="20"/>
        </w:rPr>
      </w:pPr>
    </w:p>
    <w:p w14:paraId="4B2C331E" w14:textId="77777777" w:rsidR="00F54DB6" w:rsidRPr="00F81B96" w:rsidRDefault="00F54DB6" w:rsidP="004D794C">
      <w:pPr>
        <w:keepNext/>
        <w:keepLines/>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5E1242">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102" w:name="105-r"/>
      <w:r w:rsidRPr="00F81B96">
        <w:rPr>
          <w:rFonts w:ascii="Arial" w:hAnsi="Arial" w:cs="Arial"/>
          <w:color w:val="000000"/>
          <w:sz w:val="20"/>
          <w:lang w:val="en"/>
        </w:rPr>
        <w:t>s</w:t>
      </w:r>
      <w:bookmarkEnd w:id="102"/>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r w:rsidRPr="00F81B96">
        <w:rPr>
          <w:rFonts w:ascii="Arial" w:hAnsi="Arial" w:cs="Arial"/>
          <w:i/>
          <w:color w:val="000000"/>
          <w:sz w:val="20"/>
          <w:lang w:val="en"/>
        </w:rPr>
        <w:t>Jago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lastRenderedPageBreak/>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103" w:name="_ftnref48"/>
      <w:r w:rsidR="00BF22E6" w:rsidRPr="00BF22E6">
        <w:rPr>
          <w:rFonts w:ascii="inherit" w:hAnsi="inherit"/>
          <w:i/>
          <w:iCs/>
          <w:color w:val="000000"/>
          <w:sz w:val="23"/>
          <w:szCs w:val="23"/>
        </w:rPr>
        <w:t xml:space="preserve"> </w:t>
      </w:r>
      <w:hyperlink r:id="rId18" w:history="1">
        <w:proofErr w:type="spellStart"/>
        <w:r w:rsidR="00BF22E6" w:rsidRPr="00BF22E6">
          <w:rPr>
            <w:rStyle w:val="Hyperlink"/>
            <w:rFonts w:ascii="Arial" w:hAnsi="Arial" w:cs="Arial"/>
            <w:i/>
            <w:iCs/>
            <w:color w:val="000000" w:themeColor="text1"/>
            <w:sz w:val="20"/>
            <w:szCs w:val="20"/>
            <w:u w:val="none"/>
          </w:rPr>
          <w:t>Kioa</w:t>
        </w:r>
        <w:proofErr w:type="spellEnd"/>
        <w:r w:rsidR="00BF22E6" w:rsidRPr="00BF22E6">
          <w:rPr>
            <w:rStyle w:val="Hyperlink"/>
            <w:rFonts w:ascii="Arial" w:hAnsi="Arial" w:cs="Arial"/>
            <w:i/>
            <w:iCs/>
            <w:color w:val="000000" w:themeColor="text1"/>
            <w:sz w:val="20"/>
            <w:szCs w:val="20"/>
            <w:u w:val="none"/>
          </w:rPr>
          <w:t xml:space="preserve">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103"/>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proofErr w:type="spellStart"/>
        <w:r w:rsidRPr="00BF22E6">
          <w:rPr>
            <w:rStyle w:val="Hyperlink"/>
            <w:rFonts w:ascii="Arial" w:hAnsi="Arial" w:cs="Arial"/>
            <w:i/>
            <w:iCs/>
            <w:color w:val="000000" w:themeColor="text1"/>
            <w:sz w:val="20"/>
            <w:szCs w:val="20"/>
            <w:u w:val="none"/>
          </w:rPr>
          <w:t>Kioa</w:t>
        </w:r>
        <w:proofErr w:type="spellEnd"/>
        <w:r w:rsidRPr="00BF22E6">
          <w:rPr>
            <w:rStyle w:val="Hyperlink"/>
            <w:rFonts w:ascii="Arial" w:hAnsi="Arial" w:cs="Arial"/>
            <w:i/>
            <w:iCs/>
            <w:color w:val="000000" w:themeColor="text1"/>
            <w:sz w:val="20"/>
            <w:szCs w:val="20"/>
            <w:u w:val="none"/>
          </w:rPr>
          <w:t xml:space="preserve">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3E72C0" w:rsidRDefault="005F08ED" w:rsidP="005F08ED">
      <w:pPr>
        <w:pStyle w:val="NormalWeb"/>
        <w:shd w:val="clear" w:color="auto" w:fill="FFFFFF"/>
        <w:spacing w:before="60" w:beforeAutospacing="0" w:after="0" w:afterAutospacing="0"/>
        <w:ind w:left="907" w:right="907"/>
        <w:jc w:val="both"/>
        <w:rPr>
          <w:rFonts w:ascii="Arial" w:hAnsi="Arial" w:cs="Arial"/>
          <w:sz w:val="18"/>
          <w:szCs w:val="18"/>
        </w:rPr>
      </w:pPr>
      <w:r w:rsidRPr="003E72C0">
        <w:rPr>
          <w:rFonts w:ascii="Arial" w:hAnsi="Arial" w:cs="Arial"/>
          <w:sz w:val="18"/>
          <w:szCs w:val="18"/>
        </w:rPr>
        <w:t>‘A person whose interests are likely to be affected by an exercise of power must be given an opportunity to deal with relevant matters to his interests which the repository of the power proposes to take into account in deciding upon its exercise.’</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r>
        <w:rPr>
          <w:rFonts w:ascii="Arial" w:hAnsi="Arial" w:cs="Arial"/>
          <w:color w:val="000000"/>
          <w:sz w:val="20"/>
        </w:rPr>
        <w:t>Ginnane</w:t>
      </w:r>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Most self-represented persons lack two qualities that competent lawyers possess - legal skill and ability, and objectivity. Self-represented litigants 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Pr="003E72C0" w:rsidRDefault="00D27D03"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sidRPr="003E72C0">
        <w:rPr>
          <w:rFonts w:ascii="Arial" w:hAnsi="Arial" w:cs="Arial"/>
          <w:color w:val="000000"/>
          <w:sz w:val="18"/>
          <w:szCs w:val="22"/>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Pr="003E72C0" w:rsidRDefault="00826176"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22"/>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Pr="003E72C0" w:rsidRDefault="00826176" w:rsidP="007B22CD">
      <w:pPr>
        <w:spacing w:before="60"/>
        <w:ind w:left="907" w:right="907"/>
        <w:jc w:val="both"/>
        <w:rPr>
          <w:rFonts w:ascii="Arial" w:hAnsi="Arial" w:cs="Arial"/>
          <w:color w:val="000000"/>
          <w:sz w:val="18"/>
          <w:szCs w:val="22"/>
        </w:rPr>
      </w:pPr>
      <w:r w:rsidRPr="003E72C0">
        <w:rPr>
          <w:rFonts w:ascii="Arial" w:hAnsi="Arial" w:cs="Arial"/>
          <w:color w:val="000000"/>
          <w:sz w:val="18"/>
          <w:szCs w:val="18"/>
        </w:rPr>
        <w:t xml:space="preserve">‘However, under both the common law and s 24(1) </w:t>
      </w:r>
      <w:r w:rsidR="001451D5" w:rsidRPr="003E72C0">
        <w:rPr>
          <w:rFonts w:ascii="Arial" w:hAnsi="Arial" w:cs="Arial"/>
          <w:color w:val="000000"/>
          <w:sz w:val="18"/>
          <w:szCs w:val="18"/>
        </w:rPr>
        <w:t xml:space="preserve">[of the </w:t>
      </w:r>
      <w:r w:rsidR="001451D5" w:rsidRPr="003E72C0">
        <w:rPr>
          <w:rFonts w:ascii="Arial" w:hAnsi="Arial" w:cs="Arial"/>
          <w:i/>
          <w:iCs/>
          <w:color w:val="333333"/>
          <w:sz w:val="18"/>
          <w:szCs w:val="18"/>
          <w:shd w:val="clear" w:color="auto" w:fill="FFFFFF"/>
        </w:rPr>
        <w:t>Charter of Human Rights and Responsibilities Act 2006</w:t>
      </w:r>
      <w:r w:rsidR="001451D5" w:rsidRPr="003E72C0">
        <w:rPr>
          <w:rFonts w:ascii="Arial" w:hAnsi="Arial" w:cs="Arial"/>
          <w:color w:val="333333"/>
          <w:sz w:val="18"/>
          <w:szCs w:val="18"/>
          <w:shd w:val="clear" w:color="auto" w:fill="FFFFFF"/>
        </w:rPr>
        <w:t xml:space="preserve">] </w:t>
      </w:r>
      <w:r w:rsidRPr="003E72C0">
        <w:rPr>
          <w:rFonts w:ascii="Arial" w:hAnsi="Arial" w:cs="Arial"/>
          <w:color w:val="000000"/>
          <w:sz w:val="18"/>
          <w:szCs w:val="18"/>
        </w:rPr>
        <w:t>there is a boundary that cannot be</w:t>
      </w:r>
      <w:r w:rsidRPr="003E72C0">
        <w:rPr>
          <w:rFonts w:ascii="Arial" w:hAnsi="Arial" w:cs="Arial"/>
          <w:color w:val="000000"/>
          <w:sz w:val="18"/>
          <w:szCs w:val="22"/>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 fairness and respect for the human rights of other participants.’</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lastRenderedPageBreak/>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the Court of Appeal dismissed the appeal on the basis that assuming in the appellant’s favour that he appropriately accepted 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proofErr w:type="spellStart"/>
      <w:r w:rsidRPr="00701A60">
        <w:rPr>
          <w:rFonts w:ascii="Arial" w:hAnsi="Arial" w:cs="Arial"/>
          <w:bCs/>
          <w:i/>
          <w:iCs/>
          <w:color w:val="000000"/>
          <w:sz w:val="20"/>
        </w:rPr>
        <w:t>Konidaris</w:t>
      </w:r>
      <w:proofErr w:type="spellEnd"/>
      <w:r w:rsidRPr="00701A60">
        <w:rPr>
          <w:rFonts w:ascii="Arial" w:hAnsi="Arial" w:cs="Arial"/>
          <w:bCs/>
          <w:i/>
          <w:iCs/>
          <w:color w:val="000000"/>
          <w:sz w:val="20"/>
        </w:rPr>
        <w:t xml:space="preserve">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7B22CD">
      <w:pPr>
        <w:spacing w:before="60"/>
        <w:ind w:left="454" w:right="454"/>
        <w:jc w:val="both"/>
        <w:rPr>
          <w:rFonts w:ascii="Arial" w:hAnsi="Arial" w:cs="Arial"/>
          <w:sz w:val="20"/>
          <w:szCs w:val="20"/>
        </w:rPr>
      </w:pPr>
      <w:r>
        <w:rPr>
          <w:rFonts w:ascii="Arial" w:hAnsi="Arial" w:cs="Arial"/>
          <w:sz w:val="20"/>
          <w:szCs w:val="20"/>
        </w:rPr>
        <w:t>“</w:t>
      </w:r>
      <w:r w:rsidR="00F202AD" w:rsidRPr="002535E9">
        <w:rPr>
          <w:rFonts w:ascii="Arial" w:hAnsi="Arial" w:cs="Arial"/>
          <w:sz w:val="20"/>
          <w:szCs w:val="20"/>
        </w:rPr>
        <w:t xml:space="preserve">We consider that in obtaining and using the </w:t>
      </w:r>
      <w:proofErr w:type="spellStart"/>
      <w:r w:rsidR="00F202AD" w:rsidRPr="002535E9">
        <w:rPr>
          <w:rFonts w:ascii="Arial" w:hAnsi="Arial" w:cs="Arial"/>
          <w:sz w:val="20"/>
          <w:szCs w:val="20"/>
        </w:rPr>
        <w:t>Sevar</w:t>
      </w:r>
      <w:proofErr w:type="spellEnd"/>
      <w:r w:rsidR="00F202AD" w:rsidRPr="002535E9">
        <w:rPr>
          <w:rFonts w:ascii="Arial" w:hAnsi="Arial" w:cs="Arial"/>
          <w:sz w:val="20"/>
          <w:szCs w:val="20"/>
        </w:rPr>
        <w:t xml:space="preserve">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[69] (</w:t>
      </w:r>
      <w:proofErr w:type="spellStart"/>
      <w:r w:rsidR="002535E9" w:rsidRPr="002535E9">
        <w:rPr>
          <w:rFonts w:ascii="Arial" w:hAnsi="Arial" w:cs="Arial"/>
          <w:sz w:val="20"/>
          <w:szCs w:val="20"/>
        </w:rPr>
        <w:t>Studdert</w:t>
      </w:r>
      <w:proofErr w:type="spellEnd"/>
      <w:r w:rsidR="002535E9" w:rsidRPr="002535E9">
        <w:rPr>
          <w:rFonts w:ascii="Arial" w:hAnsi="Arial" w:cs="Arial"/>
          <w:sz w:val="20"/>
          <w:szCs w:val="20"/>
        </w:rPr>
        <w:t xml:space="preserve">,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16B4D08E" w14:textId="78D75008" w:rsidR="00C95D06" w:rsidRDefault="00C95D06" w:rsidP="008E5CB0">
      <w:pPr>
        <w:tabs>
          <w:tab w:val="left" w:pos="1440"/>
        </w:tabs>
        <w:jc w:val="both"/>
        <w:rPr>
          <w:rFonts w:ascii="Arial" w:hAnsi="Arial" w:cs="Arial"/>
          <w:sz w:val="20"/>
          <w:szCs w:val="20"/>
        </w:rPr>
      </w:pPr>
      <w:r w:rsidRPr="00C95D06">
        <w:rPr>
          <w:rFonts w:ascii="Arial" w:hAnsi="Arial" w:cs="Arial"/>
          <w:sz w:val="20"/>
          <w:szCs w:val="20"/>
        </w:rPr>
        <w:t xml:space="preserve">In </w:t>
      </w:r>
      <w:r w:rsidRPr="00C95D06">
        <w:rPr>
          <w:rFonts w:ascii="Arial" w:hAnsi="Arial" w:cs="Arial"/>
          <w:i/>
          <w:iCs/>
          <w:sz w:val="20"/>
          <w:szCs w:val="20"/>
        </w:rPr>
        <w:t>Nathanson v Minister for Home Affairs</w:t>
      </w:r>
      <w:r w:rsidRPr="00C95D06">
        <w:rPr>
          <w:rFonts w:ascii="Arial" w:hAnsi="Arial" w:cs="Arial"/>
          <w:sz w:val="20"/>
          <w:szCs w:val="20"/>
        </w:rPr>
        <w:t xml:space="preserve"> [2022] HCA 26 </w:t>
      </w:r>
      <w:r>
        <w:rPr>
          <w:rFonts w:ascii="Arial" w:hAnsi="Arial" w:cs="Arial"/>
          <w:sz w:val="20"/>
          <w:szCs w:val="20"/>
        </w:rPr>
        <w:t>t</w:t>
      </w:r>
      <w:r w:rsidRPr="00C95D06">
        <w:rPr>
          <w:rFonts w:ascii="Arial" w:hAnsi="Arial" w:cs="Arial"/>
          <w:sz w:val="20"/>
          <w:szCs w:val="20"/>
        </w:rPr>
        <w:t>he appellant</w:t>
      </w:r>
      <w:r w:rsidR="007F4436">
        <w:rPr>
          <w:rFonts w:ascii="Arial" w:hAnsi="Arial" w:cs="Arial"/>
          <w:sz w:val="20"/>
          <w:szCs w:val="20"/>
        </w:rPr>
        <w:t xml:space="preserve"> N</w:t>
      </w:r>
      <w:r w:rsidRPr="00C95D06">
        <w:rPr>
          <w:rFonts w:ascii="Arial" w:hAnsi="Arial" w:cs="Arial"/>
          <w:sz w:val="20"/>
          <w:szCs w:val="20"/>
        </w:rPr>
        <w:t xml:space="preserve">, a citizen of New Zealand born in Zimbabwe, arrived in Australia in 2010 when he was 26 years old. In 2013 </w:t>
      </w:r>
      <w:r w:rsidR="007F4436">
        <w:rPr>
          <w:rFonts w:ascii="Arial" w:hAnsi="Arial" w:cs="Arial"/>
          <w:sz w:val="20"/>
          <w:szCs w:val="20"/>
        </w:rPr>
        <w:t>N</w:t>
      </w:r>
      <w:r w:rsidRPr="00C95D06">
        <w:rPr>
          <w:rFonts w:ascii="Arial" w:hAnsi="Arial" w:cs="Arial"/>
          <w:sz w:val="20"/>
          <w:szCs w:val="20"/>
        </w:rPr>
        <w:t xml:space="preserve"> was granted a Class TY Subclass 444 Special Category visa. In 2018, a delegate of the respondent Minister cancelled that visa pursuant to s 501(3A) of the </w:t>
      </w:r>
      <w:r w:rsidRPr="00C95D06">
        <w:rPr>
          <w:rFonts w:ascii="Arial" w:hAnsi="Arial" w:cs="Arial"/>
          <w:i/>
          <w:iCs/>
          <w:sz w:val="20"/>
          <w:szCs w:val="20"/>
        </w:rPr>
        <w:t>Migration Act 1958 (</w:t>
      </w:r>
      <w:proofErr w:type="spellStart"/>
      <w:r w:rsidRPr="00C95D06">
        <w:rPr>
          <w:rFonts w:ascii="Arial" w:hAnsi="Arial" w:cs="Arial"/>
          <w:i/>
          <w:iCs/>
          <w:sz w:val="20"/>
          <w:szCs w:val="20"/>
        </w:rPr>
        <w:t>Cth</w:t>
      </w:r>
      <w:proofErr w:type="spellEnd"/>
      <w:r w:rsidRPr="00C95D06">
        <w:rPr>
          <w:rFonts w:ascii="Arial" w:hAnsi="Arial" w:cs="Arial"/>
          <w:i/>
          <w:iCs/>
          <w:sz w:val="20"/>
          <w:szCs w:val="20"/>
        </w:rPr>
        <w:t>)</w:t>
      </w:r>
      <w:r w:rsidRPr="00C95D06">
        <w:rPr>
          <w:rFonts w:ascii="Arial" w:hAnsi="Arial" w:cs="Arial"/>
          <w:sz w:val="20"/>
          <w:szCs w:val="20"/>
        </w:rPr>
        <w:t xml:space="preserve">. Section 501(3A) required the Minister to cancel the visa because the Minister was satisfied that </w:t>
      </w:r>
      <w:r w:rsidR="007F4436">
        <w:rPr>
          <w:rFonts w:ascii="Arial" w:hAnsi="Arial" w:cs="Arial"/>
          <w:sz w:val="20"/>
          <w:szCs w:val="20"/>
        </w:rPr>
        <w:t>N</w:t>
      </w:r>
      <w:r w:rsidRPr="00C95D06">
        <w:rPr>
          <w:rFonts w:ascii="Arial" w:hAnsi="Arial" w:cs="Arial"/>
          <w:sz w:val="20"/>
          <w:szCs w:val="20"/>
        </w:rPr>
        <w:t xml:space="preserve"> did not pass the </w:t>
      </w:r>
      <w:r>
        <w:rPr>
          <w:rFonts w:ascii="Arial" w:hAnsi="Arial" w:cs="Arial"/>
          <w:sz w:val="20"/>
          <w:szCs w:val="20"/>
        </w:rPr>
        <w:t>“</w:t>
      </w:r>
      <w:r w:rsidRPr="00C95D06">
        <w:rPr>
          <w:rFonts w:ascii="Arial" w:hAnsi="Arial" w:cs="Arial"/>
          <w:sz w:val="20"/>
          <w:szCs w:val="20"/>
        </w:rPr>
        <w:t xml:space="preserve">character test" in s 501(6) of the Act and because </w:t>
      </w:r>
      <w:r w:rsidR="007F4436">
        <w:rPr>
          <w:rFonts w:ascii="Arial" w:hAnsi="Arial" w:cs="Arial"/>
          <w:sz w:val="20"/>
          <w:szCs w:val="20"/>
        </w:rPr>
        <w:t>he</w:t>
      </w:r>
      <w:r w:rsidRPr="00C95D06">
        <w:rPr>
          <w:rFonts w:ascii="Arial" w:hAnsi="Arial" w:cs="Arial"/>
          <w:sz w:val="20"/>
          <w:szCs w:val="20"/>
        </w:rPr>
        <w:t xml:space="preserve"> was then serving a sentence of imprisonment on a full</w:t>
      </w:r>
      <w:r>
        <w:rPr>
          <w:rFonts w:ascii="Arial" w:hAnsi="Arial" w:cs="Arial"/>
          <w:sz w:val="20"/>
          <w:szCs w:val="20"/>
        </w:rPr>
        <w:t>-</w:t>
      </w:r>
      <w:r w:rsidRPr="00C95D06">
        <w:rPr>
          <w:rFonts w:ascii="Arial" w:hAnsi="Arial" w:cs="Arial"/>
          <w:sz w:val="20"/>
          <w:szCs w:val="20"/>
        </w:rPr>
        <w:t xml:space="preserve">time basis in a custodial institution for offences against laws of the Northern Territory. The particular offences that led to cancellation of </w:t>
      </w:r>
      <w:r w:rsidR="007F4436">
        <w:rPr>
          <w:rFonts w:ascii="Arial" w:hAnsi="Arial" w:cs="Arial"/>
          <w:sz w:val="20"/>
          <w:szCs w:val="20"/>
        </w:rPr>
        <w:t>N</w:t>
      </w:r>
      <w:r w:rsidRPr="00C95D06">
        <w:rPr>
          <w:rFonts w:ascii="Arial" w:hAnsi="Arial" w:cs="Arial"/>
          <w:sz w:val="20"/>
          <w:szCs w:val="20"/>
        </w:rPr>
        <w:t xml:space="preserve">'s visa were depriving a person of personal liberty, aggravated assault, stealing and driving a vehicle in a dangerous manner. The objective circumstances of the offences were serious, including in that: the victim was a </w:t>
      </w:r>
      <w:r w:rsidR="007F4436">
        <w:rPr>
          <w:rFonts w:ascii="Arial" w:hAnsi="Arial" w:cs="Arial"/>
          <w:sz w:val="20"/>
          <w:szCs w:val="20"/>
        </w:rPr>
        <w:t>70</w:t>
      </w:r>
      <w:r w:rsidRPr="00C95D06">
        <w:rPr>
          <w:rFonts w:ascii="Arial" w:hAnsi="Arial" w:cs="Arial"/>
          <w:sz w:val="20"/>
          <w:szCs w:val="20"/>
        </w:rPr>
        <w:t xml:space="preserve"> year old man; the attack was unprovoked and the victim was deprived of his liberty for almost 12 hours during which the appellant threatened the victim's life; and the offending involved the victim in a high speed car pursuit with police. For the offences, </w:t>
      </w:r>
      <w:r w:rsidR="007F4436">
        <w:rPr>
          <w:rFonts w:ascii="Arial" w:hAnsi="Arial" w:cs="Arial"/>
          <w:sz w:val="20"/>
          <w:szCs w:val="20"/>
        </w:rPr>
        <w:t>N</w:t>
      </w:r>
      <w:r w:rsidRPr="00C95D06">
        <w:rPr>
          <w:rFonts w:ascii="Arial" w:hAnsi="Arial" w:cs="Arial"/>
          <w:sz w:val="20"/>
          <w:szCs w:val="20"/>
        </w:rPr>
        <w:t xml:space="preserve"> had been sentenced to a total effective period of imprisonment of two years and six months. </w:t>
      </w:r>
      <w:r>
        <w:rPr>
          <w:rFonts w:ascii="Arial" w:hAnsi="Arial" w:cs="Arial"/>
          <w:sz w:val="20"/>
          <w:szCs w:val="20"/>
        </w:rPr>
        <w:t>A</w:t>
      </w:r>
      <w:r w:rsidRPr="00C95D06">
        <w:rPr>
          <w:rFonts w:ascii="Arial" w:hAnsi="Arial" w:cs="Arial"/>
          <w:sz w:val="20"/>
          <w:szCs w:val="20"/>
        </w:rPr>
        <w:t xml:space="preserve"> delegate of the Minister decided not to revoke the mandatory cancellation of </w:t>
      </w:r>
      <w:r w:rsidR="007F4436">
        <w:rPr>
          <w:rFonts w:ascii="Arial" w:hAnsi="Arial" w:cs="Arial"/>
          <w:sz w:val="20"/>
          <w:szCs w:val="20"/>
        </w:rPr>
        <w:t>N’s</w:t>
      </w:r>
      <w:r w:rsidRPr="00C95D06">
        <w:rPr>
          <w:rFonts w:ascii="Arial" w:hAnsi="Arial" w:cs="Arial"/>
          <w:sz w:val="20"/>
          <w:szCs w:val="20"/>
        </w:rPr>
        <w:t xml:space="preserve"> visa pursuant to s 501CA(4) of the Act.</w:t>
      </w:r>
      <w:r>
        <w:rPr>
          <w:rFonts w:ascii="Arial" w:hAnsi="Arial" w:cs="Arial"/>
          <w:sz w:val="20"/>
          <w:szCs w:val="20"/>
        </w:rPr>
        <w:t xml:space="preserve">  </w:t>
      </w:r>
      <w:r w:rsidR="007F4436">
        <w:rPr>
          <w:rFonts w:ascii="Arial" w:hAnsi="Arial" w:cs="Arial"/>
          <w:sz w:val="20"/>
          <w:szCs w:val="20"/>
        </w:rPr>
        <w:t xml:space="preserve">The AAT refused N’s application for review of the Minister’s decision.  </w:t>
      </w:r>
      <w:r>
        <w:rPr>
          <w:rFonts w:ascii="Arial" w:hAnsi="Arial" w:cs="Arial"/>
          <w:sz w:val="20"/>
          <w:szCs w:val="20"/>
        </w:rPr>
        <w:t xml:space="preserve">A majority of </w:t>
      </w:r>
      <w:r w:rsidR="007F4436">
        <w:rPr>
          <w:rFonts w:ascii="Arial" w:hAnsi="Arial" w:cs="Arial"/>
          <w:sz w:val="20"/>
          <w:szCs w:val="20"/>
        </w:rPr>
        <w:t>the Full Court of the Federal Court of Australia dismissed N’s appeal.  T</w:t>
      </w:r>
      <w:r>
        <w:rPr>
          <w:rFonts w:ascii="Arial" w:hAnsi="Arial" w:cs="Arial"/>
          <w:sz w:val="20"/>
          <w:szCs w:val="20"/>
        </w:rPr>
        <w:t xml:space="preserve">he High Court allowed </w:t>
      </w:r>
      <w:r w:rsidR="007F4436">
        <w:rPr>
          <w:rFonts w:ascii="Arial" w:hAnsi="Arial" w:cs="Arial"/>
          <w:sz w:val="20"/>
          <w:szCs w:val="20"/>
        </w:rPr>
        <w:t xml:space="preserve">his appeal, set aside the orders of the Federal Court, allowed his application for review, set aside the decision of the AAT and remitted the matter to the AAT to be heard and determined according to law.  The basis of the decision was that the AAT had denied N procedural fairness </w:t>
      </w:r>
      <w:r w:rsidR="007F4436" w:rsidRPr="00C95D06">
        <w:rPr>
          <w:rFonts w:ascii="Arial" w:hAnsi="Arial" w:cs="Arial"/>
          <w:sz w:val="20"/>
          <w:szCs w:val="20"/>
        </w:rPr>
        <w:t xml:space="preserve">by not giving </w:t>
      </w:r>
      <w:r w:rsidR="007F4436">
        <w:rPr>
          <w:rFonts w:ascii="Arial" w:hAnsi="Arial" w:cs="Arial"/>
          <w:sz w:val="20"/>
          <w:szCs w:val="20"/>
        </w:rPr>
        <w:t xml:space="preserve">him an </w:t>
      </w:r>
      <w:r w:rsidR="007F4436" w:rsidRPr="00C95D06">
        <w:rPr>
          <w:rFonts w:ascii="Arial" w:hAnsi="Arial" w:cs="Arial"/>
          <w:sz w:val="20"/>
          <w:szCs w:val="20"/>
        </w:rPr>
        <w:t xml:space="preserve">opportunity to address </w:t>
      </w:r>
      <w:r w:rsidR="007F4436">
        <w:rPr>
          <w:rFonts w:ascii="Arial" w:hAnsi="Arial" w:cs="Arial"/>
          <w:sz w:val="20"/>
          <w:szCs w:val="20"/>
        </w:rPr>
        <w:t xml:space="preserve">the </w:t>
      </w:r>
      <w:r w:rsidR="007F4436" w:rsidRPr="00C95D06">
        <w:rPr>
          <w:rFonts w:ascii="Arial" w:hAnsi="Arial" w:cs="Arial"/>
          <w:sz w:val="20"/>
          <w:szCs w:val="20"/>
        </w:rPr>
        <w:t xml:space="preserve">relevance of incidents of domestic violence to </w:t>
      </w:r>
      <w:r w:rsidR="007F4436">
        <w:rPr>
          <w:rFonts w:ascii="Arial" w:hAnsi="Arial" w:cs="Arial"/>
          <w:sz w:val="20"/>
          <w:szCs w:val="20"/>
        </w:rPr>
        <w:t xml:space="preserve">the </w:t>
      </w:r>
      <w:r w:rsidR="007F4436" w:rsidRPr="00C95D06">
        <w:rPr>
          <w:rFonts w:ascii="Arial" w:hAnsi="Arial" w:cs="Arial"/>
          <w:sz w:val="20"/>
          <w:szCs w:val="20"/>
        </w:rPr>
        <w:t xml:space="preserve">primary consideration prescribed by direction made under s 499 of </w:t>
      </w:r>
      <w:r w:rsidR="004907C7">
        <w:rPr>
          <w:rFonts w:ascii="Arial" w:hAnsi="Arial" w:cs="Arial"/>
          <w:sz w:val="20"/>
          <w:szCs w:val="20"/>
        </w:rPr>
        <w:t xml:space="preserve">the </w:t>
      </w:r>
      <w:r w:rsidR="007F4436" w:rsidRPr="004907C7">
        <w:rPr>
          <w:rFonts w:ascii="Arial" w:hAnsi="Arial" w:cs="Arial"/>
          <w:i/>
          <w:iCs/>
          <w:sz w:val="20"/>
          <w:szCs w:val="20"/>
        </w:rPr>
        <w:t>Migration Act</w:t>
      </w:r>
      <w:r w:rsidR="007F4436">
        <w:rPr>
          <w:rFonts w:ascii="Arial" w:hAnsi="Arial" w:cs="Arial"/>
          <w:sz w:val="20"/>
          <w:szCs w:val="20"/>
        </w:rPr>
        <w:t xml:space="preserve">.  At [1]-[2] </w:t>
      </w:r>
      <w:proofErr w:type="spellStart"/>
      <w:r w:rsidR="007F4436">
        <w:rPr>
          <w:rFonts w:ascii="Arial" w:hAnsi="Arial" w:cs="Arial"/>
          <w:sz w:val="20"/>
          <w:szCs w:val="20"/>
        </w:rPr>
        <w:t>Kiefel</w:t>
      </w:r>
      <w:proofErr w:type="spellEnd"/>
      <w:r w:rsidR="007F4436">
        <w:rPr>
          <w:rFonts w:ascii="Arial" w:hAnsi="Arial" w:cs="Arial"/>
          <w:sz w:val="20"/>
          <w:szCs w:val="20"/>
        </w:rPr>
        <w:t xml:space="preserve"> CJ, Keane &amp; Gleeson JJ said</w:t>
      </w:r>
      <w:r w:rsidR="004907C7">
        <w:rPr>
          <w:rFonts w:ascii="Arial" w:hAnsi="Arial" w:cs="Arial"/>
          <w:sz w:val="20"/>
          <w:szCs w:val="20"/>
        </w:rPr>
        <w:t xml:space="preserve"> [emphasis added]</w:t>
      </w:r>
      <w:r w:rsidR="007F4436">
        <w:rPr>
          <w:rFonts w:ascii="Arial" w:hAnsi="Arial" w:cs="Arial"/>
          <w:sz w:val="20"/>
          <w:szCs w:val="20"/>
        </w:rPr>
        <w:t>:</w:t>
      </w:r>
    </w:p>
    <w:p w14:paraId="3273AE25" w14:textId="5D4904DA" w:rsidR="004907C7" w:rsidRDefault="007F4436" w:rsidP="007F4436">
      <w:pPr>
        <w:spacing w:before="60"/>
        <w:ind w:left="454" w:right="454"/>
        <w:jc w:val="both"/>
        <w:rPr>
          <w:rFonts w:ascii="Arial" w:hAnsi="Arial" w:cs="Arial"/>
          <w:sz w:val="20"/>
          <w:szCs w:val="20"/>
        </w:rPr>
      </w:pPr>
      <w:r>
        <w:rPr>
          <w:rFonts w:ascii="Arial" w:hAnsi="Arial" w:cs="Arial"/>
          <w:sz w:val="20"/>
          <w:szCs w:val="20"/>
        </w:rPr>
        <w:t>"</w:t>
      </w:r>
      <w:r w:rsidR="004907C7" w:rsidRPr="00C95D06">
        <w:rPr>
          <w:rFonts w:ascii="Arial" w:hAnsi="Arial" w:cs="Arial"/>
          <w:sz w:val="20"/>
          <w:szCs w:val="20"/>
        </w:rPr>
        <w:t xml:space="preserve">The issue in this appeal is whether procedural unfairness by the </w:t>
      </w:r>
      <w:r w:rsidR="004907C7">
        <w:rPr>
          <w:rFonts w:ascii="Arial" w:hAnsi="Arial" w:cs="Arial"/>
          <w:sz w:val="20"/>
          <w:szCs w:val="20"/>
        </w:rPr>
        <w:t>AAT</w:t>
      </w:r>
      <w:r w:rsidR="004907C7" w:rsidRPr="00C95D06">
        <w:rPr>
          <w:rFonts w:ascii="Arial" w:hAnsi="Arial" w:cs="Arial"/>
          <w:sz w:val="20"/>
          <w:szCs w:val="20"/>
        </w:rPr>
        <w:t xml:space="preserve"> in the course of hearing the appellant's application for review of a decision to refuse to revoke the mandatory cancellation of his visa involved jurisdictional error. Following a hearing conducted by the Tribunal, the Tribunal affirmed the decision to refuse to revoke the visa cancellation. As the Courts below recognised, </w:t>
      </w:r>
      <w:r w:rsidR="004907C7" w:rsidRPr="004907C7">
        <w:rPr>
          <w:rFonts w:ascii="Arial" w:hAnsi="Arial" w:cs="Arial"/>
          <w:b/>
          <w:bCs/>
          <w:sz w:val="20"/>
          <w:szCs w:val="20"/>
        </w:rPr>
        <w:t>the Tribunal's error in failing to afford the appellant procedural fairness will have involved jurisdictional error only if that failure was material to the Tribunal's decision. Materiality is established if the error deprived the appellant of a realistic possibility of a different outcome</w:t>
      </w:r>
      <w:r w:rsidR="004907C7">
        <w:rPr>
          <w:rFonts w:ascii="Arial" w:hAnsi="Arial" w:cs="Arial"/>
          <w:sz w:val="20"/>
          <w:szCs w:val="20"/>
        </w:rPr>
        <w:t xml:space="preserve">: </w:t>
      </w:r>
      <w:r w:rsidR="004907C7" w:rsidRPr="004907C7">
        <w:rPr>
          <w:rFonts w:ascii="Arial" w:hAnsi="Arial" w:cs="Arial"/>
          <w:i/>
          <w:iCs/>
          <w:sz w:val="20"/>
          <w:szCs w:val="20"/>
        </w:rPr>
        <w:t>Minister for Immigration and Border Protection v SZMTA</w:t>
      </w:r>
      <w:r w:rsidR="004907C7" w:rsidRPr="00C95D06">
        <w:rPr>
          <w:rFonts w:ascii="Arial" w:hAnsi="Arial" w:cs="Arial"/>
          <w:sz w:val="20"/>
          <w:szCs w:val="20"/>
        </w:rPr>
        <w:t xml:space="preserve"> (2019) 264 CLR 421 at 445 [45]; </w:t>
      </w:r>
      <w:r w:rsidR="004907C7" w:rsidRPr="004907C7">
        <w:rPr>
          <w:rFonts w:ascii="Arial" w:hAnsi="Arial" w:cs="Arial"/>
          <w:i/>
          <w:iCs/>
          <w:sz w:val="20"/>
          <w:szCs w:val="20"/>
        </w:rPr>
        <w:t>MZAPC v Minister for Immigration and Border Protection</w:t>
      </w:r>
      <w:r w:rsidR="004907C7" w:rsidRPr="00C95D06">
        <w:rPr>
          <w:rFonts w:ascii="Arial" w:hAnsi="Arial" w:cs="Arial"/>
          <w:sz w:val="20"/>
          <w:szCs w:val="20"/>
        </w:rPr>
        <w:t xml:space="preserve"> (2021) 95 ALJR 441 at 449 [2], 462 [85]; 390 ALR 590 at 592, 610; see also </w:t>
      </w:r>
      <w:r w:rsidR="004907C7" w:rsidRPr="004907C7">
        <w:rPr>
          <w:rFonts w:ascii="Arial" w:hAnsi="Arial" w:cs="Arial"/>
          <w:i/>
          <w:iCs/>
          <w:sz w:val="20"/>
          <w:szCs w:val="20"/>
        </w:rPr>
        <w:t>Hossain v Minister for Immigration and Border Protection</w:t>
      </w:r>
      <w:r w:rsidR="004907C7" w:rsidRPr="00C95D06">
        <w:rPr>
          <w:rFonts w:ascii="Arial" w:hAnsi="Arial" w:cs="Arial"/>
          <w:sz w:val="20"/>
          <w:szCs w:val="20"/>
        </w:rPr>
        <w:t xml:space="preserve"> (2018) 264 CLR 123 at 134-135 [30]-[31]. The appellant bore the onus of demonstrating that the denial of procedural fairness </w:t>
      </w:r>
      <w:r w:rsidR="004907C7" w:rsidRPr="00C95D06">
        <w:rPr>
          <w:rFonts w:ascii="Arial" w:hAnsi="Arial" w:cs="Arial"/>
          <w:sz w:val="20"/>
          <w:szCs w:val="20"/>
        </w:rPr>
        <w:lastRenderedPageBreak/>
        <w:t>was material in this sense</w:t>
      </w:r>
      <w:r w:rsidR="004907C7" w:rsidRPr="004907C7">
        <w:rPr>
          <w:rFonts w:ascii="Arial" w:hAnsi="Arial" w:cs="Arial"/>
          <w:i/>
          <w:iCs/>
          <w:sz w:val="20"/>
          <w:szCs w:val="20"/>
        </w:rPr>
        <w:t>: SZMTA</w:t>
      </w:r>
      <w:r w:rsidR="004907C7" w:rsidRPr="00C95D06">
        <w:rPr>
          <w:rFonts w:ascii="Arial" w:hAnsi="Arial" w:cs="Arial"/>
          <w:sz w:val="20"/>
          <w:szCs w:val="20"/>
        </w:rPr>
        <w:t xml:space="preserve"> (2019) 264 CLR 421 at 433 [4]; </w:t>
      </w:r>
      <w:r w:rsidR="004907C7" w:rsidRPr="004907C7">
        <w:rPr>
          <w:rFonts w:ascii="Arial" w:hAnsi="Arial" w:cs="Arial"/>
          <w:i/>
          <w:iCs/>
          <w:sz w:val="20"/>
          <w:szCs w:val="20"/>
        </w:rPr>
        <w:t>MZAPC</w:t>
      </w:r>
      <w:r w:rsidR="004907C7" w:rsidRPr="00C95D06">
        <w:rPr>
          <w:rFonts w:ascii="Arial" w:hAnsi="Arial" w:cs="Arial"/>
          <w:sz w:val="20"/>
          <w:szCs w:val="20"/>
        </w:rPr>
        <w:t xml:space="preserve"> (2021) 95 ALJR 441 at 449 [2]; 390 ALR 590 at 592.</w:t>
      </w:r>
    </w:p>
    <w:p w14:paraId="1E5011EE" w14:textId="463DF183" w:rsidR="007F4436" w:rsidRPr="00157258" w:rsidRDefault="004907C7" w:rsidP="007F4436">
      <w:pPr>
        <w:spacing w:before="60"/>
        <w:ind w:left="454" w:right="454"/>
        <w:jc w:val="both"/>
        <w:rPr>
          <w:rFonts w:ascii="Arial" w:hAnsi="Arial" w:cs="Arial"/>
          <w:sz w:val="20"/>
          <w:szCs w:val="20"/>
        </w:rPr>
      </w:pPr>
      <w:r w:rsidRPr="00C95D06">
        <w:rPr>
          <w:rFonts w:ascii="Arial" w:hAnsi="Arial" w:cs="Arial"/>
          <w:sz w:val="20"/>
          <w:szCs w:val="20"/>
        </w:rPr>
        <w:t>Applying these principles, the appellant discharged his onus of demonstrating that the Tribunal's denial of procedural fairness deprived him of a realistic possibility of a different outcome. That realistic possibility was demonstrable from the record of the Tribunal's decision. Contrary to the conclusion of the majority of the Full Court of the Federal Court of Australia</w:t>
      </w:r>
      <w:r>
        <w:rPr>
          <w:rFonts w:ascii="Arial" w:hAnsi="Arial" w:cs="Arial"/>
          <w:sz w:val="20"/>
          <w:szCs w:val="20"/>
        </w:rPr>
        <w:t xml:space="preserve"> </w:t>
      </w:r>
      <w:r w:rsidRPr="00C95D06">
        <w:rPr>
          <w:rFonts w:ascii="Arial" w:hAnsi="Arial" w:cs="Arial"/>
          <w:sz w:val="20"/>
          <w:szCs w:val="20"/>
        </w:rPr>
        <w:t xml:space="preserve">(2020) 281 FCR 23 at 53 [127], </w:t>
      </w:r>
      <w:r w:rsidRPr="004907C7">
        <w:rPr>
          <w:rFonts w:ascii="Arial" w:hAnsi="Arial" w:cs="Arial"/>
          <w:b/>
          <w:bCs/>
          <w:sz w:val="20"/>
          <w:szCs w:val="20"/>
        </w:rPr>
        <w:t>the appellant was not required to articulate a specific course of action which could realistically have changed the result</w:t>
      </w:r>
      <w:r>
        <w:rPr>
          <w:rFonts w:ascii="Arial" w:hAnsi="Arial" w:cs="Arial"/>
          <w:sz w:val="20"/>
          <w:szCs w:val="20"/>
        </w:rPr>
        <w:t>.”</w:t>
      </w:r>
    </w:p>
    <w:p w14:paraId="76E80D71" w14:textId="77777777" w:rsidR="00162B24" w:rsidRDefault="00162B24" w:rsidP="008E5CB0">
      <w:pPr>
        <w:tabs>
          <w:tab w:val="left" w:pos="1440"/>
        </w:tabs>
        <w:jc w:val="both"/>
        <w:rPr>
          <w:rFonts w:ascii="Arial" w:hAnsi="Arial" w:cs="Arial"/>
          <w:sz w:val="20"/>
          <w:szCs w:val="20"/>
        </w:rPr>
      </w:pPr>
    </w:p>
    <w:p w14:paraId="28374018" w14:textId="77777777" w:rsidR="00B93B97" w:rsidRDefault="00254A8B" w:rsidP="008E5CB0">
      <w:pPr>
        <w:tabs>
          <w:tab w:val="left" w:pos="1440"/>
        </w:tabs>
        <w:jc w:val="both"/>
        <w:rPr>
          <w:rFonts w:ascii="Arial" w:hAnsi="Arial" w:cs="Arial"/>
          <w:color w:val="000000"/>
          <w:sz w:val="20"/>
          <w:szCs w:val="20"/>
        </w:rPr>
      </w:pPr>
      <w:r>
        <w:rPr>
          <w:rFonts w:ascii="Arial" w:hAnsi="Arial" w:cs="Arial"/>
          <w:sz w:val="20"/>
          <w:szCs w:val="20"/>
        </w:rPr>
        <w:t xml:space="preserve">In </w:t>
      </w:r>
      <w:r w:rsidRPr="00254A8B">
        <w:rPr>
          <w:rFonts w:ascii="Arial" w:hAnsi="Arial" w:cs="Arial"/>
          <w:i/>
          <w:iCs/>
          <w:sz w:val="20"/>
          <w:szCs w:val="20"/>
        </w:rPr>
        <w:t>MNX (a pseudonym) v TNV (a pseudonym)</w:t>
      </w:r>
      <w:r>
        <w:rPr>
          <w:rFonts w:ascii="Arial" w:hAnsi="Arial" w:cs="Arial"/>
          <w:sz w:val="20"/>
          <w:szCs w:val="20"/>
        </w:rPr>
        <w:t xml:space="preserve"> [2022] VSC 592 t</w:t>
      </w:r>
      <w:r w:rsidRPr="00254A8B">
        <w:rPr>
          <w:rFonts w:ascii="Arial" w:hAnsi="Arial" w:cs="Arial"/>
          <w:color w:val="000000"/>
          <w:sz w:val="20"/>
          <w:szCs w:val="20"/>
        </w:rPr>
        <w:t xml:space="preserve">he plaintiff MNX </w:t>
      </w:r>
      <w:r>
        <w:rPr>
          <w:rFonts w:ascii="Arial" w:hAnsi="Arial" w:cs="Arial"/>
          <w:color w:val="000000"/>
          <w:sz w:val="20"/>
          <w:szCs w:val="20"/>
        </w:rPr>
        <w:t>sought</w:t>
      </w:r>
      <w:r w:rsidRPr="00254A8B">
        <w:rPr>
          <w:rFonts w:ascii="Arial" w:hAnsi="Arial" w:cs="Arial"/>
          <w:color w:val="000000"/>
          <w:sz w:val="20"/>
          <w:szCs w:val="20"/>
        </w:rPr>
        <w:t xml:space="preserve"> judicial review of a decision of the Magistrates’ Court of Victoria </w:t>
      </w:r>
      <w:r w:rsidR="00B93B97">
        <w:rPr>
          <w:rFonts w:ascii="Arial" w:hAnsi="Arial" w:cs="Arial"/>
          <w:color w:val="000000"/>
          <w:sz w:val="20"/>
          <w:szCs w:val="20"/>
        </w:rPr>
        <w:t xml:space="preserve">– made in a mention hearing – </w:t>
      </w:r>
      <w:r w:rsidRPr="00254A8B">
        <w:rPr>
          <w:rFonts w:ascii="Arial" w:hAnsi="Arial" w:cs="Arial"/>
          <w:color w:val="000000"/>
          <w:sz w:val="20"/>
          <w:szCs w:val="20"/>
        </w:rPr>
        <w:t>refusing</w:t>
      </w:r>
      <w:r w:rsidR="00B93B97">
        <w:rPr>
          <w:rFonts w:ascii="Arial" w:hAnsi="Arial" w:cs="Arial"/>
          <w:color w:val="000000"/>
          <w:sz w:val="20"/>
          <w:szCs w:val="20"/>
        </w:rPr>
        <w:t xml:space="preserve"> </w:t>
      </w:r>
      <w:r w:rsidRPr="00254A8B">
        <w:rPr>
          <w:rFonts w:ascii="Arial" w:hAnsi="Arial" w:cs="Arial"/>
          <w:color w:val="000000"/>
          <w:sz w:val="20"/>
          <w:szCs w:val="20"/>
        </w:rPr>
        <w:t xml:space="preserve">to grant TNV, </w:t>
      </w:r>
      <w:r w:rsidR="00B93B97">
        <w:rPr>
          <w:rFonts w:ascii="Arial" w:hAnsi="Arial" w:cs="Arial"/>
          <w:color w:val="000000"/>
          <w:sz w:val="20"/>
          <w:szCs w:val="20"/>
        </w:rPr>
        <w:t>the</w:t>
      </w:r>
      <w:r w:rsidRPr="00254A8B">
        <w:rPr>
          <w:rFonts w:ascii="Arial" w:hAnsi="Arial" w:cs="Arial"/>
          <w:color w:val="000000"/>
          <w:sz w:val="20"/>
          <w:szCs w:val="20"/>
        </w:rPr>
        <w:t xml:space="preserve"> police </w:t>
      </w:r>
      <w:r w:rsidR="00B93B97">
        <w:rPr>
          <w:rFonts w:ascii="Arial" w:hAnsi="Arial" w:cs="Arial"/>
          <w:color w:val="000000"/>
          <w:sz w:val="20"/>
          <w:szCs w:val="20"/>
        </w:rPr>
        <w:t>applicant</w:t>
      </w:r>
      <w:r w:rsidRPr="00254A8B">
        <w:rPr>
          <w:rFonts w:ascii="Arial" w:hAnsi="Arial" w:cs="Arial"/>
          <w:color w:val="000000"/>
          <w:sz w:val="20"/>
          <w:szCs w:val="20"/>
        </w:rPr>
        <w:t xml:space="preserve">, leave to withdraw an application for a family violence intervention order against MNX and at the same time granting MNX leave to apply for revocation or variation of an </w:t>
      </w:r>
      <w:r w:rsidR="00B93B97">
        <w:rPr>
          <w:rFonts w:ascii="Arial" w:hAnsi="Arial" w:cs="Arial"/>
          <w:color w:val="000000"/>
          <w:sz w:val="20"/>
          <w:szCs w:val="20"/>
        </w:rPr>
        <w:t xml:space="preserve">existing </w:t>
      </w:r>
      <w:r w:rsidRPr="00254A8B">
        <w:rPr>
          <w:rFonts w:ascii="Arial" w:hAnsi="Arial" w:cs="Arial"/>
          <w:color w:val="000000"/>
          <w:sz w:val="20"/>
          <w:szCs w:val="20"/>
        </w:rPr>
        <w:t>interim family violence intervention order made on the application of TNV. The affected family members and protected persons were MNX’s former wife, SDW, and their infant son.</w:t>
      </w:r>
      <w:r>
        <w:rPr>
          <w:rFonts w:ascii="Arial" w:hAnsi="Arial" w:cs="Arial"/>
          <w:color w:val="000000"/>
          <w:sz w:val="20"/>
          <w:szCs w:val="20"/>
        </w:rPr>
        <w:t xml:space="preserve">  </w:t>
      </w:r>
      <w:r w:rsidR="00B93B97">
        <w:rPr>
          <w:rFonts w:ascii="Arial" w:hAnsi="Arial" w:cs="Arial"/>
          <w:color w:val="000000"/>
          <w:sz w:val="20"/>
          <w:szCs w:val="20"/>
        </w:rPr>
        <w:t>Garde J held:</w:t>
      </w:r>
    </w:p>
    <w:p w14:paraId="509D9922" w14:textId="2466C792" w:rsidR="00B93B97" w:rsidRPr="002278A3" w:rsidRDefault="002278A3">
      <w:pPr>
        <w:pStyle w:val="ListParagraph"/>
        <w:numPr>
          <w:ilvl w:val="0"/>
          <w:numId w:val="91"/>
        </w:numPr>
        <w:ind w:left="357" w:hanging="357"/>
        <w:jc w:val="both"/>
        <w:rPr>
          <w:rFonts w:ascii="Arial" w:hAnsi="Arial" w:cs="Arial"/>
          <w:sz w:val="20"/>
        </w:rPr>
      </w:pPr>
      <w:r>
        <w:rPr>
          <w:rFonts w:ascii="Arial" w:hAnsi="Arial" w:cs="Arial"/>
          <w:color w:val="000000"/>
          <w:sz w:val="20"/>
        </w:rPr>
        <w:t>at [76]-[84] that the magistrate’s refusal to give the police applicant leave to withdraw the intervention proceeding was not legally unreasonable; and</w:t>
      </w:r>
    </w:p>
    <w:p w14:paraId="1602E609" w14:textId="47BB1E6C" w:rsidR="002278A3" w:rsidRPr="002278A3" w:rsidRDefault="002278A3">
      <w:pPr>
        <w:pStyle w:val="ListParagraph"/>
        <w:numPr>
          <w:ilvl w:val="0"/>
          <w:numId w:val="91"/>
        </w:numPr>
        <w:ind w:left="357" w:hanging="357"/>
        <w:jc w:val="both"/>
        <w:rPr>
          <w:rFonts w:ascii="Arial" w:hAnsi="Arial" w:cs="Arial"/>
          <w:sz w:val="20"/>
        </w:rPr>
      </w:pPr>
      <w:r>
        <w:rPr>
          <w:rFonts w:ascii="Arial" w:hAnsi="Arial" w:cs="Arial"/>
          <w:color w:val="000000"/>
          <w:sz w:val="20"/>
        </w:rPr>
        <w:t xml:space="preserve">at [88]-[102] that once </w:t>
      </w:r>
      <w:r w:rsidRPr="002278A3">
        <w:rPr>
          <w:rFonts w:ascii="Arial" w:hAnsi="Arial" w:cs="Arial"/>
          <w:color w:val="000000"/>
          <w:sz w:val="20"/>
          <w:lang w:eastAsia="en-AU"/>
        </w:rPr>
        <w:t>her Honour had heard from each of the parties to the extent that she had available court time, procedural fairness was invoked</w:t>
      </w:r>
      <w:r>
        <w:rPr>
          <w:rFonts w:ascii="Arial" w:hAnsi="Arial" w:cs="Arial"/>
          <w:color w:val="000000"/>
          <w:sz w:val="20"/>
          <w:lang w:eastAsia="en-AU"/>
        </w:rPr>
        <w:t>, i</w:t>
      </w:r>
      <w:r w:rsidRPr="002278A3">
        <w:rPr>
          <w:rFonts w:ascii="Arial" w:hAnsi="Arial" w:cs="Arial"/>
          <w:color w:val="000000"/>
          <w:sz w:val="20"/>
          <w:lang w:eastAsia="en-AU"/>
        </w:rPr>
        <w:t>t was not open to disregard the requirements of procedural fairness in dealing with the applications before the Court</w:t>
      </w:r>
      <w:r>
        <w:rPr>
          <w:rFonts w:ascii="Arial" w:hAnsi="Arial" w:cs="Arial"/>
          <w:color w:val="000000"/>
          <w:sz w:val="20"/>
          <w:lang w:eastAsia="en-AU"/>
        </w:rPr>
        <w:t>; however</w:t>
      </w:r>
    </w:p>
    <w:p w14:paraId="708AF3CB" w14:textId="206D1744" w:rsidR="002278A3" w:rsidRPr="003C4CF1" w:rsidRDefault="002278A3">
      <w:pPr>
        <w:pStyle w:val="ListParagraph"/>
        <w:numPr>
          <w:ilvl w:val="0"/>
          <w:numId w:val="91"/>
        </w:numPr>
        <w:ind w:left="357" w:hanging="357"/>
        <w:jc w:val="both"/>
        <w:rPr>
          <w:rFonts w:ascii="Arial" w:hAnsi="Arial" w:cs="Arial"/>
          <w:sz w:val="20"/>
        </w:rPr>
      </w:pPr>
      <w:r>
        <w:rPr>
          <w:rFonts w:ascii="Arial" w:hAnsi="Arial" w:cs="Arial"/>
          <w:color w:val="000000"/>
          <w:sz w:val="20"/>
          <w:lang w:eastAsia="en-AU"/>
        </w:rPr>
        <w:t>at [</w:t>
      </w:r>
      <w:r w:rsidR="00194114">
        <w:rPr>
          <w:rFonts w:ascii="Arial" w:hAnsi="Arial" w:cs="Arial"/>
          <w:color w:val="000000"/>
          <w:sz w:val="20"/>
          <w:lang w:eastAsia="en-AU"/>
        </w:rPr>
        <w:t>110</w:t>
      </w:r>
      <w:r>
        <w:rPr>
          <w:rFonts w:ascii="Arial" w:hAnsi="Arial" w:cs="Arial"/>
          <w:color w:val="000000"/>
          <w:sz w:val="20"/>
          <w:lang w:eastAsia="en-AU"/>
        </w:rPr>
        <w:t>]</w:t>
      </w:r>
      <w:r w:rsidR="00194114">
        <w:rPr>
          <w:rFonts w:ascii="Arial" w:hAnsi="Arial" w:cs="Arial"/>
          <w:color w:val="000000"/>
          <w:sz w:val="20"/>
          <w:lang w:eastAsia="en-AU"/>
        </w:rPr>
        <w:t xml:space="preserve"> that the breach in refusing, rather that adjourning TNV’s application for leave to withdraw, did not result in any practical injustice because MNX was just as well placed after the refusal to apply for revocation or variation of the interim order: “One door was closed, but another was opened.”</w:t>
      </w:r>
    </w:p>
    <w:p w14:paraId="452C155A" w14:textId="7661926A" w:rsidR="00254A8B" w:rsidRDefault="00254A8B" w:rsidP="008E5CB0">
      <w:pPr>
        <w:tabs>
          <w:tab w:val="left" w:pos="1440"/>
        </w:tabs>
        <w:jc w:val="both"/>
        <w:rPr>
          <w:rFonts w:ascii="Arial" w:hAnsi="Arial" w:cs="Arial"/>
          <w:sz w:val="20"/>
          <w:szCs w:val="20"/>
        </w:rPr>
      </w:pPr>
      <w:bookmarkStart w:id="104" w:name="_Hlk116629691"/>
    </w:p>
    <w:p w14:paraId="183AE4B2" w14:textId="14979D62" w:rsidR="00162B24" w:rsidRDefault="00162B24" w:rsidP="008E5CB0">
      <w:pPr>
        <w:tabs>
          <w:tab w:val="left" w:pos="1440"/>
        </w:tabs>
        <w:jc w:val="both"/>
        <w:rPr>
          <w:rFonts w:ascii="Arial" w:hAnsi="Arial" w:cs="Arial"/>
          <w:sz w:val="20"/>
          <w:szCs w:val="20"/>
        </w:rPr>
      </w:pPr>
      <w:r>
        <w:rPr>
          <w:rFonts w:ascii="Arial" w:hAnsi="Arial" w:cs="Arial"/>
          <w:sz w:val="20"/>
          <w:szCs w:val="20"/>
        </w:rPr>
        <w:t xml:space="preserve">In </w:t>
      </w:r>
      <w:proofErr w:type="spellStart"/>
      <w:r w:rsidRPr="00162B24">
        <w:rPr>
          <w:rFonts w:ascii="Arial" w:hAnsi="Arial" w:cs="Arial"/>
          <w:i/>
          <w:iCs/>
          <w:sz w:val="20"/>
          <w:szCs w:val="20"/>
        </w:rPr>
        <w:t>Kyriazis</w:t>
      </w:r>
      <w:proofErr w:type="spellEnd"/>
      <w:r w:rsidRPr="00162B24">
        <w:rPr>
          <w:rFonts w:ascii="Arial" w:hAnsi="Arial" w:cs="Arial"/>
          <w:i/>
          <w:iCs/>
          <w:sz w:val="20"/>
          <w:szCs w:val="20"/>
        </w:rPr>
        <w:t xml:space="preserve"> v Victoria Police</w:t>
      </w:r>
      <w:r>
        <w:rPr>
          <w:rFonts w:ascii="Arial" w:hAnsi="Arial" w:cs="Arial"/>
          <w:sz w:val="20"/>
          <w:szCs w:val="20"/>
        </w:rPr>
        <w:t xml:space="preserve"> [2022] VSC 596 after exchanges between the plaintiff and the magistrate involving how the proceeding was to be conducted, the plaintiff </w:t>
      </w:r>
      <w:r w:rsidR="0005276B">
        <w:rPr>
          <w:rFonts w:ascii="Arial" w:hAnsi="Arial" w:cs="Arial"/>
          <w:sz w:val="20"/>
          <w:szCs w:val="20"/>
        </w:rPr>
        <w:t xml:space="preserve">voluntarily </w:t>
      </w:r>
      <w:r>
        <w:rPr>
          <w:rFonts w:ascii="Arial" w:hAnsi="Arial" w:cs="Arial"/>
          <w:sz w:val="20"/>
          <w:szCs w:val="20"/>
        </w:rPr>
        <w:t xml:space="preserve">left the courtroom and the summary charge of failing to provide a sample of an oral fluid for testing was heard and determined in his absence.  </w:t>
      </w:r>
      <w:r w:rsidR="006D150C">
        <w:rPr>
          <w:rFonts w:ascii="Arial" w:hAnsi="Arial" w:cs="Arial"/>
          <w:sz w:val="20"/>
          <w:szCs w:val="20"/>
        </w:rPr>
        <w:t xml:space="preserve">The exchanges were triggered by the plaintiff wishing to raise </w:t>
      </w:r>
      <w:r w:rsidR="00537E2D">
        <w:rPr>
          <w:rFonts w:ascii="Arial" w:hAnsi="Arial" w:cs="Arial"/>
          <w:sz w:val="20"/>
          <w:szCs w:val="20"/>
        </w:rPr>
        <w:t xml:space="preserve">as </w:t>
      </w:r>
      <w:r w:rsidR="006D150C">
        <w:rPr>
          <w:rFonts w:ascii="Arial" w:hAnsi="Arial" w:cs="Arial"/>
          <w:sz w:val="20"/>
          <w:szCs w:val="20"/>
        </w:rPr>
        <w:t xml:space="preserve">a preliminary issue that he had a right to trial by judge and jury.  </w:t>
      </w:r>
      <w:r>
        <w:rPr>
          <w:rFonts w:ascii="Arial" w:hAnsi="Arial" w:cs="Arial"/>
          <w:sz w:val="20"/>
          <w:szCs w:val="20"/>
        </w:rPr>
        <w:t>Ginnane J held that there had been no denial of procedural fairness.  At [32]</w:t>
      </w:r>
      <w:r w:rsidR="00E901AF">
        <w:rPr>
          <w:rFonts w:ascii="Arial" w:hAnsi="Arial" w:cs="Arial"/>
          <w:sz w:val="20"/>
          <w:szCs w:val="20"/>
        </w:rPr>
        <w:t>-</w:t>
      </w:r>
      <w:r w:rsidR="008B57C5">
        <w:rPr>
          <w:rFonts w:ascii="Arial" w:hAnsi="Arial" w:cs="Arial"/>
          <w:sz w:val="20"/>
          <w:szCs w:val="20"/>
        </w:rPr>
        <w:t>[33]</w:t>
      </w:r>
      <w:r>
        <w:rPr>
          <w:rFonts w:ascii="Arial" w:hAnsi="Arial" w:cs="Arial"/>
          <w:sz w:val="20"/>
          <w:szCs w:val="20"/>
        </w:rPr>
        <w:t xml:space="preserve"> &amp; [</w:t>
      </w:r>
      <w:r w:rsidR="008B57C5">
        <w:rPr>
          <w:rFonts w:ascii="Arial" w:hAnsi="Arial" w:cs="Arial"/>
          <w:sz w:val="20"/>
          <w:szCs w:val="20"/>
        </w:rPr>
        <w:t>37</w:t>
      </w:r>
      <w:r>
        <w:rPr>
          <w:rFonts w:ascii="Arial" w:hAnsi="Arial" w:cs="Arial"/>
          <w:sz w:val="20"/>
          <w:szCs w:val="20"/>
        </w:rPr>
        <w:t>]</w:t>
      </w:r>
      <w:r w:rsidR="008B57C5">
        <w:rPr>
          <w:rFonts w:ascii="Arial" w:hAnsi="Arial" w:cs="Arial"/>
          <w:sz w:val="20"/>
          <w:szCs w:val="20"/>
        </w:rPr>
        <w:t>-[3</w:t>
      </w:r>
      <w:r w:rsidR="00537E2D">
        <w:rPr>
          <w:rFonts w:ascii="Arial" w:hAnsi="Arial" w:cs="Arial"/>
          <w:sz w:val="20"/>
          <w:szCs w:val="20"/>
        </w:rPr>
        <w:t>9</w:t>
      </w:r>
      <w:r w:rsidR="008B57C5">
        <w:rPr>
          <w:rFonts w:ascii="Arial" w:hAnsi="Arial" w:cs="Arial"/>
          <w:sz w:val="20"/>
          <w:szCs w:val="20"/>
        </w:rPr>
        <w:t>]</w:t>
      </w:r>
      <w:r>
        <w:rPr>
          <w:rFonts w:ascii="Arial" w:hAnsi="Arial" w:cs="Arial"/>
          <w:sz w:val="20"/>
          <w:szCs w:val="20"/>
        </w:rPr>
        <w:t xml:space="preserve"> his Honour said:</w:t>
      </w:r>
    </w:p>
    <w:p w14:paraId="390E5101" w14:textId="11C7C2EF" w:rsidR="00162B24" w:rsidRDefault="00162B24" w:rsidP="00162B24">
      <w:pPr>
        <w:spacing w:before="60"/>
        <w:ind w:left="454" w:right="454"/>
        <w:jc w:val="both"/>
        <w:rPr>
          <w:rFonts w:ascii="Arial" w:hAnsi="Arial" w:cs="Arial"/>
          <w:color w:val="000000"/>
          <w:sz w:val="20"/>
          <w:szCs w:val="20"/>
        </w:rPr>
      </w:pPr>
      <w:r>
        <w:rPr>
          <w:rFonts w:ascii="Arial" w:hAnsi="Arial" w:cs="Arial"/>
          <w:sz w:val="20"/>
          <w:szCs w:val="20"/>
        </w:rPr>
        <w:t>[32] “</w:t>
      </w:r>
      <w:r w:rsidRPr="00162B24">
        <w:rPr>
          <w:rFonts w:ascii="Arial" w:hAnsi="Arial" w:cs="Arial"/>
          <w:color w:val="000000"/>
          <w:sz w:val="20"/>
          <w:szCs w:val="20"/>
        </w:rPr>
        <w:t xml:space="preserve">Mr </w:t>
      </w:r>
      <w:proofErr w:type="spellStart"/>
      <w:r w:rsidRPr="00162B24">
        <w:rPr>
          <w:rFonts w:ascii="Arial" w:hAnsi="Arial" w:cs="Arial"/>
          <w:color w:val="000000"/>
          <w:sz w:val="20"/>
          <w:szCs w:val="20"/>
        </w:rPr>
        <w:t>Kyriazis</w:t>
      </w:r>
      <w:proofErr w:type="spellEnd"/>
      <w:r w:rsidRPr="00162B24">
        <w:rPr>
          <w:rFonts w:ascii="Arial" w:hAnsi="Arial" w:cs="Arial"/>
          <w:color w:val="000000"/>
          <w:sz w:val="20"/>
          <w:szCs w:val="20"/>
        </w:rPr>
        <w:t xml:space="preserve"> was entitled to be provided procedural fairness in the hearing before the Magistrate, as the ‘right to procedural fairness – to a fair trial – is a fundamental right of each accused’</w:t>
      </w:r>
      <w:r>
        <w:rPr>
          <w:rFonts w:ascii="Arial" w:hAnsi="Arial" w:cs="Arial"/>
          <w:color w:val="000000"/>
          <w:sz w:val="20"/>
          <w:szCs w:val="20"/>
        </w:rPr>
        <w:t xml:space="preserve">: </w:t>
      </w:r>
      <w:r w:rsidRPr="00EF7328">
        <w:rPr>
          <w:rFonts w:ascii="Arial" w:hAnsi="Arial" w:cs="Arial"/>
          <w:i/>
          <w:iCs/>
          <w:color w:val="000000"/>
          <w:sz w:val="20"/>
          <w:szCs w:val="20"/>
        </w:rPr>
        <w:t>HM v R</w:t>
      </w:r>
      <w:r>
        <w:rPr>
          <w:rFonts w:ascii="Arial" w:hAnsi="Arial" w:cs="Arial"/>
          <w:color w:val="000000"/>
          <w:sz w:val="20"/>
          <w:szCs w:val="20"/>
        </w:rPr>
        <w:t xml:space="preserve"> (2012) 44 VR 717, 726 [29]-[30] (Redlich JA and Kaye AJA).  </w:t>
      </w:r>
      <w:r w:rsidRPr="00162B24">
        <w:rPr>
          <w:rFonts w:ascii="Arial" w:hAnsi="Arial" w:cs="Arial"/>
          <w:color w:val="000000"/>
          <w:sz w:val="20"/>
          <w:szCs w:val="20"/>
        </w:rPr>
        <w:t>Section</w:t>
      </w:r>
      <w:r>
        <w:rPr>
          <w:rFonts w:ascii="Arial" w:hAnsi="Arial" w:cs="Arial"/>
          <w:color w:val="000000"/>
          <w:sz w:val="20"/>
          <w:szCs w:val="20"/>
        </w:rPr>
        <w:t xml:space="preserve"> 25 </w:t>
      </w:r>
      <w:r w:rsidRPr="00162B24">
        <w:rPr>
          <w:rFonts w:ascii="Arial" w:hAnsi="Arial" w:cs="Arial"/>
          <w:color w:val="000000"/>
          <w:sz w:val="20"/>
          <w:szCs w:val="20"/>
        </w:rPr>
        <w:t>of the Charter also gave him that right.</w:t>
      </w:r>
    </w:p>
    <w:p w14:paraId="2F03EDED" w14:textId="2F3C23D4" w:rsidR="00162B24" w:rsidRDefault="00162B24" w:rsidP="00162B24">
      <w:pPr>
        <w:spacing w:before="60"/>
        <w:ind w:left="454" w:right="454"/>
        <w:jc w:val="both"/>
        <w:rPr>
          <w:rFonts w:ascii="Arial" w:hAnsi="Arial" w:cs="Arial"/>
          <w:color w:val="000000"/>
          <w:sz w:val="20"/>
          <w:szCs w:val="20"/>
        </w:rPr>
      </w:pPr>
      <w:r>
        <w:rPr>
          <w:rFonts w:ascii="Arial" w:hAnsi="Arial" w:cs="Arial"/>
          <w:color w:val="000000"/>
          <w:sz w:val="20"/>
          <w:szCs w:val="20"/>
        </w:rPr>
        <w:t xml:space="preserve">[33] </w:t>
      </w:r>
      <w:r w:rsidRPr="00162B24">
        <w:rPr>
          <w:rFonts w:ascii="Arial" w:hAnsi="Arial" w:cs="Arial"/>
          <w:color w:val="000000"/>
          <w:sz w:val="20"/>
          <w:szCs w:val="20"/>
        </w:rPr>
        <w:t>The content of procedural fairness in a case like this is influenced by the ‘particular capabilities and attitudes of the self-represented litigant’</w:t>
      </w:r>
      <w:r>
        <w:rPr>
          <w:rFonts w:ascii="Arial" w:hAnsi="Arial" w:cs="Arial"/>
          <w:color w:val="000000"/>
          <w:sz w:val="20"/>
          <w:szCs w:val="20"/>
        </w:rPr>
        <w:t xml:space="preserve">: </w:t>
      </w:r>
      <w:hyperlink r:id="rId25" w:history="1">
        <w:r w:rsidRPr="00162B24">
          <w:rPr>
            <w:rStyle w:val="Hyperlink"/>
            <w:rFonts w:ascii="Arial" w:hAnsi="Arial" w:cs="Arial"/>
            <w:i/>
            <w:iCs/>
            <w:color w:val="000000" w:themeColor="text1"/>
            <w:sz w:val="20"/>
            <w:szCs w:val="20"/>
            <w:u w:val="none"/>
          </w:rPr>
          <w:t xml:space="preserve">Doughty-Cowell v </w:t>
        </w:r>
        <w:proofErr w:type="spellStart"/>
        <w:r w:rsidRPr="00162B24">
          <w:rPr>
            <w:rStyle w:val="Hyperlink"/>
            <w:rFonts w:ascii="Arial" w:hAnsi="Arial" w:cs="Arial"/>
            <w:i/>
            <w:iCs/>
            <w:color w:val="000000" w:themeColor="text1"/>
            <w:sz w:val="20"/>
            <w:szCs w:val="20"/>
            <w:u w:val="none"/>
          </w:rPr>
          <w:t>Kyriazis</w:t>
        </w:r>
        <w:proofErr w:type="spellEnd"/>
      </w:hyperlink>
      <w:r w:rsidRPr="00162B24">
        <w:rPr>
          <w:rFonts w:ascii="Arial" w:hAnsi="Arial" w:cs="Arial"/>
          <w:color w:val="000000" w:themeColor="text1"/>
          <w:sz w:val="20"/>
          <w:szCs w:val="20"/>
        </w:rPr>
        <w:t> [2018] VSCA 216, </w:t>
      </w:r>
      <w:hyperlink r:id="rId26" w:history="1">
        <w:r w:rsidRPr="00162B24">
          <w:rPr>
            <w:rStyle w:val="Hyperlink"/>
            <w:rFonts w:ascii="Arial" w:hAnsi="Arial" w:cs="Arial"/>
            <w:color w:val="000000" w:themeColor="text1"/>
            <w:sz w:val="20"/>
            <w:szCs w:val="20"/>
            <w:u w:val="none"/>
          </w:rPr>
          <w:t>[1]–[2]</w:t>
        </w:r>
      </w:hyperlink>
      <w:r w:rsidRPr="00162B24">
        <w:rPr>
          <w:rFonts w:ascii="Arial" w:hAnsi="Arial" w:cs="Arial"/>
          <w:color w:val="000000" w:themeColor="text1"/>
          <w:sz w:val="20"/>
          <w:szCs w:val="20"/>
        </w:rPr>
        <w:t>; s</w:t>
      </w:r>
      <w:r w:rsidR="00EF7328">
        <w:rPr>
          <w:rFonts w:ascii="Arial" w:hAnsi="Arial" w:cs="Arial"/>
          <w:color w:val="000000" w:themeColor="text1"/>
          <w:sz w:val="20"/>
          <w:szCs w:val="20"/>
        </w:rPr>
        <w:t>.</w:t>
      </w:r>
      <w:hyperlink r:id="rId27" w:history="1">
        <w:r w:rsidRPr="00EF7328">
          <w:rPr>
            <w:rStyle w:val="Hyperlink"/>
            <w:rFonts w:ascii="Arial" w:hAnsi="Arial" w:cs="Arial"/>
            <w:color w:val="000000" w:themeColor="text1"/>
            <w:sz w:val="20"/>
            <w:szCs w:val="20"/>
            <w:u w:val="none"/>
          </w:rPr>
          <w:t>24</w:t>
        </w:r>
      </w:hyperlink>
      <w:r w:rsidRPr="00162B24">
        <w:rPr>
          <w:rFonts w:ascii="Arial" w:hAnsi="Arial" w:cs="Arial"/>
          <w:color w:val="000000" w:themeColor="text1"/>
          <w:sz w:val="20"/>
          <w:szCs w:val="20"/>
        </w:rPr>
        <w:t> of the</w:t>
      </w:r>
      <w:r w:rsidR="00EF7328">
        <w:rPr>
          <w:rFonts w:ascii="Arial" w:hAnsi="Arial" w:cs="Arial"/>
          <w:color w:val="000000" w:themeColor="text1"/>
          <w:sz w:val="20"/>
          <w:szCs w:val="20"/>
        </w:rPr>
        <w:t xml:space="preserve"> </w:t>
      </w:r>
      <w:hyperlink r:id="rId28" w:history="1">
        <w:r w:rsidRPr="00EF7328">
          <w:rPr>
            <w:rStyle w:val="Hyperlink"/>
            <w:rFonts w:ascii="Arial" w:hAnsi="Arial" w:cs="Arial"/>
            <w:i/>
            <w:iCs/>
            <w:color w:val="000000" w:themeColor="text1"/>
            <w:sz w:val="20"/>
            <w:szCs w:val="20"/>
            <w:u w:val="none"/>
          </w:rPr>
          <w:t>Charter of Human Rights and Responsibilities Act 2006</w:t>
        </w:r>
      </w:hyperlink>
      <w:r w:rsidR="00EF7328">
        <w:rPr>
          <w:rFonts w:ascii="Arial" w:hAnsi="Arial" w:cs="Arial"/>
          <w:i/>
          <w:iCs/>
          <w:color w:val="000000" w:themeColor="text1"/>
          <w:sz w:val="20"/>
          <w:szCs w:val="20"/>
        </w:rPr>
        <w:t>.</w:t>
      </w:r>
      <w:r w:rsidR="00EF7328">
        <w:rPr>
          <w:rFonts w:ascii="Arial" w:hAnsi="Arial" w:cs="Arial"/>
          <w:color w:val="000000" w:themeColor="text1"/>
          <w:sz w:val="20"/>
          <w:szCs w:val="20"/>
        </w:rPr>
        <w:t xml:space="preserve">  </w:t>
      </w:r>
      <w:r w:rsidRPr="00162B24">
        <w:rPr>
          <w:rFonts w:ascii="Arial" w:hAnsi="Arial" w:cs="Arial"/>
          <w:color w:val="000000" w:themeColor="text1"/>
          <w:sz w:val="20"/>
          <w:szCs w:val="20"/>
        </w:rPr>
        <w:t>The</w:t>
      </w:r>
      <w:r w:rsidR="00EF7328">
        <w:rPr>
          <w:rFonts w:ascii="Arial" w:hAnsi="Arial" w:cs="Arial"/>
          <w:color w:val="000000" w:themeColor="text1"/>
          <w:sz w:val="20"/>
          <w:szCs w:val="20"/>
        </w:rPr>
        <w:t> </w:t>
      </w:r>
      <w:r w:rsidRPr="00162B24">
        <w:rPr>
          <w:rFonts w:ascii="Arial" w:hAnsi="Arial" w:cs="Arial"/>
          <w:color w:val="000000" w:themeColor="text1"/>
          <w:sz w:val="20"/>
          <w:szCs w:val="20"/>
        </w:rPr>
        <w:t>Court must</w:t>
      </w:r>
      <w:r w:rsidRPr="00162B24">
        <w:rPr>
          <w:rFonts w:ascii="Arial" w:hAnsi="Arial" w:cs="Arial"/>
          <w:color w:val="000000"/>
          <w:sz w:val="20"/>
          <w:szCs w:val="20"/>
        </w:rPr>
        <w:t xml:space="preserve"> ensure that a self-represented litigant has a reasonable opportunity to present their case and, if necessary, be informed of what issues need to be addressed. But a self-represented litigant is not given free rein as to how they conduct themselves in a hearing. As the Western Australian Court of Appeal</w:t>
      </w:r>
      <w:r w:rsidRPr="00EF7328">
        <w:rPr>
          <w:rFonts w:ascii="Arial" w:hAnsi="Arial" w:cs="Arial"/>
          <w:color w:val="000000" w:themeColor="text1"/>
          <w:sz w:val="20"/>
          <w:szCs w:val="20"/>
        </w:rPr>
        <w:t xml:space="preserve"> stated in </w:t>
      </w:r>
      <w:hyperlink r:id="rId29" w:history="1">
        <w:r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i/>
          <w:iCs/>
          <w:color w:val="000000" w:themeColor="text1"/>
          <w:sz w:val="20"/>
          <w:szCs w:val="20"/>
        </w:rPr>
        <w:t xml:space="preserve"> </w:t>
      </w:r>
      <w:hyperlink r:id="rId30" w:history="1">
        <w:r w:rsidR="00EF7328"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color w:val="000000" w:themeColor="text1"/>
          <w:sz w:val="20"/>
          <w:szCs w:val="20"/>
        </w:rPr>
        <w:t xml:space="preserve"> [2012] WASCA 96 </w:t>
      </w:r>
      <w:hyperlink r:id="rId31" w:history="1">
        <w:r w:rsidR="00EF7328" w:rsidRPr="00EF7328">
          <w:rPr>
            <w:rStyle w:val="Hyperlink"/>
            <w:rFonts w:ascii="Arial" w:hAnsi="Arial" w:cs="Arial"/>
            <w:color w:val="000000" w:themeColor="text1"/>
            <w:sz w:val="20"/>
            <w:szCs w:val="20"/>
            <w:u w:val="none"/>
          </w:rPr>
          <w:t>[109]</w:t>
        </w:r>
      </w:hyperlink>
      <w:r w:rsidRPr="00162B24">
        <w:rPr>
          <w:rFonts w:ascii="Arial" w:hAnsi="Arial" w:cs="Arial"/>
          <w:color w:val="000000"/>
          <w:sz w:val="20"/>
          <w:szCs w:val="20"/>
        </w:rPr>
        <w:t>, a case on which the first defendant relied:</w:t>
      </w:r>
    </w:p>
    <w:p w14:paraId="4A17E3F5" w14:textId="5F93AF85" w:rsidR="00162B24" w:rsidRPr="00162B24" w:rsidRDefault="00EF7328" w:rsidP="00EF7328">
      <w:pPr>
        <w:spacing w:before="60"/>
        <w:ind w:left="907" w:right="907"/>
        <w:jc w:val="both"/>
        <w:rPr>
          <w:rFonts w:ascii="Arial" w:hAnsi="Arial" w:cs="Arial"/>
          <w:color w:val="000000"/>
          <w:sz w:val="20"/>
          <w:szCs w:val="20"/>
        </w:rPr>
      </w:pPr>
      <w:r>
        <w:rPr>
          <w:rFonts w:ascii="Arial" w:hAnsi="Arial" w:cs="Arial"/>
          <w:color w:val="000000"/>
          <w:sz w:val="18"/>
          <w:szCs w:val="18"/>
        </w:rPr>
        <w:t>‘</w:t>
      </w:r>
      <w:r w:rsidRPr="00EF7328">
        <w:rPr>
          <w:rFonts w:ascii="Arial" w:hAnsi="Arial" w:cs="Arial"/>
          <w:color w:val="000000"/>
          <w:sz w:val="18"/>
          <w:szCs w:val="18"/>
        </w:rPr>
        <w:t>An unrepresented accused cannot deliberately take advantage of this position to conduct him or herself in a way that would not be acceptable from defence counsel. Being unrepresented is not a free pass to misbehave, flout the legal or procedural rules, ignore the law of evidence or to treat the trial judge and witnesses with disrespect or contempt. Where an unrepresented accused acts or attempts to act in any of these ways, a trial judge must fairly and, if necessary, firmly deal with such behaviour. The extent to which a trial is regarded as fair will be examined in the light of the accused's own conduct.</w:t>
      </w:r>
      <w:r>
        <w:rPr>
          <w:rFonts w:ascii="Arial" w:hAnsi="Arial" w:cs="Arial"/>
          <w:color w:val="000000"/>
          <w:sz w:val="18"/>
          <w:szCs w:val="18"/>
        </w:rPr>
        <w:t>’”</w:t>
      </w:r>
    </w:p>
    <w:p w14:paraId="772F8F4D" w14:textId="7D7EE91B" w:rsidR="00EF7328" w:rsidRDefault="00EF7328" w:rsidP="00EF7328">
      <w:pPr>
        <w:pStyle w:val="NormalWeb"/>
        <w:spacing w:before="60" w:beforeAutospacing="0" w:after="0" w:afterAutospacing="0"/>
        <w:ind w:left="454" w:right="454"/>
        <w:jc w:val="both"/>
        <w:rPr>
          <w:rFonts w:ascii="Arial" w:hAnsi="Arial" w:cs="Arial"/>
          <w:color w:val="000000" w:themeColor="text1"/>
          <w:sz w:val="20"/>
          <w:szCs w:val="20"/>
        </w:rPr>
      </w:pPr>
      <w:r>
        <w:rPr>
          <w:rFonts w:ascii="Arial" w:hAnsi="Arial" w:cs="Arial"/>
          <w:sz w:val="20"/>
          <w:szCs w:val="20"/>
        </w:rPr>
        <w:t>[37] “</w:t>
      </w:r>
      <w:r w:rsidRPr="00EF7328">
        <w:rPr>
          <w:rFonts w:ascii="Arial" w:hAnsi="Arial" w:cs="Arial"/>
          <w:sz w:val="20"/>
          <w:szCs w:val="20"/>
        </w:rPr>
        <w:t xml:space="preserve">In my opinion, the conduct of the Magistrate as transcribed, and heard via the audio-recording, did not deny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procedural fairness. It was appropriate for the Magistrate to tell him that if he left the courtroom he was doing so of his own accord, and that she intended to hear and determine the charge. The Magistrate took reasonable steps to ensure the </w:t>
      </w:r>
      <w:r w:rsidRPr="00EF7328">
        <w:rPr>
          <w:rFonts w:ascii="Arial" w:hAnsi="Arial" w:cs="Arial"/>
          <w:color w:val="000000" w:themeColor="text1"/>
          <w:sz w:val="20"/>
          <w:szCs w:val="20"/>
        </w:rPr>
        <w:t xml:space="preserve">hearing would proceed with Mr </w:t>
      </w:r>
      <w:proofErr w:type="spellStart"/>
      <w:r w:rsidRPr="00EF7328">
        <w:rPr>
          <w:rFonts w:ascii="Arial" w:hAnsi="Arial" w:cs="Arial"/>
          <w:color w:val="000000" w:themeColor="text1"/>
          <w:sz w:val="20"/>
          <w:szCs w:val="20"/>
        </w:rPr>
        <w:t>Kyriazis</w:t>
      </w:r>
      <w:proofErr w:type="spellEnd"/>
      <w:r w:rsidRPr="00EF7328">
        <w:rPr>
          <w:rFonts w:ascii="Arial" w:hAnsi="Arial" w:cs="Arial"/>
          <w:color w:val="000000" w:themeColor="text1"/>
          <w:sz w:val="20"/>
          <w:szCs w:val="20"/>
        </w:rPr>
        <w:t xml:space="preserve"> present, and it was his choice to leave the courtroom. When a litigant leaves the court room before the completion of the hearing, there is no denial of procedural fairness in the court proceeding with the hearing: </w:t>
      </w:r>
      <w:hyperlink r:id="rId32" w:history="1">
        <w:proofErr w:type="spellStart"/>
        <w:r w:rsidRPr="00EF7328">
          <w:rPr>
            <w:rStyle w:val="Hyperlink"/>
            <w:rFonts w:ascii="Arial" w:hAnsi="Arial" w:cs="Arial"/>
            <w:i/>
            <w:iCs/>
            <w:color w:val="000000" w:themeColor="text1"/>
            <w:sz w:val="20"/>
            <w:szCs w:val="20"/>
            <w:u w:val="none"/>
          </w:rPr>
          <w:t>Andelman</w:t>
        </w:r>
        <w:proofErr w:type="spellEnd"/>
        <w:r w:rsidRPr="00EF7328">
          <w:rPr>
            <w:rStyle w:val="Hyperlink"/>
            <w:rFonts w:ascii="Arial" w:hAnsi="Arial" w:cs="Arial"/>
            <w:i/>
            <w:iCs/>
            <w:color w:val="000000" w:themeColor="text1"/>
            <w:sz w:val="20"/>
            <w:szCs w:val="20"/>
            <w:u w:val="none"/>
          </w:rPr>
          <w:t xml:space="preserve"> v Secretary, Department of Families, Housing, Community Services and Indigenous Affairs</w:t>
        </w:r>
      </w:hyperlink>
      <w:r>
        <w:rPr>
          <w:rFonts w:ascii="Arial" w:hAnsi="Arial" w:cs="Arial"/>
          <w:i/>
          <w:iCs/>
          <w:color w:val="000000" w:themeColor="text1"/>
          <w:sz w:val="20"/>
          <w:szCs w:val="20"/>
        </w:rPr>
        <w:t xml:space="preserve"> </w:t>
      </w:r>
      <w:r w:rsidRPr="00EF7328">
        <w:rPr>
          <w:rFonts w:ascii="Arial" w:hAnsi="Arial" w:cs="Arial"/>
          <w:color w:val="000000" w:themeColor="text1"/>
          <w:sz w:val="20"/>
          <w:szCs w:val="20"/>
        </w:rPr>
        <w:t>[2011] FCA 299 </w:t>
      </w:r>
      <w:hyperlink r:id="rId33" w:history="1">
        <w:r w:rsidRPr="00EF7328">
          <w:rPr>
            <w:rStyle w:val="Hyperlink"/>
            <w:rFonts w:ascii="Arial" w:hAnsi="Arial" w:cs="Arial"/>
            <w:color w:val="000000" w:themeColor="text1"/>
            <w:sz w:val="20"/>
            <w:szCs w:val="20"/>
            <w:u w:val="none"/>
          </w:rPr>
          <w:t>[38]–[40]</w:t>
        </w:r>
      </w:hyperlink>
      <w:r w:rsidRPr="00EF7328">
        <w:rPr>
          <w:rFonts w:ascii="Arial" w:hAnsi="Arial" w:cs="Arial"/>
          <w:color w:val="000000" w:themeColor="text1"/>
          <w:sz w:val="20"/>
          <w:szCs w:val="20"/>
        </w:rPr>
        <w:t> (</w:t>
      </w:r>
      <w:proofErr w:type="spellStart"/>
      <w:r w:rsidRPr="00EF7328">
        <w:rPr>
          <w:rFonts w:ascii="Arial" w:hAnsi="Arial" w:cs="Arial"/>
          <w:color w:val="000000" w:themeColor="text1"/>
          <w:sz w:val="20"/>
          <w:szCs w:val="20"/>
        </w:rPr>
        <w:t>Jagot</w:t>
      </w:r>
      <w:proofErr w:type="spellEnd"/>
      <w:r w:rsidRPr="00EF7328">
        <w:rPr>
          <w:rFonts w:ascii="Arial" w:hAnsi="Arial" w:cs="Arial"/>
          <w:color w:val="000000" w:themeColor="text1"/>
          <w:sz w:val="20"/>
          <w:szCs w:val="20"/>
        </w:rPr>
        <w:t xml:space="preserve"> J);</w:t>
      </w:r>
      <w:r w:rsidR="00537E2D">
        <w:rPr>
          <w:rFonts w:ascii="Arial" w:hAnsi="Arial" w:cs="Arial"/>
          <w:color w:val="000000" w:themeColor="text1"/>
          <w:sz w:val="20"/>
          <w:szCs w:val="20"/>
        </w:rPr>
        <w:t xml:space="preserve"> </w:t>
      </w:r>
      <w:hyperlink r:id="rId34" w:history="1">
        <w:proofErr w:type="spellStart"/>
        <w:r w:rsidRPr="00EF7328">
          <w:rPr>
            <w:rStyle w:val="Hyperlink"/>
            <w:rFonts w:ascii="Arial" w:hAnsi="Arial" w:cs="Arial"/>
            <w:i/>
            <w:iCs/>
            <w:color w:val="000000" w:themeColor="text1"/>
            <w:sz w:val="20"/>
            <w:szCs w:val="20"/>
            <w:u w:val="none"/>
          </w:rPr>
          <w:t>Charara</w:t>
        </w:r>
        <w:proofErr w:type="spellEnd"/>
        <w:r w:rsidRPr="00EF7328">
          <w:rPr>
            <w:rStyle w:val="Hyperlink"/>
            <w:rFonts w:ascii="Arial" w:hAnsi="Arial" w:cs="Arial"/>
            <w:i/>
            <w:iCs/>
            <w:color w:val="000000" w:themeColor="text1"/>
            <w:sz w:val="20"/>
            <w:szCs w:val="20"/>
            <w:u w:val="none"/>
          </w:rPr>
          <w:t xml:space="preserve"> v Commissioner of Taxation</w:t>
        </w:r>
      </w:hyperlink>
      <w:r w:rsidR="00537E2D">
        <w:rPr>
          <w:rFonts w:ascii="Arial" w:hAnsi="Arial" w:cs="Arial"/>
          <w:color w:val="000000" w:themeColor="text1"/>
          <w:sz w:val="20"/>
          <w:szCs w:val="20"/>
        </w:rPr>
        <w:t xml:space="preserve"> </w:t>
      </w:r>
      <w:r w:rsidRPr="00EF7328">
        <w:rPr>
          <w:rFonts w:ascii="Arial" w:hAnsi="Arial" w:cs="Arial"/>
          <w:color w:val="000000" w:themeColor="text1"/>
          <w:sz w:val="20"/>
          <w:szCs w:val="20"/>
        </w:rPr>
        <w:t>[2016] FCA 451 </w:t>
      </w:r>
      <w:hyperlink r:id="rId35" w:history="1">
        <w:r w:rsidRPr="00EF7328">
          <w:rPr>
            <w:rStyle w:val="Hyperlink"/>
            <w:rFonts w:ascii="Arial" w:hAnsi="Arial" w:cs="Arial"/>
            <w:color w:val="000000" w:themeColor="text1"/>
            <w:sz w:val="20"/>
            <w:szCs w:val="20"/>
            <w:u w:val="none"/>
          </w:rPr>
          <w:t>[81]</w:t>
        </w:r>
      </w:hyperlink>
      <w:r>
        <w:rPr>
          <w:rFonts w:ascii="Arial" w:hAnsi="Arial" w:cs="Arial"/>
          <w:color w:val="000000" w:themeColor="text1"/>
          <w:sz w:val="20"/>
          <w:szCs w:val="20"/>
        </w:rPr>
        <w:t xml:space="preserve"> </w:t>
      </w:r>
      <w:r w:rsidRPr="00EF7328">
        <w:rPr>
          <w:rFonts w:ascii="Arial" w:hAnsi="Arial" w:cs="Arial"/>
          <w:color w:val="000000" w:themeColor="text1"/>
          <w:sz w:val="20"/>
          <w:szCs w:val="20"/>
        </w:rPr>
        <w:t>(</w:t>
      </w:r>
      <w:proofErr w:type="spellStart"/>
      <w:r w:rsidRPr="00EF7328">
        <w:rPr>
          <w:rFonts w:ascii="Arial" w:hAnsi="Arial" w:cs="Arial"/>
          <w:color w:val="000000" w:themeColor="text1"/>
          <w:sz w:val="20"/>
          <w:szCs w:val="20"/>
        </w:rPr>
        <w:t>Wigney</w:t>
      </w:r>
      <w:proofErr w:type="spellEnd"/>
      <w:r>
        <w:rPr>
          <w:rFonts w:ascii="Arial" w:hAnsi="Arial" w:cs="Arial"/>
          <w:color w:val="000000" w:themeColor="text1"/>
          <w:sz w:val="20"/>
          <w:szCs w:val="20"/>
        </w:rPr>
        <w:t> </w:t>
      </w:r>
      <w:r w:rsidRPr="00EF7328">
        <w:rPr>
          <w:rFonts w:ascii="Arial" w:hAnsi="Arial" w:cs="Arial"/>
          <w:color w:val="000000" w:themeColor="text1"/>
          <w:sz w:val="20"/>
          <w:szCs w:val="20"/>
        </w:rPr>
        <w:t>J).</w:t>
      </w:r>
    </w:p>
    <w:p w14:paraId="5E77D3D6" w14:textId="77777777" w:rsidR="00537E2D" w:rsidRDefault="00EF7328"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[38] </w:t>
      </w:r>
      <w:r w:rsidRPr="00EF7328">
        <w:rPr>
          <w:rFonts w:ascii="Arial" w:hAnsi="Arial" w:cs="Arial"/>
          <w:sz w:val="20"/>
          <w:szCs w:val="20"/>
        </w:rPr>
        <w:t xml:space="preserve">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sought to raise his ‘preliminary issue’, the constitutional issue, at the commencement of the hearing, but the Magistrate did not immediately allow him to address </w:t>
      </w:r>
      <w:r w:rsidRPr="00EF7328">
        <w:rPr>
          <w:rFonts w:ascii="Arial" w:hAnsi="Arial" w:cs="Arial"/>
          <w:sz w:val="20"/>
          <w:szCs w:val="20"/>
        </w:rPr>
        <w:lastRenderedPageBreak/>
        <w:t xml:space="preserve">it. Nor was she obliged to. As a judicial officer her role was to control the conduct of the hearing and the manner and order in which issues were to be determined. The judicial officer conducts the hearing, not the parties. The parties, whether represented or not, must accept, and give reasonable respect to, the judicial officer’s role and authority. There is no indication in the transcript or recording that the Magistrate would not have allowed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to present his constitutional argument if he had remained in the courtroom. They only indicate that, as the presiding judicial officer, she proposed to decide the order in which issues were to be argued. The Magistrate in fact stated that ‘[h]is behaviour in the Court meant that I was unable and not prepared to hear his preliminary points until he put those points in a respectful and calm way. At no point, did that happen’.</w:t>
      </w:r>
      <w:r w:rsidR="0060031F">
        <w:rPr>
          <w:rFonts w:ascii="Arial" w:hAnsi="Arial" w:cs="Arial"/>
          <w:sz w:val="20"/>
          <w:szCs w:val="20"/>
        </w:rPr>
        <w:t xml:space="preserve">  </w:t>
      </w:r>
      <w:r w:rsidRPr="00EF7328">
        <w:rPr>
          <w:rFonts w:ascii="Arial" w:hAnsi="Arial" w:cs="Arial"/>
          <w:sz w:val="20"/>
          <w:szCs w:val="20"/>
        </w:rPr>
        <w:t xml:space="preserve">It is important for the administration of justice, and in the interests of all whose work requires them to be present in courtrooms, that all persons who are parties to criminal or civil proceedings, whether represented or not, show reasonable respect for the judicial officer. It is not for litigants to constantly interrupt the presiding judicial officer, but to listen and respond to the questions put to them and make their submissions when it is their turn. Mr </w:t>
      </w:r>
      <w:proofErr w:type="spellStart"/>
      <w:r w:rsidRPr="00EF7328">
        <w:rPr>
          <w:rFonts w:ascii="Arial" w:hAnsi="Arial" w:cs="Arial"/>
          <w:sz w:val="20"/>
          <w:szCs w:val="20"/>
        </w:rPr>
        <w:t>Kyriazis</w:t>
      </w:r>
      <w:proofErr w:type="spellEnd"/>
      <w:r w:rsidRPr="00EF7328">
        <w:rPr>
          <w:rFonts w:ascii="Arial" w:hAnsi="Arial" w:cs="Arial"/>
          <w:sz w:val="20"/>
          <w:szCs w:val="20"/>
        </w:rPr>
        <w:t xml:space="preserve"> is an experienced litigant</w:t>
      </w:r>
      <w:r w:rsidR="0060031F">
        <w:rPr>
          <w:rFonts w:ascii="Arial" w:hAnsi="Arial" w:cs="Arial"/>
          <w:sz w:val="20"/>
          <w:szCs w:val="20"/>
        </w:rPr>
        <w:t xml:space="preserve">: </w:t>
      </w:r>
      <w:hyperlink r:id="rId36" w:history="1">
        <w:r w:rsidR="0060031F" w:rsidRPr="0060031F">
          <w:rPr>
            <w:rStyle w:val="Hyperlink"/>
            <w:rFonts w:ascii="Arial" w:hAnsi="Arial" w:cs="Arial"/>
            <w:i/>
            <w:iCs/>
            <w:color w:val="000000" w:themeColor="text1"/>
            <w:sz w:val="20"/>
            <w:szCs w:val="20"/>
            <w:u w:val="none"/>
            <w:shd w:val="clear" w:color="auto" w:fill="FFFFFF"/>
          </w:rPr>
          <w:t xml:space="preserve">Doughty-Cowell v </w:t>
        </w:r>
        <w:proofErr w:type="spellStart"/>
        <w:r w:rsidR="0060031F" w:rsidRPr="0060031F">
          <w:rPr>
            <w:rStyle w:val="Hyperlink"/>
            <w:rFonts w:ascii="Arial" w:hAnsi="Arial" w:cs="Arial"/>
            <w:i/>
            <w:iCs/>
            <w:color w:val="000000" w:themeColor="text1"/>
            <w:sz w:val="20"/>
            <w:szCs w:val="20"/>
            <w:u w:val="none"/>
            <w:shd w:val="clear" w:color="auto" w:fill="FFFFFF"/>
          </w:rPr>
          <w:t>Kyriazis</w:t>
        </w:r>
        <w:proofErr w:type="spellEnd"/>
      </w:hyperlink>
      <w:r w:rsidR="0060031F">
        <w:rPr>
          <w:rFonts w:ascii="Arial" w:hAnsi="Arial" w:cs="Arial"/>
          <w:i/>
          <w:iCs/>
          <w:color w:val="000000" w:themeColor="text1"/>
          <w:sz w:val="20"/>
          <w:szCs w:val="20"/>
          <w:shd w:val="clear" w:color="auto" w:fill="FFFFFF"/>
        </w:rPr>
        <w:t xml:space="preserve"> </w:t>
      </w:r>
      <w:r w:rsidR="0060031F" w:rsidRPr="0060031F">
        <w:rPr>
          <w:rFonts w:ascii="Arial" w:hAnsi="Arial" w:cs="Arial"/>
          <w:color w:val="000000" w:themeColor="text1"/>
          <w:sz w:val="20"/>
          <w:szCs w:val="20"/>
          <w:shd w:val="clear" w:color="auto" w:fill="FFFFFF"/>
        </w:rPr>
        <w:t>[2018] VSCA 216, </w:t>
      </w:r>
      <w:hyperlink r:id="rId37" w:history="1">
        <w:r w:rsidR="0060031F" w:rsidRPr="0060031F">
          <w:rPr>
            <w:rStyle w:val="Hyperlink"/>
            <w:rFonts w:ascii="Arial" w:hAnsi="Arial" w:cs="Arial"/>
            <w:color w:val="000000" w:themeColor="text1"/>
            <w:sz w:val="20"/>
            <w:szCs w:val="20"/>
            <w:u w:val="none"/>
            <w:shd w:val="clear" w:color="auto" w:fill="FFFFFF"/>
          </w:rPr>
          <w:t>[75]</w:t>
        </w:r>
      </w:hyperlink>
      <w:r w:rsidR="0060031F" w:rsidRPr="0060031F">
        <w:rPr>
          <w:rFonts w:ascii="Arial" w:hAnsi="Arial" w:cs="Arial"/>
          <w:color w:val="000000" w:themeColor="text1"/>
          <w:sz w:val="20"/>
          <w:szCs w:val="20"/>
          <w:shd w:val="clear" w:color="auto" w:fill="FFFFFF"/>
        </w:rPr>
        <w:t> (Maxwell P, Beach and Niall JJA).</w:t>
      </w:r>
    </w:p>
    <w:p w14:paraId="38120EB2" w14:textId="57DC3839" w:rsidR="00537E2D" w:rsidRPr="00537E2D" w:rsidRDefault="00537E2D"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sidRPr="00537E2D">
        <w:rPr>
          <w:rFonts w:ascii="Arial" w:hAnsi="Arial" w:cs="Arial"/>
          <w:color w:val="000000" w:themeColor="text1"/>
          <w:sz w:val="20"/>
          <w:szCs w:val="20"/>
          <w:shd w:val="clear" w:color="auto" w:fill="FFFFFF"/>
        </w:rPr>
        <w:t xml:space="preserve">[39] Mr </w:t>
      </w:r>
      <w:proofErr w:type="spellStart"/>
      <w:r w:rsidRPr="00537E2D">
        <w:rPr>
          <w:rFonts w:ascii="Arial" w:hAnsi="Arial" w:cs="Arial"/>
          <w:color w:val="000000" w:themeColor="text1"/>
          <w:sz w:val="20"/>
          <w:szCs w:val="20"/>
          <w:shd w:val="clear" w:color="auto" w:fill="FFFFFF"/>
        </w:rPr>
        <w:t>Kyriazis</w:t>
      </w:r>
      <w:proofErr w:type="spellEnd"/>
      <w:r w:rsidRPr="00537E2D">
        <w:rPr>
          <w:rFonts w:ascii="Arial" w:hAnsi="Arial" w:cs="Arial"/>
          <w:color w:val="000000" w:themeColor="text1"/>
          <w:sz w:val="20"/>
          <w:szCs w:val="20"/>
          <w:shd w:val="clear" w:color="auto" w:fill="FFFFFF"/>
        </w:rPr>
        <w:t xml:space="preserve"> was not denied procedural fairness and once he walked out waived any further entitlement to a hearing. The Magistrate had power to proceed with the hearing and determination of the charge even though Mr </w:t>
      </w:r>
      <w:proofErr w:type="spellStart"/>
      <w:r w:rsidRPr="00537E2D">
        <w:rPr>
          <w:rFonts w:ascii="Arial" w:hAnsi="Arial" w:cs="Arial"/>
          <w:color w:val="000000" w:themeColor="text1"/>
          <w:sz w:val="20"/>
          <w:szCs w:val="20"/>
          <w:shd w:val="clear" w:color="auto" w:fill="FFFFFF"/>
        </w:rPr>
        <w:t>Kyriazis</w:t>
      </w:r>
      <w:proofErr w:type="spellEnd"/>
      <w:r w:rsidRPr="00537E2D">
        <w:rPr>
          <w:rFonts w:ascii="Arial" w:hAnsi="Arial" w:cs="Arial"/>
          <w:color w:val="000000" w:themeColor="text1"/>
          <w:sz w:val="20"/>
          <w:szCs w:val="20"/>
          <w:shd w:val="clear" w:color="auto" w:fill="FFFFFF"/>
        </w:rPr>
        <w:t xml:space="preserve"> had left the hearing: </w:t>
      </w:r>
      <w:hyperlink r:id="rId38" w:history="1">
        <w:r w:rsidRPr="00537E2D">
          <w:rPr>
            <w:rStyle w:val="Hyperlink"/>
            <w:rFonts w:ascii="Arial" w:hAnsi="Arial" w:cs="Arial"/>
            <w:i/>
            <w:iCs/>
            <w:color w:val="000000" w:themeColor="text1"/>
            <w:sz w:val="20"/>
            <w:szCs w:val="20"/>
            <w:u w:val="none"/>
            <w:shd w:val="clear" w:color="auto" w:fill="FFFFFF"/>
          </w:rPr>
          <w:t>Onus v Sealey</w:t>
        </w:r>
      </w:hyperlink>
      <w:r>
        <w:rPr>
          <w:rFonts w:ascii="Arial" w:hAnsi="Arial" w:cs="Arial"/>
          <w:color w:val="000000" w:themeColor="text1"/>
          <w:sz w:val="20"/>
          <w:szCs w:val="20"/>
          <w:shd w:val="clear" w:color="auto" w:fill="FFFFFF"/>
        </w:rPr>
        <w:t xml:space="preserve"> </w:t>
      </w:r>
      <w:r w:rsidRPr="00537E2D">
        <w:rPr>
          <w:rFonts w:ascii="Arial" w:hAnsi="Arial" w:cs="Arial"/>
          <w:color w:val="000000" w:themeColor="text1"/>
          <w:sz w:val="20"/>
          <w:szCs w:val="20"/>
          <w:shd w:val="clear" w:color="auto" w:fill="FFFFFF"/>
        </w:rPr>
        <w:t>(2004) 149 A Crim R 259; [2004] VSC 396,</w:t>
      </w:r>
      <w:r w:rsidR="004D5488">
        <w:rPr>
          <w:rFonts w:ascii="Arial" w:hAnsi="Arial" w:cs="Arial"/>
          <w:color w:val="000000" w:themeColor="text1"/>
          <w:sz w:val="20"/>
          <w:szCs w:val="20"/>
          <w:shd w:val="clear" w:color="auto" w:fill="FFFFFF"/>
        </w:rPr>
        <w:t xml:space="preserve"> </w:t>
      </w:r>
      <w:hyperlink r:id="rId39" w:history="1">
        <w:r w:rsidRPr="00537E2D">
          <w:rPr>
            <w:rStyle w:val="Hyperlink"/>
            <w:rFonts w:ascii="Arial" w:hAnsi="Arial" w:cs="Arial"/>
            <w:color w:val="000000" w:themeColor="text1"/>
            <w:sz w:val="20"/>
            <w:szCs w:val="20"/>
            <w:u w:val="none"/>
            <w:shd w:val="clear" w:color="auto" w:fill="FFFFFF"/>
          </w:rPr>
          <w:t>[25]</w:t>
        </w:r>
      </w:hyperlink>
      <w:r w:rsidRPr="00537E2D">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w:t>
      </w:r>
    </w:p>
    <w:p w14:paraId="1FF1B46C" w14:textId="5DC1439D" w:rsidR="00537E2D" w:rsidRDefault="00537E2D" w:rsidP="00537E2D">
      <w:pPr>
        <w:pStyle w:val="NormalWeb"/>
        <w:spacing w:before="0" w:beforeAutospacing="0" w:after="0" w:afterAutospacing="0"/>
        <w:jc w:val="both"/>
        <w:rPr>
          <w:rFonts w:ascii="Arial" w:hAnsi="Arial" w:cs="Arial"/>
          <w:color w:val="000000" w:themeColor="text1"/>
          <w:sz w:val="20"/>
          <w:szCs w:val="20"/>
          <w:shd w:val="clear" w:color="auto" w:fill="FFFFFF"/>
        </w:rPr>
      </w:pPr>
      <w:bookmarkStart w:id="105" w:name="_Hlk142632841"/>
    </w:p>
    <w:p w14:paraId="06167B72" w14:textId="41722E89" w:rsidR="00F36E54" w:rsidRDefault="00C618F5" w:rsidP="00537E2D">
      <w:pPr>
        <w:pStyle w:val="NormalWeb"/>
        <w:spacing w:before="0" w:beforeAutospacing="0" w:after="0" w:afterAutospacing="0"/>
        <w:jc w:val="both"/>
        <w:rPr>
          <w:rFonts w:ascii="Arial" w:hAnsi="Arial" w:cs="Arial"/>
          <w:bCs/>
          <w:sz w:val="20"/>
          <w:szCs w:val="20"/>
        </w:rPr>
      </w:pPr>
      <w:r>
        <w:rPr>
          <w:rFonts w:ascii="Arial" w:hAnsi="Arial" w:cs="Arial"/>
          <w:color w:val="000000" w:themeColor="text1"/>
          <w:sz w:val="20"/>
          <w:szCs w:val="20"/>
          <w:shd w:val="clear" w:color="auto" w:fill="FFFFFF"/>
        </w:rPr>
        <w:t xml:space="preserve">In </w:t>
      </w:r>
      <w:r w:rsidRPr="00AA1D19">
        <w:rPr>
          <w:rFonts w:ascii="Arial" w:hAnsi="Arial" w:cs="Arial"/>
          <w:bCs/>
          <w:i/>
          <w:iCs/>
          <w:sz w:val="20"/>
          <w:szCs w:val="20"/>
        </w:rPr>
        <w:t>AML (a pseudonym) v Longden Super Custodian Pty Ltd</w:t>
      </w:r>
      <w:r w:rsidRPr="00AA1D19">
        <w:rPr>
          <w:rFonts w:ascii="Arial" w:hAnsi="Arial" w:cs="Arial"/>
          <w:bCs/>
          <w:sz w:val="20"/>
          <w:szCs w:val="20"/>
        </w:rPr>
        <w:t xml:space="preserve"> [2023] VSCA</w:t>
      </w:r>
      <w:r>
        <w:rPr>
          <w:rFonts w:ascii="Arial" w:hAnsi="Arial" w:cs="Arial"/>
          <w:bCs/>
          <w:sz w:val="20"/>
          <w:szCs w:val="20"/>
        </w:rPr>
        <w:t xml:space="preserve"> 170 the Court of Appeal </w:t>
      </w:r>
      <w:r w:rsidR="00EC5F4C">
        <w:rPr>
          <w:rFonts w:ascii="Arial" w:hAnsi="Arial" w:cs="Arial"/>
          <w:sz w:val="20"/>
          <w:szCs w:val="20"/>
        </w:rPr>
        <w:t>refused the applicant leave to appeal a decision of McDonald J summarily dismissing his appeal from a VCAT decision</w:t>
      </w:r>
      <w:r w:rsidR="00F36E54">
        <w:rPr>
          <w:rFonts w:ascii="Arial" w:hAnsi="Arial" w:cs="Arial"/>
          <w:bCs/>
          <w:sz w:val="20"/>
          <w:szCs w:val="20"/>
        </w:rPr>
        <w:t xml:space="preserve">.  At </w:t>
      </w:r>
      <w:r w:rsidR="00EC5F4C">
        <w:rPr>
          <w:rFonts w:ascii="Arial" w:hAnsi="Arial" w:cs="Arial"/>
          <w:bCs/>
          <w:sz w:val="20"/>
          <w:szCs w:val="20"/>
        </w:rPr>
        <w:t xml:space="preserve">[1]-[2] &amp; </w:t>
      </w:r>
      <w:r w:rsidR="00F36E54">
        <w:rPr>
          <w:rFonts w:ascii="Arial" w:hAnsi="Arial" w:cs="Arial"/>
          <w:bCs/>
          <w:sz w:val="20"/>
          <w:szCs w:val="20"/>
        </w:rPr>
        <w:t>[47]-[49] Macaulay JA &amp; J Forrest AJA said [emphasis added]:</w:t>
      </w:r>
    </w:p>
    <w:p w14:paraId="519C7336" w14:textId="42862291" w:rsidR="00EC5F4C" w:rsidRDefault="00EC5F4C" w:rsidP="00EC5F4C">
      <w:pPr>
        <w:pStyle w:val="NormalWeb"/>
        <w:spacing w:before="60" w:beforeAutospacing="0" w:after="0" w:afterAutospacing="0"/>
        <w:ind w:left="454" w:right="454"/>
        <w:jc w:val="both"/>
        <w:rPr>
          <w:rFonts w:ascii="Arial" w:hAnsi="Arial" w:cs="Arial"/>
          <w:color w:val="auto"/>
          <w:sz w:val="20"/>
          <w:szCs w:val="20"/>
        </w:rPr>
      </w:pPr>
      <w:r>
        <w:rPr>
          <w:rFonts w:ascii="Arial" w:hAnsi="Arial" w:cs="Arial"/>
          <w:sz w:val="20"/>
          <w:szCs w:val="20"/>
        </w:rPr>
        <w:t>[1] “This is the fifth occasion on which the applicant has challenged, in a division of the Supreme Court, the correctness of a decision by the Victorian Civil and Administrative Tribunal (‘VCAT’) to refuse or not consider his application to adjourn a hearing of his landlord’s claim for possession of his rental premises.</w:t>
      </w:r>
    </w:p>
    <w:p w14:paraId="79FCCCAF" w14:textId="77777777" w:rsidR="00EC5F4C" w:rsidRDefault="00EC5F4C" w:rsidP="00EC5F4C">
      <w:pPr>
        <w:pStyle w:val="NormalWeb"/>
        <w:spacing w:before="60" w:beforeAutospacing="0" w:after="0" w:afterAutospacing="0"/>
        <w:ind w:left="454" w:right="454"/>
        <w:jc w:val="both"/>
        <w:rPr>
          <w:rFonts w:ascii="Arial" w:hAnsi="Arial" w:cs="Arial"/>
          <w:sz w:val="20"/>
          <w:szCs w:val="20"/>
          <w:shd w:val="clear" w:color="auto" w:fill="FFFFFF"/>
        </w:rPr>
      </w:pPr>
      <w:r>
        <w:rPr>
          <w:rFonts w:ascii="Arial" w:hAnsi="Arial" w:cs="Arial"/>
          <w:sz w:val="20"/>
          <w:szCs w:val="20"/>
        </w:rPr>
        <w:t>[2] On each occasion a judge (or judges) determined that the applicant had not made out a prima facie case that he had been denied procedural fairness by not adjourning the hearing.”</w:t>
      </w:r>
    </w:p>
    <w:p w14:paraId="72454F41" w14:textId="5D1CCF8A" w:rsidR="00EC5F4C" w:rsidRDefault="00EC5F4C" w:rsidP="00EC5F4C">
      <w:pPr>
        <w:pStyle w:val="NormalWeb"/>
        <w:spacing w:before="60" w:beforeAutospacing="0" w:after="0" w:afterAutospacing="0"/>
        <w:ind w:left="454" w:right="454"/>
        <w:jc w:val="both"/>
        <w:rPr>
          <w:rFonts w:ascii="Arial" w:hAnsi="Arial" w:cs="Arial"/>
          <w:sz w:val="20"/>
          <w:szCs w:val="20"/>
          <w:shd w:val="clear" w:color="auto" w:fill="FFFFFF"/>
        </w:rPr>
      </w:pPr>
      <w:r>
        <w:rPr>
          <w:rFonts w:ascii="Arial" w:hAnsi="Arial" w:cs="Arial"/>
          <w:sz w:val="20"/>
          <w:szCs w:val="20"/>
          <w:shd w:val="clear" w:color="auto" w:fill="FFFFFF"/>
        </w:rPr>
        <w:t>…</w:t>
      </w:r>
    </w:p>
    <w:p w14:paraId="1ECAC3A1" w14:textId="60B776FE" w:rsidR="00F36E54" w:rsidRDefault="00F36E54" w:rsidP="00F36E54">
      <w:pPr>
        <w:pStyle w:val="NormalWeb"/>
        <w:spacing w:before="60" w:beforeAutospacing="0" w:after="0" w:afterAutospacing="0"/>
        <w:ind w:left="454" w:right="454"/>
        <w:jc w:val="both"/>
        <w:rPr>
          <w:rFonts w:ascii="Arial" w:hAnsi="Arial" w:cs="Arial"/>
          <w:sz w:val="20"/>
          <w:szCs w:val="20"/>
        </w:rPr>
      </w:pPr>
      <w:r>
        <w:rPr>
          <w:rFonts w:ascii="Arial" w:hAnsi="Arial" w:cs="Arial"/>
          <w:color w:val="000000" w:themeColor="text1"/>
          <w:sz w:val="20"/>
          <w:szCs w:val="20"/>
          <w:shd w:val="clear" w:color="auto" w:fill="FFFFFF"/>
        </w:rPr>
        <w:t>[47] “</w:t>
      </w:r>
      <w:r w:rsidRPr="00F36E54">
        <w:rPr>
          <w:rFonts w:ascii="Arial" w:hAnsi="Arial" w:cs="Arial"/>
          <w:sz w:val="20"/>
          <w:szCs w:val="20"/>
        </w:rPr>
        <w:t>In summary, as at 1 September 2022, at the latest, AML knew: the hearing listed for 1</w:t>
      </w:r>
      <w:r w:rsidR="00EC5F4C">
        <w:rPr>
          <w:rFonts w:ascii="Arial" w:hAnsi="Arial" w:cs="Arial"/>
          <w:sz w:val="20"/>
          <w:szCs w:val="20"/>
        </w:rPr>
        <w:t> </w:t>
      </w:r>
      <w:r w:rsidRPr="00F36E54">
        <w:rPr>
          <w:rFonts w:ascii="Arial" w:hAnsi="Arial" w:cs="Arial"/>
          <w:sz w:val="20"/>
          <w:szCs w:val="20"/>
        </w:rPr>
        <w:t>September 2022 was proceeding; his first request for an adjournment had been refused; his second request for an adjournment had not been granted but may be considered at the hearing at 11:30 am on 2 September 2022; and he either could participate in the VCAT telephone hearing himself or appoint a representative to participate on his behalf. He did neither of those things. No person appeared before the VCAT to advance his request for an adjournment before the Member hearing Longden’s application for possession. It was not that he could not appear; rather, he would not appear. McDonald J was correct to find that AML chose not to appear.</w:t>
      </w:r>
    </w:p>
    <w:p w14:paraId="0DB282E3" w14:textId="77777777" w:rsidR="00EC5F4C" w:rsidRDefault="00F36E54" w:rsidP="00F36E54">
      <w:pPr>
        <w:pStyle w:val="NormalWeb"/>
        <w:spacing w:before="60" w:beforeAutospacing="0" w:after="0" w:afterAutospacing="0"/>
        <w:ind w:left="454" w:right="454"/>
        <w:jc w:val="both"/>
        <w:rPr>
          <w:rFonts w:ascii="Arial" w:hAnsi="Arial" w:cs="Arial"/>
          <w:sz w:val="20"/>
          <w:szCs w:val="20"/>
        </w:rPr>
      </w:pPr>
      <w:r>
        <w:rPr>
          <w:rFonts w:ascii="Arial" w:hAnsi="Arial" w:cs="Arial"/>
          <w:sz w:val="20"/>
          <w:szCs w:val="20"/>
        </w:rPr>
        <w:t xml:space="preserve">[48] </w:t>
      </w:r>
      <w:r w:rsidRPr="00F36E54">
        <w:rPr>
          <w:rFonts w:ascii="Arial" w:hAnsi="Arial" w:cs="Arial"/>
          <w:sz w:val="20"/>
          <w:szCs w:val="20"/>
        </w:rPr>
        <w:t xml:space="preserve">Irving </w:t>
      </w:r>
      <w:proofErr w:type="spellStart"/>
      <w:r w:rsidRPr="00F36E54">
        <w:rPr>
          <w:rFonts w:ascii="Arial" w:hAnsi="Arial" w:cs="Arial"/>
          <w:sz w:val="20"/>
          <w:szCs w:val="20"/>
        </w:rPr>
        <w:t>AsJ’s</w:t>
      </w:r>
      <w:proofErr w:type="spellEnd"/>
      <w:r w:rsidRPr="00F36E54">
        <w:rPr>
          <w:rFonts w:ascii="Arial" w:hAnsi="Arial" w:cs="Arial"/>
          <w:sz w:val="20"/>
          <w:szCs w:val="20"/>
        </w:rPr>
        <w:t xml:space="preserve"> observation (on the summary dismissal application) is directly to the point:</w:t>
      </w:r>
    </w:p>
    <w:p w14:paraId="33E51F6C" w14:textId="37E4E40D" w:rsidR="00F36E54" w:rsidRPr="00EC5F4C" w:rsidRDefault="00EC5F4C" w:rsidP="007B22CD">
      <w:pPr>
        <w:pStyle w:val="NormalWeb"/>
        <w:spacing w:before="60" w:beforeAutospacing="0" w:after="0" w:afterAutospacing="0"/>
        <w:ind w:left="907" w:right="907"/>
        <w:jc w:val="both"/>
        <w:rPr>
          <w:rFonts w:ascii="Arial" w:hAnsi="Arial" w:cs="Arial"/>
          <w:sz w:val="18"/>
          <w:szCs w:val="18"/>
        </w:rPr>
      </w:pPr>
      <w:r w:rsidRPr="00EC5F4C">
        <w:rPr>
          <w:rFonts w:ascii="Arial" w:hAnsi="Arial" w:cs="Arial"/>
          <w:sz w:val="18"/>
          <w:szCs w:val="18"/>
        </w:rPr>
        <w:t>‘A</w:t>
      </w:r>
      <w:r w:rsidR="00F36E54" w:rsidRPr="00EC5F4C">
        <w:rPr>
          <w:rFonts w:ascii="Arial" w:hAnsi="Arial" w:cs="Arial"/>
          <w:sz w:val="18"/>
          <w:szCs w:val="18"/>
        </w:rPr>
        <w:t xml:space="preserve"> further problem arises if AML’s line of argument were to be accepted. That is, it would leave the process before VCAT to his convenience. Such a position is beyond what the duty to provide procedural fairness requires and is contrary to modern case management principles and the need for finality in litigation. It also does not strike the appropriate balance between the interests of both parties to the litigation.</w:t>
      </w:r>
      <w:r w:rsidRPr="00EC5F4C">
        <w:rPr>
          <w:rFonts w:ascii="Arial" w:hAnsi="Arial" w:cs="Arial"/>
          <w:sz w:val="18"/>
          <w:szCs w:val="18"/>
        </w:rPr>
        <w:t>’</w:t>
      </w:r>
    </w:p>
    <w:p w14:paraId="1541CB19" w14:textId="35599159" w:rsidR="00F36E54" w:rsidRPr="00537E2D" w:rsidRDefault="00F36E54" w:rsidP="00F36E54">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sz w:val="20"/>
          <w:szCs w:val="20"/>
        </w:rPr>
        <w:t xml:space="preserve">[49] </w:t>
      </w:r>
      <w:r w:rsidRPr="00F36E54">
        <w:rPr>
          <w:rFonts w:ascii="Arial" w:hAnsi="Arial" w:cs="Arial"/>
          <w:b/>
          <w:bCs/>
          <w:sz w:val="20"/>
          <w:szCs w:val="20"/>
        </w:rPr>
        <w:t>We would go further. It is not for the parties to litigation in this day and age, and with the pressures on courts to deal with cases efficiently and speedily, to dictate whether a case will or will not proceed on a particular day or time. That is the Court’s decision.</w:t>
      </w:r>
      <w:r>
        <w:rPr>
          <w:rFonts w:ascii="Arial" w:hAnsi="Arial" w:cs="Arial"/>
          <w:sz w:val="20"/>
          <w:szCs w:val="20"/>
        </w:rPr>
        <w:t>”</w:t>
      </w:r>
    </w:p>
    <w:p w14:paraId="7A9E2949" w14:textId="77777777" w:rsidR="00EC5F4C" w:rsidRDefault="00EC5F4C" w:rsidP="00537E2D">
      <w:pPr>
        <w:pStyle w:val="NormalWeb"/>
        <w:spacing w:before="0" w:beforeAutospacing="0" w:after="0" w:afterAutospacing="0"/>
        <w:jc w:val="both"/>
        <w:rPr>
          <w:rFonts w:ascii="Arial" w:hAnsi="Arial" w:cs="Arial"/>
          <w:color w:val="000000" w:themeColor="text1"/>
          <w:sz w:val="20"/>
          <w:szCs w:val="20"/>
          <w:shd w:val="clear" w:color="auto" w:fill="FFFFFF"/>
        </w:rPr>
      </w:pPr>
    </w:p>
    <w:bookmarkEnd w:id="105"/>
    <w:p w14:paraId="42D89AEF" w14:textId="1361526B" w:rsidR="0027049C" w:rsidRDefault="0027049C" w:rsidP="00537E2D">
      <w:pPr>
        <w:pStyle w:val="NormalWeb"/>
        <w:spacing w:before="0" w:beforeAutospacing="0" w:after="0" w:afterAutospacing="0"/>
        <w:jc w:val="both"/>
        <w:rPr>
          <w:rFonts w:ascii="Arial" w:hAnsi="Arial" w:cs="Arial"/>
          <w:sz w:val="20"/>
          <w:szCs w:val="20"/>
        </w:rPr>
      </w:pPr>
      <w:r w:rsidRPr="0027049C">
        <w:rPr>
          <w:rFonts w:ascii="Arial" w:hAnsi="Arial" w:cs="Arial"/>
          <w:color w:val="000000" w:themeColor="text1"/>
          <w:sz w:val="20"/>
          <w:szCs w:val="20"/>
          <w:shd w:val="clear" w:color="auto" w:fill="FFFFFF"/>
        </w:rPr>
        <w:t xml:space="preserve">In </w:t>
      </w:r>
      <w:bookmarkStart w:id="106" w:name="_Hlk134433653"/>
      <w:r w:rsidRPr="0027049C">
        <w:rPr>
          <w:rFonts w:ascii="Arial" w:hAnsi="Arial" w:cs="Arial"/>
          <w:i/>
          <w:iCs/>
          <w:sz w:val="20"/>
          <w:szCs w:val="20"/>
        </w:rPr>
        <w:t>Mia Harris (a pseudonym) and Adam Jackson (a pseudonym) v Secretary to the Department of Families Fairness and Housing</w:t>
      </w:r>
      <w:r w:rsidRPr="0027049C">
        <w:rPr>
          <w:rFonts w:ascii="Arial" w:hAnsi="Arial" w:cs="Arial"/>
          <w:sz w:val="20"/>
          <w:szCs w:val="20"/>
        </w:rPr>
        <w:t xml:space="preserve"> [2023] VSC </w:t>
      </w:r>
      <w:r>
        <w:rPr>
          <w:rFonts w:ascii="Arial" w:hAnsi="Arial" w:cs="Arial"/>
          <w:sz w:val="20"/>
          <w:szCs w:val="20"/>
        </w:rPr>
        <w:t xml:space="preserve">228 </w:t>
      </w:r>
      <w:bookmarkEnd w:id="106"/>
      <w:r>
        <w:rPr>
          <w:rFonts w:ascii="Arial" w:hAnsi="Arial" w:cs="Arial"/>
          <w:sz w:val="20"/>
          <w:szCs w:val="20"/>
        </w:rPr>
        <w:t xml:space="preserve">a Children’s Court magistrate had found </w:t>
      </w:r>
      <w:r w:rsidR="0079118D">
        <w:rPr>
          <w:rFonts w:ascii="Arial" w:hAnsi="Arial" w:cs="Arial"/>
          <w:sz w:val="20"/>
          <w:szCs w:val="20"/>
        </w:rPr>
        <w:t xml:space="preserve">– after a 4 day contested hearing – </w:t>
      </w:r>
      <w:r>
        <w:rPr>
          <w:rFonts w:ascii="Arial" w:hAnsi="Arial" w:cs="Arial"/>
          <w:sz w:val="20"/>
          <w:szCs w:val="20"/>
        </w:rPr>
        <w:t>that</w:t>
      </w:r>
      <w:r w:rsidR="0079118D">
        <w:rPr>
          <w:rFonts w:ascii="Arial" w:hAnsi="Arial" w:cs="Arial"/>
          <w:sz w:val="20"/>
          <w:szCs w:val="20"/>
        </w:rPr>
        <w:t xml:space="preserve"> </w:t>
      </w:r>
      <w:r>
        <w:rPr>
          <w:rFonts w:ascii="Arial" w:hAnsi="Arial" w:cs="Arial"/>
          <w:sz w:val="20"/>
          <w:szCs w:val="20"/>
        </w:rPr>
        <w:t xml:space="preserve">a 14 month old child </w:t>
      </w:r>
      <w:r w:rsidR="00F1736A">
        <w:rPr>
          <w:rFonts w:ascii="Arial" w:hAnsi="Arial" w:cs="Arial"/>
          <w:sz w:val="20"/>
          <w:szCs w:val="20"/>
        </w:rPr>
        <w:t xml:space="preserve">Isaac (a pseudonym) </w:t>
      </w:r>
      <w:r>
        <w:rPr>
          <w:rFonts w:ascii="Arial" w:hAnsi="Arial" w:cs="Arial"/>
          <w:sz w:val="20"/>
          <w:szCs w:val="20"/>
        </w:rPr>
        <w:t xml:space="preserve">– who </w:t>
      </w:r>
      <w:r w:rsidR="00F1736A">
        <w:rPr>
          <w:rFonts w:ascii="Arial" w:hAnsi="Arial" w:cs="Arial"/>
          <w:sz w:val="20"/>
          <w:szCs w:val="20"/>
        </w:rPr>
        <w:t xml:space="preserve">was removed from </w:t>
      </w:r>
      <w:r>
        <w:rPr>
          <w:rFonts w:ascii="Arial" w:hAnsi="Arial" w:cs="Arial"/>
          <w:sz w:val="20"/>
          <w:szCs w:val="20"/>
        </w:rPr>
        <w:t xml:space="preserve">parental care </w:t>
      </w:r>
      <w:r w:rsidR="00F1736A">
        <w:rPr>
          <w:rFonts w:ascii="Arial" w:hAnsi="Arial" w:cs="Arial"/>
          <w:sz w:val="20"/>
          <w:szCs w:val="20"/>
        </w:rPr>
        <w:t>at</w:t>
      </w:r>
      <w:r>
        <w:rPr>
          <w:rFonts w:ascii="Arial" w:hAnsi="Arial" w:cs="Arial"/>
          <w:sz w:val="20"/>
          <w:szCs w:val="20"/>
        </w:rPr>
        <w:t xml:space="preserve"> birth – was in need of protection on the likelihood limbs of ss.162(1)(d) &amp; 162(1)(e) CYFA</w:t>
      </w:r>
      <w:r w:rsidR="00F1736A">
        <w:rPr>
          <w:rFonts w:ascii="Arial" w:hAnsi="Arial" w:cs="Arial"/>
          <w:sz w:val="20"/>
          <w:szCs w:val="20"/>
        </w:rPr>
        <w:t xml:space="preserve"> and placed </w:t>
      </w:r>
      <w:r w:rsidR="0079118D">
        <w:rPr>
          <w:rFonts w:ascii="Arial" w:hAnsi="Arial" w:cs="Arial"/>
          <w:sz w:val="20"/>
          <w:szCs w:val="20"/>
        </w:rPr>
        <w:t>him</w:t>
      </w:r>
      <w:r w:rsidR="00F1736A">
        <w:rPr>
          <w:rFonts w:ascii="Arial" w:hAnsi="Arial" w:cs="Arial"/>
          <w:sz w:val="20"/>
          <w:szCs w:val="20"/>
        </w:rPr>
        <w:t xml:space="preserve"> on a care by Secretary order.  The mother had been legally represented but the father – who was then in custody serving an 8 month sentence and a 3 year CCO for various offences, </w:t>
      </w:r>
      <w:r w:rsidR="0079118D">
        <w:rPr>
          <w:rFonts w:ascii="Arial" w:hAnsi="Arial" w:cs="Arial"/>
          <w:sz w:val="20"/>
          <w:szCs w:val="20"/>
        </w:rPr>
        <w:t>including several relating to an incident where he stabbed the mother’s ex-partner – was unrepresented.  Both the mother and the father – who had sought a family reunification order in respect of Isaac – appealed on a number of grounds.</w:t>
      </w:r>
      <w:r w:rsidR="004615DC">
        <w:rPr>
          <w:rFonts w:ascii="Arial" w:hAnsi="Arial" w:cs="Arial"/>
          <w:sz w:val="20"/>
          <w:szCs w:val="20"/>
        </w:rPr>
        <w:t xml:space="preserve">  The mother’s appeal was dismissed.  The father’s appeal was allowed on a single ground, namely that he had been denied procedural fairness.  At [</w:t>
      </w:r>
      <w:r w:rsidR="00A844EA">
        <w:rPr>
          <w:rFonts w:ascii="Arial" w:hAnsi="Arial" w:cs="Arial"/>
          <w:sz w:val="20"/>
          <w:szCs w:val="20"/>
        </w:rPr>
        <w:t>305</w:t>
      </w:r>
      <w:r w:rsidR="004615DC">
        <w:rPr>
          <w:rFonts w:ascii="Arial" w:hAnsi="Arial" w:cs="Arial"/>
          <w:sz w:val="20"/>
          <w:szCs w:val="20"/>
        </w:rPr>
        <w:t>]-[</w:t>
      </w:r>
      <w:r w:rsidR="00A844EA">
        <w:rPr>
          <w:rFonts w:ascii="Arial" w:hAnsi="Arial" w:cs="Arial"/>
          <w:sz w:val="20"/>
          <w:szCs w:val="20"/>
        </w:rPr>
        <w:t>311</w:t>
      </w:r>
      <w:r w:rsidR="004615DC">
        <w:rPr>
          <w:rFonts w:ascii="Arial" w:hAnsi="Arial" w:cs="Arial"/>
          <w:sz w:val="20"/>
          <w:szCs w:val="20"/>
        </w:rPr>
        <w:t>] O’Meara J said:</w:t>
      </w:r>
    </w:p>
    <w:p w14:paraId="17F5D052" w14:textId="5F90FA98" w:rsidR="00A844EA" w:rsidRDefault="004615DC" w:rsidP="004615DC">
      <w:pPr>
        <w:spacing w:before="60"/>
        <w:ind w:left="454" w:right="454"/>
        <w:jc w:val="both"/>
        <w:rPr>
          <w:rFonts w:ascii="Arial" w:hAnsi="Arial" w:cs="Arial"/>
          <w:sz w:val="20"/>
          <w:szCs w:val="20"/>
        </w:rPr>
      </w:pPr>
      <w:r>
        <w:rPr>
          <w:rFonts w:ascii="Arial" w:hAnsi="Arial" w:cs="Arial"/>
          <w:color w:val="000000"/>
          <w:sz w:val="20"/>
          <w:szCs w:val="20"/>
        </w:rPr>
        <w:lastRenderedPageBreak/>
        <w:t>[</w:t>
      </w:r>
      <w:r w:rsidR="00A844EA">
        <w:rPr>
          <w:rFonts w:ascii="Arial" w:hAnsi="Arial" w:cs="Arial"/>
          <w:color w:val="000000"/>
          <w:sz w:val="20"/>
          <w:szCs w:val="20"/>
        </w:rPr>
        <w:t>305</w:t>
      </w:r>
      <w:r>
        <w:rPr>
          <w:rFonts w:ascii="Arial" w:hAnsi="Arial" w:cs="Arial"/>
          <w:color w:val="000000"/>
          <w:sz w:val="20"/>
          <w:szCs w:val="20"/>
        </w:rPr>
        <w:t>] “</w:t>
      </w:r>
      <w:r w:rsidR="00A844EA" w:rsidRPr="00A844EA">
        <w:rPr>
          <w:rFonts w:ascii="Arial" w:hAnsi="Arial" w:cs="Arial"/>
          <w:sz w:val="20"/>
          <w:szCs w:val="20"/>
        </w:rPr>
        <w:t>In my view</w:t>
      </w:r>
      <w:r w:rsidR="00A844EA">
        <w:rPr>
          <w:rFonts w:ascii="Arial" w:hAnsi="Arial" w:cs="Arial"/>
          <w:sz w:val="20"/>
          <w:szCs w:val="20"/>
        </w:rPr>
        <w:t>…</w:t>
      </w:r>
      <w:r w:rsidR="00A844EA" w:rsidRPr="00A844EA">
        <w:rPr>
          <w:rFonts w:ascii="Arial" w:hAnsi="Arial" w:cs="Arial"/>
          <w:sz w:val="20"/>
          <w:szCs w:val="20"/>
        </w:rPr>
        <w:t>her Honour correctly identified, more than once, that Mr Jackson had been ‘entitled’ to cross-examine the authors of the relevant reports. In particular –</w:t>
      </w:r>
    </w:p>
    <w:p w14:paraId="54FA1F95"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to that point, the pattern of the hearing had been exactly that – witnesses proffering evidence against the appellants were called and, where appropriate, cross-examined;</w:t>
      </w:r>
    </w:p>
    <w:p w14:paraId="5F425624"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the reports of Dr W and Ms C, in particular, had been introduced late, were relevant to and confirmed as relied upon in the Secretary’s case and were adverse to the interests of Mr Jackson;</w:t>
      </w:r>
    </w:p>
    <w:p w14:paraId="36BC5CD5"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(c) Mr Jackson had relevant and cogent questions for the authors; and</w:t>
      </w:r>
    </w:p>
    <w:p w14:paraId="500AB349" w14:textId="73423749" w:rsidR="004615DC" w:rsidRDefault="00A844EA" w:rsidP="00A844EA">
      <w:pPr>
        <w:ind w:left="454" w:right="454"/>
        <w:jc w:val="both"/>
        <w:rPr>
          <w:rFonts w:ascii="Arial" w:hAnsi="Arial" w:cs="Arial"/>
          <w:color w:val="000000"/>
          <w:sz w:val="20"/>
          <w:szCs w:val="20"/>
        </w:rPr>
      </w:pPr>
      <w:r w:rsidRPr="00A844EA">
        <w:rPr>
          <w:rFonts w:ascii="Arial" w:hAnsi="Arial" w:cs="Arial"/>
          <w:sz w:val="20"/>
          <w:szCs w:val="20"/>
        </w:rPr>
        <w:t>(d) it was quite realistic to consider that such a process could be to his benefit.</w:t>
      </w:r>
    </w:p>
    <w:p w14:paraId="48BA95ED" w14:textId="49373508" w:rsidR="00A844EA" w:rsidRDefault="00A844EA" w:rsidP="00A844EA">
      <w:pPr>
        <w:spacing w:before="60"/>
        <w:ind w:left="454" w:right="454"/>
        <w:jc w:val="both"/>
        <w:rPr>
          <w:rFonts w:ascii="Arial" w:hAnsi="Arial" w:cs="Arial"/>
          <w:sz w:val="20"/>
          <w:szCs w:val="20"/>
        </w:rPr>
      </w:pPr>
      <w:r>
        <w:rPr>
          <w:rFonts w:ascii="Arial" w:hAnsi="Arial" w:cs="Arial"/>
          <w:sz w:val="20"/>
          <w:szCs w:val="20"/>
        </w:rPr>
        <w:t>[306] Initially</w:t>
      </w:r>
      <w:r w:rsidRPr="00A844EA">
        <w:rPr>
          <w:rFonts w:ascii="Arial" w:hAnsi="Arial" w:cs="Arial"/>
          <w:sz w:val="20"/>
          <w:szCs w:val="20"/>
        </w:rPr>
        <w:t>–</w:t>
      </w:r>
    </w:p>
    <w:p w14:paraId="2FEB0508"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so much seems to have been acknowledged by all counsel; and</w:t>
      </w:r>
    </w:p>
    <w:p w14:paraId="78C6CB5E"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counsel for the Secretary confirmed that enquiries were being made of the witnesses.</w:t>
      </w:r>
    </w:p>
    <w:p w14:paraId="6FE4B8A0" w14:textId="6FF3146F"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[307] </w:t>
      </w:r>
      <w:r w:rsidRPr="00A844EA">
        <w:rPr>
          <w:rFonts w:ascii="Arial" w:hAnsi="Arial" w:cs="Arial"/>
          <w:sz w:val="20"/>
          <w:szCs w:val="20"/>
        </w:rPr>
        <w:t>I should add that it was not then suggested by anyone that the fact that Mr Jackson was not proposing to call his own expert neuropsychologist or forensic psychologist should be thought to in some way displace or affect his entitlement to cross-examine the witnesses called in the case against him.</w:t>
      </w:r>
    </w:p>
    <w:p w14:paraId="5B63D870" w14:textId="55C14BD0"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[308] </w:t>
      </w:r>
      <w:r w:rsidRPr="00A844EA">
        <w:rPr>
          <w:rFonts w:ascii="Arial" w:hAnsi="Arial" w:cs="Arial"/>
          <w:sz w:val="20"/>
          <w:szCs w:val="20"/>
        </w:rPr>
        <w:t>The complexion of the position changed significantly two hearing days later when the case for the Secretary was sought to be closed without the missing witnesses being called. That development placed both her Honour and Mr Jackson in an acutely difficult position.</w:t>
      </w:r>
    </w:p>
    <w:p w14:paraId="73864632" w14:textId="57DC9E11" w:rsidR="00A844EA" w:rsidRDefault="00A844EA" w:rsidP="00A844EA">
      <w:pPr>
        <w:spacing w:before="60"/>
        <w:ind w:left="454" w:right="454"/>
        <w:jc w:val="both"/>
        <w:rPr>
          <w:rFonts w:ascii="Arial" w:hAnsi="Arial" w:cs="Arial"/>
          <w:sz w:val="20"/>
          <w:szCs w:val="20"/>
        </w:rPr>
      </w:pPr>
      <w:r>
        <w:rPr>
          <w:rFonts w:ascii="Arial" w:hAnsi="Arial" w:cs="Arial"/>
          <w:sz w:val="20"/>
          <w:szCs w:val="20"/>
        </w:rPr>
        <w:t xml:space="preserve">[309] </w:t>
      </w:r>
      <w:r w:rsidRPr="00A844EA">
        <w:rPr>
          <w:rFonts w:ascii="Arial" w:hAnsi="Arial" w:cs="Arial"/>
          <w:sz w:val="20"/>
          <w:szCs w:val="20"/>
        </w:rPr>
        <w:t>It was also in that context that several of the points now sought to be advanced by the Secretary emerged and rather ‘swirled around’ in the hearing with the effect that, in the end, Mr Jackson was dissuaded from pressing to cross-examine Dr W and Ms C.</w:t>
      </w:r>
    </w:p>
    <w:p w14:paraId="45A8DDB3" w14:textId="51626914" w:rsidR="00A844EA" w:rsidRDefault="00A844EA" w:rsidP="00A844EA">
      <w:pPr>
        <w:spacing w:before="60"/>
        <w:ind w:left="454" w:right="454"/>
        <w:jc w:val="both"/>
        <w:rPr>
          <w:rFonts w:ascii="Arial" w:hAnsi="Arial" w:cs="Arial"/>
          <w:sz w:val="20"/>
          <w:szCs w:val="20"/>
        </w:rPr>
      </w:pPr>
      <w:r>
        <w:rPr>
          <w:rFonts w:ascii="Arial" w:hAnsi="Arial" w:cs="Arial"/>
          <w:sz w:val="20"/>
          <w:szCs w:val="20"/>
        </w:rPr>
        <w:t>[310] In particular</w:t>
      </w:r>
      <w:r w:rsidRPr="00A844EA">
        <w:rPr>
          <w:rFonts w:ascii="Arial" w:hAnsi="Arial" w:cs="Arial"/>
          <w:sz w:val="20"/>
          <w:szCs w:val="20"/>
        </w:rPr>
        <w:t>–</w:t>
      </w:r>
    </w:p>
    <w:p w14:paraId="16704DEA"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(a) counsel for the Secretary raised the spectre of an adjournment – which, as I have earlier noted, counsel for Ms Harris initially opposed;</w:t>
      </w:r>
    </w:p>
    <w:p w14:paraId="3AA964DC"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(b) counsel for the Secretary sought broadly to ‘anticipate’ the points that Mr Jackson would ‘like to raise’ and deal with that by accepting that they would ‘no doubt be accepted’;</w:t>
      </w:r>
    </w:p>
    <w:p w14:paraId="674ABA00"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(c) thus, her Honour was edged in the direction of the proposal ultimately made to Mr</w:t>
      </w:r>
      <w:r>
        <w:rPr>
          <w:rFonts w:ascii="Arial" w:hAnsi="Arial" w:cs="Arial"/>
          <w:sz w:val="20"/>
          <w:szCs w:val="20"/>
        </w:rPr>
        <w:t> </w:t>
      </w:r>
      <w:r w:rsidRPr="00A844EA">
        <w:rPr>
          <w:rFonts w:ascii="Arial" w:hAnsi="Arial" w:cs="Arial"/>
          <w:sz w:val="20"/>
          <w:szCs w:val="20"/>
        </w:rPr>
        <w:t>Jackson, namely that ‘you can just as well make those points to me as you can probably make them to the witnesses’;</w:t>
      </w:r>
    </w:p>
    <w:p w14:paraId="6FE903AE"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(d) in that context, her Honour observed that Mr Jackson was not calling another exper</w:t>
      </w:r>
      <w:r>
        <w:rPr>
          <w:rFonts w:ascii="Arial" w:hAnsi="Arial" w:cs="Arial"/>
          <w:sz w:val="20"/>
          <w:szCs w:val="20"/>
        </w:rPr>
        <w:t>t;</w:t>
      </w:r>
    </w:p>
    <w:p w14:paraId="42BA1EB0"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(e) counsel for Ms Harris raised the ‘risk’ that if the witnesses were called they might say that they need to undertake another assessment; and</w:t>
      </w:r>
    </w:p>
    <w:p w14:paraId="477FA816" w14:textId="77777777" w:rsidR="00A844EA" w:rsidRDefault="00A844EA" w:rsidP="00A844EA">
      <w:pPr>
        <w:ind w:left="454" w:right="454"/>
        <w:jc w:val="both"/>
        <w:rPr>
          <w:rFonts w:ascii="Arial" w:hAnsi="Arial" w:cs="Arial"/>
          <w:sz w:val="20"/>
          <w:szCs w:val="20"/>
        </w:rPr>
      </w:pPr>
      <w:r w:rsidRPr="00A844EA">
        <w:rPr>
          <w:rFonts w:ascii="Arial" w:hAnsi="Arial" w:cs="Arial"/>
          <w:sz w:val="20"/>
          <w:szCs w:val="20"/>
        </w:rPr>
        <w:t>(f) her Honour then settled upon Mr Jackson telling her ‘how you think you have improved’.</w:t>
      </w:r>
    </w:p>
    <w:p w14:paraId="659797D3" w14:textId="6488F33C" w:rsidR="0079118D" w:rsidRPr="00A844EA" w:rsidRDefault="00A844EA" w:rsidP="00A844EA">
      <w:pPr>
        <w:spacing w:before="60"/>
        <w:ind w:left="454" w:right="454"/>
        <w:jc w:val="both"/>
        <w:rPr>
          <w:rFonts w:ascii="Arial" w:hAnsi="Arial" w:cs="Arial"/>
          <w:sz w:val="20"/>
          <w:szCs w:val="20"/>
        </w:rPr>
      </w:pPr>
      <w:r>
        <w:rPr>
          <w:rFonts w:ascii="Arial" w:hAnsi="Arial" w:cs="Arial"/>
          <w:sz w:val="20"/>
          <w:szCs w:val="20"/>
        </w:rPr>
        <w:t>[</w:t>
      </w:r>
      <w:r w:rsidRPr="00A844EA">
        <w:rPr>
          <w:rFonts w:ascii="Arial" w:hAnsi="Arial" w:cs="Arial"/>
          <w:sz w:val="20"/>
          <w:szCs w:val="20"/>
        </w:rPr>
        <w:t>311</w:t>
      </w:r>
      <w:r>
        <w:rPr>
          <w:rFonts w:ascii="Arial" w:hAnsi="Arial" w:cs="Arial"/>
          <w:sz w:val="20"/>
          <w:szCs w:val="20"/>
        </w:rPr>
        <w:t>]</w:t>
      </w:r>
      <w:r w:rsidRPr="00A844EA">
        <w:rPr>
          <w:rFonts w:ascii="Arial" w:hAnsi="Arial" w:cs="Arial"/>
          <w:sz w:val="20"/>
          <w:szCs w:val="20"/>
        </w:rPr>
        <w:t xml:space="preserve"> In my view, while that course of events may be understood as having been produced by difficult circumstances, it plainly had the effect of denying procedural fairness to Mr</w:t>
      </w:r>
      <w:r>
        <w:rPr>
          <w:rFonts w:ascii="Arial" w:hAnsi="Arial" w:cs="Arial"/>
          <w:sz w:val="20"/>
          <w:szCs w:val="20"/>
        </w:rPr>
        <w:t> </w:t>
      </w:r>
      <w:r w:rsidRPr="00A844EA">
        <w:rPr>
          <w:rFonts w:ascii="Arial" w:hAnsi="Arial" w:cs="Arial"/>
          <w:sz w:val="20"/>
          <w:szCs w:val="20"/>
        </w:rPr>
        <w:t>Jackson. In particular, Mr Jackson was persuaded to accept an alternative to cross</w:t>
      </w:r>
      <w:r>
        <w:rPr>
          <w:rFonts w:ascii="Arial" w:hAnsi="Arial" w:cs="Arial"/>
          <w:sz w:val="20"/>
          <w:szCs w:val="20"/>
        </w:rPr>
        <w:t>-</w:t>
      </w:r>
      <w:r w:rsidRPr="00A844EA">
        <w:rPr>
          <w:rFonts w:ascii="Arial" w:hAnsi="Arial" w:cs="Arial"/>
          <w:sz w:val="20"/>
          <w:szCs w:val="20"/>
        </w:rPr>
        <w:t>examining the witnesses that, in the circumstances, was no true alternative at all.</w:t>
      </w:r>
      <w:r>
        <w:rPr>
          <w:rFonts w:ascii="Arial" w:hAnsi="Arial" w:cs="Arial"/>
          <w:sz w:val="20"/>
          <w:szCs w:val="20"/>
        </w:rPr>
        <w:t>”</w:t>
      </w:r>
    </w:p>
    <w:p w14:paraId="1EA3870E" w14:textId="7CB7541C" w:rsidR="00A844EA" w:rsidRDefault="00A844EA" w:rsidP="00A844EA">
      <w:pPr>
        <w:pStyle w:val="NormalWeb"/>
        <w:spacing w:before="60" w:beforeAutospacing="0" w:after="0" w:afterAutospacing="0"/>
        <w:jc w:val="both"/>
        <w:rPr>
          <w:rFonts w:ascii="Arial" w:hAnsi="Arial" w:cs="Arial"/>
          <w:sz w:val="20"/>
          <w:szCs w:val="20"/>
        </w:rPr>
      </w:pPr>
      <w:r>
        <w:rPr>
          <w:rFonts w:ascii="Arial" w:hAnsi="Arial" w:cs="Arial"/>
          <w:sz w:val="20"/>
          <w:szCs w:val="20"/>
        </w:rPr>
        <w:t xml:space="preserve">O’Meara J </w:t>
      </w:r>
      <w:r w:rsidR="001620A2">
        <w:rPr>
          <w:rFonts w:ascii="Arial" w:hAnsi="Arial" w:cs="Arial"/>
          <w:sz w:val="20"/>
          <w:szCs w:val="20"/>
        </w:rPr>
        <w:t>concluded at [345]:</w:t>
      </w:r>
    </w:p>
    <w:p w14:paraId="5F607D8C" w14:textId="042AFA96" w:rsidR="001620A2" w:rsidRPr="001620A2" w:rsidRDefault="001620A2" w:rsidP="001620A2">
      <w:pPr>
        <w:pStyle w:val="NormalWeb"/>
        <w:spacing w:before="60" w:beforeAutospacing="0" w:after="0" w:afterAutospacing="0"/>
        <w:ind w:left="454" w:right="454"/>
        <w:jc w:val="both"/>
        <w:rPr>
          <w:rFonts w:ascii="Arial" w:hAnsi="Arial" w:cs="Arial"/>
          <w:sz w:val="20"/>
          <w:szCs w:val="20"/>
        </w:rPr>
      </w:pPr>
      <w:r w:rsidRPr="001620A2">
        <w:rPr>
          <w:rFonts w:ascii="Arial" w:hAnsi="Arial" w:cs="Arial"/>
          <w:sz w:val="20"/>
          <w:szCs w:val="20"/>
        </w:rPr>
        <w:t>“I am inclined to order that the proceeding be remitted to the Children’s Court to be re-determined, but not to specify that the Court hearing the proceeding should differently be constituted. It seems to me that the more important considerations are time and efficiency and so I would not outright exclude the possibility that it could be convenient for the further hearing of the remitted matter to proceed to conclusion before the same Magistrate.”</w:t>
      </w:r>
    </w:p>
    <w:p w14:paraId="0331D09C" w14:textId="6E35C9F5" w:rsidR="003453BB" w:rsidRDefault="003453BB" w:rsidP="003453BB">
      <w:pPr>
        <w:pStyle w:val="NormalWeb"/>
        <w:spacing w:before="60" w:beforeAutospacing="0" w:after="0" w:afterAutospacing="0"/>
        <w:jc w:val="both"/>
        <w:rPr>
          <w:rFonts w:ascii="Arial" w:hAnsi="Arial" w:cs="Arial"/>
          <w:sz w:val="20"/>
          <w:szCs w:val="20"/>
        </w:rPr>
      </w:pPr>
      <w:r>
        <w:rPr>
          <w:rFonts w:ascii="Arial" w:hAnsi="Arial" w:cs="Arial"/>
          <w:sz w:val="20"/>
          <w:szCs w:val="20"/>
        </w:rPr>
        <w:t>The case ultimately settled in the Children’s Court “on the doorstep of the court”.</w:t>
      </w:r>
    </w:p>
    <w:p w14:paraId="1F4B876A" w14:textId="77777777" w:rsidR="007417A5" w:rsidRDefault="007417A5" w:rsidP="007417A5">
      <w:pPr>
        <w:rPr>
          <w:rFonts w:ascii="Arial" w:hAnsi="Arial" w:cs="Arial"/>
          <w:color w:val="000000"/>
          <w:sz w:val="20"/>
        </w:rPr>
      </w:pPr>
    </w:p>
    <w:p w14:paraId="2F96A34F" w14:textId="67102229" w:rsidR="007417A5" w:rsidRDefault="007417A5" w:rsidP="00262D47">
      <w:pPr>
        <w:jc w:val="both"/>
        <w:rPr>
          <w:rFonts w:ascii="Arial" w:hAnsi="Arial" w:cs="Arial"/>
          <w:color w:val="000000"/>
          <w:sz w:val="20"/>
        </w:rPr>
      </w:pPr>
      <w:r>
        <w:rPr>
          <w:rFonts w:ascii="Arial" w:hAnsi="Arial" w:cs="Arial"/>
          <w:color w:val="000000"/>
          <w:sz w:val="20"/>
        </w:rPr>
        <w:t xml:space="preserve">In </w:t>
      </w:r>
      <w:proofErr w:type="spellStart"/>
      <w:r w:rsidRPr="007417A5">
        <w:rPr>
          <w:rFonts w:ascii="Arial" w:hAnsi="Arial" w:cs="Arial"/>
          <w:i/>
          <w:iCs/>
          <w:color w:val="000000"/>
          <w:sz w:val="20"/>
          <w:szCs w:val="20"/>
        </w:rPr>
        <w:t>Casperz</w:t>
      </w:r>
      <w:proofErr w:type="spellEnd"/>
      <w:r w:rsidRPr="007417A5">
        <w:rPr>
          <w:rFonts w:ascii="Arial" w:hAnsi="Arial" w:cs="Arial"/>
          <w:i/>
          <w:iCs/>
          <w:color w:val="000000"/>
          <w:sz w:val="20"/>
          <w:szCs w:val="20"/>
        </w:rPr>
        <w:t xml:space="preserve"> v </w:t>
      </w:r>
      <w:r w:rsidRPr="007417A5">
        <w:rPr>
          <w:rFonts w:ascii="Arial" w:hAnsi="Arial" w:cs="Arial"/>
          <w:i/>
          <w:iCs/>
          <w:sz w:val="20"/>
          <w:szCs w:val="20"/>
        </w:rPr>
        <w:t xml:space="preserve">Garry &amp; Warren Smith Pty Ltd &amp; </w:t>
      </w:r>
      <w:proofErr w:type="spellStart"/>
      <w:r w:rsidRPr="007417A5">
        <w:rPr>
          <w:rFonts w:ascii="Arial" w:hAnsi="Arial" w:cs="Arial"/>
          <w:i/>
          <w:iCs/>
          <w:sz w:val="20"/>
          <w:szCs w:val="20"/>
        </w:rPr>
        <w:t>Ors</w:t>
      </w:r>
      <w:proofErr w:type="spellEnd"/>
      <w:r w:rsidRPr="007417A5">
        <w:rPr>
          <w:rFonts w:ascii="Arial" w:hAnsi="Arial" w:cs="Arial"/>
          <w:i/>
          <w:iCs/>
          <w:sz w:val="20"/>
          <w:szCs w:val="20"/>
        </w:rPr>
        <w:t xml:space="preserve"> (No 2)</w:t>
      </w:r>
      <w:r w:rsidRPr="007417A5">
        <w:rPr>
          <w:rFonts w:ascii="Arial" w:hAnsi="Arial" w:cs="Arial"/>
          <w:sz w:val="20"/>
          <w:szCs w:val="20"/>
        </w:rPr>
        <w:t xml:space="preserve"> [2024] VSC 8 O’Meara J said at </w:t>
      </w:r>
      <w:r w:rsidR="00262D47">
        <w:rPr>
          <w:rFonts w:ascii="Arial" w:hAnsi="Arial" w:cs="Arial"/>
          <w:sz w:val="20"/>
          <w:szCs w:val="20"/>
        </w:rPr>
        <w:t xml:space="preserve">[23] &amp; </w:t>
      </w:r>
      <w:r w:rsidRPr="007417A5">
        <w:rPr>
          <w:rFonts w:ascii="Arial" w:hAnsi="Arial" w:cs="Arial"/>
          <w:sz w:val="20"/>
          <w:szCs w:val="20"/>
        </w:rPr>
        <w:t>[95]</w:t>
      </w:r>
      <w:r w:rsidR="00262D47">
        <w:rPr>
          <w:rFonts w:ascii="Arial" w:hAnsi="Arial" w:cs="Arial"/>
          <w:sz w:val="20"/>
          <w:szCs w:val="20"/>
        </w:rPr>
        <w:noBreakHyphen/>
      </w:r>
      <w:r w:rsidRPr="007417A5">
        <w:rPr>
          <w:rFonts w:ascii="Arial" w:hAnsi="Arial" w:cs="Arial"/>
          <w:sz w:val="20"/>
          <w:szCs w:val="20"/>
        </w:rPr>
        <w:t>[96]:</w:t>
      </w:r>
    </w:p>
    <w:p w14:paraId="57718618" w14:textId="6B10D568" w:rsidR="00D60337" w:rsidRPr="00262D47" w:rsidRDefault="00D60337" w:rsidP="007417A5">
      <w:pPr>
        <w:spacing w:before="60"/>
        <w:ind w:left="454" w:right="454"/>
        <w:jc w:val="both"/>
        <w:rPr>
          <w:rFonts w:ascii="Arial" w:hAnsi="Arial" w:cs="Arial"/>
          <w:sz w:val="20"/>
          <w:szCs w:val="20"/>
        </w:rPr>
      </w:pPr>
      <w:r w:rsidRPr="00262D47">
        <w:rPr>
          <w:rFonts w:ascii="Arial" w:hAnsi="Arial" w:cs="Arial"/>
          <w:sz w:val="20"/>
          <w:szCs w:val="20"/>
        </w:rPr>
        <w:t>[23] “I have read the 91 page transcript of [the VCAT] hearing, and also listened to the audio recording. The tone and content of various statements made by the applicant during the course of that hearing are, on no view, appropriate</w:t>
      </w:r>
      <w:r w:rsidR="00262D47">
        <w:rPr>
          <w:rFonts w:ascii="Arial" w:hAnsi="Arial" w:cs="Arial"/>
          <w:sz w:val="20"/>
          <w:szCs w:val="20"/>
        </w:rPr>
        <w:t>.</w:t>
      </w:r>
    </w:p>
    <w:p w14:paraId="56EEF364" w14:textId="20DDFB59" w:rsidR="00D60337" w:rsidRDefault="00262D47" w:rsidP="007417A5">
      <w:pPr>
        <w:spacing w:before="60"/>
        <w:ind w:left="454" w:right="454"/>
        <w:jc w:val="both"/>
        <w:rPr>
          <w:rFonts w:ascii="Arial" w:hAnsi="Arial" w:cs="Arial"/>
          <w:sz w:val="20"/>
        </w:rPr>
      </w:pPr>
      <w:r>
        <w:rPr>
          <w:rFonts w:ascii="Arial" w:hAnsi="Arial" w:cs="Arial"/>
          <w:sz w:val="20"/>
        </w:rPr>
        <w:t>…</w:t>
      </w:r>
    </w:p>
    <w:p w14:paraId="4103D136" w14:textId="677BE4D1" w:rsidR="007417A5" w:rsidRDefault="007417A5" w:rsidP="007417A5">
      <w:pPr>
        <w:spacing w:before="60"/>
        <w:ind w:left="454" w:right="454"/>
        <w:jc w:val="both"/>
        <w:rPr>
          <w:rFonts w:ascii="Arial" w:hAnsi="Arial" w:cs="Arial"/>
          <w:sz w:val="20"/>
          <w:szCs w:val="20"/>
        </w:rPr>
      </w:pPr>
      <w:r>
        <w:rPr>
          <w:rFonts w:ascii="Arial" w:hAnsi="Arial" w:cs="Arial"/>
          <w:sz w:val="20"/>
        </w:rPr>
        <w:t xml:space="preserve">[95] “More generally, </w:t>
      </w:r>
      <w:r w:rsidRPr="007417A5">
        <w:rPr>
          <w:rFonts w:ascii="Arial" w:hAnsi="Arial" w:cs="Arial"/>
          <w:sz w:val="20"/>
          <w:szCs w:val="20"/>
        </w:rPr>
        <w:t xml:space="preserve">to state the obvious, when a litigant behaves in a sustained, offensive, unco-operative and quite unacceptable way, as the applicant did on the present occasion, the ultimate decision of the Tribunal to bring the proceeding to an end </w:t>
      </w:r>
      <w:r w:rsidR="006F461C">
        <w:rPr>
          <w:rFonts w:ascii="Arial" w:hAnsi="Arial" w:cs="Arial"/>
          <w:sz w:val="20"/>
          <w:szCs w:val="20"/>
        </w:rPr>
        <w:t xml:space="preserve">[by adjourning it for a further directions hearing] </w:t>
      </w:r>
      <w:r w:rsidRPr="007417A5">
        <w:rPr>
          <w:rFonts w:ascii="Arial" w:hAnsi="Arial" w:cs="Arial"/>
          <w:sz w:val="20"/>
          <w:szCs w:val="20"/>
        </w:rPr>
        <w:t>when it was plain enough that no such assistance would be given, should not be thought to amount to a denial of procedural fairness or natural justice.</w:t>
      </w:r>
    </w:p>
    <w:p w14:paraId="4A7DD158" w14:textId="77777777" w:rsidR="007417A5" w:rsidRDefault="007417A5" w:rsidP="007417A5">
      <w:pPr>
        <w:spacing w:before="60"/>
        <w:ind w:left="454" w:right="454"/>
        <w:jc w:val="both"/>
        <w:rPr>
          <w:rFonts w:ascii="Arial" w:hAnsi="Arial" w:cs="Arial"/>
          <w:sz w:val="20"/>
        </w:rPr>
      </w:pPr>
      <w:r>
        <w:rPr>
          <w:rFonts w:ascii="Arial" w:hAnsi="Arial" w:cs="Arial"/>
          <w:sz w:val="20"/>
          <w:szCs w:val="20"/>
        </w:rPr>
        <w:t>[</w:t>
      </w:r>
      <w:r w:rsidRPr="007417A5">
        <w:rPr>
          <w:rFonts w:ascii="Arial" w:hAnsi="Arial" w:cs="Arial"/>
          <w:sz w:val="20"/>
          <w:szCs w:val="20"/>
        </w:rPr>
        <w:t>96</w:t>
      </w:r>
      <w:r>
        <w:rPr>
          <w:rFonts w:ascii="Arial" w:hAnsi="Arial" w:cs="Arial"/>
          <w:sz w:val="20"/>
          <w:szCs w:val="20"/>
        </w:rPr>
        <w:t>]</w:t>
      </w:r>
      <w:r w:rsidRPr="007417A5">
        <w:rPr>
          <w:rFonts w:ascii="Arial" w:hAnsi="Arial" w:cs="Arial"/>
          <w:sz w:val="20"/>
          <w:szCs w:val="20"/>
        </w:rPr>
        <w:t xml:space="preserve"> In the circumstances, there is no substance in the applicant’s overarching complaints of ‘prejudice’, ‘bias’, denial of procedural fairness and breach of natural justice and it follows that the complaints central to the applicant’s purported questions of law or grounds 1, 2 and 3 must be rejected.</w:t>
      </w:r>
      <w:r>
        <w:rPr>
          <w:rFonts w:ascii="Arial" w:hAnsi="Arial" w:cs="Arial"/>
          <w:sz w:val="20"/>
          <w:szCs w:val="20"/>
        </w:rPr>
        <w:t>”</w:t>
      </w:r>
    </w:p>
    <w:p w14:paraId="368CC2BE" w14:textId="77777777" w:rsidR="003453BB" w:rsidRPr="0027049C" w:rsidRDefault="003453BB" w:rsidP="00537E2D">
      <w:pPr>
        <w:pStyle w:val="NormalWeb"/>
        <w:spacing w:before="0" w:beforeAutospacing="0" w:after="0" w:afterAutospacing="0"/>
        <w:jc w:val="both"/>
        <w:rPr>
          <w:rFonts w:ascii="Arial" w:hAnsi="Arial" w:cs="Arial"/>
          <w:sz w:val="20"/>
          <w:szCs w:val="20"/>
        </w:rPr>
      </w:pPr>
    </w:p>
    <w:bookmarkEnd w:id="104"/>
    <w:p w14:paraId="4D527C19" w14:textId="69E87273" w:rsidR="00AA1D19" w:rsidRPr="00AA1D19" w:rsidRDefault="00CE3457" w:rsidP="00AA1D19">
      <w:pPr>
        <w:tabs>
          <w:tab w:val="left" w:pos="1440"/>
        </w:tabs>
        <w:jc w:val="both"/>
        <w:rPr>
          <w:rFonts w:ascii="Arial" w:hAnsi="Arial" w:cs="Arial"/>
          <w:bCs/>
          <w:color w:val="000000"/>
          <w:sz w:val="20"/>
          <w:szCs w:val="20"/>
        </w:rPr>
      </w:pPr>
      <w:r w:rsidRPr="00C95D06">
        <w:rPr>
          <w:rFonts w:ascii="Arial" w:hAnsi="Arial" w:cs="Arial"/>
          <w:color w:val="000000"/>
          <w:sz w:val="20"/>
          <w:szCs w:val="20"/>
        </w:rPr>
        <w:t xml:space="preserve">In relation to </w:t>
      </w:r>
      <w:r w:rsidRPr="003E58CE">
        <w:rPr>
          <w:rFonts w:ascii="Arial" w:hAnsi="Arial" w:cs="Arial"/>
          <w:b/>
          <w:bCs/>
          <w:color w:val="000000"/>
          <w:sz w:val="20"/>
          <w:szCs w:val="20"/>
        </w:rPr>
        <w:t>procedural fairness</w:t>
      </w:r>
      <w:r w:rsidRPr="00C95D06">
        <w:rPr>
          <w:rFonts w:ascii="Arial" w:hAnsi="Arial" w:cs="Arial"/>
          <w:color w:val="000000"/>
          <w:sz w:val="20"/>
          <w:szCs w:val="20"/>
        </w:rPr>
        <w:t xml:space="preserve"> see </w:t>
      </w:r>
      <w:r w:rsidR="002237E5">
        <w:rPr>
          <w:rFonts w:ascii="Arial" w:hAnsi="Arial" w:cs="Arial"/>
          <w:color w:val="000000"/>
          <w:sz w:val="20"/>
          <w:szCs w:val="20"/>
        </w:rPr>
        <w:t xml:space="preserve">also </w:t>
      </w:r>
      <w:r w:rsidR="006C7EDC" w:rsidRPr="00395B17">
        <w:rPr>
          <w:rFonts w:ascii="Arial" w:hAnsi="Arial" w:cs="Arial"/>
          <w:b/>
          <w:bCs/>
          <w:sz w:val="20"/>
          <w:szCs w:val="20"/>
          <w:shd w:val="clear" w:color="auto" w:fill="C5E0B3" w:themeFill="accent6" w:themeFillTint="66"/>
        </w:rPr>
        <w:t>s</w:t>
      </w:r>
      <w:r w:rsidR="004B696B">
        <w:rPr>
          <w:rFonts w:ascii="Arial" w:hAnsi="Arial" w:cs="Arial"/>
          <w:b/>
          <w:bCs/>
          <w:sz w:val="20"/>
          <w:szCs w:val="20"/>
          <w:shd w:val="clear" w:color="auto" w:fill="C5E0B3" w:themeFill="accent6" w:themeFillTint="66"/>
        </w:rPr>
        <w:t>ubs</w:t>
      </w:r>
      <w:r w:rsidR="006C7EDC" w:rsidRPr="00395B17">
        <w:rPr>
          <w:rFonts w:ascii="Arial" w:hAnsi="Arial" w:cs="Arial"/>
          <w:b/>
          <w:bCs/>
          <w:sz w:val="20"/>
          <w:szCs w:val="20"/>
          <w:shd w:val="clear" w:color="auto" w:fill="C5E0B3" w:themeFill="accent6" w:themeFillTint="66"/>
        </w:rPr>
        <w:t>ection</w:t>
      </w:r>
      <w:r w:rsidR="006C7EDC" w:rsidRPr="00395B17">
        <w:rPr>
          <w:rFonts w:ascii="Arial" w:hAnsi="Arial" w:cs="Arial"/>
          <w:b/>
          <w:bCs/>
          <w:sz w:val="20"/>
          <w:shd w:val="clear" w:color="auto" w:fill="C5E0B3" w:themeFill="accent6" w:themeFillTint="66"/>
        </w:rPr>
        <w:t xml:space="preserve"> 3.5.6.4</w:t>
      </w:r>
      <w:r w:rsidR="006C7EDC">
        <w:rPr>
          <w:rFonts w:ascii="Arial" w:hAnsi="Arial" w:cs="Arial"/>
          <w:color w:val="000000"/>
          <w:sz w:val="20"/>
        </w:rPr>
        <w:t xml:space="preserve">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proofErr w:type="spellStart"/>
      <w:r w:rsidRPr="000D175A">
        <w:rPr>
          <w:rFonts w:ascii="Arial" w:hAnsi="Arial" w:cs="Arial"/>
          <w:i/>
          <w:color w:val="000000"/>
          <w:sz w:val="20"/>
          <w:szCs w:val="20"/>
        </w:rPr>
        <w:t>Zigouris</w:t>
      </w:r>
      <w:proofErr w:type="spellEnd"/>
      <w:r w:rsidRPr="000D175A">
        <w:rPr>
          <w:rFonts w:ascii="Arial" w:hAnsi="Arial" w:cs="Arial"/>
          <w:i/>
          <w:color w:val="000000"/>
          <w:sz w:val="20"/>
          <w:szCs w:val="20"/>
        </w:rPr>
        <w:t xml:space="preserve"> v Sunshine Magistrates’ Court</w:t>
      </w:r>
      <w:r w:rsidRPr="000D175A">
        <w:rPr>
          <w:rFonts w:ascii="Arial" w:hAnsi="Arial" w:cs="Arial"/>
          <w:color w:val="000000"/>
          <w:sz w:val="20"/>
          <w:szCs w:val="20"/>
        </w:rPr>
        <w:t xml:space="preserve"> [2012] VSC 183 at [24]-[27] per Zammit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r w:rsidRPr="000D175A">
        <w:rPr>
          <w:rFonts w:ascii="Arial" w:hAnsi="Arial" w:cs="Arial"/>
          <w:bCs/>
          <w:i/>
          <w:color w:val="000000"/>
          <w:sz w:val="20"/>
          <w:szCs w:val="20"/>
        </w:rPr>
        <w:t xml:space="preserve">DOHS v Children’s Court of Victoria &amp; </w:t>
      </w:r>
      <w:proofErr w:type="spellStart"/>
      <w:r w:rsidRPr="000D175A">
        <w:rPr>
          <w:rFonts w:ascii="Arial" w:hAnsi="Arial" w:cs="Arial"/>
          <w:bCs/>
          <w:i/>
          <w:color w:val="000000"/>
          <w:sz w:val="20"/>
          <w:szCs w:val="20"/>
        </w:rPr>
        <w:t>Ors</w:t>
      </w:r>
      <w:proofErr w:type="spellEnd"/>
      <w:r w:rsidRPr="000D175A">
        <w:rPr>
          <w:rFonts w:ascii="Arial" w:hAnsi="Arial" w:cs="Arial"/>
          <w:bCs/>
          <w:color w:val="000000"/>
          <w:sz w:val="20"/>
          <w:szCs w:val="20"/>
        </w:rPr>
        <w:t xml:space="preserve"> [2012] VSC 422 at [12]-[21], [29] &amp; [32] per Dixon J; </w:t>
      </w:r>
      <w:proofErr w:type="spellStart"/>
      <w:r w:rsidRPr="000D175A">
        <w:rPr>
          <w:rFonts w:ascii="Arial" w:hAnsi="Arial" w:cs="Arial"/>
          <w:bCs/>
          <w:i/>
          <w:color w:val="000000"/>
          <w:sz w:val="20"/>
          <w:szCs w:val="20"/>
        </w:rPr>
        <w:t>Danne</w:t>
      </w:r>
      <w:proofErr w:type="spellEnd"/>
      <w:r w:rsidRPr="000D175A">
        <w:rPr>
          <w:rFonts w:ascii="Arial" w:hAnsi="Arial" w:cs="Arial"/>
          <w:bCs/>
          <w:i/>
          <w:color w:val="000000"/>
          <w:sz w:val="20"/>
          <w:szCs w:val="20"/>
        </w:rPr>
        <w:t xml:space="preserv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proofErr w:type="spellStart"/>
      <w:r w:rsidRPr="000D175A">
        <w:rPr>
          <w:rFonts w:ascii="Arial" w:hAnsi="Arial" w:cs="Arial"/>
          <w:bCs/>
          <w:i/>
          <w:color w:val="000000"/>
          <w:sz w:val="20"/>
          <w:szCs w:val="20"/>
        </w:rPr>
        <w:t>Trkulja</w:t>
      </w:r>
      <w:proofErr w:type="spellEnd"/>
      <w:r w:rsidRPr="000D175A">
        <w:rPr>
          <w:rFonts w:ascii="Arial" w:hAnsi="Arial" w:cs="Arial"/>
          <w:bCs/>
          <w:i/>
          <w:color w:val="000000"/>
          <w:sz w:val="20"/>
          <w:szCs w:val="20"/>
        </w:rPr>
        <w:t xml:space="preserve"> v Markovic</w:t>
      </w:r>
      <w:r w:rsidRPr="000D175A">
        <w:rPr>
          <w:rFonts w:ascii="Arial" w:hAnsi="Arial" w:cs="Arial"/>
          <w:bCs/>
          <w:color w:val="000000"/>
          <w:sz w:val="20"/>
          <w:szCs w:val="20"/>
        </w:rPr>
        <w:t xml:space="preserve"> [2015] VSCA 298 at [37]-[39] per Kyrou &amp; Kaye JJA and Ginnane AJA; </w:t>
      </w:r>
      <w:r w:rsidRPr="000D175A">
        <w:rPr>
          <w:rFonts w:ascii="Arial" w:hAnsi="Arial" w:cs="Arial"/>
          <w:bCs/>
          <w:i/>
          <w:color w:val="000000"/>
          <w:sz w:val="20"/>
          <w:szCs w:val="20"/>
        </w:rPr>
        <w:t xml:space="preserve">David </w:t>
      </w:r>
      <w:proofErr w:type="spellStart"/>
      <w:r w:rsidRPr="000D175A">
        <w:rPr>
          <w:rFonts w:ascii="Arial" w:hAnsi="Arial" w:cs="Arial"/>
          <w:bCs/>
          <w:i/>
          <w:color w:val="000000"/>
          <w:sz w:val="20"/>
          <w:szCs w:val="20"/>
        </w:rPr>
        <w:t>Hingst</w:t>
      </w:r>
      <w:proofErr w:type="spellEnd"/>
      <w:r w:rsidRPr="000D175A">
        <w:rPr>
          <w:rFonts w:ascii="Arial" w:hAnsi="Arial" w:cs="Arial"/>
          <w:bCs/>
          <w:i/>
          <w:color w:val="000000"/>
          <w:sz w:val="20"/>
          <w:szCs w:val="20"/>
        </w:rPr>
        <w:t xml:space="preserve">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6145DF">
        <w:rPr>
          <w:rFonts w:ascii="Arial" w:hAnsi="Arial" w:cs="Arial"/>
          <w:bCs/>
          <w:color w:val="000000"/>
          <w:sz w:val="20"/>
        </w:rPr>
        <w:t xml:space="preserve">; </w:t>
      </w:r>
      <w:bookmarkStart w:id="107" w:name="_Hlk118890951"/>
      <w:r w:rsidR="006145DF" w:rsidRPr="000231F7">
        <w:rPr>
          <w:rFonts w:ascii="Arial" w:hAnsi="Arial" w:cs="Arial"/>
          <w:i/>
          <w:iCs/>
          <w:sz w:val="20"/>
          <w:szCs w:val="20"/>
        </w:rPr>
        <w:t>The Crown in Right of the State of Victoria (Department of Health) v Magistrates’ Court of Victoria</w:t>
      </w:r>
      <w:r w:rsidR="006145DF">
        <w:rPr>
          <w:rFonts w:ascii="Arial" w:hAnsi="Arial" w:cs="Arial"/>
          <w:i/>
          <w:iCs/>
          <w:sz w:val="20"/>
          <w:szCs w:val="20"/>
        </w:rPr>
        <w:t xml:space="preserve"> </w:t>
      </w:r>
      <w:r w:rsidR="006145DF" w:rsidRPr="000231F7">
        <w:rPr>
          <w:rFonts w:ascii="Arial" w:hAnsi="Arial" w:cs="Arial"/>
          <w:sz w:val="20"/>
          <w:szCs w:val="20"/>
        </w:rPr>
        <w:t>[2022] VSC 630</w:t>
      </w:r>
      <w:bookmarkEnd w:id="107"/>
      <w:r w:rsidR="00FF246E">
        <w:rPr>
          <w:rFonts w:ascii="Arial" w:hAnsi="Arial" w:cs="Arial"/>
          <w:sz w:val="20"/>
          <w:szCs w:val="20"/>
        </w:rPr>
        <w:t xml:space="preserve"> at [12]-[1</w:t>
      </w:r>
      <w:r w:rsidR="00644A0A">
        <w:rPr>
          <w:rFonts w:ascii="Arial" w:hAnsi="Arial" w:cs="Arial"/>
          <w:sz w:val="20"/>
          <w:szCs w:val="20"/>
        </w:rPr>
        <w:t>4</w:t>
      </w:r>
      <w:r w:rsidR="00FF246E">
        <w:rPr>
          <w:rFonts w:ascii="Arial" w:hAnsi="Arial" w:cs="Arial"/>
          <w:sz w:val="20"/>
          <w:szCs w:val="20"/>
        </w:rPr>
        <w:t>]</w:t>
      </w:r>
      <w:r w:rsidR="006F09F2">
        <w:rPr>
          <w:rFonts w:ascii="Arial" w:hAnsi="Arial" w:cs="Arial"/>
          <w:sz w:val="20"/>
          <w:szCs w:val="20"/>
        </w:rPr>
        <w:t xml:space="preserve">: </w:t>
      </w:r>
      <w:r w:rsidR="006F09F2" w:rsidRPr="006F09F2">
        <w:rPr>
          <w:rFonts w:ascii="Arial" w:hAnsi="Arial" w:cs="Arial"/>
          <w:i/>
          <w:iCs/>
          <w:sz w:val="20"/>
          <w:szCs w:val="20"/>
        </w:rPr>
        <w:t>Viva Energy Australia Pty Ltd v Glen Eira City Council</w:t>
      </w:r>
      <w:r w:rsidR="006F09F2" w:rsidRPr="006F09F2">
        <w:rPr>
          <w:rFonts w:ascii="Arial" w:hAnsi="Arial" w:cs="Arial"/>
          <w:sz w:val="20"/>
          <w:szCs w:val="20"/>
        </w:rPr>
        <w:t xml:space="preserve"> [2022] VSC 726 </w:t>
      </w:r>
      <w:r w:rsidR="006F09F2">
        <w:rPr>
          <w:rFonts w:ascii="Arial" w:hAnsi="Arial" w:cs="Arial"/>
          <w:sz w:val="20"/>
          <w:szCs w:val="20"/>
        </w:rPr>
        <w:t>at [83]-[95]</w:t>
      </w:r>
      <w:r w:rsidR="001C057A">
        <w:rPr>
          <w:rFonts w:ascii="Arial" w:hAnsi="Arial" w:cs="Arial"/>
          <w:sz w:val="20"/>
          <w:szCs w:val="20"/>
        </w:rPr>
        <w:t xml:space="preserve">; </w:t>
      </w:r>
      <w:proofErr w:type="spellStart"/>
      <w:r w:rsidR="001C057A" w:rsidRPr="001C057A">
        <w:rPr>
          <w:rFonts w:ascii="Arial" w:hAnsi="Arial" w:cs="Arial"/>
          <w:bCs/>
          <w:i/>
          <w:iCs/>
          <w:color w:val="000000"/>
          <w:sz w:val="20"/>
          <w:szCs w:val="20"/>
        </w:rPr>
        <w:t>Hycenko</w:t>
      </w:r>
      <w:proofErr w:type="spellEnd"/>
      <w:r w:rsidR="001C057A" w:rsidRPr="001C057A">
        <w:rPr>
          <w:rFonts w:ascii="Arial" w:hAnsi="Arial" w:cs="Arial"/>
          <w:bCs/>
          <w:i/>
          <w:iCs/>
          <w:color w:val="000000"/>
          <w:sz w:val="20"/>
          <w:szCs w:val="20"/>
        </w:rPr>
        <w:t xml:space="preserve"> v Badge &amp; </w:t>
      </w:r>
      <w:proofErr w:type="spellStart"/>
      <w:r w:rsidR="001C057A" w:rsidRPr="001C057A">
        <w:rPr>
          <w:rFonts w:ascii="Arial" w:hAnsi="Arial" w:cs="Arial"/>
          <w:bCs/>
          <w:i/>
          <w:iCs/>
          <w:color w:val="000000"/>
          <w:sz w:val="20"/>
          <w:szCs w:val="20"/>
        </w:rPr>
        <w:t>Ors</w:t>
      </w:r>
      <w:proofErr w:type="spellEnd"/>
      <w:r w:rsidR="001C057A">
        <w:rPr>
          <w:rFonts w:ascii="Arial" w:hAnsi="Arial" w:cs="Arial"/>
          <w:bCs/>
          <w:color w:val="000000"/>
          <w:sz w:val="20"/>
          <w:szCs w:val="20"/>
        </w:rPr>
        <w:t xml:space="preserve"> [2023] VSC 19 at [24]-[</w:t>
      </w:r>
      <w:r w:rsidR="00843C81">
        <w:rPr>
          <w:rFonts w:ascii="Arial" w:hAnsi="Arial" w:cs="Arial"/>
          <w:bCs/>
          <w:color w:val="000000"/>
          <w:sz w:val="20"/>
          <w:szCs w:val="20"/>
        </w:rPr>
        <w:t>41</w:t>
      </w:r>
      <w:r w:rsidR="001C057A">
        <w:rPr>
          <w:rFonts w:ascii="Arial" w:hAnsi="Arial" w:cs="Arial"/>
          <w:bCs/>
          <w:color w:val="000000"/>
          <w:sz w:val="20"/>
          <w:szCs w:val="20"/>
        </w:rPr>
        <w:t>]</w:t>
      </w:r>
      <w:r w:rsidR="00FF4EE4">
        <w:rPr>
          <w:rFonts w:ascii="Arial" w:hAnsi="Arial" w:cs="Arial"/>
          <w:bCs/>
          <w:color w:val="000000"/>
          <w:sz w:val="20"/>
          <w:szCs w:val="20"/>
        </w:rPr>
        <w:t xml:space="preserve">; </w:t>
      </w:r>
      <w:r w:rsidR="00FF4EE4" w:rsidRPr="00FF4EE4">
        <w:rPr>
          <w:rFonts w:ascii="Arial" w:hAnsi="Arial" w:cs="Arial"/>
          <w:bCs/>
          <w:i/>
          <w:iCs/>
          <w:color w:val="000000"/>
          <w:sz w:val="20"/>
          <w:szCs w:val="20"/>
        </w:rPr>
        <w:t>TL v The King</w:t>
      </w:r>
      <w:r w:rsidR="00FF4EE4">
        <w:rPr>
          <w:rFonts w:ascii="Arial" w:hAnsi="Arial" w:cs="Arial"/>
          <w:bCs/>
          <w:color w:val="000000"/>
          <w:sz w:val="20"/>
          <w:szCs w:val="20"/>
        </w:rPr>
        <w:t xml:space="preserve"> (2022) 96 ALJR 1072 at [33]; </w:t>
      </w:r>
      <w:r w:rsidR="00FF4EE4" w:rsidRPr="00FF4EE4">
        <w:rPr>
          <w:rFonts w:ascii="Arial" w:hAnsi="Arial" w:cs="Arial"/>
          <w:i/>
          <w:iCs/>
          <w:sz w:val="20"/>
          <w:szCs w:val="20"/>
        </w:rPr>
        <w:t>DPP v Sharman (a pseudonym)</w:t>
      </w:r>
      <w:r w:rsidR="00FF4EE4" w:rsidRPr="00FF4EE4">
        <w:rPr>
          <w:rFonts w:ascii="Arial" w:hAnsi="Arial" w:cs="Arial"/>
          <w:sz w:val="20"/>
          <w:szCs w:val="20"/>
        </w:rPr>
        <w:t xml:space="preserve"> [2023] VSCA </w:t>
      </w:r>
      <w:r w:rsidR="00FF4EE4">
        <w:rPr>
          <w:rFonts w:ascii="Arial" w:hAnsi="Arial" w:cs="Arial"/>
          <w:sz w:val="20"/>
          <w:szCs w:val="20"/>
        </w:rPr>
        <w:t>56 at [32]-[54]</w:t>
      </w:r>
      <w:r w:rsidR="00AA1D19">
        <w:rPr>
          <w:rFonts w:ascii="Arial" w:hAnsi="Arial" w:cs="Arial"/>
          <w:sz w:val="20"/>
          <w:szCs w:val="20"/>
        </w:rPr>
        <w:t xml:space="preserve">; </w:t>
      </w:r>
      <w:r w:rsidR="00AA1D19" w:rsidRPr="00AA1D19">
        <w:rPr>
          <w:rFonts w:ascii="Arial" w:hAnsi="Arial" w:cs="Arial"/>
          <w:bCs/>
          <w:i/>
          <w:iCs/>
          <w:color w:val="000000"/>
          <w:sz w:val="20"/>
          <w:szCs w:val="20"/>
        </w:rPr>
        <w:t>AML (a pseudonym) v Longden Super Custodian Pty Ltd</w:t>
      </w:r>
      <w:r w:rsidR="00AA1D19" w:rsidRPr="00AA1D19">
        <w:rPr>
          <w:rFonts w:ascii="Arial" w:hAnsi="Arial" w:cs="Arial"/>
          <w:bCs/>
          <w:color w:val="000000"/>
          <w:sz w:val="20"/>
          <w:szCs w:val="20"/>
        </w:rPr>
        <w:t xml:space="preserve"> [2023] VSCA 118</w:t>
      </w:r>
      <w:r w:rsidR="00B73B51">
        <w:rPr>
          <w:rFonts w:ascii="Arial" w:hAnsi="Arial" w:cs="Arial"/>
          <w:bCs/>
          <w:color w:val="000000"/>
          <w:sz w:val="20"/>
          <w:szCs w:val="20"/>
        </w:rPr>
        <w:t xml:space="preserve">; </w:t>
      </w:r>
      <w:r w:rsidR="00B73B51" w:rsidRPr="00B73B51">
        <w:rPr>
          <w:rFonts w:ascii="Arial" w:hAnsi="Arial" w:cs="Arial"/>
          <w:bCs/>
          <w:i/>
          <w:iCs/>
          <w:color w:val="000000"/>
          <w:sz w:val="20"/>
          <w:szCs w:val="20"/>
        </w:rPr>
        <w:t>Woodman v State of Victoria &amp; Independent Broad-based Anti-corruption Commission</w:t>
      </w:r>
      <w:r w:rsidR="00B73B51">
        <w:rPr>
          <w:rFonts w:ascii="Arial" w:hAnsi="Arial" w:cs="Arial"/>
          <w:bCs/>
          <w:color w:val="000000"/>
          <w:sz w:val="20"/>
          <w:szCs w:val="20"/>
        </w:rPr>
        <w:t xml:space="preserve"> [2023] VSCA 169 at [29]-[37]</w:t>
      </w:r>
      <w:r w:rsidR="00D3168C">
        <w:rPr>
          <w:rFonts w:ascii="Arial" w:hAnsi="Arial" w:cs="Arial"/>
          <w:bCs/>
          <w:color w:val="000000"/>
          <w:sz w:val="20"/>
          <w:szCs w:val="20"/>
        </w:rPr>
        <w:t xml:space="preserve">; </w:t>
      </w:r>
      <w:r w:rsidR="00D3168C" w:rsidRPr="00D3168C">
        <w:rPr>
          <w:rFonts w:ascii="Arial" w:hAnsi="Arial" w:cs="Arial"/>
          <w:bCs/>
          <w:i/>
          <w:iCs/>
          <w:color w:val="000000"/>
          <w:sz w:val="20"/>
          <w:szCs w:val="20"/>
        </w:rPr>
        <w:t>Marks v Thompson</w:t>
      </w:r>
      <w:r w:rsidR="00D3168C">
        <w:rPr>
          <w:rFonts w:ascii="Arial" w:hAnsi="Arial" w:cs="Arial"/>
          <w:bCs/>
          <w:color w:val="000000"/>
          <w:sz w:val="20"/>
          <w:szCs w:val="20"/>
        </w:rPr>
        <w:t xml:space="preserve"> [2023] VSC 716 at [48]-[56] applying </w:t>
      </w:r>
      <w:r w:rsidR="00D3168C" w:rsidRPr="00D3168C">
        <w:rPr>
          <w:rFonts w:ascii="Arial" w:hAnsi="Arial" w:cs="Arial"/>
          <w:bCs/>
          <w:i/>
          <w:iCs/>
          <w:color w:val="000000"/>
          <w:sz w:val="20"/>
          <w:szCs w:val="20"/>
        </w:rPr>
        <w:t>Betfair Pty Ltd v Racing New South Wales</w:t>
      </w:r>
      <w:r w:rsidR="00D3168C">
        <w:rPr>
          <w:rFonts w:ascii="Arial" w:hAnsi="Arial" w:cs="Arial"/>
          <w:bCs/>
          <w:color w:val="000000"/>
          <w:sz w:val="20"/>
          <w:szCs w:val="20"/>
        </w:rPr>
        <w:t xml:space="preserve"> (2010) 189 FLR 356</w:t>
      </w:r>
      <w:r w:rsidR="00553AB5">
        <w:rPr>
          <w:rFonts w:ascii="Arial" w:hAnsi="Arial" w:cs="Arial"/>
          <w:bCs/>
          <w:color w:val="000000"/>
          <w:sz w:val="20"/>
          <w:szCs w:val="20"/>
        </w:rPr>
        <w:t xml:space="preserve">; </w:t>
      </w:r>
      <w:r w:rsidR="00553AB5" w:rsidRPr="00F2288E">
        <w:rPr>
          <w:rFonts w:ascii="Arial" w:hAnsi="Arial" w:cs="Arial"/>
          <w:i/>
          <w:iCs/>
          <w:color w:val="000000"/>
          <w:sz w:val="20"/>
        </w:rPr>
        <w:t>HH v WW</w:t>
      </w:r>
      <w:r w:rsidR="00553AB5">
        <w:rPr>
          <w:rFonts w:ascii="Arial" w:hAnsi="Arial" w:cs="Arial"/>
          <w:color w:val="000000"/>
          <w:sz w:val="20"/>
        </w:rPr>
        <w:t xml:space="preserve"> [2023] VSC 459 at [9]</w:t>
      </w:r>
      <w:r w:rsidR="00C618F5">
        <w:rPr>
          <w:rFonts w:ascii="Arial" w:hAnsi="Arial" w:cs="Arial"/>
          <w:bCs/>
          <w:color w:val="000000"/>
          <w:sz w:val="20"/>
          <w:szCs w:val="20"/>
        </w:rPr>
        <w:t>.</w:t>
      </w:r>
    </w:p>
    <w:p w14:paraId="38FB4DA0" w14:textId="77777777" w:rsidR="00D3168C" w:rsidRDefault="00D3168C" w:rsidP="00CE3457">
      <w:pPr>
        <w:tabs>
          <w:tab w:val="left" w:pos="1440"/>
        </w:tabs>
        <w:jc w:val="both"/>
        <w:rPr>
          <w:rFonts w:ascii="Arial" w:hAnsi="Arial" w:cs="Arial"/>
          <w:bCs/>
          <w:color w:val="000000"/>
          <w:sz w:val="20"/>
        </w:rPr>
      </w:pPr>
    </w:p>
    <w:p w14:paraId="24CCA23E" w14:textId="5022CCC9" w:rsidR="001C057A" w:rsidRPr="00312136" w:rsidRDefault="001C057A" w:rsidP="001C057A">
      <w:pPr>
        <w:pStyle w:val="Heading3"/>
        <w:keepNext/>
        <w:keepLines/>
        <w:spacing w:after="120" w:line="240" w:lineRule="auto"/>
        <w:rPr>
          <w:rFonts w:ascii="Arial" w:hAnsi="Arial" w:cs="Arial"/>
          <w:b/>
          <w:bCs/>
          <w:sz w:val="20"/>
        </w:rPr>
      </w:pPr>
      <w:bookmarkStart w:id="108" w:name="_3.1.2_Actual_or"/>
      <w:bookmarkEnd w:id="108"/>
      <w:r>
        <w:rPr>
          <w:rFonts w:ascii="Arial" w:hAnsi="Arial" w:cs="Arial"/>
          <w:b/>
          <w:bCs/>
          <w:sz w:val="20"/>
        </w:rPr>
        <w:t>3.1.2</w:t>
      </w:r>
      <w:r>
        <w:rPr>
          <w:rFonts w:ascii="Arial" w:hAnsi="Arial" w:cs="Arial"/>
          <w:b/>
          <w:bCs/>
          <w:sz w:val="20"/>
        </w:rPr>
        <w:tab/>
      </w:r>
      <w:r w:rsidR="00843C81">
        <w:rPr>
          <w:rFonts w:ascii="Arial" w:hAnsi="Arial" w:cs="Arial"/>
          <w:b/>
          <w:bCs/>
          <w:sz w:val="20"/>
        </w:rPr>
        <w:t>Actual or apprehended judicial bias</w:t>
      </w:r>
    </w:p>
    <w:p w14:paraId="45BF73D3" w14:textId="71147381"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happens</w:t>
      </w:r>
      <w:r w:rsidR="003E58CE">
        <w:rPr>
          <w:rFonts w:ascii="Arial" w:hAnsi="Arial" w:cs="Arial"/>
          <w:sz w:val="20"/>
        </w:rPr>
        <w:t xml:space="preserve"> only infrequently</w:t>
      </w:r>
      <w:r w:rsidR="00B21DA4">
        <w:rPr>
          <w:rFonts w:ascii="Arial" w:hAnsi="Arial" w:cs="Arial"/>
          <w:sz w:val="20"/>
        </w:rPr>
        <w:t xml:space="preserve">, a party can request that </w:t>
      </w:r>
      <w:r w:rsidR="00B21DA4" w:rsidRPr="003E58CE">
        <w:rPr>
          <w:rFonts w:ascii="Arial" w:hAnsi="Arial" w:cs="Arial"/>
          <w:b/>
          <w:bCs/>
          <w:sz w:val="20"/>
        </w:rPr>
        <w:t>a judicial officer disqualify himself or herself from hearing a matter on the ground of actual bias or a reasonable apprehension of bias</w:t>
      </w:r>
      <w:r w:rsidR="00B21DA4">
        <w:rPr>
          <w:rFonts w:ascii="Arial" w:hAnsi="Arial" w:cs="Arial"/>
          <w:sz w:val="20"/>
        </w:rPr>
        <w:t>.  The Guide to Judicial Conduct published for the Council of Chief Justices of Australia in 2002 states the guiding principles to be [at p.8]:</w:t>
      </w:r>
    </w:p>
    <w:p w14:paraId="5CCB40EA" w14:textId="77777777" w:rsidR="00B21DA4" w:rsidRDefault="00B21DA4" w:rsidP="007417A5">
      <w:pPr>
        <w:keepNext/>
        <w:keepLines/>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4BC9B5C0" w:rsidR="001E2974" w:rsidRDefault="001E2974">
      <w:pPr>
        <w:jc w:val="both"/>
        <w:rPr>
          <w:rFonts w:ascii="Arial" w:hAnsi="Arial" w:cs="Arial"/>
          <w:sz w:val="20"/>
        </w:rPr>
      </w:pPr>
    </w:p>
    <w:p w14:paraId="664A0A66" w14:textId="77777777" w:rsidR="00DE3F8C" w:rsidRDefault="00DE3F8C" w:rsidP="00DE3F8C">
      <w:pPr>
        <w:jc w:val="both"/>
        <w:rPr>
          <w:rFonts w:ascii="Arial" w:hAnsi="Arial" w:cs="Arial"/>
          <w:color w:val="000000"/>
          <w:sz w:val="20"/>
        </w:rPr>
      </w:pPr>
      <w:r>
        <w:rPr>
          <w:rFonts w:ascii="Arial" w:hAnsi="Arial" w:cs="Arial"/>
          <w:color w:val="000000"/>
          <w:sz w:val="20"/>
        </w:rPr>
        <w:t xml:space="preserve">In </w:t>
      </w:r>
      <w:r w:rsidRPr="00A91C91">
        <w:rPr>
          <w:rFonts w:ascii="Arial" w:hAnsi="Arial" w:cs="Arial"/>
          <w:i/>
          <w:iCs/>
          <w:color w:val="000000"/>
          <w:sz w:val="20"/>
        </w:rPr>
        <w:t>Davies v The Queen</w:t>
      </w:r>
      <w:r>
        <w:rPr>
          <w:rFonts w:ascii="Arial" w:hAnsi="Arial" w:cs="Arial"/>
          <w:color w:val="000000"/>
          <w:sz w:val="20"/>
        </w:rPr>
        <w:t xml:space="preserve"> [2019] VSCA 66 – cited with approval in </w:t>
      </w:r>
      <w:r w:rsidRPr="003C4CF1">
        <w:rPr>
          <w:rFonts w:ascii="Arial" w:hAnsi="Arial" w:cs="Arial"/>
          <w:i/>
          <w:iCs/>
          <w:color w:val="000000"/>
          <w:sz w:val="20"/>
        </w:rPr>
        <w:t>Ross v Commonwealth of Australia</w:t>
      </w:r>
      <w:r>
        <w:rPr>
          <w:rFonts w:ascii="Arial" w:hAnsi="Arial" w:cs="Arial"/>
          <w:color w:val="000000"/>
          <w:sz w:val="20"/>
        </w:rPr>
        <w:t xml:space="preserve"> [2022] VSC 457 at [6] – the Court of Appeal (Kaye, McLeish &amp; T Forrest JJA) said at [523]:</w:t>
      </w:r>
    </w:p>
    <w:p w14:paraId="417DE6FC" w14:textId="77777777" w:rsidR="00DE3F8C" w:rsidRDefault="00DE3F8C" w:rsidP="00DE3F8C">
      <w:pPr>
        <w:spacing w:before="60"/>
        <w:ind w:left="454" w:right="454"/>
        <w:jc w:val="both"/>
        <w:rPr>
          <w:rFonts w:ascii="Arial" w:hAnsi="Arial" w:cs="Arial"/>
          <w:sz w:val="20"/>
        </w:rPr>
      </w:pPr>
      <w:r>
        <w:rPr>
          <w:rFonts w:ascii="Arial" w:hAnsi="Arial" w:cs="Arial"/>
          <w:sz w:val="20"/>
        </w:rPr>
        <w:t>“</w:t>
      </w:r>
      <w:r w:rsidRPr="00A91C91">
        <w:rPr>
          <w:rFonts w:ascii="Arial" w:hAnsi="Arial" w:cs="Arial"/>
          <w:sz w:val="20"/>
          <w:szCs w:val="20"/>
        </w:rPr>
        <w:t>The principles concerning bias applications are well established and have received recent consideration by this Court, other intermediate appellate courts and the High Court.  It is sufficient to set these principles out in summary form:</w:t>
      </w:r>
    </w:p>
    <w:p w14:paraId="16133C06"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 must not sit on a case where he or she is biased (actual bias) or might reasonably be perceived to be biased (apprehended bias): </w:t>
      </w:r>
      <w:r w:rsidRPr="003C4CF1">
        <w:rPr>
          <w:rFonts w:ascii="Arial" w:eastAsia="Book Antiqua" w:hAnsi="Arial" w:cs="Arial"/>
          <w:i/>
          <w:sz w:val="20"/>
        </w:rPr>
        <w:t>Livesey v NSW Bar Association</w:t>
      </w:r>
      <w:r w:rsidRPr="003C4CF1">
        <w:rPr>
          <w:rFonts w:ascii="Arial" w:hAnsi="Arial" w:cs="Arial"/>
          <w:sz w:val="20"/>
        </w:rPr>
        <w:t xml:space="preserve"> (1983) 131 CLR 288; </w:t>
      </w:r>
      <w:r w:rsidRPr="003C4CF1">
        <w:rPr>
          <w:rFonts w:ascii="Arial" w:eastAsia="Book Antiqua" w:hAnsi="Arial" w:cs="Arial"/>
          <w:i/>
          <w:sz w:val="20"/>
        </w:rPr>
        <w:t xml:space="preserve">Ebner v Official Trustee in Bankruptcy </w:t>
      </w:r>
      <w:r w:rsidRPr="003C4CF1">
        <w:rPr>
          <w:rFonts w:ascii="Arial" w:hAnsi="Arial" w:cs="Arial"/>
          <w:sz w:val="20"/>
        </w:rPr>
        <w:t>(2000) 205 CLR 337 (‘</w:t>
      </w:r>
      <w:r w:rsidRPr="003C4CF1">
        <w:rPr>
          <w:rFonts w:ascii="Arial" w:eastAsia="Book Antiqua" w:hAnsi="Arial" w:cs="Arial"/>
          <w:i/>
          <w:sz w:val="20"/>
        </w:rPr>
        <w:t>Ebner</w:t>
      </w:r>
      <w:r w:rsidRPr="003C4CF1">
        <w:rPr>
          <w:rFonts w:ascii="Arial" w:hAnsi="Arial" w:cs="Arial"/>
          <w:sz w:val="20"/>
        </w:rPr>
        <w:t xml:space="preserve">’); </w:t>
      </w:r>
      <w:r w:rsidRPr="003C4CF1">
        <w:rPr>
          <w:rFonts w:ascii="Arial" w:eastAsia="Book Antiqua" w:hAnsi="Arial" w:cs="Arial"/>
          <w:i/>
          <w:sz w:val="20"/>
        </w:rPr>
        <w:t>Johnson v Johnson</w:t>
      </w:r>
      <w:r w:rsidRPr="003C4CF1">
        <w:rPr>
          <w:rFonts w:ascii="Arial" w:hAnsi="Arial" w:cs="Arial"/>
          <w:sz w:val="20"/>
        </w:rPr>
        <w:t xml:space="preserve"> (2000) 201 CLR 488.</w:t>
      </w:r>
    </w:p>
    <w:p w14:paraId="7AF269EC"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test for apprehended bias is whether a hypothetical fair minded lay observer might reasonably apprehend that the judge might not bring an impartial mind to the resolution of the question that the judge is required to decide: </w:t>
      </w:r>
      <w:r w:rsidRPr="003C4CF1">
        <w:rPr>
          <w:rFonts w:ascii="Arial" w:eastAsia="Book Antiqua" w:hAnsi="Arial" w:cs="Arial"/>
          <w:i/>
          <w:sz w:val="20"/>
        </w:rPr>
        <w:t xml:space="preserve">Ebner </w:t>
      </w:r>
      <w:r w:rsidRPr="003C4CF1">
        <w:rPr>
          <w:rFonts w:ascii="Arial" w:hAnsi="Arial" w:cs="Arial"/>
          <w:sz w:val="20"/>
        </w:rPr>
        <w:t>(2000) 205 CLR 337.</w:t>
      </w:r>
    </w:p>
    <w:p w14:paraId="40D68855"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 will only be disqualified for actual bias if a party establishes that a judge is so committed to an outcome that he or she will not alter that outcome, regardless of the evidence and/or arguments presented: </w:t>
      </w:r>
      <w:r w:rsidRPr="003C4CF1">
        <w:rPr>
          <w:rFonts w:ascii="Arial" w:eastAsia="Book Antiqua" w:hAnsi="Arial" w:cs="Arial"/>
          <w:i/>
          <w:sz w:val="20"/>
        </w:rPr>
        <w:t xml:space="preserve">Minister for Immigration and Multicultural Affairs v Jia </w:t>
      </w:r>
      <w:proofErr w:type="spellStart"/>
      <w:r w:rsidRPr="003C4CF1">
        <w:rPr>
          <w:rFonts w:ascii="Arial" w:eastAsia="Book Antiqua" w:hAnsi="Arial" w:cs="Arial"/>
          <w:i/>
          <w:sz w:val="20"/>
        </w:rPr>
        <w:t>Legeng</w:t>
      </w:r>
      <w:proofErr w:type="spellEnd"/>
      <w:r w:rsidRPr="003C4CF1">
        <w:rPr>
          <w:rFonts w:ascii="Arial" w:hAnsi="Arial" w:cs="Arial"/>
          <w:sz w:val="20"/>
        </w:rPr>
        <w:t xml:space="preserve"> (2001) 205 CLR 507 (‘</w:t>
      </w:r>
      <w:proofErr w:type="spellStart"/>
      <w:r w:rsidRPr="003C4CF1">
        <w:rPr>
          <w:rFonts w:ascii="Arial" w:eastAsia="Book Antiqua" w:hAnsi="Arial" w:cs="Arial"/>
          <w:i/>
          <w:sz w:val="20"/>
        </w:rPr>
        <w:t>Legeng</w:t>
      </w:r>
      <w:proofErr w:type="spellEnd"/>
      <w:r w:rsidRPr="003C4CF1">
        <w:rPr>
          <w:rFonts w:ascii="Arial" w:hAnsi="Arial" w:cs="Arial"/>
          <w:sz w:val="20"/>
        </w:rPr>
        <w:t>’).</w:t>
      </w:r>
    </w:p>
    <w:p w14:paraId="0138F9A1"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principles for actual and apprehended bias still apply to a judge in a criminal jury trial.  Even though a judge in a criminal jury trial is not responsible for determining questions of fact, he or she is still required to make evidentiary decisions, may subtly influence the jury and must determine sentence in the event of a guilty verdict or verdicts: </w:t>
      </w:r>
      <w:proofErr w:type="spellStart"/>
      <w:r w:rsidRPr="003C4CF1">
        <w:rPr>
          <w:rFonts w:ascii="Arial" w:eastAsia="Book Antiqua" w:hAnsi="Arial" w:cs="Arial"/>
          <w:i/>
          <w:sz w:val="20"/>
        </w:rPr>
        <w:t>Rozenes</w:t>
      </w:r>
      <w:proofErr w:type="spellEnd"/>
      <w:r w:rsidRPr="003C4CF1">
        <w:rPr>
          <w:rFonts w:ascii="Arial" w:eastAsia="Book Antiqua" w:hAnsi="Arial" w:cs="Arial"/>
          <w:i/>
          <w:sz w:val="20"/>
        </w:rPr>
        <w:t xml:space="preserve"> v Kelly</w:t>
      </w:r>
      <w:r w:rsidRPr="003C4CF1">
        <w:rPr>
          <w:rFonts w:ascii="Arial" w:hAnsi="Arial" w:cs="Arial"/>
          <w:sz w:val="20"/>
        </w:rPr>
        <w:t xml:space="preserve"> [1996] 1 VR 320; </w:t>
      </w:r>
      <w:r w:rsidRPr="003C4CF1">
        <w:rPr>
          <w:rFonts w:ascii="Arial" w:eastAsia="Book Antiqua" w:hAnsi="Arial" w:cs="Arial"/>
          <w:i/>
          <w:sz w:val="20"/>
        </w:rPr>
        <w:t xml:space="preserve">R v Branko </w:t>
      </w:r>
      <w:proofErr w:type="spellStart"/>
      <w:r w:rsidRPr="003C4CF1">
        <w:rPr>
          <w:rFonts w:ascii="Arial" w:eastAsia="Book Antiqua" w:hAnsi="Arial" w:cs="Arial"/>
          <w:i/>
          <w:sz w:val="20"/>
        </w:rPr>
        <w:t>Balic</w:t>
      </w:r>
      <w:proofErr w:type="spellEnd"/>
      <w:r w:rsidRPr="003C4CF1">
        <w:rPr>
          <w:rFonts w:ascii="Arial" w:hAnsi="Arial" w:cs="Arial"/>
          <w:sz w:val="20"/>
        </w:rPr>
        <w:t xml:space="preserve"> </w:t>
      </w:r>
      <w:r w:rsidRPr="003C4CF1">
        <w:rPr>
          <w:rFonts w:ascii="Arial" w:eastAsia="Book Antiqua" w:hAnsi="Arial" w:cs="Arial"/>
          <w:i/>
          <w:sz w:val="20"/>
        </w:rPr>
        <w:t>(No 2)</w:t>
      </w:r>
      <w:r w:rsidRPr="003C4CF1">
        <w:rPr>
          <w:rFonts w:ascii="Arial" w:hAnsi="Arial" w:cs="Arial"/>
          <w:sz w:val="20"/>
        </w:rPr>
        <w:t xml:space="preserve"> (1994) 75 A Crim R 52; </w:t>
      </w:r>
      <w:r w:rsidRPr="003C4CF1">
        <w:rPr>
          <w:rFonts w:ascii="Arial" w:eastAsia="Book Antiqua" w:hAnsi="Arial" w:cs="Arial"/>
          <w:i/>
          <w:sz w:val="20"/>
        </w:rPr>
        <w:t xml:space="preserve">R v </w:t>
      </w:r>
      <w:proofErr w:type="spellStart"/>
      <w:r w:rsidRPr="003C4CF1">
        <w:rPr>
          <w:rFonts w:ascii="Arial" w:eastAsia="Book Antiqua" w:hAnsi="Arial" w:cs="Arial"/>
          <w:i/>
          <w:sz w:val="20"/>
        </w:rPr>
        <w:t>Goussis</w:t>
      </w:r>
      <w:proofErr w:type="spellEnd"/>
      <w:r w:rsidRPr="003C4CF1">
        <w:rPr>
          <w:rFonts w:ascii="Arial" w:eastAsia="Book Antiqua" w:hAnsi="Arial" w:cs="Arial"/>
          <w:i/>
          <w:sz w:val="20"/>
        </w:rPr>
        <w:t xml:space="preserve"> </w:t>
      </w:r>
      <w:r w:rsidRPr="003C4CF1">
        <w:rPr>
          <w:rFonts w:ascii="Arial" w:hAnsi="Arial" w:cs="Arial"/>
          <w:sz w:val="20"/>
        </w:rPr>
        <w:t>[2007] VSC 171.</w:t>
      </w:r>
    </w:p>
    <w:p w14:paraId="01CD3350"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lastRenderedPageBreak/>
        <w:t xml:space="preserve">A party making a recusal application must identify the cause of an appearance of bias and demonstrate the logical connection between the cause and the appearance of partiality.  A bare assertion that a judge has an interest in the outcome of a case is not sufficient: </w:t>
      </w:r>
      <w:r w:rsidRPr="003C4CF1">
        <w:rPr>
          <w:rFonts w:ascii="Arial" w:eastAsia="Book Antiqua" w:hAnsi="Arial" w:cs="Arial"/>
          <w:i/>
          <w:sz w:val="20"/>
        </w:rPr>
        <w:t xml:space="preserve">Ebner </w:t>
      </w:r>
      <w:r w:rsidRPr="003C4CF1">
        <w:rPr>
          <w:rFonts w:ascii="Arial" w:hAnsi="Arial" w:cs="Arial"/>
          <w:sz w:val="20"/>
        </w:rPr>
        <w:t>(2000) 205 CLR 337.</w:t>
      </w:r>
    </w:p>
    <w:p w14:paraId="383642C8"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apprehension of bias must be reasonable and not fanciful or unreasonable: </w:t>
      </w:r>
      <w:proofErr w:type="spellStart"/>
      <w:r w:rsidRPr="003C4CF1">
        <w:rPr>
          <w:rFonts w:ascii="Arial" w:eastAsia="Book Antiqua" w:hAnsi="Arial" w:cs="Arial"/>
          <w:i/>
          <w:sz w:val="20"/>
        </w:rPr>
        <w:t>Guscor</w:t>
      </w:r>
      <w:proofErr w:type="spellEnd"/>
      <w:r w:rsidRPr="003C4CF1">
        <w:rPr>
          <w:rFonts w:ascii="Arial" w:eastAsia="Book Antiqua" w:hAnsi="Arial" w:cs="Arial"/>
          <w:i/>
          <w:sz w:val="20"/>
        </w:rPr>
        <w:t xml:space="preserve"> v Ellicott</w:t>
      </w:r>
      <w:r w:rsidRPr="003C4CF1">
        <w:rPr>
          <w:rFonts w:ascii="Arial" w:hAnsi="Arial" w:cs="Arial"/>
          <w:sz w:val="20"/>
        </w:rPr>
        <w:t xml:space="preserve"> [1997] 1 VR 332.</w:t>
      </w:r>
    </w:p>
    <w:p w14:paraId="14ACB2E8"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While a hypothetical lay observer does not have a detailed understanding of the law, he or she has basic knowledge of the judicial process and the issues to be determined: </w:t>
      </w:r>
      <w:proofErr w:type="spellStart"/>
      <w:r w:rsidRPr="003C4CF1">
        <w:rPr>
          <w:rFonts w:ascii="Arial" w:eastAsia="Book Antiqua" w:hAnsi="Arial" w:cs="Arial"/>
          <w:i/>
          <w:sz w:val="20"/>
        </w:rPr>
        <w:t>Roner</w:t>
      </w:r>
      <w:proofErr w:type="spellEnd"/>
      <w:r w:rsidRPr="003C4CF1">
        <w:rPr>
          <w:rFonts w:ascii="Arial" w:eastAsia="Book Antiqua" w:hAnsi="Arial" w:cs="Arial"/>
          <w:i/>
          <w:sz w:val="20"/>
        </w:rPr>
        <w:t xml:space="preserve"> v ANZ Banking Group</w:t>
      </w:r>
      <w:r w:rsidRPr="003C4CF1">
        <w:rPr>
          <w:rFonts w:ascii="Arial" w:hAnsi="Arial" w:cs="Arial"/>
          <w:sz w:val="20"/>
        </w:rPr>
        <w:t xml:space="preserve"> (2000) 2 VR 531.</w:t>
      </w:r>
    </w:p>
    <w:p w14:paraId="40583B02"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hypothetical lay observer does not know the personality of the judge, but knows that the person is a judge who has been trained to discount irrelevant, prejudicial or immaterial matters: </w:t>
      </w:r>
      <w:r w:rsidRPr="003C4CF1">
        <w:rPr>
          <w:rFonts w:ascii="Arial" w:eastAsia="Book Antiqua" w:hAnsi="Arial" w:cs="Arial"/>
          <w:i/>
          <w:sz w:val="20"/>
        </w:rPr>
        <w:t>Honda Australia Motorcycle v Johnstone</w:t>
      </w:r>
      <w:r w:rsidRPr="003C4CF1">
        <w:rPr>
          <w:rFonts w:ascii="Arial" w:hAnsi="Arial" w:cs="Arial"/>
          <w:sz w:val="20"/>
        </w:rPr>
        <w:t xml:space="preserve"> (2005) VSC 387.</w:t>
      </w:r>
    </w:p>
    <w:p w14:paraId="13DC9592"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The hypothetical lay observer has a broad knowledge of the material facts of the case and the circumstances that led to the trial.  The lay observer also knows that the judge does not rely on inaccurate or incomplete information, or rely solely on the facts known to one of the parties: </w:t>
      </w:r>
      <w:r w:rsidRPr="003C4CF1">
        <w:rPr>
          <w:rFonts w:ascii="Arial" w:eastAsia="Book Antiqua" w:hAnsi="Arial" w:cs="Arial"/>
          <w:i/>
          <w:sz w:val="20"/>
        </w:rPr>
        <w:t>Laws v Australian Broadcasting Tribunal</w:t>
      </w:r>
      <w:r w:rsidRPr="003C4CF1">
        <w:rPr>
          <w:rFonts w:ascii="Arial" w:hAnsi="Arial" w:cs="Arial"/>
          <w:sz w:val="20"/>
        </w:rPr>
        <w:t xml:space="preserve"> (1990) 170 CLR 70 (‘</w:t>
      </w:r>
      <w:r w:rsidRPr="003C4CF1">
        <w:rPr>
          <w:rFonts w:ascii="Arial" w:eastAsia="Book Antiqua" w:hAnsi="Arial" w:cs="Arial"/>
          <w:i/>
          <w:sz w:val="20"/>
        </w:rPr>
        <w:t>Laws</w:t>
      </w:r>
      <w:r w:rsidRPr="003C4CF1">
        <w:rPr>
          <w:rFonts w:ascii="Arial" w:hAnsi="Arial" w:cs="Arial"/>
          <w:sz w:val="20"/>
        </w:rPr>
        <w:t xml:space="preserve">’); </w:t>
      </w:r>
      <w:r w:rsidRPr="003C4CF1">
        <w:rPr>
          <w:rFonts w:ascii="Arial" w:eastAsia="Book Antiqua" w:hAnsi="Arial" w:cs="Arial"/>
          <w:i/>
          <w:sz w:val="20"/>
        </w:rPr>
        <w:t xml:space="preserve">Victoria v Psaila </w:t>
      </w:r>
      <w:r w:rsidRPr="003C4CF1">
        <w:rPr>
          <w:rFonts w:ascii="Arial" w:hAnsi="Arial" w:cs="Arial"/>
          <w:sz w:val="20"/>
        </w:rPr>
        <w:t>[1999] VSCA 193 (‘</w:t>
      </w:r>
      <w:r w:rsidRPr="003C4CF1">
        <w:rPr>
          <w:rFonts w:ascii="Arial" w:eastAsia="Book Antiqua" w:hAnsi="Arial" w:cs="Arial"/>
          <w:i/>
          <w:sz w:val="20"/>
        </w:rPr>
        <w:t>Psaila</w:t>
      </w:r>
      <w:r w:rsidRPr="003C4CF1">
        <w:rPr>
          <w:rFonts w:ascii="Arial" w:hAnsi="Arial" w:cs="Arial"/>
          <w:sz w:val="20"/>
        </w:rPr>
        <w:t>’).</w:t>
      </w:r>
    </w:p>
    <w:p w14:paraId="1062AD5A"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3C4CF1">
        <w:rPr>
          <w:rFonts w:ascii="Arial" w:hAnsi="Arial" w:cs="Arial"/>
          <w:sz w:val="20"/>
        </w:rPr>
        <w:t xml:space="preserve">A judge’s bad temper or mere lack of niceties is not sufficient to establish apprehended bias: </w:t>
      </w:r>
      <w:r w:rsidRPr="003C4CF1">
        <w:rPr>
          <w:rFonts w:ascii="Arial" w:eastAsia="Book Antiqua" w:hAnsi="Arial" w:cs="Arial"/>
          <w:i/>
          <w:sz w:val="20"/>
        </w:rPr>
        <w:t>Galea v Galea</w:t>
      </w:r>
      <w:r w:rsidRPr="003C4CF1">
        <w:rPr>
          <w:rFonts w:ascii="Arial" w:hAnsi="Arial" w:cs="Arial"/>
          <w:sz w:val="20"/>
        </w:rPr>
        <w:t xml:space="preserve"> (1990) 19 NSWLR 263; </w:t>
      </w:r>
      <w:r w:rsidRPr="003C4CF1">
        <w:rPr>
          <w:rFonts w:ascii="Arial" w:eastAsia="Book Antiqua" w:hAnsi="Arial" w:cs="Arial"/>
          <w:i/>
          <w:sz w:val="20"/>
        </w:rPr>
        <w:t>Psaila</w:t>
      </w:r>
      <w:r w:rsidRPr="003C4CF1">
        <w:rPr>
          <w:rFonts w:ascii="Arial" w:hAnsi="Arial" w:cs="Arial"/>
          <w:sz w:val="20"/>
        </w:rPr>
        <w:t xml:space="preserve"> [1999] VSCA 193.</w:t>
      </w:r>
    </w:p>
    <w:p w14:paraId="34A108B9" w14:textId="77777777" w:rsidR="00DE3F8C" w:rsidRPr="003C4CF1" w:rsidRDefault="00DE3F8C">
      <w:pPr>
        <w:pStyle w:val="ListParagraph"/>
        <w:numPr>
          <w:ilvl w:val="0"/>
          <w:numId w:val="91"/>
        </w:numPr>
        <w:spacing w:before="60"/>
        <w:ind w:left="811" w:right="454" w:hanging="357"/>
        <w:jc w:val="both"/>
        <w:rPr>
          <w:rFonts w:ascii="Arial" w:hAnsi="Arial" w:cs="Arial"/>
          <w:sz w:val="20"/>
        </w:rPr>
      </w:pPr>
      <w:r w:rsidRPr="00A91C91">
        <w:rPr>
          <w:rFonts w:ascii="Arial" w:hAnsi="Arial" w:cs="Arial"/>
          <w:sz w:val="20"/>
        </w:rPr>
        <w:t>A short and emotional exchange will not necessarily demonstrate that a judge is incapable of behaving impartially.  However, prolonged or intense animosity towards a party, even if the animosity is not always apparent, may amount to actual or apprehended bias</w:t>
      </w:r>
      <w:r>
        <w:rPr>
          <w:rFonts w:ascii="Arial" w:hAnsi="Arial" w:cs="Arial"/>
          <w:sz w:val="20"/>
        </w:rPr>
        <w:t xml:space="preserve">: </w:t>
      </w:r>
      <w:r w:rsidRPr="003C4CF1">
        <w:rPr>
          <w:rFonts w:ascii="Arial" w:hAnsi="Arial" w:cs="Arial"/>
          <w:i/>
          <w:iCs/>
          <w:sz w:val="20"/>
        </w:rPr>
        <w:t>Ibid.</w:t>
      </w:r>
    </w:p>
    <w:p w14:paraId="20D86F6F" w14:textId="77777777" w:rsidR="00DE3F8C" w:rsidRPr="00551BE8" w:rsidRDefault="00DE3F8C">
      <w:pPr>
        <w:pStyle w:val="ListParagraph"/>
        <w:numPr>
          <w:ilvl w:val="0"/>
          <w:numId w:val="91"/>
        </w:numPr>
        <w:spacing w:before="60"/>
        <w:ind w:left="811" w:right="454" w:hanging="357"/>
        <w:jc w:val="both"/>
        <w:rPr>
          <w:rFonts w:ascii="Arial" w:hAnsi="Arial" w:cs="Arial"/>
          <w:sz w:val="20"/>
        </w:rPr>
      </w:pPr>
      <w:r w:rsidRPr="00551BE8">
        <w:rPr>
          <w:rFonts w:ascii="Arial" w:hAnsi="Arial" w:cs="Arial"/>
          <w:sz w:val="20"/>
        </w:rPr>
        <w:t xml:space="preserve">A judge may express a tentative view about an issue without creating an apprehension of bias: </w:t>
      </w:r>
      <w:r w:rsidRPr="00551BE8">
        <w:rPr>
          <w:rFonts w:ascii="Arial" w:eastAsia="Book Antiqua" w:hAnsi="Arial" w:cs="Arial"/>
          <w:i/>
          <w:sz w:val="20"/>
        </w:rPr>
        <w:t xml:space="preserve">Laws </w:t>
      </w:r>
      <w:r w:rsidRPr="00551BE8">
        <w:rPr>
          <w:rFonts w:ascii="Arial" w:hAnsi="Arial" w:cs="Arial"/>
          <w:sz w:val="20"/>
        </w:rPr>
        <w:t>(1990) 170 CLR 70;</w:t>
      </w:r>
      <w:r w:rsidRPr="00551BE8">
        <w:rPr>
          <w:rFonts w:ascii="Arial" w:eastAsia="Book Antiqua" w:hAnsi="Arial" w:cs="Arial"/>
          <w:i/>
          <w:sz w:val="20"/>
        </w:rPr>
        <w:t xml:space="preserve"> </w:t>
      </w:r>
      <w:proofErr w:type="spellStart"/>
      <w:r w:rsidRPr="00551BE8">
        <w:rPr>
          <w:rFonts w:ascii="Arial" w:eastAsia="Book Antiqua" w:hAnsi="Arial" w:cs="Arial"/>
          <w:i/>
          <w:sz w:val="20"/>
        </w:rPr>
        <w:t>Legeng</w:t>
      </w:r>
      <w:proofErr w:type="spellEnd"/>
      <w:r w:rsidRPr="00551BE8">
        <w:rPr>
          <w:rFonts w:ascii="Arial" w:hAnsi="Arial" w:cs="Arial"/>
          <w:sz w:val="20"/>
        </w:rPr>
        <w:t xml:space="preserve"> (2001) 205 CLR 507; </w:t>
      </w:r>
      <w:r w:rsidRPr="00551BE8">
        <w:rPr>
          <w:rFonts w:ascii="Arial" w:eastAsia="Book Antiqua" w:hAnsi="Arial" w:cs="Arial"/>
          <w:i/>
          <w:sz w:val="20"/>
        </w:rPr>
        <w:t xml:space="preserve">R v Commonwealth Conciliation and Arbitration Commission; Ex </w:t>
      </w:r>
      <w:proofErr w:type="spellStart"/>
      <w:r w:rsidRPr="00551BE8">
        <w:rPr>
          <w:rFonts w:ascii="Arial" w:eastAsia="Book Antiqua" w:hAnsi="Arial" w:cs="Arial"/>
          <w:i/>
          <w:sz w:val="20"/>
        </w:rPr>
        <w:t>parte</w:t>
      </w:r>
      <w:proofErr w:type="spellEnd"/>
      <w:r w:rsidRPr="00551BE8">
        <w:rPr>
          <w:rFonts w:ascii="Arial" w:eastAsia="Book Antiqua" w:hAnsi="Arial" w:cs="Arial"/>
          <w:i/>
          <w:sz w:val="20"/>
        </w:rPr>
        <w:t xml:space="preserve"> Angliss Group</w:t>
      </w:r>
      <w:r w:rsidRPr="00551BE8">
        <w:rPr>
          <w:rFonts w:ascii="Arial" w:hAnsi="Arial" w:cs="Arial"/>
          <w:sz w:val="20"/>
        </w:rPr>
        <w:t xml:space="preserve"> (1969) 122 CLR 546.”</w:t>
      </w:r>
    </w:p>
    <w:p w14:paraId="5790BA5B" w14:textId="77777777" w:rsidR="00DE3F8C" w:rsidRDefault="00DE3F8C">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w:t>
      </w:r>
      <w:proofErr w:type="spellStart"/>
      <w:r>
        <w:rPr>
          <w:rFonts w:ascii="Arial" w:hAnsi="Arial" w:cs="Arial"/>
          <w:sz w:val="20"/>
        </w:rPr>
        <w:t>eg.</w:t>
      </w:r>
      <w:proofErr w:type="spellEnd"/>
      <w:r>
        <w:rPr>
          <w:rFonts w:ascii="Arial" w:hAnsi="Arial" w:cs="Arial"/>
          <w:sz w:val="20"/>
        </w:rPr>
        <w:t xml:space="preserve">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r w:rsidRPr="00BD5912">
        <w:rPr>
          <w:rFonts w:ascii="Arial" w:hAnsi="Arial" w:cs="Arial"/>
          <w:i/>
          <w:sz w:val="20"/>
        </w:rPr>
        <w:t>Antoun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that there had been no unfairness in the sentencing judge continuing after the out of court communication had been disclosed, Redlich &amp; Dodds-Streeton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w:t>
      </w:r>
      <w:r w:rsidRPr="008A42F3">
        <w:rPr>
          <w:rFonts w:ascii="Arial" w:hAnsi="Arial" w:cs="Arial"/>
          <w:sz w:val="20"/>
        </w:rPr>
        <w:lastRenderedPageBreak/>
        <w:t xml:space="preserve">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xml:space="preserve">; ex </w:t>
      </w:r>
      <w:proofErr w:type="spellStart"/>
      <w:r w:rsidRPr="008A42F3">
        <w:rPr>
          <w:rFonts w:ascii="Arial" w:hAnsi="Arial" w:cs="Arial"/>
          <w:i/>
          <w:iCs/>
          <w:sz w:val="20"/>
        </w:rPr>
        <w:t>parte</w:t>
      </w:r>
      <w:proofErr w:type="spellEnd"/>
      <w:r w:rsidRPr="008A42F3">
        <w:rPr>
          <w:rFonts w:ascii="Arial" w:hAnsi="Arial" w:cs="Arial"/>
          <w:i/>
          <w:iCs/>
          <w:sz w:val="20"/>
        </w:rPr>
        <w:t xml:space="preserv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r w:rsidRPr="008A42F3">
        <w:rPr>
          <w:rFonts w:ascii="Arial" w:hAnsi="Arial" w:cs="Arial"/>
          <w:bCs/>
          <w:sz w:val="20"/>
        </w:rPr>
        <w:t>bias</w:t>
      </w:r>
      <w:r w:rsidRPr="008A42F3">
        <w:rPr>
          <w:rFonts w:ascii="Arial" w:hAnsi="Arial" w:cs="Arial"/>
          <w:sz w:val="20"/>
        </w:rPr>
        <w:t>‘</w:t>
      </w:r>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decision‘.</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Al-Assadi</w:t>
      </w:r>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9"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109"/>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w:t>
      </w:r>
      <w:proofErr w:type="spellStart"/>
      <w:r w:rsidR="000B2322" w:rsidRPr="005B1DDA">
        <w:rPr>
          <w:rFonts w:ascii="Arial" w:hAnsi="Arial" w:cs="Arial"/>
          <w:sz w:val="20"/>
          <w:szCs w:val="20"/>
        </w:rPr>
        <w:t>Kiefel</w:t>
      </w:r>
      <w:proofErr w:type="spellEnd"/>
      <w:r w:rsidR="000B2322" w:rsidRPr="005B1DDA">
        <w:rPr>
          <w:rFonts w:ascii="Arial" w:hAnsi="Arial" w:cs="Arial"/>
          <w:sz w:val="20"/>
          <w:szCs w:val="20"/>
        </w:rPr>
        <w:t xml:space="preserve">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v Minister for Immigration and 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lastRenderedPageBreak/>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w:t>
      </w:r>
      <w:proofErr w:type="spellStart"/>
      <w:r w:rsidR="000B2322" w:rsidRPr="00334789">
        <w:rPr>
          <w:rFonts w:ascii="Arial" w:hAnsi="Arial" w:cs="Arial"/>
          <w:sz w:val="20"/>
          <w:szCs w:val="20"/>
        </w:rPr>
        <w:t>McInerney</w:t>
      </w:r>
      <w:proofErr w:type="spellEnd"/>
      <w:r w:rsidR="000B2322" w:rsidRPr="00334789">
        <w:rPr>
          <w:rFonts w:ascii="Arial" w:hAnsi="Arial" w:cs="Arial"/>
          <w:sz w:val="20"/>
          <w:szCs w:val="20"/>
        </w:rPr>
        <w:t xml:space="preserve">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EC5F4C" w:rsidRDefault="00334789" w:rsidP="00334789">
      <w:pPr>
        <w:spacing w:before="60"/>
        <w:ind w:left="907" w:right="907"/>
        <w:jc w:val="both"/>
        <w:rPr>
          <w:rFonts w:ascii="Arial" w:hAnsi="Arial" w:cs="Arial"/>
          <w:color w:val="000000"/>
          <w:sz w:val="18"/>
          <w:szCs w:val="22"/>
        </w:rPr>
      </w:pPr>
      <w:r w:rsidRPr="00EC5F4C">
        <w:rPr>
          <w:rFonts w:ascii="Arial" w:hAnsi="Arial" w:cs="Arial"/>
          <w:color w:val="000000"/>
          <w:sz w:val="18"/>
          <w:szCs w:val="22"/>
        </w:rPr>
        <w:t>‘</w:t>
      </w:r>
      <w:r w:rsidRPr="00EC5F4C">
        <w:rPr>
          <w:rFonts w:ascii="Arial" w:hAnsi="Arial" w:cs="Arial"/>
          <w:sz w:val="18"/>
          <w:szCs w:val="18"/>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Australasian Institute of Judicial 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 xml:space="preserve">in deciding whether a </w:t>
      </w:r>
      <w:r w:rsidR="004E3768" w:rsidRPr="004E3768">
        <w:rPr>
          <w:rFonts w:ascii="Arial" w:hAnsi="Arial" w:cs="Arial"/>
          <w:sz w:val="20"/>
          <w:szCs w:val="20"/>
        </w:rPr>
        <w:lastRenderedPageBreak/>
        <w:t>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7BD7FC5D" w14:textId="77777777" w:rsidR="00DE3F8C" w:rsidRDefault="00DE3F8C" w:rsidP="00DE3F8C">
      <w:pPr>
        <w:rPr>
          <w:rFonts w:ascii="Arial" w:hAnsi="Arial" w:cs="Arial"/>
          <w:sz w:val="20"/>
        </w:rPr>
      </w:pPr>
    </w:p>
    <w:p w14:paraId="27F96669" w14:textId="77777777" w:rsidR="00DE3F8C" w:rsidRDefault="00DE3F8C" w:rsidP="00DE3F8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accused in relation to the issue of costs if he was unsuccessful.  The accused brought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accused.  Allowing the review, Bell J said:</w:t>
      </w:r>
    </w:p>
    <w:p w14:paraId="25DA8FE8"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 xml:space="preserve">R v The Australian Broadcasting Tribunal; Ex </w:t>
      </w:r>
      <w:proofErr w:type="spellStart"/>
      <w:r w:rsidRPr="00DD765C">
        <w:rPr>
          <w:rFonts w:ascii="Arial" w:hAnsi="Arial" w:cs="Arial"/>
          <w:i/>
          <w:sz w:val="20"/>
        </w:rPr>
        <w:t>parte</w:t>
      </w:r>
      <w:proofErr w:type="spellEnd"/>
      <w:r w:rsidRPr="00DD765C">
        <w:rPr>
          <w:rFonts w:ascii="Arial" w:hAnsi="Arial" w:cs="Arial"/>
          <w:i/>
          <w:sz w:val="20"/>
        </w:rPr>
        <w:t xml:space="preserve"> Hardiman</w:t>
      </w:r>
      <w:r>
        <w:rPr>
          <w:rFonts w:ascii="Arial" w:hAnsi="Arial" w:cs="Arial"/>
          <w:sz w:val="20"/>
        </w:rPr>
        <w:t xml:space="preserve"> (1980) 144 CLR 13, 35-6, the usual and proper practice for the court or tribunal to take in judicial review proceedings 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4CCF6EE1"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[6] The foundation of this principle is that it is very difficult, and usually impossible, for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664EE3AC" w14:textId="77777777" w:rsidR="007417A5" w:rsidRDefault="007417A5" w:rsidP="0022688E">
      <w:pPr>
        <w:spacing w:before="20"/>
        <w:jc w:val="both"/>
        <w:rPr>
          <w:rFonts w:ascii="Arial" w:hAnsi="Arial" w:cs="Arial"/>
          <w:color w:val="000000"/>
          <w:sz w:val="20"/>
        </w:rPr>
      </w:pPr>
    </w:p>
    <w:p w14:paraId="1351D3BC" w14:textId="4C66C9FE" w:rsidR="004225E0" w:rsidRDefault="00FA1676" w:rsidP="0022688E">
      <w:pPr>
        <w:spacing w:before="20"/>
        <w:jc w:val="both"/>
        <w:rPr>
          <w:rFonts w:ascii="Arial" w:hAnsi="Arial" w:cs="Arial"/>
          <w:sz w:val="20"/>
        </w:rPr>
      </w:pPr>
      <w:r w:rsidRPr="001A1BF2">
        <w:rPr>
          <w:rFonts w:ascii="Arial" w:hAnsi="Arial" w:cs="Arial"/>
          <w:color w:val="000000"/>
          <w:sz w:val="20"/>
        </w:rPr>
        <w:lastRenderedPageBreak/>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 xml:space="preserve">Re JRL: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Dov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 xml:space="preserve">Re Keeley: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Ansett Transport Industries (Operations) Pty Ltd</w:t>
      </w:r>
      <w:r w:rsidR="00BD5912" w:rsidRPr="000A52DC">
        <w:rPr>
          <w:rFonts w:ascii="Arial" w:hAnsi="Arial" w:cs="Arial"/>
          <w:color w:val="000000"/>
          <w:sz w:val="20"/>
        </w:rPr>
        <w:t xml:space="preserve"> (1990) 94 ALR 1; </w:t>
      </w:r>
      <w:r w:rsidR="00BD5912" w:rsidRPr="000A52DC">
        <w:rPr>
          <w:rFonts w:ascii="Arial" w:hAnsi="Arial" w:cs="Arial"/>
          <w:i/>
          <w:color w:val="000000"/>
          <w:sz w:val="20"/>
        </w:rPr>
        <w:t>Antoun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r w:rsidR="00AD06C0" w:rsidRPr="00232FC7">
        <w:rPr>
          <w:rFonts w:ascii="Arial" w:hAnsi="Arial" w:cs="Arial"/>
          <w:i/>
          <w:color w:val="000000"/>
          <w:sz w:val="20"/>
          <w:szCs w:val="20"/>
        </w:rPr>
        <w:t xml:space="preserve">Flavel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w:t>
      </w:r>
      <w:proofErr w:type="spellStart"/>
      <w:r w:rsidR="00AA17C4" w:rsidRPr="00AA17C4">
        <w:rPr>
          <w:rFonts w:ascii="Arial" w:hAnsi="Arial" w:cs="Arial"/>
          <w:i/>
          <w:iCs/>
          <w:color w:val="000000"/>
          <w:sz w:val="20"/>
          <w:szCs w:val="20"/>
        </w:rPr>
        <w:t>Cth</w:t>
      </w:r>
      <w:proofErr w:type="spellEnd"/>
      <w:r w:rsidR="00AA17C4" w:rsidRPr="00AA17C4">
        <w:rPr>
          <w:rFonts w:ascii="Arial" w:hAnsi="Arial" w:cs="Arial"/>
          <w:i/>
          <w:iCs/>
          <w:color w:val="000000"/>
          <w:sz w:val="20"/>
          <w:szCs w:val="20"/>
        </w:rPr>
        <w:t>)</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 xml:space="preserve">Minogue v </w:t>
      </w:r>
      <w:proofErr w:type="spellStart"/>
      <w:r w:rsidR="00D858C8" w:rsidRPr="00D858C8">
        <w:rPr>
          <w:rFonts w:ascii="Arial" w:hAnsi="Arial" w:cs="Arial"/>
          <w:i/>
          <w:iCs/>
          <w:color w:val="000000"/>
          <w:sz w:val="20"/>
          <w:szCs w:val="20"/>
        </w:rPr>
        <w:t>Falkingham</w:t>
      </w:r>
      <w:proofErr w:type="spellEnd"/>
      <w:r w:rsidR="00D858C8">
        <w:rPr>
          <w:rFonts w:ascii="Arial" w:hAnsi="Arial" w:cs="Arial"/>
          <w:color w:val="000000"/>
          <w:sz w:val="20"/>
          <w:szCs w:val="20"/>
        </w:rPr>
        <w:t xml:space="preserve"> [2022] VSC 111 at [42]-[65]</w:t>
      </w:r>
      <w:r w:rsidR="001D5A40">
        <w:rPr>
          <w:rFonts w:ascii="Arial" w:hAnsi="Arial" w:cs="Arial"/>
          <w:color w:val="000000"/>
          <w:sz w:val="20"/>
          <w:szCs w:val="20"/>
        </w:rPr>
        <w:t>;</w:t>
      </w:r>
      <w:r w:rsidR="00D858C8">
        <w:rPr>
          <w:rFonts w:ascii="Arial" w:hAnsi="Arial" w:cs="Arial"/>
          <w:color w:val="000000"/>
          <w:sz w:val="20"/>
          <w:szCs w:val="20"/>
        </w:rPr>
        <w:t xml:space="preserve">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1D5A40">
        <w:rPr>
          <w:rFonts w:ascii="Arial" w:hAnsi="Arial" w:cs="Arial"/>
          <w:color w:val="000000"/>
          <w:sz w:val="20"/>
          <w:szCs w:val="20"/>
        </w:rPr>
        <w:t xml:space="preserve">; </w:t>
      </w:r>
      <w:proofErr w:type="spellStart"/>
      <w:r w:rsidR="00DE3F8C" w:rsidRPr="00CD277A">
        <w:rPr>
          <w:rFonts w:ascii="Arial" w:hAnsi="Arial" w:cs="Arial"/>
          <w:i/>
          <w:iCs/>
          <w:color w:val="000000"/>
          <w:sz w:val="20"/>
          <w:szCs w:val="20"/>
          <w:lang w:eastAsia="en-AU"/>
        </w:rPr>
        <w:t>Adaz</w:t>
      </w:r>
      <w:proofErr w:type="spellEnd"/>
      <w:r w:rsidR="00DE3F8C" w:rsidRPr="00CD277A">
        <w:rPr>
          <w:rFonts w:ascii="Arial" w:hAnsi="Arial" w:cs="Arial"/>
          <w:i/>
          <w:iCs/>
          <w:color w:val="000000"/>
          <w:sz w:val="20"/>
          <w:szCs w:val="20"/>
          <w:lang w:eastAsia="en-AU"/>
        </w:rPr>
        <w:t xml:space="preserve"> Nominees Pty Ltd v </w:t>
      </w:r>
      <w:proofErr w:type="spellStart"/>
      <w:r w:rsidR="00DE3F8C" w:rsidRPr="00CD277A">
        <w:rPr>
          <w:rFonts w:ascii="Arial" w:hAnsi="Arial" w:cs="Arial"/>
          <w:i/>
          <w:iCs/>
          <w:color w:val="000000"/>
          <w:sz w:val="20"/>
          <w:szCs w:val="20"/>
          <w:lang w:eastAsia="en-AU"/>
        </w:rPr>
        <w:t>Castleway</w:t>
      </w:r>
      <w:proofErr w:type="spellEnd"/>
      <w:r w:rsidR="00DE3F8C" w:rsidRPr="00CD277A">
        <w:rPr>
          <w:rFonts w:ascii="Arial" w:hAnsi="Arial" w:cs="Arial"/>
          <w:i/>
          <w:iCs/>
          <w:color w:val="000000"/>
          <w:sz w:val="20"/>
          <w:szCs w:val="20"/>
          <w:lang w:eastAsia="en-AU"/>
        </w:rPr>
        <w:t xml:space="preserve"> Pty Ltd</w:t>
      </w:r>
      <w:r w:rsidR="00DE3F8C">
        <w:rPr>
          <w:rFonts w:ascii="Arial" w:hAnsi="Arial" w:cs="Arial"/>
          <w:color w:val="000000"/>
          <w:sz w:val="20"/>
          <w:szCs w:val="20"/>
          <w:lang w:eastAsia="en-AU"/>
        </w:rPr>
        <w:t xml:space="preserve"> [2022] VSC 600; </w:t>
      </w:r>
      <w:r w:rsidR="00DE3F8C" w:rsidRPr="00115F89">
        <w:rPr>
          <w:rFonts w:ascii="Arial" w:hAnsi="Arial" w:cs="Arial"/>
          <w:i/>
          <w:iCs/>
          <w:color w:val="000000"/>
          <w:sz w:val="20"/>
          <w:szCs w:val="20"/>
          <w:lang w:eastAsia="en-AU"/>
        </w:rPr>
        <w:t xml:space="preserve">VLSB v </w:t>
      </w:r>
      <w:proofErr w:type="spellStart"/>
      <w:r w:rsidR="00DE3F8C" w:rsidRPr="00115F89">
        <w:rPr>
          <w:rFonts w:ascii="Arial" w:hAnsi="Arial" w:cs="Arial"/>
          <w:i/>
          <w:iCs/>
          <w:color w:val="000000"/>
          <w:sz w:val="20"/>
          <w:szCs w:val="20"/>
          <w:lang w:eastAsia="en-AU"/>
        </w:rPr>
        <w:t>Kuksal</w:t>
      </w:r>
      <w:proofErr w:type="spellEnd"/>
      <w:r w:rsidR="00DE3F8C" w:rsidRPr="00115F89">
        <w:rPr>
          <w:rFonts w:ascii="Arial" w:hAnsi="Arial" w:cs="Arial"/>
          <w:i/>
          <w:iCs/>
          <w:color w:val="000000"/>
          <w:sz w:val="20"/>
          <w:szCs w:val="20"/>
          <w:lang w:eastAsia="en-AU"/>
        </w:rPr>
        <w:t xml:space="preserve"> &amp; </w:t>
      </w:r>
      <w:proofErr w:type="spellStart"/>
      <w:r w:rsidR="00DE3F8C" w:rsidRPr="00115F89">
        <w:rPr>
          <w:rFonts w:ascii="Arial" w:hAnsi="Arial" w:cs="Arial"/>
          <w:i/>
          <w:iCs/>
          <w:color w:val="000000"/>
          <w:sz w:val="20"/>
          <w:szCs w:val="20"/>
          <w:lang w:eastAsia="en-AU"/>
        </w:rPr>
        <w:t>Ors</w:t>
      </w:r>
      <w:proofErr w:type="spellEnd"/>
      <w:r w:rsidR="00DE3F8C" w:rsidRPr="00115F89">
        <w:rPr>
          <w:rFonts w:ascii="Arial" w:hAnsi="Arial" w:cs="Arial"/>
          <w:i/>
          <w:iCs/>
          <w:color w:val="000000"/>
          <w:sz w:val="20"/>
          <w:szCs w:val="20"/>
          <w:lang w:eastAsia="en-AU"/>
        </w:rPr>
        <w:t xml:space="preserve"> (Recusal Applications)</w:t>
      </w:r>
      <w:r w:rsidR="00DE3F8C">
        <w:rPr>
          <w:rFonts w:ascii="Arial" w:hAnsi="Arial" w:cs="Arial"/>
          <w:color w:val="000000"/>
          <w:sz w:val="20"/>
          <w:szCs w:val="20"/>
          <w:lang w:eastAsia="en-AU"/>
        </w:rPr>
        <w:t xml:space="preserve"> [2022] VSC 648</w:t>
      </w:r>
      <w:r w:rsidR="006A5C83">
        <w:rPr>
          <w:rFonts w:ascii="Arial" w:hAnsi="Arial" w:cs="Arial"/>
          <w:color w:val="000000"/>
          <w:sz w:val="20"/>
          <w:szCs w:val="20"/>
          <w:lang w:eastAsia="en-AU"/>
        </w:rPr>
        <w:t xml:space="preserve">; </w:t>
      </w:r>
      <w:r w:rsidR="001D5A40" w:rsidRPr="001D5A40">
        <w:rPr>
          <w:rFonts w:ascii="Arial" w:hAnsi="Arial" w:cs="Arial"/>
          <w:i/>
          <w:iCs/>
          <w:color w:val="000000"/>
          <w:sz w:val="20"/>
          <w:szCs w:val="20"/>
        </w:rPr>
        <w:t xml:space="preserve">Bolitho &amp; Anor v Banksia Securities Limited &amp; </w:t>
      </w:r>
      <w:proofErr w:type="spellStart"/>
      <w:r w:rsidR="001D5A40" w:rsidRPr="001D5A40">
        <w:rPr>
          <w:rFonts w:ascii="Arial" w:hAnsi="Arial" w:cs="Arial"/>
          <w:i/>
          <w:iCs/>
          <w:color w:val="000000"/>
          <w:sz w:val="20"/>
          <w:szCs w:val="20"/>
        </w:rPr>
        <w:t>Ors</w:t>
      </w:r>
      <w:proofErr w:type="spellEnd"/>
      <w:r w:rsidR="001D5A40" w:rsidRPr="001D5A40">
        <w:rPr>
          <w:rFonts w:ascii="Arial" w:hAnsi="Arial" w:cs="Arial"/>
          <w:i/>
          <w:iCs/>
          <w:color w:val="000000"/>
          <w:sz w:val="20"/>
          <w:szCs w:val="20"/>
        </w:rPr>
        <w:t xml:space="preserve"> (No 19)</w:t>
      </w:r>
      <w:r w:rsidR="001D5A40">
        <w:rPr>
          <w:rFonts w:ascii="Arial" w:hAnsi="Arial" w:cs="Arial"/>
          <w:color w:val="000000"/>
          <w:sz w:val="20"/>
          <w:szCs w:val="20"/>
        </w:rPr>
        <w:t xml:space="preserve"> [2022] VSC 761</w:t>
      </w:r>
      <w:r w:rsidR="0036113A">
        <w:rPr>
          <w:rFonts w:ascii="Arial" w:hAnsi="Arial" w:cs="Arial"/>
          <w:color w:val="000000"/>
          <w:sz w:val="20"/>
          <w:szCs w:val="20"/>
        </w:rPr>
        <w:t xml:space="preserve">; </w:t>
      </w:r>
      <w:proofErr w:type="spellStart"/>
      <w:r w:rsidR="0036113A" w:rsidRPr="007060B5">
        <w:rPr>
          <w:rFonts w:ascii="Arial" w:hAnsi="Arial" w:cs="Arial"/>
          <w:i/>
          <w:iCs/>
          <w:color w:val="000000"/>
          <w:sz w:val="20"/>
          <w:szCs w:val="20"/>
        </w:rPr>
        <w:t>Xerri</w:t>
      </w:r>
      <w:proofErr w:type="spellEnd"/>
      <w:r w:rsidR="0036113A" w:rsidRPr="007060B5">
        <w:rPr>
          <w:rFonts w:ascii="Arial" w:hAnsi="Arial" w:cs="Arial"/>
          <w:i/>
          <w:iCs/>
          <w:color w:val="000000"/>
          <w:sz w:val="20"/>
          <w:szCs w:val="20"/>
        </w:rPr>
        <w:t xml:space="preserve"> v The King</w:t>
      </w:r>
      <w:r w:rsidR="0036113A">
        <w:rPr>
          <w:rFonts w:ascii="Arial" w:hAnsi="Arial" w:cs="Arial"/>
          <w:color w:val="000000"/>
          <w:sz w:val="20"/>
          <w:szCs w:val="20"/>
        </w:rPr>
        <w:t xml:space="preserve"> [2023] VSCA 15 at [108]-[125]</w:t>
      </w:r>
      <w:r w:rsidR="0023201F">
        <w:rPr>
          <w:rFonts w:ascii="Arial" w:hAnsi="Arial" w:cs="Arial"/>
          <w:color w:val="000000"/>
          <w:sz w:val="20"/>
          <w:szCs w:val="20"/>
        </w:rPr>
        <w:t xml:space="preserve">; </w:t>
      </w:r>
      <w:r w:rsidR="0023201F" w:rsidRPr="0023201F">
        <w:rPr>
          <w:rFonts w:ascii="Arial" w:hAnsi="Arial" w:cs="Arial"/>
          <w:i/>
          <w:iCs/>
          <w:sz w:val="20"/>
          <w:szCs w:val="20"/>
        </w:rPr>
        <w:t>QYFM v Minister for Immigration, Citizenship, Migrant Services and Multicultural Affairs</w:t>
      </w:r>
      <w:r w:rsidR="0023201F" w:rsidRPr="0023201F">
        <w:rPr>
          <w:rFonts w:ascii="Arial" w:hAnsi="Arial" w:cs="Arial"/>
          <w:sz w:val="20"/>
          <w:szCs w:val="20"/>
        </w:rPr>
        <w:t xml:space="preserve"> [2023] HCA 15</w:t>
      </w:r>
      <w:r w:rsidR="0023201F">
        <w:rPr>
          <w:rFonts w:ascii="Arial" w:hAnsi="Arial" w:cs="Arial"/>
          <w:sz w:val="20"/>
          <w:szCs w:val="20"/>
        </w:rPr>
        <w:t>, esp. at [36]-[58], [67]-[85], [153</w:t>
      </w:r>
      <w:r w:rsidR="00076DBA">
        <w:rPr>
          <w:rFonts w:ascii="Arial" w:hAnsi="Arial" w:cs="Arial"/>
          <w:sz w:val="20"/>
          <w:szCs w:val="20"/>
        </w:rPr>
        <w:t>]-[175],[189] &amp; [273]</w:t>
      </w:r>
      <w:r w:rsidR="00076DBA">
        <w:rPr>
          <w:rFonts w:ascii="Arial" w:hAnsi="Arial" w:cs="Arial"/>
          <w:sz w:val="20"/>
          <w:szCs w:val="20"/>
        </w:rPr>
        <w:noBreakHyphen/>
        <w:t>[302]</w:t>
      </w:r>
      <w:r w:rsidR="00BD6C77">
        <w:rPr>
          <w:rFonts w:ascii="Arial" w:hAnsi="Arial" w:cs="Arial"/>
          <w:sz w:val="20"/>
          <w:szCs w:val="20"/>
        </w:rPr>
        <w:t xml:space="preserve">; </w:t>
      </w:r>
      <w:r w:rsidR="00BD6C77" w:rsidRPr="00BD6C77">
        <w:rPr>
          <w:rFonts w:ascii="Arial" w:hAnsi="Arial" w:cs="Arial"/>
          <w:i/>
          <w:iCs/>
          <w:sz w:val="20"/>
          <w:szCs w:val="20"/>
        </w:rPr>
        <w:t>Keene v The King</w:t>
      </w:r>
      <w:r w:rsidR="00BD6C77">
        <w:rPr>
          <w:rFonts w:ascii="Arial" w:hAnsi="Arial" w:cs="Arial"/>
          <w:sz w:val="20"/>
          <w:szCs w:val="20"/>
        </w:rPr>
        <w:t xml:space="preserve"> [2023] VSCA 142 at [21]-[40]</w:t>
      </w:r>
      <w:r w:rsidR="00F42529">
        <w:rPr>
          <w:rFonts w:ascii="Arial" w:hAnsi="Arial" w:cs="Arial"/>
          <w:sz w:val="20"/>
          <w:szCs w:val="20"/>
        </w:rPr>
        <w:t xml:space="preserve">; </w:t>
      </w:r>
      <w:r w:rsidR="00F42529" w:rsidRPr="006461A4">
        <w:rPr>
          <w:rFonts w:ascii="Arial" w:hAnsi="Arial" w:cs="Arial"/>
          <w:i/>
          <w:iCs/>
          <w:sz w:val="20"/>
        </w:rPr>
        <w:t>Ramsay Alec (a pseudonym) v The King</w:t>
      </w:r>
      <w:r w:rsidR="00F42529">
        <w:rPr>
          <w:rFonts w:ascii="Arial" w:hAnsi="Arial" w:cs="Arial"/>
          <w:sz w:val="20"/>
        </w:rPr>
        <w:t xml:space="preserve"> [2023] VSCA 208, esp. at [28]-[35] {see summary in </w:t>
      </w:r>
      <w:r w:rsidR="00F42529" w:rsidRPr="00A975E6">
        <w:rPr>
          <w:rFonts w:ascii="Arial" w:hAnsi="Arial" w:cs="Arial"/>
          <w:b/>
          <w:bCs/>
          <w:sz w:val="20"/>
          <w:shd w:val="clear" w:color="auto" w:fill="C5E0B3" w:themeFill="accent6" w:themeFillTint="66"/>
        </w:rPr>
        <w:t>Part 2.7</w:t>
      </w:r>
      <w:r w:rsidR="00F42529">
        <w:rPr>
          <w:rFonts w:ascii="Arial" w:hAnsi="Arial" w:cs="Arial"/>
          <w:sz w:val="20"/>
        </w:rPr>
        <w:t>}</w:t>
      </w:r>
      <w:r w:rsidR="004A41B9">
        <w:rPr>
          <w:rFonts w:ascii="Arial" w:hAnsi="Arial" w:cs="Arial"/>
          <w:sz w:val="20"/>
        </w:rPr>
        <w:t xml:space="preserve">; </w:t>
      </w:r>
      <w:bookmarkStart w:id="110" w:name="_Hlk152333029"/>
      <w:r w:rsidR="004A41B9">
        <w:rPr>
          <w:rFonts w:ascii="Arial" w:hAnsi="Arial" w:cs="Arial"/>
          <w:i/>
          <w:iCs/>
          <w:sz w:val="20"/>
        </w:rPr>
        <w:t>DPP</w:t>
      </w:r>
      <w:r w:rsidR="004A41B9" w:rsidRPr="006461A4">
        <w:rPr>
          <w:rFonts w:ascii="Arial" w:hAnsi="Arial" w:cs="Arial"/>
          <w:i/>
          <w:iCs/>
          <w:sz w:val="20"/>
        </w:rPr>
        <w:t xml:space="preserve"> v </w:t>
      </w:r>
      <w:r w:rsidR="004A41B9">
        <w:rPr>
          <w:rFonts w:ascii="Arial" w:hAnsi="Arial" w:cs="Arial"/>
          <w:i/>
          <w:iCs/>
          <w:sz w:val="20"/>
        </w:rPr>
        <w:t>Smith</w:t>
      </w:r>
      <w:r w:rsidR="004A41B9">
        <w:rPr>
          <w:rFonts w:ascii="Arial" w:hAnsi="Arial" w:cs="Arial"/>
          <w:sz w:val="20"/>
        </w:rPr>
        <w:t xml:space="preserve"> [2023] VSCA 293</w:t>
      </w:r>
      <w:bookmarkEnd w:id="110"/>
      <w:r w:rsidR="004A41B9">
        <w:rPr>
          <w:rFonts w:ascii="Arial" w:hAnsi="Arial" w:cs="Arial"/>
          <w:sz w:val="20"/>
        </w:rPr>
        <w:t xml:space="preserve">, esp. at [4]-[7], [10], [32]-[34] &amp; [56] {also summarised in </w:t>
      </w:r>
      <w:r w:rsidR="004A41B9" w:rsidRPr="00B43A11">
        <w:rPr>
          <w:rFonts w:ascii="Arial" w:hAnsi="Arial" w:cs="Arial"/>
          <w:b/>
          <w:bCs/>
          <w:sz w:val="20"/>
          <w:shd w:val="clear" w:color="auto" w:fill="C5E0B3" w:themeFill="accent6" w:themeFillTint="66"/>
        </w:rPr>
        <w:t>Part 2.7</w:t>
      </w:r>
      <w:r w:rsidR="004A41B9">
        <w:rPr>
          <w:rFonts w:ascii="Arial" w:hAnsi="Arial" w:cs="Arial"/>
          <w:sz w:val="20"/>
        </w:rPr>
        <w:t>}</w:t>
      </w:r>
      <w:r w:rsidR="004225E0">
        <w:rPr>
          <w:rFonts w:ascii="Arial" w:hAnsi="Arial" w:cs="Arial"/>
          <w:sz w:val="20"/>
        </w:rPr>
        <w:t xml:space="preserve">; </w:t>
      </w:r>
      <w:proofErr w:type="spellStart"/>
      <w:r w:rsidR="004225E0" w:rsidRPr="004225E0">
        <w:rPr>
          <w:rFonts w:ascii="Arial" w:hAnsi="Arial" w:cs="Arial"/>
          <w:i/>
          <w:iCs/>
          <w:sz w:val="20"/>
        </w:rPr>
        <w:t>Kuksal</w:t>
      </w:r>
      <w:proofErr w:type="spellEnd"/>
      <w:r w:rsidR="004225E0" w:rsidRPr="004225E0">
        <w:rPr>
          <w:rFonts w:ascii="Arial" w:hAnsi="Arial" w:cs="Arial"/>
          <w:i/>
          <w:iCs/>
          <w:sz w:val="20"/>
        </w:rPr>
        <w:t xml:space="preserve"> v Victorian Legal Services Board (Recusal Application)</w:t>
      </w:r>
      <w:r w:rsidR="004225E0">
        <w:rPr>
          <w:rFonts w:ascii="Arial" w:hAnsi="Arial" w:cs="Arial"/>
          <w:sz w:val="20"/>
        </w:rPr>
        <w:t xml:space="preserve"> [2023] VSC 722 and the earlier </w:t>
      </w:r>
      <w:proofErr w:type="spellStart"/>
      <w:r w:rsidR="004225E0" w:rsidRPr="004225E0">
        <w:rPr>
          <w:rFonts w:ascii="Arial" w:hAnsi="Arial" w:cs="Arial"/>
          <w:i/>
          <w:iCs/>
          <w:sz w:val="20"/>
        </w:rPr>
        <w:t>Kuksal</w:t>
      </w:r>
      <w:proofErr w:type="spellEnd"/>
      <w:r w:rsidR="004225E0">
        <w:rPr>
          <w:rFonts w:ascii="Arial" w:hAnsi="Arial" w:cs="Arial"/>
          <w:sz w:val="20"/>
        </w:rPr>
        <w:t xml:space="preserve"> cases cited therein</w:t>
      </w:r>
      <w:r w:rsidR="0026450D">
        <w:rPr>
          <w:rFonts w:ascii="Arial" w:hAnsi="Arial" w:cs="Arial"/>
          <w:sz w:val="20"/>
        </w:rPr>
        <w:t xml:space="preserve">; </w:t>
      </w:r>
      <w:r w:rsidR="0026450D" w:rsidRPr="001301E8">
        <w:rPr>
          <w:rFonts w:ascii="Arial" w:hAnsi="Arial" w:cs="Arial"/>
          <w:i/>
          <w:iCs/>
          <w:sz w:val="20"/>
          <w:szCs w:val="20"/>
        </w:rPr>
        <w:t>Sant</w:t>
      </w:r>
      <w:r w:rsidR="0026450D" w:rsidRPr="0026450D">
        <w:rPr>
          <w:rFonts w:ascii="Arial" w:hAnsi="Arial" w:cs="Arial"/>
          <w:i/>
          <w:iCs/>
          <w:sz w:val="20"/>
        </w:rPr>
        <w:t>os (a pseudonym) v The King</w:t>
      </w:r>
      <w:r w:rsidR="0026450D">
        <w:rPr>
          <w:rFonts w:ascii="Arial" w:hAnsi="Arial" w:cs="Arial"/>
          <w:sz w:val="20"/>
        </w:rPr>
        <w:t xml:space="preserve"> [2023] VSCA 320</w:t>
      </w:r>
      <w:r w:rsidR="002C288E">
        <w:rPr>
          <w:rFonts w:ascii="Arial" w:hAnsi="Arial" w:cs="Arial"/>
          <w:sz w:val="20"/>
        </w:rPr>
        <w:t xml:space="preserve">; </w:t>
      </w:r>
      <w:r w:rsidR="002C288E" w:rsidRPr="008766F1">
        <w:rPr>
          <w:rFonts w:ascii="Arial" w:hAnsi="Arial" w:cs="Arial"/>
          <w:i/>
          <w:iCs/>
          <w:color w:val="000000"/>
          <w:sz w:val="20"/>
          <w:szCs w:val="20"/>
        </w:rPr>
        <w:t>Gibson (a pseudonym) v The King</w:t>
      </w:r>
      <w:r w:rsidR="002C288E">
        <w:rPr>
          <w:rFonts w:ascii="Arial" w:hAnsi="Arial" w:cs="Arial"/>
          <w:color w:val="000000"/>
          <w:sz w:val="20"/>
          <w:szCs w:val="20"/>
        </w:rPr>
        <w:t xml:space="preserve"> [2024] VSCA 33 at [53]</w:t>
      </w:r>
      <w:r w:rsidR="002C288E">
        <w:rPr>
          <w:rFonts w:ascii="Arial" w:hAnsi="Arial" w:cs="Arial"/>
          <w:color w:val="000000"/>
          <w:sz w:val="20"/>
          <w:szCs w:val="20"/>
        </w:rPr>
        <w:noBreakHyphen/>
        <w:t>[55] {re “entering the fray”}</w:t>
      </w:r>
      <w:r w:rsidR="002C288E" w:rsidRPr="0066245E">
        <w:rPr>
          <w:rFonts w:ascii="Arial" w:hAnsi="Arial" w:cs="Arial"/>
          <w:sz w:val="20"/>
          <w:szCs w:val="20"/>
        </w:rPr>
        <w:t>.</w:t>
      </w:r>
    </w:p>
    <w:p w14:paraId="79F91A34" w14:textId="77777777" w:rsidR="007417A5" w:rsidRDefault="007417A5" w:rsidP="007417A5">
      <w:pPr>
        <w:jc w:val="both"/>
        <w:rPr>
          <w:rFonts w:ascii="Arial" w:hAnsi="Arial" w:cs="Arial"/>
          <w:sz w:val="20"/>
        </w:rPr>
      </w:pPr>
      <w:bookmarkStart w:id="111" w:name="B32"/>
      <w:bookmarkStart w:id="112" w:name="_3.2_Judicial_Independence"/>
      <w:bookmarkStart w:id="113" w:name="_Toc30608805"/>
      <w:bookmarkStart w:id="114" w:name="_Toc30610019"/>
      <w:bookmarkStart w:id="115" w:name="_Toc30610263"/>
      <w:bookmarkStart w:id="116" w:name="_Toc30638417"/>
      <w:bookmarkStart w:id="117" w:name="_Toc30644226"/>
      <w:bookmarkStart w:id="118" w:name="_Toc30644629"/>
      <w:bookmarkStart w:id="119" w:name="_Toc30645179"/>
      <w:bookmarkStart w:id="120" w:name="_Toc30646390"/>
      <w:bookmarkStart w:id="121" w:name="_Toc30646685"/>
      <w:bookmarkStart w:id="122" w:name="_Toc30646796"/>
      <w:bookmarkStart w:id="123" w:name="_Toc30648153"/>
      <w:bookmarkStart w:id="124" w:name="_Toc30649051"/>
      <w:bookmarkStart w:id="125" w:name="_Toc30649127"/>
      <w:bookmarkStart w:id="126" w:name="_Toc30649388"/>
      <w:bookmarkStart w:id="127" w:name="_Toc30649708"/>
      <w:bookmarkStart w:id="128" w:name="_Toc30651642"/>
      <w:bookmarkStart w:id="129" w:name="_Toc30652626"/>
      <w:bookmarkStart w:id="130" w:name="_Toc30652724"/>
      <w:bookmarkStart w:id="131" w:name="_Toc30654069"/>
      <w:bookmarkStart w:id="132" w:name="_Toc30654420"/>
      <w:bookmarkStart w:id="133" w:name="_Toc30655039"/>
      <w:bookmarkStart w:id="134" w:name="_Toc30655296"/>
      <w:bookmarkStart w:id="135" w:name="_Toc30656974"/>
      <w:bookmarkStart w:id="136" w:name="_Toc30661723"/>
      <w:bookmarkStart w:id="137" w:name="_Toc30666411"/>
      <w:bookmarkStart w:id="138" w:name="_Toc30666641"/>
      <w:bookmarkStart w:id="139" w:name="_Toc30667816"/>
      <w:bookmarkStart w:id="140" w:name="_Toc30669194"/>
      <w:bookmarkStart w:id="141" w:name="_Toc30671410"/>
      <w:bookmarkStart w:id="142" w:name="_Toc30673937"/>
      <w:bookmarkStart w:id="143" w:name="_Toc30691159"/>
      <w:bookmarkStart w:id="144" w:name="_Toc30691530"/>
      <w:bookmarkStart w:id="145" w:name="_Toc30691910"/>
      <w:bookmarkStart w:id="146" w:name="_Toc30692669"/>
      <w:bookmarkStart w:id="147" w:name="_Toc30693048"/>
      <w:bookmarkStart w:id="148" w:name="_Toc30693426"/>
      <w:bookmarkStart w:id="149" w:name="_Toc30693805"/>
      <w:bookmarkStart w:id="150" w:name="_Toc30694186"/>
      <w:bookmarkStart w:id="151" w:name="_Toc30698775"/>
      <w:bookmarkStart w:id="152" w:name="_Toc30699153"/>
      <w:bookmarkStart w:id="153" w:name="_Toc30699538"/>
      <w:bookmarkStart w:id="154" w:name="_Toc30700693"/>
      <w:bookmarkStart w:id="155" w:name="_Toc30701080"/>
      <w:bookmarkStart w:id="156" w:name="_Toc30743689"/>
      <w:bookmarkStart w:id="157" w:name="_Toc30754511"/>
      <w:bookmarkStart w:id="158" w:name="_Toc30756951"/>
      <w:bookmarkStart w:id="159" w:name="_Toc30757500"/>
      <w:bookmarkStart w:id="160" w:name="_Toc30757900"/>
      <w:bookmarkStart w:id="161" w:name="_Toc30762661"/>
      <w:bookmarkStart w:id="162" w:name="_Toc30767315"/>
      <w:bookmarkStart w:id="163" w:name="_Toc34823331"/>
      <w:bookmarkEnd w:id="111"/>
      <w:bookmarkEnd w:id="112"/>
    </w:p>
    <w:p w14:paraId="646F445C" w14:textId="77777777" w:rsidR="007417A5" w:rsidRPr="00BD3BA0" w:rsidRDefault="007417A5" w:rsidP="007417A5">
      <w:pPr>
        <w:jc w:val="center"/>
        <w:rPr>
          <w:rFonts w:ascii="Arial" w:hAnsi="Arial" w:cs="Arial"/>
          <w:b/>
          <w:bCs/>
          <w:sz w:val="22"/>
          <w:szCs w:val="28"/>
        </w:rPr>
      </w:pPr>
      <w:r w:rsidRPr="00BD3BA0">
        <w:rPr>
          <w:rFonts w:ascii="Arial" w:hAnsi="Arial" w:cs="Arial"/>
          <w:b/>
          <w:bCs/>
          <w:sz w:val="22"/>
          <w:szCs w:val="28"/>
        </w:rPr>
        <w:t>THE REST OF THIS PAGE IS BLANK</w:t>
      </w:r>
    </w:p>
    <w:p w14:paraId="1B9E66D9" w14:textId="77777777" w:rsidR="007417A5" w:rsidRDefault="007417A5" w:rsidP="007417A5">
      <w:pPr>
        <w:rPr>
          <w:rFonts w:ascii="Arial" w:hAnsi="Arial" w:cs="Arial"/>
          <w:sz w:val="20"/>
        </w:rPr>
      </w:pPr>
    </w:p>
    <w:p w14:paraId="1C9DC02D" w14:textId="77777777" w:rsidR="007F6791" w:rsidRDefault="007F6791">
      <w:pPr>
        <w:rPr>
          <w:rFonts w:ascii="Arial" w:hAnsi="Arial" w:cs="Arial"/>
          <w:b/>
          <w:bCs/>
          <w:kern w:val="28"/>
          <w:szCs w:val="20"/>
          <w:lang w:val="en-GB"/>
        </w:rPr>
      </w:pPr>
      <w:r>
        <w:rPr>
          <w:rFonts w:ascii="Arial" w:hAnsi="Arial" w:cs="Arial"/>
          <w:b/>
          <w:bCs/>
        </w:rPr>
        <w:br w:type="page"/>
      </w:r>
    </w:p>
    <w:p w14:paraId="637B38F1" w14:textId="30CBFC60" w:rsidR="00B21DA4" w:rsidRPr="00036D92" w:rsidRDefault="00B21DA4" w:rsidP="00036D92">
      <w:pPr>
        <w:pStyle w:val="Heading2"/>
        <w:keepNext/>
        <w:keepLines/>
        <w:widowControl/>
        <w:rPr>
          <w:rFonts w:ascii="Arial" w:hAnsi="Arial" w:cs="Arial"/>
          <w:b/>
          <w:bCs/>
        </w:rPr>
      </w:pPr>
      <w:r w:rsidRPr="00036D92">
        <w:rPr>
          <w:rFonts w:ascii="Arial" w:hAnsi="Arial" w:cs="Arial"/>
          <w:b/>
          <w:bCs/>
        </w:rPr>
        <w:lastRenderedPageBreak/>
        <w:t>3.2</w:t>
      </w:r>
      <w:r w:rsidRPr="00036D92">
        <w:rPr>
          <w:rFonts w:ascii="Arial" w:hAnsi="Arial" w:cs="Arial"/>
          <w:b/>
          <w:bCs/>
        </w:rPr>
        <w:tab/>
        <w:t>Judicial Independence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64" w:name="_3.3_Judicial_Powers"/>
      <w:bookmarkStart w:id="165" w:name="_3.3_Children’s_Court"/>
      <w:bookmarkStart w:id="166" w:name="B33"/>
      <w:bookmarkStart w:id="167" w:name="_Toc30608806"/>
      <w:bookmarkStart w:id="168" w:name="_Toc30610020"/>
      <w:bookmarkStart w:id="169" w:name="_Toc30610264"/>
      <w:bookmarkStart w:id="170" w:name="_Toc30638418"/>
      <w:bookmarkStart w:id="171" w:name="_Toc30644227"/>
      <w:bookmarkStart w:id="172" w:name="_Toc30644630"/>
      <w:bookmarkStart w:id="173" w:name="_Toc30645180"/>
      <w:bookmarkStart w:id="174" w:name="_Toc30646391"/>
      <w:bookmarkStart w:id="175" w:name="_Toc30646686"/>
      <w:bookmarkStart w:id="176" w:name="_Toc30646797"/>
      <w:bookmarkStart w:id="177" w:name="_Toc30648154"/>
      <w:bookmarkStart w:id="178" w:name="_Toc30649052"/>
      <w:bookmarkStart w:id="179" w:name="_Toc30649128"/>
      <w:bookmarkStart w:id="180" w:name="_Toc30649389"/>
      <w:bookmarkStart w:id="181" w:name="_Toc30649709"/>
      <w:bookmarkStart w:id="182" w:name="_Toc30651643"/>
      <w:bookmarkStart w:id="183" w:name="_Toc30652627"/>
      <w:bookmarkStart w:id="184" w:name="_Toc30652725"/>
      <w:bookmarkStart w:id="185" w:name="_Toc30654070"/>
      <w:bookmarkStart w:id="186" w:name="_Toc30654421"/>
      <w:bookmarkStart w:id="187" w:name="_Toc30655040"/>
      <w:bookmarkStart w:id="188" w:name="_Toc30655297"/>
      <w:bookmarkStart w:id="189" w:name="_Toc30656975"/>
      <w:bookmarkStart w:id="190" w:name="_Toc30661724"/>
      <w:bookmarkStart w:id="191" w:name="_Toc30666412"/>
      <w:bookmarkStart w:id="192" w:name="_Toc30666642"/>
      <w:bookmarkStart w:id="193" w:name="_Toc30667817"/>
      <w:bookmarkStart w:id="194" w:name="_Toc30669195"/>
      <w:bookmarkStart w:id="195" w:name="_Toc30671411"/>
      <w:bookmarkStart w:id="196" w:name="_Toc30673938"/>
      <w:bookmarkStart w:id="197" w:name="_Toc30691160"/>
      <w:bookmarkStart w:id="198" w:name="_Toc30691531"/>
      <w:bookmarkStart w:id="199" w:name="_Toc30691911"/>
      <w:bookmarkStart w:id="200" w:name="_Toc30692670"/>
      <w:bookmarkStart w:id="201" w:name="_Toc30693049"/>
      <w:bookmarkStart w:id="202" w:name="_Toc30693427"/>
      <w:bookmarkStart w:id="203" w:name="_Toc30693806"/>
      <w:bookmarkStart w:id="204" w:name="_Toc30694187"/>
      <w:bookmarkStart w:id="205" w:name="_Toc30698776"/>
      <w:bookmarkStart w:id="206" w:name="_Toc30699154"/>
      <w:bookmarkStart w:id="207" w:name="_Toc30699539"/>
      <w:bookmarkStart w:id="208" w:name="_Toc30700694"/>
      <w:bookmarkStart w:id="209" w:name="_Toc30701081"/>
      <w:bookmarkStart w:id="210" w:name="_Toc30743690"/>
      <w:bookmarkStart w:id="211" w:name="_Toc30754512"/>
      <w:bookmarkStart w:id="212" w:name="_Toc30756952"/>
      <w:bookmarkStart w:id="213" w:name="_Toc30757501"/>
      <w:bookmarkStart w:id="214" w:name="_Toc30757901"/>
      <w:bookmarkStart w:id="215" w:name="_Toc30762662"/>
      <w:bookmarkStart w:id="216" w:name="_Toc30767316"/>
      <w:bookmarkStart w:id="217" w:name="_Toc34823332"/>
      <w:bookmarkEnd w:id="164"/>
      <w:bookmarkEnd w:id="165"/>
      <w:bookmarkEnd w:id="166"/>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18" w:name="_3.3.1_Powers_conferred"/>
      <w:bookmarkStart w:id="219" w:name="B331"/>
      <w:bookmarkEnd w:id="218"/>
      <w:bookmarkEnd w:id="219"/>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3ECB8ACC"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w:t>
      </w:r>
      <w:r w:rsidR="00B43A11">
        <w:rPr>
          <w:rFonts w:ascii="Arial" w:hAnsi="Arial" w:cs="Arial"/>
          <w:sz w:val="20"/>
        </w:rPr>
        <w:t>–</w:t>
      </w:r>
      <w:r>
        <w:rPr>
          <w:rFonts w:ascii="Arial" w:hAnsi="Arial" w:cs="Arial"/>
          <w:sz w:val="20"/>
        </w:rPr>
        <w:t xml:space="preserve"> Civil</w:t>
      </w:r>
      <w:r w:rsidR="00B43A11">
        <w:rPr>
          <w:rFonts w:ascii="Arial" w:hAnsi="Arial" w:cs="Arial"/>
          <w:sz w:val="20"/>
        </w:rPr>
        <w:t xml:space="preserve"> </w:t>
      </w:r>
      <w:r>
        <w:rPr>
          <w:rFonts w:ascii="Arial" w:hAnsi="Arial" w:cs="Arial"/>
          <w:sz w:val="20"/>
        </w:rPr>
        <w:t>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79B5FDD8" w:rsidR="005A369B" w:rsidRPr="008C6C91" w:rsidRDefault="00FE09C0" w:rsidP="00CA133B">
      <w:pPr>
        <w:ind w:left="11"/>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 xml:space="preserve">Victorian Legal Services Board v </w:t>
      </w:r>
      <w:proofErr w:type="spellStart"/>
      <w:r w:rsidR="005A369B" w:rsidRPr="008C6C91">
        <w:rPr>
          <w:rFonts w:ascii="Arial" w:hAnsi="Arial" w:cs="Arial"/>
          <w:i/>
          <w:iCs/>
          <w:sz w:val="20"/>
          <w:szCs w:val="20"/>
        </w:rPr>
        <w:t>Thexton</w:t>
      </w:r>
      <w:proofErr w:type="spellEnd"/>
      <w:r w:rsidR="005A369B" w:rsidRPr="008C6C91">
        <w:rPr>
          <w:rFonts w:ascii="Arial" w:hAnsi="Arial" w:cs="Arial"/>
          <w:i/>
          <w:iCs/>
          <w:sz w:val="20"/>
          <w:szCs w:val="20"/>
        </w:rPr>
        <w:t xml:space="preserve">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863699">
        <w:rPr>
          <w:rFonts w:ascii="Arial" w:hAnsi="Arial" w:cs="Arial"/>
          <w:sz w:val="20"/>
          <w:szCs w:val="20"/>
        </w:rPr>
        <w:t xml:space="preserve">; </w:t>
      </w:r>
      <w:bookmarkStart w:id="220" w:name="_Hlk109379124"/>
      <w:r w:rsidR="00863699" w:rsidRPr="00664E8F">
        <w:rPr>
          <w:rFonts w:ascii="Arial" w:hAnsi="Arial" w:cs="Arial"/>
          <w:i/>
          <w:iCs/>
          <w:sz w:val="20"/>
          <w:szCs w:val="20"/>
        </w:rPr>
        <w:t>Zhang v Shi (No 6)</w:t>
      </w:r>
      <w:r w:rsidR="00863699" w:rsidRPr="00664E8F">
        <w:rPr>
          <w:rFonts w:ascii="Arial" w:hAnsi="Arial" w:cs="Arial"/>
          <w:sz w:val="20"/>
          <w:szCs w:val="20"/>
        </w:rPr>
        <w:t xml:space="preserve"> [2022] VSC 271</w:t>
      </w:r>
      <w:r w:rsidR="004D5488">
        <w:rPr>
          <w:rFonts w:ascii="Arial" w:hAnsi="Arial" w:cs="Arial"/>
          <w:sz w:val="20"/>
          <w:szCs w:val="20"/>
        </w:rPr>
        <w:t xml:space="preserve">; </w:t>
      </w:r>
      <w:r w:rsidR="004D5488" w:rsidRPr="00291ABA">
        <w:rPr>
          <w:rFonts w:ascii="Arial" w:hAnsi="Arial" w:cs="Arial"/>
          <w:i/>
          <w:iCs/>
          <w:sz w:val="20"/>
        </w:rPr>
        <w:t>Victorian Legal Services Board v Jensen</w:t>
      </w:r>
      <w:r w:rsidR="004D5488">
        <w:rPr>
          <w:rFonts w:ascii="Arial" w:hAnsi="Arial" w:cs="Arial"/>
          <w:sz w:val="20"/>
        </w:rPr>
        <w:t xml:space="preserve"> [2022] VSC 603</w:t>
      </w:r>
      <w:bookmarkEnd w:id="220"/>
      <w:r w:rsidR="00D4771C">
        <w:rPr>
          <w:rFonts w:ascii="Arial" w:hAnsi="Arial" w:cs="Arial"/>
          <w:sz w:val="20"/>
          <w:szCs w:val="20"/>
        </w:rPr>
        <w:t xml:space="preserve">; </w:t>
      </w:r>
      <w:r w:rsidR="00CA133B" w:rsidRPr="00291ABA">
        <w:rPr>
          <w:rFonts w:ascii="Arial" w:hAnsi="Arial" w:cs="Arial"/>
          <w:i/>
          <w:iCs/>
          <w:sz w:val="20"/>
        </w:rPr>
        <w:t xml:space="preserve">Victorian Legal Services Board v </w:t>
      </w:r>
      <w:r w:rsidR="00CA133B">
        <w:rPr>
          <w:rFonts w:ascii="Arial" w:hAnsi="Arial" w:cs="Arial"/>
          <w:i/>
          <w:iCs/>
          <w:sz w:val="20"/>
        </w:rPr>
        <w:t xml:space="preserve">Bowers-Taylor </w:t>
      </w:r>
      <w:r w:rsidR="00CA133B" w:rsidRPr="00CA133B">
        <w:rPr>
          <w:rFonts w:ascii="Arial" w:hAnsi="Arial" w:cs="Arial"/>
          <w:sz w:val="20"/>
        </w:rPr>
        <w:t>[2023] VSC 519;</w:t>
      </w:r>
      <w:r w:rsidR="00CA133B">
        <w:rPr>
          <w:rFonts w:ascii="Arial" w:hAnsi="Arial" w:cs="Arial"/>
          <w:i/>
          <w:iCs/>
          <w:sz w:val="20"/>
        </w:rPr>
        <w:t xml:space="preserve"> </w:t>
      </w:r>
      <w:r w:rsidR="00D4771C" w:rsidRPr="00D4771C">
        <w:rPr>
          <w:rFonts w:ascii="Arial" w:hAnsi="Arial" w:cs="Arial"/>
          <w:i/>
          <w:iCs/>
          <w:sz w:val="20"/>
          <w:szCs w:val="20"/>
        </w:rPr>
        <w:t>Fahey v Bird (No 2)</w:t>
      </w:r>
      <w:r w:rsidR="00D4771C">
        <w:rPr>
          <w:rFonts w:ascii="Arial" w:hAnsi="Arial" w:cs="Arial"/>
          <w:sz w:val="20"/>
          <w:szCs w:val="20"/>
        </w:rPr>
        <w:t xml:space="preserve"> [2023] VSC 540.</w:t>
      </w:r>
    </w:p>
    <w:p w14:paraId="3DC56DC7" w14:textId="0E935505" w:rsidR="005A00C5" w:rsidRDefault="005A00C5" w:rsidP="00CA133B">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21" w:name="_3.3.2_Powers_conferred_1"/>
      <w:bookmarkStart w:id="222" w:name="B332"/>
      <w:bookmarkEnd w:id="221"/>
      <w:bookmarkEnd w:id="222"/>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pPr>
        <w:numPr>
          <w:ilvl w:val="0"/>
          <w:numId w:val="51"/>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pPr>
        <w:numPr>
          <w:ilvl w:val="0"/>
          <w:numId w:val="51"/>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pPr>
        <w:numPr>
          <w:ilvl w:val="0"/>
          <w:numId w:val="52"/>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pPr>
        <w:numPr>
          <w:ilvl w:val="0"/>
          <w:numId w:val="52"/>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Because the jurisdiction of the Children’s Court under the VPA is so expressly and restrictively defined, the writer is of the view that the Children’s Court probably cannot rely on s.528(1) of the CYFA to ‘piggy-</w:t>
      </w:r>
      <w:r w:rsidRPr="00963A3D">
        <w:rPr>
          <w:rFonts w:ascii="Arial" w:hAnsi="Arial" w:cs="Arial"/>
          <w:sz w:val="20"/>
          <w:szCs w:val="20"/>
        </w:rPr>
        <w:lastRenderedPageBreak/>
        <w:t xml:space="preserve">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Sections 19, 36, 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pPr>
        <w:numPr>
          <w:ilvl w:val="0"/>
          <w:numId w:val="53"/>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46C69CAE" w:rsidR="005A00C5" w:rsidRPr="00963A3D" w:rsidRDefault="00963A3D" w:rsidP="00963A3D">
      <w:pPr>
        <w:jc w:val="both"/>
        <w:rPr>
          <w:rFonts w:ascii="Arial" w:hAnsi="Arial" w:cs="Arial"/>
          <w:color w:val="000000"/>
          <w:sz w:val="20"/>
        </w:rPr>
      </w:pPr>
      <w:r w:rsidRPr="00963A3D">
        <w:rPr>
          <w:rFonts w:ascii="Arial" w:hAnsi="Arial" w:cs="Arial"/>
          <w:color w:val="000000"/>
          <w:sz w:val="20"/>
        </w:rPr>
        <w:t xml:space="preserve">For details of these four types of orders, see </w:t>
      </w:r>
      <w:r w:rsidR="004B696B">
        <w:rPr>
          <w:rFonts w:ascii="Arial" w:hAnsi="Arial" w:cs="Arial"/>
          <w:b/>
          <w:bCs/>
          <w:color w:val="000000"/>
          <w:sz w:val="20"/>
          <w:shd w:val="clear" w:color="auto" w:fill="C5E0B3" w:themeFill="accent6" w:themeFillTint="66"/>
        </w:rPr>
        <w:t>Part</w:t>
      </w:r>
      <w:r w:rsidRPr="00A975E6">
        <w:rPr>
          <w:rFonts w:ascii="Arial" w:hAnsi="Arial" w:cs="Arial"/>
          <w:b/>
          <w:bCs/>
          <w:color w:val="000000"/>
          <w:sz w:val="20"/>
          <w:shd w:val="clear" w:color="auto" w:fill="C5E0B3" w:themeFill="accent6" w:themeFillTint="66"/>
        </w:rPr>
        <w:t xml:space="preserve"> 6.15</w:t>
      </w:r>
      <w:r w:rsidR="00A975E6">
        <w:rPr>
          <w:rFonts w:ascii="Arial" w:hAnsi="Arial" w:cs="Arial"/>
          <w:color w:val="000000"/>
          <w:sz w:val="20"/>
        </w:rPr>
        <w:t xml:space="preserve"> of these Research Materials.</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23" w:name="_3.3.2_Powers_conferred"/>
      <w:bookmarkStart w:id="224" w:name="B333"/>
      <w:bookmarkEnd w:id="223"/>
      <w:bookmarkEnd w:id="224"/>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2A163C">
      <w:pPr>
        <w:spacing w:before="60"/>
        <w:ind w:left="454" w:right="454"/>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1C6FB3A2" w14:textId="77777777" w:rsidR="002A163C" w:rsidRPr="007B7A14" w:rsidRDefault="002D7CD8" w:rsidP="002A163C">
      <w:pPr>
        <w:spacing w:before="60"/>
        <w:ind w:left="454" w:right="454"/>
        <w:jc w:val="both"/>
        <w:rPr>
          <w:rFonts w:ascii="Arial" w:hAnsi="Arial" w:cs="Arial"/>
          <w:b/>
          <w:bCs/>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2A163C">
      <w:pPr>
        <w:spacing w:before="80"/>
        <w:ind w:left="454" w:right="454"/>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2A163C">
      <w:pPr>
        <w:spacing w:before="80"/>
        <w:ind w:left="454" w:right="454"/>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Pr="002A163C" w:rsidRDefault="00D15730" w:rsidP="002A163C">
      <w:pPr>
        <w:spacing w:before="80"/>
        <w:ind w:left="907" w:right="907"/>
        <w:jc w:val="both"/>
        <w:rPr>
          <w:rFonts w:ascii="Arial" w:hAnsi="Arial" w:cs="Arial"/>
          <w:sz w:val="18"/>
          <w:szCs w:val="18"/>
        </w:rPr>
      </w:pPr>
      <w:r w:rsidRPr="002A163C">
        <w:rPr>
          <w:rFonts w:ascii="Arial" w:hAnsi="Arial" w:cs="Arial"/>
          <w:sz w:val="18"/>
          <w:szCs w:val="18"/>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sidRPr="002A163C">
        <w:rPr>
          <w:rFonts w:ascii="Arial" w:hAnsi="Arial" w:cs="Arial"/>
          <w:sz w:val="18"/>
          <w:szCs w:val="18"/>
        </w:rPr>
        <w:t>eg</w:t>
      </w:r>
      <w:proofErr w:type="spellEnd"/>
      <w:r w:rsidRPr="002A163C">
        <w:rPr>
          <w:rFonts w:ascii="Arial" w:hAnsi="Arial" w:cs="Arial"/>
          <w:sz w:val="18"/>
          <w:szCs w:val="18"/>
        </w:rPr>
        <w:t xml:space="preserve"> </w:t>
      </w:r>
      <w:r w:rsidRPr="002A163C">
        <w:rPr>
          <w:rFonts w:ascii="Arial" w:hAnsi="Arial" w:cs="Arial"/>
          <w:i/>
          <w:sz w:val="18"/>
          <w:szCs w:val="18"/>
        </w:rPr>
        <w:t>Sali v SPC Ltd</w:t>
      </w:r>
      <w:r w:rsidRPr="002A163C">
        <w:rPr>
          <w:rFonts w:ascii="Arial" w:hAnsi="Arial" w:cs="Arial"/>
          <w:sz w:val="18"/>
          <w:szCs w:val="18"/>
        </w:rPr>
        <w:t xml:space="preserve"> (1993) 67 ALJR </w:t>
      </w:r>
      <w:r w:rsidRPr="002A163C">
        <w:rPr>
          <w:rFonts w:ascii="Arial" w:hAnsi="Arial" w:cs="Arial"/>
          <w:sz w:val="18"/>
          <w:szCs w:val="18"/>
        </w:rPr>
        <w:lastRenderedPageBreak/>
        <w:t xml:space="preserve">841 at 848-849; </w:t>
      </w:r>
      <w:r w:rsidRPr="002A163C">
        <w:rPr>
          <w:rFonts w:ascii="Arial" w:hAnsi="Arial" w:cs="Arial"/>
          <w:i/>
          <w:sz w:val="18"/>
          <w:szCs w:val="18"/>
        </w:rPr>
        <w:t>Sydney City Council v Ke-Su Investments Pty Ltd</w:t>
      </w:r>
      <w:r w:rsidRPr="002A163C">
        <w:rPr>
          <w:rFonts w:ascii="Arial" w:hAnsi="Arial" w:cs="Arial"/>
          <w:sz w:val="18"/>
          <w:szCs w:val="18"/>
        </w:rPr>
        <w:t xml:space="preserve"> (1985) 1 NSWLR 246 at 250; </w:t>
      </w:r>
      <w:proofErr w:type="spellStart"/>
      <w:r w:rsidRPr="002A163C">
        <w:rPr>
          <w:rFonts w:ascii="Arial" w:hAnsi="Arial" w:cs="Arial"/>
          <w:i/>
          <w:sz w:val="18"/>
          <w:szCs w:val="18"/>
        </w:rPr>
        <w:t>Adamopoulos</w:t>
      </w:r>
      <w:proofErr w:type="spellEnd"/>
      <w:r w:rsidRPr="002A163C">
        <w:rPr>
          <w:rFonts w:ascii="Arial" w:hAnsi="Arial" w:cs="Arial"/>
          <w:sz w:val="18"/>
          <w:szCs w:val="18"/>
        </w:rPr>
        <w:t xml:space="preserve"> (at 77); </w:t>
      </w:r>
      <w:r w:rsidRPr="002A163C">
        <w:rPr>
          <w:rFonts w:ascii="Arial" w:hAnsi="Arial" w:cs="Arial"/>
          <w:i/>
          <w:sz w:val="18"/>
          <w:szCs w:val="18"/>
        </w:rPr>
        <w:t>GSA Industries Pty Ltd v NT Gas Ltd</w:t>
      </w:r>
      <w:r w:rsidRPr="002A163C">
        <w:rPr>
          <w:rFonts w:ascii="Arial" w:hAnsi="Arial" w:cs="Arial"/>
          <w:sz w:val="18"/>
          <w:szCs w:val="18"/>
        </w:rPr>
        <w:t xml:space="preserve"> (1990) 24 NSWLR 710 at 712.</w:t>
      </w:r>
    </w:p>
    <w:p w14:paraId="54E3F994" w14:textId="77777777" w:rsidR="00D15730" w:rsidRPr="002A163C" w:rsidRDefault="00D15730" w:rsidP="002A163C">
      <w:pPr>
        <w:spacing w:before="80"/>
        <w:ind w:left="907" w:right="907"/>
        <w:jc w:val="both"/>
        <w:rPr>
          <w:rFonts w:ascii="Arial" w:hAnsi="Arial" w:cs="Arial"/>
          <w:sz w:val="18"/>
          <w:szCs w:val="22"/>
        </w:rPr>
      </w:pPr>
      <w:r w:rsidRPr="002A163C">
        <w:rPr>
          <w:rFonts w:ascii="Arial" w:hAnsi="Arial" w:cs="Arial"/>
          <w:sz w:val="18"/>
          <w:szCs w:val="22"/>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2A163C">
      <w:pPr>
        <w:spacing w:before="80"/>
        <w:ind w:left="454" w:right="454"/>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141F2643" w14:textId="77777777" w:rsidR="00CB431B" w:rsidRDefault="00D15730" w:rsidP="00CB431B">
      <w:pPr>
        <w:spacing w:before="80"/>
        <w:ind w:left="454" w:right="454"/>
        <w:jc w:val="both"/>
        <w:rPr>
          <w:rFonts w:ascii="Arial" w:hAnsi="Arial" w:cs="Arial"/>
          <w:sz w:val="20"/>
        </w:rPr>
      </w:pPr>
      <w:r>
        <w:rPr>
          <w:rFonts w:ascii="Arial" w:hAnsi="Arial" w:cs="Arial"/>
          <w:sz w:val="20"/>
        </w:rPr>
        <w:t>[17] At p.249 Meagher JA said:</w:t>
      </w:r>
    </w:p>
    <w:p w14:paraId="366199B4" w14:textId="77777777" w:rsidR="00D15730" w:rsidRPr="00CB431B" w:rsidRDefault="00D15730" w:rsidP="00CB431B">
      <w:pPr>
        <w:spacing w:before="80"/>
        <w:ind w:left="907" w:right="907"/>
        <w:jc w:val="both"/>
        <w:rPr>
          <w:rFonts w:ascii="Arial" w:hAnsi="Arial" w:cs="Arial"/>
          <w:sz w:val="18"/>
          <w:szCs w:val="22"/>
        </w:rPr>
      </w:pPr>
      <w:r w:rsidRPr="00CB431B">
        <w:rPr>
          <w:rFonts w:ascii="Arial" w:hAnsi="Arial" w:cs="Arial"/>
          <w:sz w:val="18"/>
          <w:szCs w:val="22"/>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CB431B">
      <w:pPr>
        <w:spacing w:before="80"/>
        <w:ind w:left="454" w:right="454"/>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23341E1" w:rsidR="006B6A68" w:rsidRDefault="006B6A68" w:rsidP="00D15730">
      <w:pPr>
        <w:rPr>
          <w:rFonts w:ascii="Arial" w:hAnsi="Arial" w:cs="Arial"/>
          <w:sz w:val="20"/>
        </w:rPr>
      </w:pPr>
    </w:p>
    <w:p w14:paraId="337343C8" w14:textId="4ED0A9B5" w:rsidR="00CD4D83" w:rsidRDefault="00CD4D83" w:rsidP="00867E29">
      <w:pPr>
        <w:jc w:val="both"/>
        <w:rPr>
          <w:rFonts w:ascii="Arial" w:hAnsi="Arial" w:cs="Arial"/>
          <w:sz w:val="20"/>
        </w:rPr>
      </w:pPr>
      <w:r>
        <w:rPr>
          <w:rFonts w:ascii="Arial" w:hAnsi="Arial" w:cs="Arial"/>
          <w:sz w:val="20"/>
        </w:rPr>
        <w:t xml:space="preserve">A broadly similar circumstance – although a vastly different fact situation – arose in </w:t>
      </w:r>
      <w:r w:rsidR="00867E29" w:rsidRPr="00867E29">
        <w:rPr>
          <w:rFonts w:ascii="Arial" w:hAnsi="Arial" w:cs="Arial"/>
          <w:i/>
          <w:iCs/>
          <w:sz w:val="20"/>
        </w:rPr>
        <w:t>5 Boroughs NY Pty Ltd v State of Victoria (No 3)</w:t>
      </w:r>
      <w:r w:rsidR="00867E29">
        <w:rPr>
          <w:rFonts w:ascii="Arial" w:hAnsi="Arial" w:cs="Arial"/>
          <w:sz w:val="20"/>
        </w:rPr>
        <w:t xml:space="preserve"> [2023] VSC 22.  This was an application by the defendant State of Victoria to stay a group proceeding brought against the State and </w:t>
      </w:r>
      <w:r w:rsidR="00ED1F22">
        <w:rPr>
          <w:rFonts w:ascii="Arial" w:hAnsi="Arial" w:cs="Arial"/>
          <w:sz w:val="20"/>
        </w:rPr>
        <w:t>four</w:t>
      </w:r>
      <w:r w:rsidR="00867E29">
        <w:rPr>
          <w:rFonts w:ascii="Arial" w:hAnsi="Arial" w:cs="Arial"/>
          <w:sz w:val="20"/>
        </w:rPr>
        <w:t xml:space="preserve"> senior government officials claiming economic loss consequent on the allegedly negligent exercise of emergency powers under s.200 of the </w:t>
      </w:r>
      <w:r w:rsidR="00867E29" w:rsidRPr="00867E29">
        <w:rPr>
          <w:rFonts w:ascii="Arial" w:hAnsi="Arial" w:cs="Arial"/>
          <w:i/>
          <w:iCs/>
          <w:sz w:val="20"/>
          <w:szCs w:val="20"/>
        </w:rPr>
        <w:t>Public Health and Wellbeing Act 2008 (Vic)</w:t>
      </w:r>
      <w:r w:rsidR="00867E29">
        <w:rPr>
          <w:rFonts w:ascii="Arial" w:hAnsi="Arial" w:cs="Arial"/>
          <w:sz w:val="20"/>
          <w:szCs w:val="20"/>
        </w:rPr>
        <w:t xml:space="preserve"> in implementing a hotel quarantine program during the COVID-19 pandemic.  Criminal proceedings had been laid for breach of the </w:t>
      </w:r>
      <w:r w:rsidR="00867E29" w:rsidRPr="00867E29">
        <w:rPr>
          <w:rFonts w:ascii="Arial" w:hAnsi="Arial" w:cs="Arial"/>
          <w:i/>
          <w:iCs/>
          <w:sz w:val="20"/>
          <w:szCs w:val="20"/>
        </w:rPr>
        <w:t>Occupational Health and Safety Act 2004 (Vic)</w:t>
      </w:r>
      <w:r w:rsidR="00867E29">
        <w:rPr>
          <w:rFonts w:ascii="Arial" w:hAnsi="Arial" w:cs="Arial"/>
          <w:sz w:val="20"/>
          <w:szCs w:val="20"/>
        </w:rPr>
        <w:t xml:space="preserve"> against the relevant State Department of Health </w:t>
      </w:r>
      <w:r w:rsidR="00CE78AD">
        <w:rPr>
          <w:rFonts w:ascii="Arial" w:hAnsi="Arial" w:cs="Arial"/>
          <w:sz w:val="20"/>
          <w:szCs w:val="20"/>
        </w:rPr>
        <w:t xml:space="preserve">[DHHS] </w:t>
      </w:r>
      <w:r w:rsidR="00867E29">
        <w:rPr>
          <w:rFonts w:ascii="Arial" w:hAnsi="Arial" w:cs="Arial"/>
          <w:sz w:val="20"/>
          <w:szCs w:val="20"/>
        </w:rPr>
        <w:t xml:space="preserve">based in part on the same conduct.  </w:t>
      </w:r>
      <w:r w:rsidR="003208BC">
        <w:rPr>
          <w:rFonts w:ascii="Arial" w:hAnsi="Arial" w:cs="Arial"/>
          <w:sz w:val="20"/>
          <w:szCs w:val="20"/>
        </w:rPr>
        <w:t xml:space="preserve">There was a substantial overlap in issues between the civil and criminal proceedings.  </w:t>
      </w:r>
      <w:r w:rsidR="00947A14" w:rsidRPr="00947A14">
        <w:rPr>
          <w:rFonts w:ascii="Arial" w:hAnsi="Arial" w:cs="Arial"/>
          <w:sz w:val="20"/>
          <w:szCs w:val="20"/>
        </w:rPr>
        <w:t>The plaintiff accepted that</w:t>
      </w:r>
      <w:r w:rsidR="00CE78AD">
        <w:rPr>
          <w:rFonts w:ascii="Arial" w:hAnsi="Arial" w:cs="Arial"/>
          <w:sz w:val="20"/>
          <w:szCs w:val="20"/>
        </w:rPr>
        <w:t>, as things presently stood,</w:t>
      </w:r>
      <w:r w:rsidR="00947A14">
        <w:rPr>
          <w:rFonts w:ascii="Arial" w:hAnsi="Arial" w:cs="Arial"/>
          <w:sz w:val="20"/>
          <w:szCs w:val="20"/>
        </w:rPr>
        <w:t xml:space="preserve"> </w:t>
      </w:r>
      <w:r w:rsidR="00947A14" w:rsidRPr="00947A14">
        <w:rPr>
          <w:rFonts w:ascii="Arial" w:hAnsi="Arial" w:cs="Arial"/>
          <w:sz w:val="20"/>
          <w:szCs w:val="20"/>
        </w:rPr>
        <w:t>the prosecution of DHHS must precede the trial of the civil action</w:t>
      </w:r>
      <w:r w:rsidR="00D405C3">
        <w:rPr>
          <w:rFonts w:ascii="Arial" w:hAnsi="Arial" w:cs="Arial"/>
          <w:sz w:val="20"/>
          <w:szCs w:val="20"/>
        </w:rPr>
        <w:t xml:space="preserve"> but opposed the granting of a stay of the group proceeding</w:t>
      </w:r>
      <w:r w:rsidR="00947A14" w:rsidRPr="00947A14">
        <w:rPr>
          <w:rFonts w:ascii="Arial" w:hAnsi="Arial" w:cs="Arial"/>
          <w:sz w:val="20"/>
          <w:szCs w:val="20"/>
        </w:rPr>
        <w:t xml:space="preserve">. </w:t>
      </w:r>
      <w:r w:rsidR="003208BC">
        <w:rPr>
          <w:rFonts w:ascii="Arial" w:hAnsi="Arial" w:cs="Arial"/>
          <w:sz w:val="20"/>
          <w:szCs w:val="20"/>
        </w:rPr>
        <w:t>In</w:t>
      </w:r>
      <w:r w:rsidR="00CE78AD">
        <w:rPr>
          <w:rFonts w:ascii="Arial" w:hAnsi="Arial" w:cs="Arial"/>
          <w:sz w:val="20"/>
          <w:szCs w:val="20"/>
        </w:rPr>
        <w:t> </w:t>
      </w:r>
      <w:r w:rsidR="003208BC">
        <w:rPr>
          <w:rFonts w:ascii="Arial" w:hAnsi="Arial" w:cs="Arial"/>
          <w:sz w:val="20"/>
          <w:szCs w:val="20"/>
        </w:rPr>
        <w:t>refusing the defendant’s application for a stay, John Dixon J said at [3]</w:t>
      </w:r>
      <w:r w:rsidR="00604632">
        <w:rPr>
          <w:rFonts w:ascii="Arial" w:hAnsi="Arial" w:cs="Arial"/>
          <w:sz w:val="20"/>
          <w:szCs w:val="20"/>
        </w:rPr>
        <w:t>, [18]-[22]</w:t>
      </w:r>
      <w:r w:rsidR="00CE78AD">
        <w:rPr>
          <w:rFonts w:ascii="Arial" w:hAnsi="Arial" w:cs="Arial"/>
          <w:sz w:val="20"/>
          <w:szCs w:val="20"/>
        </w:rPr>
        <w:t>, [41]-[43]</w:t>
      </w:r>
      <w:r w:rsidR="00604632">
        <w:rPr>
          <w:rFonts w:ascii="Arial" w:hAnsi="Arial" w:cs="Arial"/>
          <w:sz w:val="20"/>
          <w:szCs w:val="20"/>
        </w:rPr>
        <w:t xml:space="preserve"> &amp; [78]</w:t>
      </w:r>
      <w:r w:rsidR="003208BC">
        <w:rPr>
          <w:rFonts w:ascii="Arial" w:hAnsi="Arial" w:cs="Arial"/>
          <w:sz w:val="20"/>
          <w:szCs w:val="20"/>
        </w:rPr>
        <w:t>:</w:t>
      </w:r>
    </w:p>
    <w:p w14:paraId="1DDAC074" w14:textId="271B13B6" w:rsidR="003208BC" w:rsidRDefault="00604632" w:rsidP="009462F3">
      <w:pPr>
        <w:spacing w:before="60"/>
        <w:ind w:left="454" w:right="454"/>
        <w:jc w:val="both"/>
        <w:rPr>
          <w:rFonts w:ascii="Arial" w:hAnsi="Arial" w:cs="Arial"/>
          <w:sz w:val="20"/>
        </w:rPr>
      </w:pPr>
      <w:r>
        <w:rPr>
          <w:rFonts w:ascii="Arial" w:hAnsi="Arial" w:cs="Arial"/>
          <w:sz w:val="20"/>
        </w:rPr>
        <w:t xml:space="preserve">[3] </w:t>
      </w:r>
      <w:r w:rsidR="003208BC">
        <w:rPr>
          <w:rFonts w:ascii="Arial" w:hAnsi="Arial" w:cs="Arial"/>
          <w:sz w:val="20"/>
        </w:rPr>
        <w:t>“</w:t>
      </w:r>
      <w:r w:rsidR="003208BC" w:rsidRPr="003208BC">
        <w:rPr>
          <w:rFonts w:ascii="Arial" w:hAnsi="Arial" w:cs="Arial"/>
          <w:sz w:val="20"/>
          <w:szCs w:val="20"/>
        </w:rPr>
        <w:t>I am not satisfied that it is in the interests of justice to grant the State’s application to stay the group proceeding. Interlocutory steps may progress the group proceeding without prejudice to the State’s right not to assist the prosecution in proof of its case, to the extent such a right exists. The proceeding is subject to close case management and appropriate directions can be given or protective orders made as found necessary to balance the competing concerns in respect of each proposed step in the group proceeding.</w:t>
      </w:r>
      <w:r w:rsidR="003208BC">
        <w:rPr>
          <w:rFonts w:ascii="Arial" w:hAnsi="Arial" w:cs="Arial"/>
          <w:sz w:val="20"/>
          <w:szCs w:val="20"/>
        </w:rPr>
        <w:t>”</w:t>
      </w:r>
    </w:p>
    <w:p w14:paraId="50F031E0" w14:textId="4985BF4A" w:rsidR="00CD4D83" w:rsidRDefault="00604632" w:rsidP="009462F3">
      <w:pPr>
        <w:spacing w:before="60"/>
        <w:ind w:left="454" w:right="454"/>
        <w:jc w:val="both"/>
        <w:rPr>
          <w:rFonts w:ascii="Arial" w:hAnsi="Arial" w:cs="Arial"/>
          <w:sz w:val="20"/>
        </w:rPr>
      </w:pPr>
      <w:r>
        <w:rPr>
          <w:rFonts w:ascii="Arial" w:hAnsi="Arial" w:cs="Arial"/>
          <w:sz w:val="20"/>
        </w:rPr>
        <w:t>…</w:t>
      </w:r>
    </w:p>
    <w:p w14:paraId="74ED7D0B" w14:textId="3E8220FA" w:rsidR="003208BC" w:rsidRDefault="003208BC" w:rsidP="009462F3">
      <w:pPr>
        <w:spacing w:before="60"/>
        <w:ind w:left="454" w:right="454"/>
        <w:jc w:val="both"/>
        <w:rPr>
          <w:rFonts w:ascii="Arial" w:hAnsi="Arial" w:cs="Arial"/>
          <w:sz w:val="20"/>
          <w:szCs w:val="20"/>
        </w:rPr>
      </w:pPr>
      <w:r>
        <w:rPr>
          <w:rFonts w:ascii="Arial" w:hAnsi="Arial" w:cs="Arial"/>
          <w:sz w:val="20"/>
        </w:rPr>
        <w:t xml:space="preserve">[18] </w:t>
      </w:r>
      <w:r w:rsidRPr="003208BC">
        <w:rPr>
          <w:rFonts w:ascii="Arial" w:hAnsi="Arial" w:cs="Arial"/>
          <w:sz w:val="20"/>
          <w:szCs w:val="20"/>
        </w:rPr>
        <w:t>There is no automatic right to the stay of the civil action when a related criminal case is on foot. The applicant must show a real risk of prejudice in the conduct of its defence in the criminal trial</w:t>
      </w:r>
      <w:r w:rsidR="00604632">
        <w:rPr>
          <w:rFonts w:ascii="Arial" w:hAnsi="Arial" w:cs="Arial"/>
          <w:sz w:val="20"/>
          <w:szCs w:val="20"/>
        </w:rPr>
        <w:t xml:space="preserve">: </w:t>
      </w:r>
      <w:r w:rsidR="00604632" w:rsidRPr="00604632">
        <w:rPr>
          <w:rFonts w:ascii="Arial" w:hAnsi="Arial" w:cs="Arial"/>
          <w:i/>
          <w:iCs/>
          <w:sz w:val="20"/>
          <w:szCs w:val="20"/>
        </w:rPr>
        <w:t>Commissioner of the Australia Federal Police v Zhao</w:t>
      </w:r>
      <w:r w:rsidR="00604632" w:rsidRPr="003208BC">
        <w:rPr>
          <w:rFonts w:ascii="Arial" w:hAnsi="Arial" w:cs="Arial"/>
          <w:sz w:val="20"/>
          <w:szCs w:val="20"/>
        </w:rPr>
        <w:t xml:space="preserve"> (2015) 255 CLR 46.</w:t>
      </w:r>
    </w:p>
    <w:p w14:paraId="51E8FDC4" w14:textId="5AC1786A" w:rsidR="00604632" w:rsidRDefault="00604632" w:rsidP="00604632">
      <w:pPr>
        <w:spacing w:before="60"/>
        <w:ind w:left="567" w:right="567"/>
        <w:jc w:val="both"/>
        <w:rPr>
          <w:rFonts w:ascii="Arial" w:hAnsi="Arial" w:cs="Arial"/>
          <w:sz w:val="20"/>
        </w:rPr>
      </w:pPr>
      <w:r>
        <w:rPr>
          <w:rFonts w:ascii="Arial" w:hAnsi="Arial" w:cs="Arial"/>
          <w:sz w:val="20"/>
          <w:szCs w:val="20"/>
        </w:rPr>
        <w:t xml:space="preserve">[19] </w:t>
      </w:r>
      <w:r w:rsidRPr="003208BC">
        <w:rPr>
          <w:rFonts w:ascii="Arial" w:hAnsi="Arial" w:cs="Arial"/>
          <w:sz w:val="20"/>
          <w:szCs w:val="20"/>
        </w:rPr>
        <w:t>The High Court has emphasised two central characteristics of the criminal process:</w:t>
      </w:r>
    </w:p>
    <w:p w14:paraId="69538CC8" w14:textId="5FE29D19" w:rsidR="00867E29" w:rsidRDefault="00604632" w:rsidP="00604632">
      <w:pPr>
        <w:ind w:left="1321" w:right="567" w:hanging="357"/>
        <w:jc w:val="both"/>
        <w:rPr>
          <w:rFonts w:ascii="Arial" w:hAnsi="Arial" w:cs="Arial"/>
          <w:sz w:val="20"/>
          <w:szCs w:val="20"/>
        </w:rPr>
      </w:pPr>
      <w:r>
        <w:rPr>
          <w:rFonts w:ascii="Arial" w:hAnsi="Arial" w:cs="Arial"/>
          <w:sz w:val="20"/>
        </w:rPr>
        <w:t>(a)</w:t>
      </w:r>
      <w:r>
        <w:rPr>
          <w:rFonts w:ascii="Arial" w:hAnsi="Arial" w:cs="Arial"/>
          <w:sz w:val="20"/>
        </w:rPr>
        <w:tab/>
      </w:r>
      <w:r w:rsidRPr="003208BC">
        <w:rPr>
          <w:rFonts w:ascii="Arial" w:hAnsi="Arial" w:cs="Arial"/>
          <w:sz w:val="20"/>
          <w:szCs w:val="20"/>
        </w:rPr>
        <w:t>The accusatory principle: the prosecution bears the burden of proving its case beyond reasonable doubt;</w:t>
      </w:r>
    </w:p>
    <w:p w14:paraId="0378B8F3" w14:textId="18EB354D" w:rsidR="00604632" w:rsidRDefault="00604632" w:rsidP="00604632">
      <w:pPr>
        <w:ind w:left="1321" w:right="567" w:hanging="357"/>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The companion principle: </w:t>
      </w:r>
      <w:r w:rsidRPr="003208BC">
        <w:rPr>
          <w:rFonts w:ascii="Arial" w:hAnsi="Arial" w:cs="Arial"/>
          <w:sz w:val="20"/>
          <w:szCs w:val="20"/>
        </w:rPr>
        <w:t>Absent a clear statutory power to the contrary, a person charged with a crime cannot be compelled to assist in the discharge of the prosecution’s onus of proof.</w:t>
      </w:r>
    </w:p>
    <w:p w14:paraId="13B1AB11" w14:textId="6280D503" w:rsidR="00604632" w:rsidRDefault="00604632" w:rsidP="00604632">
      <w:pPr>
        <w:ind w:left="964" w:right="567"/>
        <w:jc w:val="both"/>
        <w:rPr>
          <w:rFonts w:ascii="Arial" w:hAnsi="Arial" w:cs="Arial"/>
          <w:sz w:val="20"/>
        </w:rPr>
      </w:pPr>
      <w:r>
        <w:rPr>
          <w:rFonts w:ascii="Arial" w:hAnsi="Arial" w:cs="Arial"/>
          <w:sz w:val="20"/>
          <w:szCs w:val="20"/>
        </w:rPr>
        <w:t xml:space="preserve">See </w:t>
      </w:r>
      <w:r w:rsidRPr="00604632">
        <w:rPr>
          <w:rFonts w:ascii="Arial" w:hAnsi="Arial" w:cs="Arial"/>
          <w:i/>
          <w:iCs/>
          <w:sz w:val="20"/>
          <w:szCs w:val="20"/>
        </w:rPr>
        <w:t>X7 v Australian Crime Commission</w:t>
      </w:r>
      <w:r w:rsidRPr="003208BC">
        <w:rPr>
          <w:rFonts w:ascii="Arial" w:hAnsi="Arial" w:cs="Arial"/>
          <w:sz w:val="20"/>
          <w:szCs w:val="20"/>
        </w:rPr>
        <w:t xml:space="preserve"> (2013) 248 CLR 92; </w:t>
      </w:r>
      <w:r w:rsidRPr="00604632">
        <w:rPr>
          <w:rFonts w:ascii="Arial" w:hAnsi="Arial" w:cs="Arial"/>
          <w:i/>
          <w:iCs/>
          <w:sz w:val="20"/>
          <w:szCs w:val="20"/>
        </w:rPr>
        <w:t>Lee v NSW Crime Commission</w:t>
      </w:r>
      <w:r w:rsidRPr="003208BC">
        <w:rPr>
          <w:rFonts w:ascii="Arial" w:hAnsi="Arial" w:cs="Arial"/>
          <w:sz w:val="20"/>
          <w:szCs w:val="20"/>
        </w:rPr>
        <w:t xml:space="preserve"> (2013) 251 CLR 196; </w:t>
      </w:r>
      <w:r w:rsidRPr="00604632">
        <w:rPr>
          <w:rFonts w:ascii="Arial" w:hAnsi="Arial" w:cs="Arial"/>
          <w:i/>
          <w:iCs/>
          <w:sz w:val="20"/>
          <w:szCs w:val="20"/>
        </w:rPr>
        <w:t>Lee v The Queen</w:t>
      </w:r>
      <w:r w:rsidRPr="003208BC">
        <w:rPr>
          <w:rFonts w:ascii="Arial" w:hAnsi="Arial" w:cs="Arial"/>
          <w:sz w:val="20"/>
          <w:szCs w:val="20"/>
        </w:rPr>
        <w:t xml:space="preserve"> (2014) 253 CLR 455.</w:t>
      </w:r>
    </w:p>
    <w:p w14:paraId="4FA7A529" w14:textId="07F1BB1E" w:rsidR="00604632" w:rsidRDefault="00604632" w:rsidP="00604632">
      <w:pPr>
        <w:spacing w:before="60"/>
        <w:ind w:left="567" w:right="567"/>
        <w:jc w:val="both"/>
        <w:rPr>
          <w:rFonts w:ascii="Arial" w:hAnsi="Arial" w:cs="Arial"/>
          <w:sz w:val="20"/>
          <w:szCs w:val="20"/>
        </w:rPr>
      </w:pPr>
      <w:r>
        <w:rPr>
          <w:rFonts w:ascii="Arial" w:hAnsi="Arial" w:cs="Arial"/>
          <w:sz w:val="20"/>
        </w:rPr>
        <w:t xml:space="preserve">[20] </w:t>
      </w:r>
      <w:r w:rsidRPr="003208BC">
        <w:rPr>
          <w:rFonts w:ascii="Arial" w:hAnsi="Arial" w:cs="Arial"/>
          <w:sz w:val="20"/>
          <w:szCs w:val="20"/>
        </w:rPr>
        <w:t>While there is no privilege against self-incrimination for bodies corporate</w:t>
      </w:r>
      <w:r w:rsidR="00ED1F22">
        <w:rPr>
          <w:rFonts w:ascii="Arial" w:hAnsi="Arial" w:cs="Arial"/>
          <w:sz w:val="20"/>
          <w:szCs w:val="20"/>
        </w:rPr>
        <w:t xml:space="preserve"> [</w:t>
      </w:r>
      <w:r w:rsidR="00ED1F22" w:rsidRPr="00ED1F22">
        <w:rPr>
          <w:rFonts w:ascii="Arial" w:hAnsi="Arial" w:cs="Arial"/>
          <w:i/>
          <w:iCs/>
          <w:sz w:val="20"/>
          <w:szCs w:val="20"/>
        </w:rPr>
        <w:t>Evidence Act 2008 (Vic)</w:t>
      </w:r>
      <w:r w:rsidR="00ED1F22" w:rsidRPr="00ED1F22">
        <w:rPr>
          <w:rFonts w:ascii="Arial" w:hAnsi="Arial" w:cs="Arial"/>
          <w:sz w:val="20"/>
          <w:szCs w:val="20"/>
        </w:rPr>
        <w:t xml:space="preserve"> s 187</w:t>
      </w:r>
      <w:r w:rsidR="00ED1F22">
        <w:rPr>
          <w:rFonts w:ascii="Arial" w:hAnsi="Arial" w:cs="Arial"/>
          <w:sz w:val="20"/>
          <w:szCs w:val="20"/>
        </w:rPr>
        <w:t>]</w:t>
      </w:r>
      <w:r w:rsidRPr="003208BC">
        <w:rPr>
          <w:rFonts w:ascii="Arial" w:hAnsi="Arial" w:cs="Arial"/>
          <w:sz w:val="20"/>
          <w:szCs w:val="20"/>
        </w:rPr>
        <w:t>, the State contended that the companion principle extends beyond the privilege and has been held to apply to corporations</w:t>
      </w:r>
      <w:r>
        <w:rPr>
          <w:rFonts w:ascii="Arial" w:hAnsi="Arial" w:cs="Arial"/>
          <w:sz w:val="20"/>
          <w:szCs w:val="20"/>
        </w:rPr>
        <w:t xml:space="preserve">: </w:t>
      </w:r>
      <w:r w:rsidR="00ED1F22" w:rsidRPr="00ED1F22">
        <w:rPr>
          <w:rFonts w:ascii="Arial" w:hAnsi="Arial" w:cs="Arial"/>
          <w:i/>
          <w:iCs/>
          <w:sz w:val="20"/>
          <w:szCs w:val="20"/>
        </w:rPr>
        <w:t xml:space="preserve">NSW Food Authority v </w:t>
      </w:r>
      <w:proofErr w:type="spellStart"/>
      <w:r w:rsidR="00ED1F22" w:rsidRPr="00ED1F22">
        <w:rPr>
          <w:rFonts w:ascii="Arial" w:hAnsi="Arial" w:cs="Arial"/>
          <w:i/>
          <w:iCs/>
          <w:sz w:val="20"/>
          <w:szCs w:val="20"/>
        </w:rPr>
        <w:t>Nutricia</w:t>
      </w:r>
      <w:proofErr w:type="spellEnd"/>
      <w:r w:rsidR="00ED1F22" w:rsidRPr="00ED1F22">
        <w:rPr>
          <w:rFonts w:ascii="Arial" w:hAnsi="Arial" w:cs="Arial"/>
          <w:i/>
          <w:iCs/>
          <w:sz w:val="20"/>
          <w:szCs w:val="20"/>
        </w:rPr>
        <w:t xml:space="preserve"> Australia Pty Ltd</w:t>
      </w:r>
      <w:r w:rsidR="00ED1F22" w:rsidRPr="00ED1F22">
        <w:rPr>
          <w:rFonts w:ascii="Arial" w:hAnsi="Arial" w:cs="Arial"/>
          <w:sz w:val="20"/>
          <w:szCs w:val="20"/>
        </w:rPr>
        <w:t xml:space="preserve"> (2008) 72 NSWLR 456, 490 [155], referring to </w:t>
      </w:r>
      <w:r w:rsidR="00ED1F22" w:rsidRPr="00ED1F22">
        <w:rPr>
          <w:rFonts w:ascii="Arial" w:hAnsi="Arial" w:cs="Arial"/>
          <w:i/>
          <w:iCs/>
          <w:sz w:val="20"/>
          <w:szCs w:val="20"/>
        </w:rPr>
        <w:t>Environment Protection Authority v Caltex Refining Co Pty Ltd</w:t>
      </w:r>
      <w:r w:rsidR="00ED1F22" w:rsidRPr="00ED1F22">
        <w:rPr>
          <w:rFonts w:ascii="Arial" w:hAnsi="Arial" w:cs="Arial"/>
          <w:sz w:val="20"/>
          <w:szCs w:val="20"/>
        </w:rPr>
        <w:t xml:space="preserve"> (1993) 178 CLR 477.</w:t>
      </w:r>
    </w:p>
    <w:p w14:paraId="4B083460" w14:textId="00ED9FBE" w:rsidR="00604632" w:rsidRDefault="00604632" w:rsidP="00604632">
      <w:pPr>
        <w:spacing w:before="60"/>
        <w:ind w:left="567" w:right="567"/>
        <w:jc w:val="both"/>
        <w:rPr>
          <w:rFonts w:ascii="Arial" w:hAnsi="Arial" w:cs="Arial"/>
          <w:sz w:val="20"/>
          <w:szCs w:val="20"/>
        </w:rPr>
      </w:pPr>
      <w:r>
        <w:rPr>
          <w:rFonts w:ascii="Arial" w:hAnsi="Arial" w:cs="Arial"/>
          <w:sz w:val="20"/>
          <w:szCs w:val="20"/>
        </w:rPr>
        <w:t xml:space="preserve">[21] </w:t>
      </w:r>
      <w:r w:rsidRPr="003208BC">
        <w:rPr>
          <w:rFonts w:ascii="Arial" w:hAnsi="Arial" w:cs="Arial"/>
          <w:sz w:val="20"/>
          <w:szCs w:val="20"/>
        </w:rPr>
        <w:t>The companion principle extends to practical, not just legal, compulsion</w:t>
      </w:r>
      <w:r w:rsidR="00ED1F22">
        <w:rPr>
          <w:rFonts w:ascii="Arial" w:hAnsi="Arial" w:cs="Arial"/>
          <w:sz w:val="20"/>
          <w:szCs w:val="20"/>
        </w:rPr>
        <w:t xml:space="preserve">: </w:t>
      </w:r>
      <w:r w:rsidR="00ED1F22" w:rsidRPr="00ED1F22">
        <w:rPr>
          <w:rFonts w:ascii="Arial" w:hAnsi="Arial" w:cs="Arial"/>
          <w:i/>
          <w:iCs/>
          <w:sz w:val="20"/>
          <w:szCs w:val="20"/>
        </w:rPr>
        <w:t>Zhao</w:t>
      </w:r>
      <w:r w:rsidRPr="003208BC">
        <w:rPr>
          <w:rFonts w:ascii="Arial" w:hAnsi="Arial" w:cs="Arial"/>
          <w:sz w:val="20"/>
          <w:szCs w:val="20"/>
        </w:rPr>
        <w:t>. One of its fundamental aspects is the protection of forensic choices available to the defence</w:t>
      </w:r>
      <w:r w:rsidR="00ED1F22">
        <w:rPr>
          <w:rFonts w:ascii="Arial" w:hAnsi="Arial" w:cs="Arial"/>
          <w:sz w:val="20"/>
          <w:szCs w:val="20"/>
        </w:rPr>
        <w:t>:</w:t>
      </w:r>
      <w:r w:rsidRPr="003208BC">
        <w:rPr>
          <w:rFonts w:ascii="Arial" w:hAnsi="Arial" w:cs="Arial"/>
          <w:sz w:val="20"/>
          <w:szCs w:val="20"/>
        </w:rPr>
        <w:t xml:space="preserve"> ‘The asking of questions and compelling of answers inevitably interfere with the conduct of an accusatorial trial and embarrass the defence of the accused.’ </w:t>
      </w:r>
      <w:r w:rsidR="00947A14">
        <w:rPr>
          <w:rFonts w:ascii="Arial" w:hAnsi="Arial" w:cs="Arial"/>
          <w:sz w:val="20"/>
          <w:szCs w:val="20"/>
        </w:rPr>
        <w:t>[</w:t>
      </w:r>
      <w:r w:rsidR="00947A14" w:rsidRPr="00947A14">
        <w:rPr>
          <w:rFonts w:ascii="Arial" w:hAnsi="Arial" w:cs="Arial"/>
          <w:i/>
          <w:iCs/>
          <w:sz w:val="20"/>
          <w:szCs w:val="20"/>
        </w:rPr>
        <w:t>Lee v NSW Crime Commission</w:t>
      </w:r>
      <w:r w:rsidR="00947A14">
        <w:rPr>
          <w:rFonts w:ascii="Arial" w:hAnsi="Arial" w:cs="Arial"/>
          <w:sz w:val="20"/>
          <w:szCs w:val="20"/>
        </w:rPr>
        <w:t xml:space="preserve"> at [79]-[80].  </w:t>
      </w:r>
      <w:r w:rsidRPr="003208BC">
        <w:rPr>
          <w:rFonts w:ascii="Arial" w:hAnsi="Arial" w:cs="Arial"/>
          <w:sz w:val="20"/>
          <w:szCs w:val="20"/>
        </w:rPr>
        <w:t>It is well-recognised that civil proceedings may prejudice a criminal trial, requiring a stay of the civil proceedings</w:t>
      </w:r>
      <w:r w:rsidR="00ED1F22">
        <w:rPr>
          <w:rFonts w:ascii="Arial" w:hAnsi="Arial" w:cs="Arial"/>
          <w:sz w:val="20"/>
          <w:szCs w:val="20"/>
        </w:rPr>
        <w:t xml:space="preserve">: </w:t>
      </w:r>
      <w:r w:rsidR="00ED1F22" w:rsidRPr="00ED1F22">
        <w:rPr>
          <w:rFonts w:ascii="Arial" w:hAnsi="Arial" w:cs="Arial"/>
          <w:i/>
          <w:iCs/>
          <w:sz w:val="20"/>
          <w:szCs w:val="20"/>
        </w:rPr>
        <w:t>Zhao</w:t>
      </w:r>
      <w:r w:rsidR="00ED1F22">
        <w:rPr>
          <w:rFonts w:ascii="Arial" w:hAnsi="Arial" w:cs="Arial"/>
          <w:sz w:val="20"/>
          <w:szCs w:val="20"/>
        </w:rPr>
        <w:t xml:space="preserve"> at </w:t>
      </w:r>
      <w:r w:rsidR="00ED1F22" w:rsidRPr="00ED1F22">
        <w:rPr>
          <w:rFonts w:ascii="Arial" w:hAnsi="Arial" w:cs="Arial"/>
          <w:sz w:val="20"/>
          <w:szCs w:val="20"/>
        </w:rPr>
        <w:t xml:space="preserve">[47]; </w:t>
      </w:r>
      <w:r w:rsidR="00ED1F22" w:rsidRPr="00ED1F22">
        <w:rPr>
          <w:rFonts w:ascii="Arial" w:hAnsi="Arial" w:cs="Arial"/>
          <w:i/>
          <w:iCs/>
          <w:sz w:val="20"/>
          <w:szCs w:val="20"/>
        </w:rPr>
        <w:t>Lucciano v The Queen</w:t>
      </w:r>
      <w:r w:rsidR="00ED1F22" w:rsidRPr="00ED1F22">
        <w:rPr>
          <w:rFonts w:ascii="Arial" w:hAnsi="Arial" w:cs="Arial"/>
          <w:sz w:val="20"/>
          <w:szCs w:val="20"/>
        </w:rPr>
        <w:t xml:space="preserve"> (2021) 287 A Crim R 529</w:t>
      </w:r>
      <w:r w:rsidR="00ED1F22">
        <w:rPr>
          <w:rFonts w:ascii="Arial" w:hAnsi="Arial" w:cs="Arial"/>
          <w:sz w:val="20"/>
          <w:szCs w:val="20"/>
        </w:rPr>
        <w:t xml:space="preserve"> at</w:t>
      </w:r>
      <w:r w:rsidR="00ED1F22" w:rsidRPr="00ED1F22">
        <w:rPr>
          <w:rFonts w:ascii="Arial" w:hAnsi="Arial" w:cs="Arial"/>
          <w:sz w:val="20"/>
          <w:szCs w:val="20"/>
        </w:rPr>
        <w:t xml:space="preserve"> [24]; </w:t>
      </w:r>
      <w:r w:rsidR="00ED1F22" w:rsidRPr="00ED1F22">
        <w:rPr>
          <w:rFonts w:ascii="Arial" w:hAnsi="Arial" w:cs="Arial"/>
          <w:i/>
          <w:iCs/>
          <w:sz w:val="20"/>
          <w:szCs w:val="20"/>
        </w:rPr>
        <w:t>McLachlan v Browne (No 9)</w:t>
      </w:r>
      <w:r w:rsidR="00ED1F22" w:rsidRPr="00ED1F22">
        <w:rPr>
          <w:rFonts w:ascii="Arial" w:hAnsi="Arial" w:cs="Arial"/>
          <w:sz w:val="20"/>
          <w:szCs w:val="20"/>
        </w:rPr>
        <w:t xml:space="preserve"> [2019] NSWSC 10</w:t>
      </w:r>
      <w:r w:rsidR="00ED1F22">
        <w:rPr>
          <w:rFonts w:ascii="Arial" w:hAnsi="Arial" w:cs="Arial"/>
          <w:sz w:val="20"/>
          <w:szCs w:val="20"/>
        </w:rPr>
        <w:t xml:space="preserve"> at [38]</w:t>
      </w:r>
      <w:r w:rsidRPr="003208BC">
        <w:rPr>
          <w:rFonts w:ascii="Arial" w:hAnsi="Arial" w:cs="Arial"/>
          <w:sz w:val="20"/>
          <w:szCs w:val="20"/>
        </w:rPr>
        <w:t>.</w:t>
      </w:r>
      <w:r w:rsidR="00ED1F22">
        <w:rPr>
          <w:rFonts w:ascii="Arial" w:hAnsi="Arial" w:cs="Arial"/>
          <w:sz w:val="20"/>
          <w:szCs w:val="20"/>
        </w:rPr>
        <w:t xml:space="preserve"> </w:t>
      </w:r>
      <w:r w:rsidRPr="003208BC">
        <w:rPr>
          <w:rFonts w:ascii="Arial" w:hAnsi="Arial" w:cs="Arial"/>
          <w:sz w:val="20"/>
          <w:szCs w:val="20"/>
        </w:rPr>
        <w:t>Indeed, it is not even necessary for the applicant to give specific evidence of the likely prejudice</w:t>
      </w:r>
      <w:r w:rsidR="00ED1F22">
        <w:rPr>
          <w:rFonts w:ascii="Arial" w:hAnsi="Arial" w:cs="Arial"/>
          <w:sz w:val="20"/>
          <w:szCs w:val="20"/>
        </w:rPr>
        <w:t xml:space="preserve">: </w:t>
      </w:r>
      <w:r w:rsidR="00947A14" w:rsidRPr="00947A14">
        <w:rPr>
          <w:rFonts w:ascii="Arial" w:hAnsi="Arial" w:cs="Arial"/>
          <w:i/>
          <w:iCs/>
          <w:sz w:val="20"/>
          <w:szCs w:val="20"/>
        </w:rPr>
        <w:t>Zhao</w:t>
      </w:r>
      <w:r w:rsidR="00947A14">
        <w:rPr>
          <w:rFonts w:ascii="Arial" w:hAnsi="Arial" w:cs="Arial"/>
          <w:sz w:val="20"/>
          <w:szCs w:val="20"/>
        </w:rPr>
        <w:t xml:space="preserve"> at [42]-[43].</w:t>
      </w:r>
    </w:p>
    <w:p w14:paraId="47BAAB8B" w14:textId="7990E821" w:rsidR="00ED1F22" w:rsidRPr="00604632" w:rsidRDefault="00ED1F22" w:rsidP="00604632">
      <w:pPr>
        <w:spacing w:before="60"/>
        <w:ind w:left="567" w:right="567"/>
        <w:jc w:val="both"/>
        <w:rPr>
          <w:rFonts w:ascii="Arial" w:hAnsi="Arial" w:cs="Arial"/>
          <w:sz w:val="20"/>
          <w:szCs w:val="20"/>
        </w:rPr>
      </w:pPr>
      <w:r>
        <w:rPr>
          <w:rFonts w:ascii="Arial" w:hAnsi="Arial" w:cs="Arial"/>
          <w:sz w:val="20"/>
          <w:szCs w:val="20"/>
        </w:rPr>
        <w:t xml:space="preserve">[22] </w:t>
      </w:r>
      <w:r w:rsidRPr="003208BC">
        <w:rPr>
          <w:rFonts w:ascii="Arial" w:hAnsi="Arial" w:cs="Arial"/>
          <w:sz w:val="20"/>
          <w:szCs w:val="20"/>
        </w:rPr>
        <w:t xml:space="preserve">That said, the extent to which a proceeding need be stayed to protect the fair trial of an accused, depends on the facts. In some cases, the facts may allow certain steps to be taken before granting a stay. For example, as in this case, a strike out application may not </w:t>
      </w:r>
      <w:r w:rsidRPr="003208BC">
        <w:rPr>
          <w:rFonts w:ascii="Arial" w:hAnsi="Arial" w:cs="Arial"/>
          <w:sz w:val="20"/>
          <w:szCs w:val="20"/>
        </w:rPr>
        <w:lastRenderedPageBreak/>
        <w:t>affect a pending criminal prosecution</w:t>
      </w:r>
      <w:r w:rsidR="00947A14">
        <w:rPr>
          <w:rFonts w:ascii="Arial" w:hAnsi="Arial" w:cs="Arial"/>
          <w:sz w:val="20"/>
          <w:szCs w:val="20"/>
        </w:rPr>
        <w:t xml:space="preserve">: </w:t>
      </w:r>
      <w:proofErr w:type="spellStart"/>
      <w:r w:rsidR="00947A14" w:rsidRPr="00947A14">
        <w:rPr>
          <w:rFonts w:ascii="Arial" w:hAnsi="Arial" w:cs="Arial"/>
          <w:i/>
          <w:iCs/>
          <w:sz w:val="20"/>
          <w:szCs w:val="20"/>
        </w:rPr>
        <w:t>Impiombato</w:t>
      </w:r>
      <w:proofErr w:type="spellEnd"/>
      <w:r w:rsidR="00947A14" w:rsidRPr="00947A14">
        <w:rPr>
          <w:rFonts w:ascii="Arial" w:hAnsi="Arial" w:cs="Arial"/>
          <w:i/>
          <w:iCs/>
          <w:sz w:val="20"/>
          <w:szCs w:val="20"/>
        </w:rPr>
        <w:t xml:space="preserve"> v BHP Group Limited</w:t>
      </w:r>
      <w:r w:rsidR="00947A14" w:rsidRPr="00ED1F22">
        <w:rPr>
          <w:rFonts w:ascii="Arial" w:hAnsi="Arial" w:cs="Arial"/>
          <w:sz w:val="20"/>
          <w:szCs w:val="20"/>
        </w:rPr>
        <w:t xml:space="preserve"> (2020) 143 ACSR 301</w:t>
      </w:r>
      <w:r w:rsidR="00947A14">
        <w:rPr>
          <w:rFonts w:ascii="Arial" w:hAnsi="Arial" w:cs="Arial"/>
          <w:sz w:val="20"/>
          <w:szCs w:val="20"/>
        </w:rPr>
        <w:t xml:space="preserve"> at </w:t>
      </w:r>
      <w:r w:rsidR="00947A14" w:rsidRPr="00ED1F22">
        <w:rPr>
          <w:rFonts w:ascii="Arial" w:hAnsi="Arial" w:cs="Arial"/>
          <w:sz w:val="20"/>
          <w:szCs w:val="20"/>
        </w:rPr>
        <w:t>[144].</w:t>
      </w:r>
      <w:r w:rsidR="00947A14">
        <w:rPr>
          <w:rFonts w:ascii="Arial" w:hAnsi="Arial" w:cs="Arial"/>
          <w:sz w:val="20"/>
          <w:szCs w:val="20"/>
        </w:rPr>
        <w:t xml:space="preserve">  </w:t>
      </w:r>
      <w:r w:rsidRPr="003208BC">
        <w:rPr>
          <w:rFonts w:ascii="Arial" w:hAnsi="Arial" w:cs="Arial"/>
          <w:sz w:val="20"/>
          <w:szCs w:val="20"/>
        </w:rPr>
        <w:t>However, other interlocutory steps may cause prejudice</w:t>
      </w:r>
      <w:r w:rsidR="00947A14">
        <w:rPr>
          <w:rFonts w:ascii="Arial" w:hAnsi="Arial" w:cs="Arial"/>
          <w:sz w:val="20"/>
          <w:szCs w:val="20"/>
        </w:rPr>
        <w:t xml:space="preserve">: </w:t>
      </w:r>
      <w:r w:rsidR="00947A14" w:rsidRPr="00947A14">
        <w:rPr>
          <w:rFonts w:ascii="Arial" w:hAnsi="Arial" w:cs="Arial"/>
          <w:i/>
          <w:iCs/>
          <w:sz w:val="20"/>
          <w:szCs w:val="20"/>
        </w:rPr>
        <w:t>Australian Securities and Investments Commission v Australia and New Zealand Banking Group Ltd</w:t>
      </w:r>
      <w:r w:rsidR="00947A14" w:rsidRPr="00ED1F22">
        <w:rPr>
          <w:rFonts w:ascii="Arial" w:hAnsi="Arial" w:cs="Arial"/>
          <w:sz w:val="20"/>
          <w:szCs w:val="20"/>
        </w:rPr>
        <w:t xml:space="preserve"> (2019) 138 ASCR 42</w:t>
      </w:r>
      <w:r w:rsidR="00947A14">
        <w:rPr>
          <w:rFonts w:ascii="Arial" w:hAnsi="Arial" w:cs="Arial"/>
          <w:sz w:val="20"/>
          <w:szCs w:val="20"/>
        </w:rPr>
        <w:t xml:space="preserve"> at </w:t>
      </w:r>
      <w:r w:rsidR="00947A14" w:rsidRPr="00ED1F22">
        <w:rPr>
          <w:rFonts w:ascii="Arial" w:hAnsi="Arial" w:cs="Arial"/>
          <w:sz w:val="20"/>
          <w:szCs w:val="20"/>
        </w:rPr>
        <w:t>[99]</w:t>
      </w:r>
      <w:r w:rsidR="00947A14">
        <w:rPr>
          <w:rFonts w:ascii="Arial" w:hAnsi="Arial" w:cs="Arial"/>
          <w:sz w:val="20"/>
          <w:szCs w:val="20"/>
        </w:rPr>
        <w:t>.</w:t>
      </w:r>
    </w:p>
    <w:p w14:paraId="5979025A" w14:textId="32715806" w:rsidR="00ED1F22" w:rsidRDefault="00ED1F22" w:rsidP="00ED1F22">
      <w:pPr>
        <w:spacing w:before="60"/>
        <w:ind w:firstLine="567"/>
        <w:jc w:val="both"/>
        <w:rPr>
          <w:rFonts w:ascii="Arial" w:hAnsi="Arial" w:cs="Arial"/>
          <w:sz w:val="20"/>
        </w:rPr>
      </w:pPr>
      <w:r>
        <w:rPr>
          <w:rFonts w:ascii="Arial" w:hAnsi="Arial" w:cs="Arial"/>
          <w:sz w:val="20"/>
        </w:rPr>
        <w:t>…</w:t>
      </w:r>
    </w:p>
    <w:p w14:paraId="414A9A33" w14:textId="595EE8F8" w:rsidR="00D405C3" w:rsidRDefault="00D405C3" w:rsidP="00D405C3">
      <w:pPr>
        <w:spacing w:before="60"/>
        <w:ind w:left="567" w:right="567"/>
        <w:jc w:val="both"/>
        <w:rPr>
          <w:rFonts w:ascii="Arial" w:hAnsi="Arial" w:cs="Arial"/>
          <w:sz w:val="20"/>
          <w:szCs w:val="20"/>
        </w:rPr>
      </w:pPr>
      <w:r>
        <w:rPr>
          <w:rFonts w:ascii="Arial" w:hAnsi="Arial" w:cs="Arial"/>
          <w:sz w:val="20"/>
        </w:rPr>
        <w:t xml:space="preserve">[41] </w:t>
      </w:r>
      <w:r w:rsidRPr="00947A14">
        <w:rPr>
          <w:rFonts w:ascii="Arial" w:hAnsi="Arial" w:cs="Arial"/>
          <w:sz w:val="20"/>
          <w:szCs w:val="20"/>
        </w:rPr>
        <w:t>In balancing any prejudice the State may face by participating in this group proceeding against the prejudice to the plaintiff of a stay, in order to assess where the interests of justice lie, it is important to consider that the State does not face the same peril of conviction as a non-government entity would. The DHHS, if found guilty and ordered to pay a fine, would simply be paying money from one State bank account into another. This is not a case where an accused individual is facing twenty years in prison.</w:t>
      </w:r>
    </w:p>
    <w:p w14:paraId="291C553A" w14:textId="3053A4C6" w:rsidR="00D405C3" w:rsidRDefault="00D405C3" w:rsidP="00D405C3">
      <w:pPr>
        <w:spacing w:before="60"/>
        <w:ind w:left="567" w:right="567"/>
        <w:jc w:val="both"/>
        <w:rPr>
          <w:rFonts w:ascii="Arial" w:hAnsi="Arial" w:cs="Arial"/>
          <w:sz w:val="20"/>
          <w:szCs w:val="20"/>
        </w:rPr>
      </w:pPr>
      <w:r>
        <w:rPr>
          <w:rFonts w:ascii="Arial" w:hAnsi="Arial" w:cs="Arial"/>
          <w:sz w:val="20"/>
          <w:szCs w:val="20"/>
        </w:rPr>
        <w:t xml:space="preserve">[42] </w:t>
      </w:r>
      <w:r w:rsidRPr="00947A14">
        <w:rPr>
          <w:rFonts w:ascii="Arial" w:hAnsi="Arial" w:cs="Arial"/>
          <w:sz w:val="20"/>
          <w:szCs w:val="20"/>
        </w:rPr>
        <w:t>Conversely, the prejudice to group members from a stay would be considerable. The group members are some tens of thousands of businesses in Victoria. The plaintiff maintained that these persons experience ongoing financial hardship as a result of the second-wave lockdown and a delay in compensation is prejudicing their financial viability</w:t>
      </w:r>
      <w:r>
        <w:rPr>
          <w:rFonts w:ascii="Arial" w:hAnsi="Arial" w:cs="Arial"/>
          <w:sz w:val="20"/>
          <w:szCs w:val="20"/>
        </w:rPr>
        <w:t xml:space="preserve">…Therefore, </w:t>
      </w:r>
      <w:r w:rsidRPr="00947A14">
        <w:rPr>
          <w:rFonts w:ascii="Arial" w:hAnsi="Arial" w:cs="Arial"/>
          <w:sz w:val="20"/>
          <w:szCs w:val="20"/>
        </w:rPr>
        <w:t>while any delay in relief is an injustice, the harm is particularly acute in this case.</w:t>
      </w:r>
    </w:p>
    <w:p w14:paraId="13E513ED" w14:textId="7CE46D09" w:rsidR="00D405C3" w:rsidRPr="00D405C3" w:rsidRDefault="00D405C3" w:rsidP="00D405C3">
      <w:pPr>
        <w:spacing w:before="60"/>
        <w:ind w:left="567" w:right="567"/>
        <w:jc w:val="both"/>
        <w:rPr>
          <w:rFonts w:ascii="Arial" w:hAnsi="Arial" w:cs="Arial"/>
          <w:sz w:val="20"/>
          <w:szCs w:val="20"/>
        </w:rPr>
      </w:pPr>
      <w:r w:rsidRPr="00D405C3">
        <w:rPr>
          <w:rFonts w:ascii="Arial" w:hAnsi="Arial" w:cs="Arial"/>
          <w:sz w:val="20"/>
          <w:szCs w:val="20"/>
        </w:rPr>
        <w:t xml:space="preserve">[43] The ongoing delay may also lead to the deterioration in the quality of available witness evidence and other recognised non-financial prejudice: </w:t>
      </w:r>
      <w:r w:rsidRPr="00D405C3">
        <w:rPr>
          <w:rFonts w:ascii="Arial" w:hAnsi="Arial" w:cs="Arial"/>
          <w:i/>
          <w:iCs/>
          <w:sz w:val="20"/>
          <w:szCs w:val="20"/>
        </w:rPr>
        <w:t>Aon Risk Services Australia Ltd v Australian National University</w:t>
      </w:r>
      <w:r w:rsidRPr="00D405C3">
        <w:rPr>
          <w:rFonts w:ascii="Arial" w:hAnsi="Arial" w:cs="Arial"/>
          <w:sz w:val="20"/>
          <w:szCs w:val="20"/>
        </w:rPr>
        <w:t xml:space="preserve"> (2009) 239 CLR 175, 213-4 [99]-[101].</w:t>
      </w:r>
    </w:p>
    <w:p w14:paraId="21F4F814" w14:textId="77777777" w:rsidR="00D405C3" w:rsidRDefault="00D405C3" w:rsidP="00D405C3">
      <w:pPr>
        <w:spacing w:before="60"/>
        <w:ind w:firstLine="567"/>
        <w:jc w:val="both"/>
        <w:rPr>
          <w:rFonts w:ascii="Arial" w:hAnsi="Arial" w:cs="Arial"/>
          <w:sz w:val="20"/>
        </w:rPr>
      </w:pPr>
      <w:r>
        <w:rPr>
          <w:rFonts w:ascii="Arial" w:hAnsi="Arial" w:cs="Arial"/>
          <w:sz w:val="20"/>
        </w:rPr>
        <w:t>…</w:t>
      </w:r>
    </w:p>
    <w:p w14:paraId="2C549B0F" w14:textId="7EEBA4AD" w:rsidR="00604632" w:rsidRDefault="00ED1F22" w:rsidP="00604632">
      <w:pPr>
        <w:spacing w:before="60"/>
        <w:ind w:left="567" w:right="567"/>
        <w:jc w:val="both"/>
        <w:rPr>
          <w:rFonts w:ascii="Arial" w:hAnsi="Arial" w:cs="Arial"/>
          <w:sz w:val="20"/>
        </w:rPr>
      </w:pPr>
      <w:r>
        <w:rPr>
          <w:rFonts w:ascii="Arial" w:hAnsi="Arial" w:cs="Arial"/>
          <w:sz w:val="20"/>
          <w:szCs w:val="20"/>
        </w:rPr>
        <w:t xml:space="preserve">[78] </w:t>
      </w:r>
      <w:r w:rsidRPr="00604632">
        <w:rPr>
          <w:rFonts w:ascii="Arial" w:hAnsi="Arial" w:cs="Arial"/>
          <w:sz w:val="20"/>
          <w:szCs w:val="20"/>
        </w:rPr>
        <w:t>For these reasons, I consider the present application to be an exceptional case where the specific matters of prejudice must be articulated, particularly because it appears to be open to the court to manage the preparation of the group proceeding for trial in a manner that would ameliorate any genuine prejudice to the State in the criminal proceeding.</w:t>
      </w:r>
      <w:r>
        <w:rPr>
          <w:rFonts w:ascii="Arial" w:hAnsi="Arial" w:cs="Arial"/>
          <w:sz w:val="20"/>
          <w:szCs w:val="20"/>
        </w:rPr>
        <w:t>”</w:t>
      </w:r>
    </w:p>
    <w:p w14:paraId="40C37533" w14:textId="3E728FC3" w:rsidR="003208BC" w:rsidRDefault="00D405C3" w:rsidP="00D405C3">
      <w:pPr>
        <w:spacing w:before="60"/>
        <w:jc w:val="both"/>
        <w:rPr>
          <w:rFonts w:ascii="Arial" w:hAnsi="Arial" w:cs="Arial"/>
          <w:sz w:val="20"/>
        </w:rPr>
      </w:pPr>
      <w:r>
        <w:rPr>
          <w:rFonts w:ascii="Arial" w:hAnsi="Arial" w:cs="Arial"/>
          <w:sz w:val="20"/>
        </w:rPr>
        <w:t xml:space="preserve">Holding that there was no error in his Honour’s orders, the Court of Appeal (Beach, T Forrest &amp; Hargrave JJA) refused leave to appeal: </w:t>
      </w:r>
      <w:r w:rsidRPr="00D405C3">
        <w:rPr>
          <w:rFonts w:ascii="Arial" w:hAnsi="Arial" w:cs="Arial"/>
          <w:i/>
          <w:iCs/>
          <w:sz w:val="20"/>
        </w:rPr>
        <w:t>State of Victoria v 5 Boroughs NY Pty Ltd</w:t>
      </w:r>
      <w:r>
        <w:rPr>
          <w:rFonts w:ascii="Arial" w:hAnsi="Arial" w:cs="Arial"/>
          <w:sz w:val="20"/>
        </w:rPr>
        <w:t xml:space="preserve"> [2023] VSCA 101.</w:t>
      </w:r>
    </w:p>
    <w:p w14:paraId="2B3C1F63" w14:textId="089FAF5B" w:rsidR="00867E29" w:rsidRDefault="00867E29" w:rsidP="00D15730">
      <w:pPr>
        <w:rPr>
          <w:rFonts w:ascii="Arial" w:hAnsi="Arial" w:cs="Arial"/>
          <w:sz w:val="20"/>
        </w:rPr>
      </w:pPr>
    </w:p>
    <w:p w14:paraId="7116EEED" w14:textId="45B2FE69" w:rsidR="00D66189" w:rsidRPr="0014707F" w:rsidRDefault="00D66189" w:rsidP="00D66189">
      <w:pPr>
        <w:jc w:val="both"/>
        <w:rPr>
          <w:rFonts w:ascii="Arial" w:hAnsi="Arial" w:cs="Arial"/>
          <w:sz w:val="20"/>
          <w:szCs w:val="20"/>
        </w:rPr>
      </w:pPr>
      <w:r>
        <w:rPr>
          <w:rFonts w:ascii="Arial" w:hAnsi="Arial" w:cs="Arial"/>
          <w:sz w:val="20"/>
        </w:rPr>
        <w:t xml:space="preserve">In </w:t>
      </w:r>
      <w:r w:rsidRPr="00D66189">
        <w:rPr>
          <w:rFonts w:ascii="Arial" w:hAnsi="Arial" w:cs="Arial"/>
          <w:i/>
          <w:iCs/>
          <w:sz w:val="20"/>
          <w:szCs w:val="20"/>
        </w:rPr>
        <w:t>Figurehead Construction Pty Ltd v Machado</w:t>
      </w:r>
      <w:r>
        <w:rPr>
          <w:rFonts w:ascii="Arial" w:hAnsi="Arial" w:cs="Arial"/>
          <w:i/>
          <w:iCs/>
          <w:sz w:val="20"/>
          <w:szCs w:val="20"/>
        </w:rPr>
        <w:t xml:space="preserve"> </w:t>
      </w:r>
      <w:r w:rsidRPr="00D66189">
        <w:rPr>
          <w:rFonts w:ascii="Arial" w:hAnsi="Arial" w:cs="Arial"/>
          <w:sz w:val="20"/>
          <w:szCs w:val="20"/>
        </w:rPr>
        <w:t xml:space="preserve">[2023] VSC 448 Matthews J </w:t>
      </w:r>
      <w:r>
        <w:rPr>
          <w:rFonts w:ascii="Arial" w:hAnsi="Arial" w:cs="Arial"/>
          <w:sz w:val="20"/>
          <w:szCs w:val="20"/>
        </w:rPr>
        <w:t xml:space="preserve">– citing the principles enunciated by John Dixon J in </w:t>
      </w:r>
      <w:r w:rsidRPr="00867E29">
        <w:rPr>
          <w:rFonts w:ascii="Arial" w:hAnsi="Arial" w:cs="Arial"/>
          <w:i/>
          <w:iCs/>
          <w:sz w:val="20"/>
        </w:rPr>
        <w:t>5 Boroughs NY Pty Ltd v State of Victoria (No 3)</w:t>
      </w:r>
      <w:r>
        <w:rPr>
          <w:rFonts w:ascii="Arial" w:hAnsi="Arial" w:cs="Arial"/>
          <w:sz w:val="20"/>
        </w:rPr>
        <w:t xml:space="preserve"> [2023] VSC 22 </w:t>
      </w:r>
      <w:r w:rsidR="0014707F">
        <w:rPr>
          <w:rFonts w:ascii="Arial" w:hAnsi="Arial" w:cs="Arial"/>
          <w:sz w:val="20"/>
        </w:rPr>
        <w:t xml:space="preserve">– </w:t>
      </w:r>
      <w:r>
        <w:rPr>
          <w:rFonts w:ascii="Arial" w:hAnsi="Arial" w:cs="Arial"/>
          <w:sz w:val="20"/>
          <w:szCs w:val="20"/>
        </w:rPr>
        <w:t>found</w:t>
      </w:r>
      <w:r w:rsidR="0014707F">
        <w:rPr>
          <w:rFonts w:ascii="Arial" w:hAnsi="Arial" w:cs="Arial"/>
          <w:sz w:val="20"/>
          <w:szCs w:val="20"/>
        </w:rPr>
        <w:t xml:space="preserve"> </w:t>
      </w:r>
      <w:r>
        <w:rPr>
          <w:rFonts w:ascii="Arial" w:hAnsi="Arial" w:cs="Arial"/>
          <w:sz w:val="20"/>
          <w:szCs w:val="20"/>
        </w:rPr>
        <w:t>there was a real risk of prejudice and granted a temporary stay of civil proceedings pending determination of criminal proceedings related to the same subject matter.</w:t>
      </w:r>
      <w:r w:rsidR="0014707F">
        <w:rPr>
          <w:rFonts w:ascii="Arial" w:hAnsi="Arial" w:cs="Arial"/>
          <w:sz w:val="20"/>
          <w:szCs w:val="20"/>
        </w:rPr>
        <w:t xml:space="preserve">  At [35]-[36] her Honour said:</w:t>
      </w:r>
    </w:p>
    <w:p w14:paraId="22276CC9" w14:textId="77777777" w:rsidR="0014707F" w:rsidRDefault="0014707F" w:rsidP="009462F3">
      <w:pPr>
        <w:spacing w:before="60"/>
        <w:ind w:left="454" w:right="454"/>
        <w:jc w:val="both"/>
        <w:rPr>
          <w:rFonts w:ascii="Arial" w:hAnsi="Arial" w:cs="Arial"/>
          <w:sz w:val="20"/>
          <w:szCs w:val="20"/>
        </w:rPr>
      </w:pPr>
      <w:r>
        <w:rPr>
          <w:rFonts w:ascii="Arial" w:hAnsi="Arial" w:cs="Arial"/>
          <w:sz w:val="20"/>
        </w:rPr>
        <w:t>“</w:t>
      </w:r>
      <w:r w:rsidRPr="0014707F">
        <w:rPr>
          <w:rFonts w:ascii="Arial" w:hAnsi="Arial" w:cs="Arial"/>
          <w:sz w:val="20"/>
          <w:szCs w:val="20"/>
        </w:rPr>
        <w:t xml:space="preserve">It is clear from the summary of principles in </w:t>
      </w:r>
      <w:r w:rsidRPr="0014707F">
        <w:rPr>
          <w:rFonts w:ascii="Arial" w:hAnsi="Arial" w:cs="Arial"/>
          <w:i/>
          <w:iCs/>
          <w:sz w:val="20"/>
          <w:szCs w:val="20"/>
        </w:rPr>
        <w:t>5 Boroughs</w:t>
      </w:r>
      <w:r w:rsidRPr="0014707F">
        <w:rPr>
          <w:rFonts w:ascii="Arial" w:hAnsi="Arial" w:cs="Arial"/>
          <w:sz w:val="20"/>
          <w:szCs w:val="20"/>
        </w:rPr>
        <w:t xml:space="preserve"> and from all of the authorities canvassed that there is no automatic right to a stay of a civil proceeding due to the existence of a criminal proceeding. It is also clear that what is required is a balancing of the competing prejudices: the prejudice to the defendant in the Criminal Proceeding arising from his participation in this proceeding compared with the prejudice to the plaintiff in staying this proceeding. </w:t>
      </w:r>
    </w:p>
    <w:p w14:paraId="13BDAEB9" w14:textId="7A820360" w:rsidR="0014707F" w:rsidRDefault="0014707F" w:rsidP="009462F3">
      <w:pPr>
        <w:spacing w:before="60"/>
        <w:ind w:left="454" w:right="454"/>
        <w:jc w:val="both"/>
        <w:rPr>
          <w:rFonts w:ascii="Arial" w:hAnsi="Arial" w:cs="Arial"/>
          <w:sz w:val="20"/>
        </w:rPr>
      </w:pPr>
      <w:r w:rsidRPr="0014707F">
        <w:rPr>
          <w:rFonts w:ascii="Arial" w:hAnsi="Arial" w:cs="Arial"/>
          <w:sz w:val="20"/>
          <w:szCs w:val="20"/>
        </w:rPr>
        <w:t>It is also clear that there must be a real risk of prejudice to the defendant and that the defendant bears the onus of establishing this</w:t>
      </w:r>
      <w:r>
        <w:rPr>
          <w:rFonts w:ascii="Arial" w:hAnsi="Arial" w:cs="Arial"/>
          <w:sz w:val="20"/>
          <w:szCs w:val="20"/>
        </w:rPr>
        <w:t>.”</w:t>
      </w:r>
    </w:p>
    <w:p w14:paraId="4AEFDA23" w14:textId="77777777" w:rsidR="0014707F" w:rsidRDefault="0014707F" w:rsidP="00D15730">
      <w:pPr>
        <w:rPr>
          <w:rFonts w:ascii="Arial" w:hAnsi="Arial" w:cs="Arial"/>
          <w:sz w:val="20"/>
        </w:rPr>
      </w:pPr>
    </w:p>
    <w:p w14:paraId="7B0FF5C3" w14:textId="0A5D69F0"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A</w:t>
      </w:r>
      <w:r w:rsidR="00D405C3">
        <w:rPr>
          <w:rFonts w:ascii="Arial" w:hAnsi="Arial" w:cs="Arial"/>
          <w:i/>
          <w:sz w:val="20"/>
        </w:rPr>
        <w:t>on</w:t>
      </w:r>
      <w:r w:rsidRPr="006567E9">
        <w:rPr>
          <w:rFonts w:ascii="Arial" w:hAnsi="Arial" w:cs="Arial"/>
          <w:i/>
          <w:sz w:val="20"/>
        </w:rPr>
        <w:t xml:space="preserve"> </w:t>
      </w:r>
      <w:r w:rsidR="00142190" w:rsidRPr="00142190">
        <w:rPr>
          <w:rFonts w:ascii="Arial" w:hAnsi="Arial" w:cs="Arial"/>
          <w:i/>
          <w:sz w:val="20"/>
        </w:rPr>
        <w:t>Risk Services Australia Limited v Australian National University</w:t>
      </w:r>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9462F3">
      <w:pPr>
        <w:numPr>
          <w:ilvl w:val="0"/>
          <w:numId w:val="21"/>
        </w:numPr>
        <w:ind w:left="454"/>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9462F3">
      <w:pPr>
        <w:numPr>
          <w:ilvl w:val="0"/>
          <w:numId w:val="21"/>
        </w:numPr>
        <w:ind w:left="454"/>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9462F3">
      <w:pPr>
        <w:spacing w:before="60"/>
        <w:ind w:left="454" w:right="454"/>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9462F3">
      <w:pPr>
        <w:spacing w:before="60"/>
        <w:ind w:left="454" w:right="454"/>
        <w:jc w:val="both"/>
        <w:rPr>
          <w:rFonts w:ascii="Arial" w:hAnsi="Arial" w:cs="Arial"/>
          <w:bCs/>
          <w:sz w:val="20"/>
        </w:rPr>
      </w:pPr>
      <w:r>
        <w:rPr>
          <w:rFonts w:ascii="Arial" w:hAnsi="Arial" w:cs="Arial"/>
          <w:bCs/>
          <w:sz w:val="20"/>
        </w:rPr>
        <w:lastRenderedPageBreak/>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5B637405" w:rsidR="0007304C" w:rsidRDefault="0007304C" w:rsidP="00D15730">
      <w:pPr>
        <w:rPr>
          <w:rFonts w:ascii="Arial" w:hAnsi="Arial" w:cs="Arial"/>
          <w:sz w:val="20"/>
        </w:rPr>
      </w:pPr>
    </w:p>
    <w:p w14:paraId="7E0BFA3D" w14:textId="3BFE7074" w:rsidR="00E55ACE" w:rsidRDefault="00E55ACE" w:rsidP="000C5609">
      <w:pPr>
        <w:jc w:val="both"/>
      </w:pPr>
      <w:r w:rsidRPr="00E00823">
        <w:rPr>
          <w:rFonts w:ascii="Arial" w:hAnsi="Arial" w:cs="Arial"/>
          <w:sz w:val="20"/>
          <w:szCs w:val="20"/>
        </w:rPr>
        <w:t xml:space="preserve">See also </w:t>
      </w:r>
      <w:r w:rsidRPr="00E00823">
        <w:rPr>
          <w:rFonts w:ascii="Arial" w:hAnsi="Arial" w:cs="Arial"/>
          <w:i/>
          <w:iCs/>
          <w:sz w:val="20"/>
          <w:szCs w:val="20"/>
        </w:rPr>
        <w:t>Ah Fook v Transport Accident Commission</w:t>
      </w:r>
      <w:r w:rsidRPr="00E00823">
        <w:rPr>
          <w:rFonts w:ascii="Arial" w:hAnsi="Arial" w:cs="Arial"/>
          <w:sz w:val="20"/>
          <w:szCs w:val="20"/>
        </w:rPr>
        <w:t xml:space="preserve"> [2022] VSCA 199 at [52]-[63]</w:t>
      </w:r>
      <w:r w:rsidR="00E00823" w:rsidRPr="00E00823">
        <w:rPr>
          <w:rFonts w:ascii="Arial" w:hAnsi="Arial" w:cs="Arial"/>
          <w:sz w:val="20"/>
          <w:szCs w:val="20"/>
        </w:rPr>
        <w:t xml:space="preserve">; </w:t>
      </w:r>
      <w:r w:rsidR="00E00823" w:rsidRPr="00E00823">
        <w:rPr>
          <w:rFonts w:ascii="Arial" w:hAnsi="Arial" w:cs="Arial"/>
          <w:i/>
          <w:iCs/>
          <w:sz w:val="20"/>
          <w:szCs w:val="20"/>
        </w:rPr>
        <w:t>Soo v Yang &amp; Vale Pty Ltd</w:t>
      </w:r>
      <w:r w:rsidR="00E00823" w:rsidRPr="00E00823">
        <w:rPr>
          <w:rFonts w:ascii="Arial" w:hAnsi="Arial" w:cs="Arial"/>
          <w:sz w:val="20"/>
          <w:szCs w:val="20"/>
        </w:rPr>
        <w:t xml:space="preserve"> [2022] VSCA 227; </w:t>
      </w:r>
      <w:r w:rsidR="00E00823" w:rsidRPr="00E00823">
        <w:rPr>
          <w:rFonts w:ascii="Arial" w:hAnsi="Arial" w:cs="Arial"/>
          <w:i/>
          <w:iCs/>
          <w:sz w:val="20"/>
          <w:szCs w:val="20"/>
        </w:rPr>
        <w:t xml:space="preserve">Taylor v </w:t>
      </w:r>
      <w:proofErr w:type="spellStart"/>
      <w:r w:rsidR="00E00823" w:rsidRPr="00E00823">
        <w:rPr>
          <w:rFonts w:ascii="Arial" w:hAnsi="Arial" w:cs="Arial"/>
          <w:i/>
          <w:iCs/>
          <w:sz w:val="20"/>
          <w:szCs w:val="20"/>
        </w:rPr>
        <w:t>Merlino</w:t>
      </w:r>
      <w:proofErr w:type="spellEnd"/>
      <w:r w:rsidR="00E00823" w:rsidRPr="00E00823">
        <w:rPr>
          <w:rFonts w:ascii="Arial" w:hAnsi="Arial" w:cs="Arial"/>
          <w:sz w:val="20"/>
          <w:szCs w:val="20"/>
        </w:rPr>
        <w:t xml:space="preserve"> [2022] VSCA 37; </w:t>
      </w:r>
      <w:r w:rsidR="00E00823" w:rsidRPr="00E00823">
        <w:rPr>
          <w:rFonts w:ascii="Arial" w:hAnsi="Arial" w:cs="Arial"/>
          <w:i/>
          <w:iCs/>
          <w:sz w:val="20"/>
          <w:szCs w:val="20"/>
        </w:rPr>
        <w:t xml:space="preserve">Holden v </w:t>
      </w:r>
      <w:proofErr w:type="spellStart"/>
      <w:r w:rsidR="00E00823" w:rsidRPr="00E00823">
        <w:rPr>
          <w:rFonts w:ascii="Arial" w:hAnsi="Arial" w:cs="Arial"/>
          <w:i/>
          <w:iCs/>
          <w:sz w:val="20"/>
          <w:szCs w:val="20"/>
        </w:rPr>
        <w:t>Kukuy</w:t>
      </w:r>
      <w:proofErr w:type="spellEnd"/>
      <w:r w:rsidR="00E00823" w:rsidRPr="00E00823">
        <w:rPr>
          <w:rFonts w:ascii="Arial" w:hAnsi="Arial" w:cs="Arial"/>
          <w:i/>
          <w:iCs/>
          <w:sz w:val="20"/>
          <w:szCs w:val="20"/>
        </w:rPr>
        <w:t xml:space="preserve">; Re Jay Invest Property Pty Ltd (in </w:t>
      </w:r>
      <w:proofErr w:type="spellStart"/>
      <w:r w:rsidR="00E00823" w:rsidRPr="00E00823">
        <w:rPr>
          <w:rFonts w:ascii="Arial" w:hAnsi="Arial" w:cs="Arial"/>
          <w:i/>
          <w:iCs/>
          <w:sz w:val="20"/>
          <w:szCs w:val="20"/>
        </w:rPr>
        <w:t>liq</w:t>
      </w:r>
      <w:proofErr w:type="spellEnd"/>
      <w:r w:rsidR="00E00823" w:rsidRPr="00E00823">
        <w:rPr>
          <w:rFonts w:ascii="Arial" w:hAnsi="Arial" w:cs="Arial"/>
          <w:i/>
          <w:iCs/>
          <w:sz w:val="20"/>
          <w:szCs w:val="20"/>
        </w:rPr>
        <w:t>)</w:t>
      </w:r>
      <w:r w:rsidR="00E00823" w:rsidRPr="00E00823">
        <w:rPr>
          <w:rFonts w:ascii="Arial" w:hAnsi="Arial" w:cs="Arial"/>
          <w:sz w:val="20"/>
          <w:szCs w:val="20"/>
        </w:rPr>
        <w:t xml:space="preserve"> [2022] VSC </w:t>
      </w:r>
      <w:r w:rsidR="00894B9A">
        <w:rPr>
          <w:rFonts w:ascii="Arial" w:hAnsi="Arial" w:cs="Arial"/>
          <w:sz w:val="20"/>
          <w:szCs w:val="20"/>
        </w:rPr>
        <w:t xml:space="preserve">796 </w:t>
      </w:r>
      <w:r w:rsidR="00E00823" w:rsidRPr="00E00823">
        <w:rPr>
          <w:rFonts w:ascii="Arial" w:hAnsi="Arial" w:cs="Arial"/>
          <w:sz w:val="20"/>
          <w:szCs w:val="20"/>
        </w:rPr>
        <w:t>at [23]-[24]</w:t>
      </w:r>
      <w:r w:rsidR="00FE2E7A">
        <w:rPr>
          <w:rFonts w:ascii="Arial" w:hAnsi="Arial" w:cs="Arial"/>
          <w:sz w:val="20"/>
          <w:szCs w:val="20"/>
        </w:rPr>
        <w:t xml:space="preserve">; </w:t>
      </w:r>
      <w:r w:rsidR="00FE2E7A" w:rsidRPr="00FE2E7A">
        <w:rPr>
          <w:rFonts w:ascii="Arial" w:hAnsi="Arial" w:cs="Arial"/>
          <w:i/>
          <w:iCs/>
          <w:sz w:val="20"/>
          <w:szCs w:val="20"/>
        </w:rPr>
        <w:t xml:space="preserve">YZ v Beit </w:t>
      </w:r>
      <w:proofErr w:type="spellStart"/>
      <w:r w:rsidR="00FE2E7A" w:rsidRPr="00FE2E7A">
        <w:rPr>
          <w:rFonts w:ascii="Arial" w:hAnsi="Arial" w:cs="Arial"/>
          <w:i/>
          <w:iCs/>
          <w:sz w:val="20"/>
          <w:szCs w:val="20"/>
        </w:rPr>
        <w:t>Habonim</w:t>
      </w:r>
      <w:proofErr w:type="spellEnd"/>
      <w:r w:rsidR="00FE2E7A" w:rsidRPr="00FE2E7A">
        <w:rPr>
          <w:rFonts w:ascii="Arial" w:hAnsi="Arial" w:cs="Arial"/>
          <w:i/>
          <w:iCs/>
          <w:sz w:val="20"/>
          <w:szCs w:val="20"/>
        </w:rPr>
        <w:t xml:space="preserve"> Pty Ltd &amp; </w:t>
      </w:r>
      <w:proofErr w:type="spellStart"/>
      <w:r w:rsidR="00BB08B4">
        <w:rPr>
          <w:rFonts w:ascii="Arial" w:hAnsi="Arial" w:cs="Arial"/>
          <w:i/>
          <w:iCs/>
          <w:sz w:val="20"/>
          <w:szCs w:val="20"/>
        </w:rPr>
        <w:t>Weiden</w:t>
      </w:r>
      <w:proofErr w:type="spellEnd"/>
      <w:r w:rsidR="00FE2E7A">
        <w:rPr>
          <w:rFonts w:ascii="Arial" w:hAnsi="Arial" w:cs="Arial"/>
          <w:sz w:val="20"/>
          <w:szCs w:val="20"/>
        </w:rPr>
        <w:t xml:space="preserve"> [2023] VSC 222</w:t>
      </w:r>
      <w:r w:rsidR="000C5609">
        <w:rPr>
          <w:rFonts w:ascii="Arial" w:hAnsi="Arial" w:cs="Arial"/>
          <w:sz w:val="20"/>
          <w:szCs w:val="20"/>
        </w:rPr>
        <w:t>.</w:t>
      </w:r>
    </w:p>
    <w:p w14:paraId="2BDB4571" w14:textId="77777777" w:rsidR="00FE2E7A" w:rsidRPr="000C5609" w:rsidRDefault="00FE2E7A" w:rsidP="000C5609">
      <w:pPr>
        <w:jc w:val="both"/>
        <w:rPr>
          <w:rFonts w:ascii="Arial" w:hAnsi="Arial" w:cs="Arial"/>
          <w:sz w:val="20"/>
          <w:szCs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25" w:name="_3.3.3_Implied_powers"/>
      <w:bookmarkStart w:id="226" w:name="B334"/>
      <w:bookmarkEnd w:id="225"/>
      <w:bookmarkEnd w:id="226"/>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27" w:name="B3341"/>
    <w:bookmarkStart w:id="228" w:name="_3.3.4.1_Power_to"/>
    <w:bookmarkEnd w:id="227"/>
    <w:bookmarkEnd w:id="228"/>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6CAC68A5" w:rsidR="00C80B82" w:rsidRPr="009C0A14" w:rsidRDefault="005D6EA1" w:rsidP="002A6040">
      <w:pPr>
        <w:jc w:val="both"/>
        <w:rPr>
          <w:rFonts w:ascii="Arial" w:hAnsi="Arial" w:cs="Arial"/>
          <w:sz w:val="20"/>
          <w:szCs w:val="20"/>
        </w:rPr>
      </w:pPr>
      <w:r>
        <w:rPr>
          <w:rFonts w:ascii="Arial" w:hAnsi="Arial" w:cs="Arial"/>
          <w:sz w:val="20"/>
        </w:rPr>
        <w:t>Th</w:t>
      </w:r>
      <w:r w:rsidR="00D643EF">
        <w:rPr>
          <w:rFonts w:ascii="Arial" w:hAnsi="Arial" w:cs="Arial"/>
          <w:sz w:val="20"/>
        </w:rPr>
        <w:t>e Court also has</w:t>
      </w:r>
      <w:r>
        <w:rPr>
          <w:rFonts w:ascii="Arial" w:hAnsi="Arial" w:cs="Arial"/>
          <w:sz w:val="20"/>
        </w:rPr>
        <w:t xml:space="preserve"> power to prevent an abuse of </w:t>
      </w:r>
      <w:r w:rsidR="00860E87">
        <w:rPr>
          <w:rFonts w:ascii="Arial" w:hAnsi="Arial" w:cs="Arial"/>
          <w:sz w:val="20"/>
        </w:rPr>
        <w:t>it</w:t>
      </w:r>
      <w:r>
        <w:rPr>
          <w:rFonts w:ascii="Arial" w:hAnsi="Arial" w:cs="Arial"/>
          <w:sz w:val="20"/>
        </w:rPr>
        <w:t xml:space="preserve">s own judicial process, </w:t>
      </w:r>
      <w:r w:rsidR="00D643EF">
        <w:rPr>
          <w:rFonts w:ascii="Arial" w:hAnsi="Arial" w:cs="Arial"/>
          <w:sz w:val="20"/>
        </w:rPr>
        <w:t xml:space="preserve">for a discussion of which </w:t>
      </w:r>
      <w:r>
        <w:rPr>
          <w:rFonts w:ascii="Arial" w:hAnsi="Arial" w:cs="Arial"/>
          <w:sz w:val="20"/>
        </w:rPr>
        <w:t xml:space="preserve">see the </w:t>
      </w:r>
      <w:r w:rsidR="00C17780">
        <w:rPr>
          <w:rFonts w:ascii="Arial" w:hAnsi="Arial" w:cs="Arial"/>
          <w:sz w:val="20"/>
        </w:rPr>
        <w:t>judgment</w:t>
      </w:r>
      <w:r w:rsidR="00860E87">
        <w:rPr>
          <w:rFonts w:ascii="Arial" w:hAnsi="Arial" w:cs="Arial"/>
          <w:sz w:val="20"/>
        </w:rPr>
        <w:t>s</w:t>
      </w:r>
      <w:r w:rsidR="00C17780">
        <w:rPr>
          <w:rFonts w:ascii="Arial" w:hAnsi="Arial" w:cs="Arial"/>
          <w:sz w:val="20"/>
        </w:rPr>
        <w:t xml:space="preserve">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w:t>
      </w:r>
      <w:r w:rsidR="00860E87">
        <w:rPr>
          <w:rFonts w:ascii="Arial" w:hAnsi="Arial" w:cs="Arial"/>
          <w:sz w:val="20"/>
          <w:szCs w:val="20"/>
        </w:rPr>
        <w:t xml:space="preserve">&amp; [36]-[45] </w:t>
      </w:r>
      <w:r w:rsidR="00C17780">
        <w:rPr>
          <w:rFonts w:ascii="Arial" w:hAnsi="Arial" w:cs="Arial"/>
          <w:sz w:val="20"/>
          <w:szCs w:val="20"/>
        </w:rPr>
        <w:t xml:space="preserve">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w:t>
      </w:r>
      <w:r w:rsidR="00860E87">
        <w:rPr>
          <w:rFonts w:ascii="Arial" w:hAnsi="Arial" w:cs="Arial"/>
          <w:sz w:val="20"/>
        </w:rPr>
        <w:t xml:space="preserve"> </w:t>
      </w:r>
      <w:r w:rsidR="00C17780">
        <w:rPr>
          <w:rFonts w:ascii="Arial" w:hAnsi="Arial" w:cs="Arial"/>
          <w:sz w:val="20"/>
        </w:rPr>
        <w:t xml:space="preserve">J at [24]-[39]; </w:t>
      </w:r>
      <w:r w:rsidR="00D73175" w:rsidRPr="00D73175">
        <w:rPr>
          <w:rFonts w:ascii="Arial" w:hAnsi="Arial" w:cs="Arial"/>
          <w:i/>
          <w:iCs/>
          <w:sz w:val="20"/>
        </w:rPr>
        <w:t>Neville Donohue v The Queen (No.3)</w:t>
      </w:r>
      <w:r w:rsidR="00D73175">
        <w:rPr>
          <w:rFonts w:ascii="Arial" w:hAnsi="Arial" w:cs="Arial"/>
          <w:sz w:val="20"/>
        </w:rPr>
        <w:t xml:space="preserve"> [2020] VSCA 302</w:t>
      </w:r>
      <w:r w:rsidR="00B37B7B">
        <w:rPr>
          <w:rFonts w:ascii="Arial" w:hAnsi="Arial" w:cs="Arial"/>
          <w:sz w:val="20"/>
        </w:rPr>
        <w:t xml:space="preserve">; </w:t>
      </w:r>
      <w:bookmarkStart w:id="229" w:name="_Hlk155679434"/>
      <w:r w:rsidR="00B37B7B" w:rsidRPr="00B37B7B">
        <w:rPr>
          <w:rFonts w:ascii="Arial" w:hAnsi="Arial" w:cs="Arial"/>
          <w:i/>
          <w:iCs/>
          <w:sz w:val="20"/>
        </w:rPr>
        <w:t>Karam v The King</w:t>
      </w:r>
      <w:r w:rsidR="00B37B7B">
        <w:rPr>
          <w:rFonts w:ascii="Arial" w:hAnsi="Arial" w:cs="Arial"/>
          <w:sz w:val="20"/>
        </w:rPr>
        <w:t xml:space="preserve"> [2023] VSCA 318 at [187]-[3</w:t>
      </w:r>
      <w:r w:rsidR="001216CB">
        <w:rPr>
          <w:rFonts w:ascii="Arial" w:hAnsi="Arial" w:cs="Arial"/>
          <w:sz w:val="20"/>
        </w:rPr>
        <w:t>55</w:t>
      </w:r>
      <w:r w:rsidR="00B37B7B">
        <w:rPr>
          <w:rFonts w:ascii="Arial" w:hAnsi="Arial" w:cs="Arial"/>
          <w:sz w:val="20"/>
        </w:rPr>
        <w:t>]</w:t>
      </w:r>
      <w:r w:rsidR="00D73175">
        <w:rPr>
          <w:rFonts w:ascii="Arial" w:hAnsi="Arial" w:cs="Arial"/>
          <w:sz w:val="20"/>
        </w:rPr>
        <w:t>.</w:t>
      </w:r>
      <w:bookmarkEnd w:id="229"/>
      <w:r w:rsidR="00D73175">
        <w:rPr>
          <w:rFonts w:ascii="Arial" w:hAnsi="Arial" w:cs="Arial"/>
          <w:sz w:val="20"/>
        </w:rPr>
        <w:t xml:space="preserve">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r w:rsidR="00E345FD" w:rsidRPr="002A6040">
        <w:rPr>
          <w:rFonts w:ascii="Arial" w:hAnsi="Arial" w:cs="Arial"/>
          <w:i/>
          <w:sz w:val="20"/>
          <w:szCs w:val="20"/>
        </w:rPr>
        <w:t xml:space="preserve">Jago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w:t>
      </w:r>
      <w:r w:rsidR="006F0EF3" w:rsidRPr="009C0A14">
        <w:rPr>
          <w:rFonts w:ascii="Arial" w:hAnsi="Arial" w:cs="Arial"/>
          <w:sz w:val="20"/>
          <w:szCs w:val="20"/>
        </w:rPr>
        <w:t>[34]</w:t>
      </w:r>
      <w:r w:rsidR="006F0EF3" w:rsidRPr="009C0A14">
        <w:rPr>
          <w:rFonts w:ascii="Arial" w:hAnsi="Arial" w:cs="Arial"/>
          <w:sz w:val="20"/>
          <w:szCs w:val="20"/>
        </w:rPr>
        <w:noBreakHyphen/>
        <w:t>[60]</w:t>
      </w:r>
      <w:r w:rsidR="00996046" w:rsidRPr="009C0A14">
        <w:rPr>
          <w:rFonts w:ascii="Arial" w:hAnsi="Arial" w:cs="Arial"/>
          <w:sz w:val="20"/>
          <w:szCs w:val="20"/>
        </w:rPr>
        <w:t xml:space="preserve">; </w:t>
      </w:r>
      <w:bookmarkStart w:id="230" w:name="_Hlk107570035"/>
      <w:r w:rsidR="00996046" w:rsidRPr="009C0A14">
        <w:rPr>
          <w:rFonts w:ascii="Arial" w:hAnsi="Arial" w:cs="Arial"/>
          <w:i/>
          <w:iCs/>
          <w:sz w:val="20"/>
          <w:szCs w:val="20"/>
        </w:rPr>
        <w:t xml:space="preserve">Phillips &amp; Anor v </w:t>
      </w:r>
      <w:proofErr w:type="spellStart"/>
      <w:r w:rsidR="00996046" w:rsidRPr="009C0A14">
        <w:rPr>
          <w:rFonts w:ascii="Arial" w:hAnsi="Arial" w:cs="Arial"/>
          <w:i/>
          <w:iCs/>
          <w:sz w:val="20"/>
          <w:szCs w:val="20"/>
        </w:rPr>
        <w:t>Stanzer</w:t>
      </w:r>
      <w:proofErr w:type="spellEnd"/>
      <w:r w:rsidR="00996046" w:rsidRPr="009C0A14">
        <w:rPr>
          <w:rFonts w:ascii="Arial" w:hAnsi="Arial" w:cs="Arial"/>
          <w:sz w:val="20"/>
          <w:szCs w:val="20"/>
        </w:rPr>
        <w:t xml:space="preserve"> [2022] VSC 355</w:t>
      </w:r>
      <w:bookmarkEnd w:id="230"/>
      <w:r w:rsidR="00996046" w:rsidRPr="009C0A14">
        <w:rPr>
          <w:rFonts w:ascii="Arial" w:hAnsi="Arial" w:cs="Arial"/>
          <w:sz w:val="20"/>
          <w:szCs w:val="20"/>
        </w:rPr>
        <w:t xml:space="preserve"> at [35]-[56]</w:t>
      </w:r>
      <w:r w:rsidR="009C0A14" w:rsidRPr="009C0A14">
        <w:rPr>
          <w:rFonts w:ascii="Arial" w:hAnsi="Arial" w:cs="Arial"/>
          <w:sz w:val="20"/>
          <w:szCs w:val="20"/>
        </w:rPr>
        <w:t xml:space="preserve">; </w:t>
      </w:r>
      <w:r w:rsidR="009C0A14" w:rsidRPr="009C0A14">
        <w:rPr>
          <w:rFonts w:ascii="Arial" w:hAnsi="Arial" w:cs="Arial"/>
          <w:i/>
          <w:iCs/>
          <w:sz w:val="20"/>
          <w:szCs w:val="20"/>
        </w:rPr>
        <w:t xml:space="preserve">YZ v Beit </w:t>
      </w:r>
      <w:proofErr w:type="spellStart"/>
      <w:r w:rsidR="009C0A14" w:rsidRPr="009C0A14">
        <w:rPr>
          <w:rFonts w:ascii="Arial" w:hAnsi="Arial" w:cs="Arial"/>
          <w:i/>
          <w:iCs/>
          <w:sz w:val="20"/>
          <w:szCs w:val="20"/>
        </w:rPr>
        <w:t>Habonim</w:t>
      </w:r>
      <w:proofErr w:type="spellEnd"/>
      <w:r w:rsidR="009C0A14" w:rsidRPr="009C0A14">
        <w:rPr>
          <w:rFonts w:ascii="Arial" w:hAnsi="Arial" w:cs="Arial"/>
          <w:i/>
          <w:iCs/>
          <w:sz w:val="20"/>
          <w:szCs w:val="20"/>
        </w:rPr>
        <w:t xml:space="preserve"> Pty Ltd (ACN 051 827 984) ATF Association of Parents &amp; Friends of Zionist Youth &amp; </w:t>
      </w:r>
      <w:proofErr w:type="spellStart"/>
      <w:r w:rsidR="00BB08B4">
        <w:rPr>
          <w:rFonts w:ascii="Arial" w:hAnsi="Arial" w:cs="Arial"/>
          <w:i/>
          <w:iCs/>
          <w:sz w:val="20"/>
          <w:szCs w:val="20"/>
        </w:rPr>
        <w:t>Weiden</w:t>
      </w:r>
      <w:proofErr w:type="spellEnd"/>
      <w:r w:rsidR="009C0A14" w:rsidRPr="009C0A14">
        <w:rPr>
          <w:rFonts w:ascii="Arial" w:hAnsi="Arial" w:cs="Arial"/>
          <w:sz w:val="20"/>
          <w:szCs w:val="20"/>
        </w:rPr>
        <w:t xml:space="preserve"> [2022] VSC 402</w:t>
      </w:r>
      <w:r w:rsidR="003A0EED">
        <w:rPr>
          <w:rFonts w:ascii="Arial" w:hAnsi="Arial" w:cs="Arial"/>
          <w:sz w:val="20"/>
          <w:szCs w:val="20"/>
        </w:rPr>
        <w:t xml:space="preserve"> &amp; [2023] VSCA 294</w:t>
      </w:r>
      <w:r w:rsidR="00BF0DA0">
        <w:rPr>
          <w:rFonts w:ascii="Arial" w:hAnsi="Arial" w:cs="Arial"/>
          <w:sz w:val="20"/>
          <w:szCs w:val="20"/>
        </w:rPr>
        <w:t xml:space="preserve">; </w:t>
      </w:r>
      <w:r w:rsidR="00BF0DA0" w:rsidRPr="00154810">
        <w:rPr>
          <w:rFonts w:ascii="Arial" w:hAnsi="Arial" w:cs="Arial"/>
          <w:i/>
          <w:iCs/>
          <w:sz w:val="20"/>
          <w:szCs w:val="20"/>
        </w:rPr>
        <w:t>GLJ v The Trustees of the Roman Catholic Church for the Diocese of Lismore</w:t>
      </w:r>
      <w:r w:rsidR="00BF0DA0" w:rsidRPr="00154810">
        <w:rPr>
          <w:rFonts w:ascii="Arial" w:hAnsi="Arial" w:cs="Arial"/>
          <w:sz w:val="20"/>
          <w:szCs w:val="20"/>
        </w:rPr>
        <w:t xml:space="preserve"> [2023] HCA 32</w:t>
      </w:r>
      <w:r w:rsidR="00302F70">
        <w:rPr>
          <w:rFonts w:ascii="Arial" w:hAnsi="Arial" w:cs="Arial"/>
          <w:sz w:val="20"/>
          <w:szCs w:val="20"/>
        </w:rPr>
        <w:t xml:space="preserve">; </w:t>
      </w:r>
      <w:r w:rsidR="00302F70" w:rsidRPr="00302F70">
        <w:rPr>
          <w:rFonts w:ascii="Arial" w:hAnsi="Arial" w:cs="Arial"/>
          <w:i/>
          <w:iCs/>
          <w:sz w:val="20"/>
          <w:szCs w:val="20"/>
        </w:rPr>
        <w:t xml:space="preserve">Haris </w:t>
      </w:r>
      <w:r w:rsidR="00302F70">
        <w:rPr>
          <w:rFonts w:ascii="Arial" w:hAnsi="Arial" w:cs="Arial"/>
          <w:i/>
          <w:iCs/>
          <w:sz w:val="20"/>
          <w:szCs w:val="20"/>
        </w:rPr>
        <w:t xml:space="preserve">(a pseudonym) </w:t>
      </w:r>
      <w:r w:rsidR="00302F70" w:rsidRPr="00302F70">
        <w:rPr>
          <w:rFonts w:ascii="Arial" w:hAnsi="Arial" w:cs="Arial"/>
          <w:i/>
          <w:iCs/>
          <w:sz w:val="20"/>
          <w:szCs w:val="20"/>
        </w:rPr>
        <w:t>v The King</w:t>
      </w:r>
      <w:r w:rsidR="00302F70">
        <w:rPr>
          <w:rFonts w:ascii="Arial" w:hAnsi="Arial" w:cs="Arial"/>
          <w:sz w:val="20"/>
          <w:szCs w:val="20"/>
        </w:rPr>
        <w:t xml:space="preserve"> [2023] VSCA 205; </w:t>
      </w:r>
      <w:r w:rsidR="00302F70" w:rsidRPr="00302F70">
        <w:rPr>
          <w:rFonts w:ascii="Arial" w:hAnsi="Arial" w:cs="Arial"/>
          <w:i/>
          <w:iCs/>
          <w:sz w:val="20"/>
          <w:szCs w:val="20"/>
        </w:rPr>
        <w:t xml:space="preserve">Haris (a pseudonym) v The King </w:t>
      </w:r>
      <w:r w:rsidR="00021517">
        <w:rPr>
          <w:rFonts w:ascii="Arial" w:hAnsi="Arial" w:cs="Arial"/>
          <w:i/>
          <w:iCs/>
          <w:sz w:val="20"/>
          <w:szCs w:val="20"/>
        </w:rPr>
        <w:t>128</w:t>
      </w:r>
      <w:r w:rsidR="00302F70">
        <w:rPr>
          <w:rFonts w:ascii="Arial" w:hAnsi="Arial" w:cs="Arial"/>
          <w:sz w:val="20"/>
          <w:szCs w:val="20"/>
        </w:rPr>
        <w:t xml:space="preserve"> [2024] VSCA 9</w:t>
      </w:r>
      <w:r w:rsidR="00BF0DA0">
        <w:rPr>
          <w:rFonts w:ascii="Arial" w:hAnsi="Arial" w:cs="Arial"/>
          <w:sz w:val="20"/>
          <w:szCs w:val="20"/>
        </w:rPr>
        <w:t>.</w:t>
      </w:r>
    </w:p>
    <w:p w14:paraId="35E54617" w14:textId="679C1935" w:rsidR="00C17780" w:rsidRDefault="00C17780" w:rsidP="002A6040">
      <w:pPr>
        <w:jc w:val="both"/>
        <w:rPr>
          <w:rFonts w:ascii="Arial" w:hAnsi="Arial" w:cs="Arial"/>
          <w:color w:val="000000"/>
          <w:sz w:val="20"/>
          <w:szCs w:val="20"/>
        </w:rPr>
      </w:pPr>
    </w:p>
    <w:p w14:paraId="07C8BC05" w14:textId="7A1D0151" w:rsidR="009C7C0E" w:rsidRDefault="009C7C0E" w:rsidP="002A6040">
      <w:pPr>
        <w:jc w:val="both"/>
        <w:rPr>
          <w:rFonts w:ascii="Arial" w:hAnsi="Arial" w:cs="Arial"/>
          <w:color w:val="000000"/>
          <w:sz w:val="20"/>
          <w:szCs w:val="20"/>
        </w:rPr>
      </w:pPr>
      <w:bookmarkStart w:id="231" w:name="_Hlk152591075"/>
      <w:r>
        <w:rPr>
          <w:rFonts w:ascii="Arial" w:hAnsi="Arial" w:cs="Arial"/>
          <w:color w:val="000000"/>
          <w:sz w:val="20"/>
          <w:szCs w:val="20"/>
        </w:rPr>
        <w:t>See also “</w:t>
      </w:r>
      <w:hyperlink r:id="rId40" w:history="1">
        <w:r w:rsidRPr="009C7C0E">
          <w:rPr>
            <w:rStyle w:val="Hyperlink"/>
            <w:rFonts w:ascii="Arial" w:hAnsi="Arial" w:cs="Arial"/>
            <w:sz w:val="20"/>
            <w:szCs w:val="20"/>
          </w:rPr>
          <w:t>Abuse of Judicial Process in Criminal Proceedings</w:t>
        </w:r>
      </w:hyperlink>
      <w:r>
        <w:rPr>
          <w:rFonts w:ascii="Arial" w:hAnsi="Arial" w:cs="Arial"/>
          <w:color w:val="000000"/>
          <w:sz w:val="20"/>
          <w:szCs w:val="20"/>
        </w:rPr>
        <w:t>”, a paper by a Sydney barrister Stephen Lawrence, given at a Law Society of Fiji Conference at Suva in September 2015, which contains a very detailed analysis of the case law to that time.</w:t>
      </w:r>
      <w:bookmarkEnd w:id="231"/>
    </w:p>
    <w:p w14:paraId="032ED0EC" w14:textId="77777777" w:rsidR="00213AF3" w:rsidRDefault="00213AF3" w:rsidP="002A6040">
      <w:pPr>
        <w:jc w:val="both"/>
        <w:rPr>
          <w:rFonts w:ascii="Arial" w:hAnsi="Arial" w:cs="Arial"/>
          <w:color w:val="000000"/>
          <w:sz w:val="20"/>
          <w:szCs w:val="20"/>
        </w:rPr>
      </w:pPr>
    </w:p>
    <w:p w14:paraId="37BEA18B" w14:textId="4130AB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Victoria,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w:t>
      </w:r>
      <w:proofErr w:type="spellStart"/>
      <w:r w:rsidRPr="00164487">
        <w:rPr>
          <w:rFonts w:ascii="Arial" w:hAnsi="Arial" w:cs="Arial"/>
          <w:color w:val="000000"/>
          <w:sz w:val="20"/>
          <w:szCs w:val="20"/>
        </w:rPr>
        <w:t>Qd</w:t>
      </w:r>
      <w:proofErr w:type="spellEnd"/>
      <w:r w:rsidRPr="00164487">
        <w:rPr>
          <w:rFonts w:ascii="Arial" w:hAnsi="Arial" w:cs="Arial"/>
          <w:color w:val="000000"/>
          <w:sz w:val="20"/>
          <w:szCs w:val="20"/>
        </w:rPr>
        <w:t xml:space="preserve"> R 572, </w:t>
      </w:r>
      <w:r w:rsidRPr="00164487">
        <w:rPr>
          <w:rFonts w:ascii="Arial" w:hAnsi="Arial" w:cs="Arial"/>
          <w:i/>
          <w:color w:val="000000"/>
          <w:sz w:val="20"/>
          <w:szCs w:val="20"/>
        </w:rPr>
        <w:t xml:space="preserve">R v Croydon Justices; Ex </w:t>
      </w:r>
      <w:proofErr w:type="spellStart"/>
      <w:r w:rsidRPr="00164487">
        <w:rPr>
          <w:rFonts w:ascii="Arial" w:hAnsi="Arial" w:cs="Arial"/>
          <w:i/>
          <w:color w:val="000000"/>
          <w:sz w:val="20"/>
          <w:szCs w:val="20"/>
        </w:rPr>
        <w:t>Parte</w:t>
      </w:r>
      <w:proofErr w:type="spellEnd"/>
      <w:r w:rsidRPr="00164487">
        <w:rPr>
          <w:rFonts w:ascii="Arial" w:hAnsi="Arial" w:cs="Arial"/>
          <w:i/>
          <w:color w:val="000000"/>
          <w:sz w:val="20"/>
          <w:szCs w:val="20"/>
        </w:rPr>
        <w:t xml:space="preserv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Default="00C80B82" w:rsidP="002F5EE0">
      <w:pPr>
        <w:jc w:val="both"/>
        <w:rPr>
          <w:rFonts w:ascii="Arial" w:hAnsi="Arial" w:cs="Arial"/>
          <w:color w:val="000000"/>
          <w:sz w:val="20"/>
        </w:rPr>
      </w:pPr>
      <w:bookmarkStart w:id="232" w:name="_Toc30651644"/>
      <w:bookmarkStart w:id="233" w:name="_Toc30652628"/>
      <w:bookmarkStart w:id="234" w:name="_Toc30652726"/>
      <w:bookmarkStart w:id="235" w:name="_Toc30654071"/>
      <w:bookmarkStart w:id="236" w:name="_Toc30654422"/>
      <w:bookmarkStart w:id="237" w:name="_Toc30655041"/>
      <w:bookmarkStart w:id="238" w:name="_Toc30655298"/>
      <w:bookmarkStart w:id="239" w:name="_Toc30656976"/>
      <w:bookmarkStart w:id="240" w:name="_Toc30661725"/>
      <w:bookmarkStart w:id="241" w:name="_Toc30666413"/>
      <w:bookmarkStart w:id="242" w:name="_Toc30666643"/>
      <w:bookmarkStart w:id="243" w:name="_Toc30667818"/>
      <w:bookmarkStart w:id="244" w:name="_Toc30669196"/>
      <w:bookmarkStart w:id="245" w:name="_Toc30671412"/>
      <w:bookmarkStart w:id="246" w:name="_Toc30673939"/>
      <w:bookmarkStart w:id="247" w:name="_Toc30691161"/>
      <w:bookmarkStart w:id="248" w:name="_Toc30691532"/>
      <w:bookmarkStart w:id="249" w:name="_Toc30691912"/>
      <w:bookmarkStart w:id="250" w:name="_Toc30692671"/>
      <w:bookmarkStart w:id="251" w:name="_Toc30693050"/>
      <w:bookmarkStart w:id="252" w:name="_Toc30693428"/>
      <w:bookmarkStart w:id="253" w:name="_Toc30693807"/>
      <w:bookmarkStart w:id="254" w:name="_Toc30694188"/>
      <w:bookmarkStart w:id="255" w:name="_Toc30698777"/>
      <w:bookmarkStart w:id="256" w:name="_Toc30699155"/>
      <w:bookmarkStart w:id="257" w:name="_Toc30699540"/>
      <w:bookmarkStart w:id="258" w:name="_Toc30700695"/>
      <w:bookmarkStart w:id="259" w:name="_Toc30701082"/>
      <w:bookmarkStart w:id="260" w:name="_Toc30743691"/>
      <w:bookmarkStart w:id="261" w:name="_Toc30754513"/>
      <w:bookmarkStart w:id="262" w:name="_Toc30756953"/>
      <w:bookmarkStart w:id="263" w:name="_Toc30757502"/>
      <w:bookmarkStart w:id="264" w:name="_Toc30757902"/>
      <w:bookmarkStart w:id="265" w:name="_Toc30762663"/>
      <w:bookmarkStart w:id="266" w:name="_Toc30767317"/>
      <w:bookmarkStart w:id="267" w:name="_Toc34823333"/>
    </w:p>
    <w:p w14:paraId="436A08F3" w14:textId="1817F8A0" w:rsidR="00BB4510" w:rsidRDefault="005D297C" w:rsidP="002F5EE0">
      <w:pPr>
        <w:jc w:val="both"/>
        <w:rPr>
          <w:rFonts w:ascii="Arial" w:hAnsi="Arial" w:cs="Arial"/>
          <w:sz w:val="20"/>
          <w:szCs w:val="20"/>
        </w:rPr>
      </w:pPr>
      <w:r>
        <w:rPr>
          <w:rFonts w:ascii="Arial" w:hAnsi="Arial" w:cs="Arial"/>
          <w:color w:val="000000"/>
          <w:sz w:val="20"/>
        </w:rPr>
        <w:t>A</w:t>
      </w:r>
      <w:r w:rsidR="00BB4510">
        <w:rPr>
          <w:rFonts w:ascii="Arial" w:hAnsi="Arial" w:cs="Arial"/>
          <w:color w:val="000000"/>
          <w:sz w:val="20"/>
        </w:rPr>
        <w:t xml:space="preserve"> </w:t>
      </w:r>
      <w:r>
        <w:rPr>
          <w:rFonts w:ascii="Arial" w:hAnsi="Arial" w:cs="Arial"/>
          <w:color w:val="000000"/>
          <w:sz w:val="20"/>
        </w:rPr>
        <w:t xml:space="preserve">striking example </w:t>
      </w:r>
      <w:r w:rsidR="00955618">
        <w:rPr>
          <w:rFonts w:ascii="Arial" w:hAnsi="Arial" w:cs="Arial"/>
          <w:color w:val="000000"/>
          <w:sz w:val="20"/>
        </w:rPr>
        <w:t xml:space="preserve">of a permanent stay granted in the Criminal Division </w:t>
      </w:r>
      <w:r w:rsidR="00BE76BB">
        <w:rPr>
          <w:rFonts w:ascii="Arial" w:hAnsi="Arial" w:cs="Arial"/>
          <w:sz w:val="20"/>
          <w:szCs w:val="20"/>
        </w:rPr>
        <w:t xml:space="preserve">of the Children’s Court </w:t>
      </w:r>
      <w:r>
        <w:rPr>
          <w:rFonts w:ascii="Arial" w:hAnsi="Arial" w:cs="Arial"/>
          <w:color w:val="000000"/>
          <w:sz w:val="20"/>
        </w:rPr>
        <w:t xml:space="preserve">is the case of </w:t>
      </w:r>
      <w:r w:rsidRPr="005D297C">
        <w:rPr>
          <w:rFonts w:ascii="Arial" w:hAnsi="Arial" w:cs="Arial"/>
          <w:i/>
          <w:iCs/>
          <w:sz w:val="20"/>
          <w:szCs w:val="20"/>
        </w:rPr>
        <w:t>CDPP v Carrick (a pseudonym)</w:t>
      </w:r>
      <w:r w:rsidRPr="005D297C">
        <w:rPr>
          <w:rFonts w:ascii="Arial" w:hAnsi="Arial" w:cs="Arial"/>
          <w:sz w:val="20"/>
          <w:szCs w:val="20"/>
        </w:rPr>
        <w:t xml:space="preserve"> [2023] </w:t>
      </w:r>
      <w:proofErr w:type="spellStart"/>
      <w:r w:rsidRPr="005D297C">
        <w:rPr>
          <w:rFonts w:ascii="Arial" w:hAnsi="Arial" w:cs="Arial"/>
          <w:sz w:val="20"/>
          <w:szCs w:val="20"/>
        </w:rPr>
        <w:t>VChC</w:t>
      </w:r>
      <w:proofErr w:type="spellEnd"/>
      <w:r w:rsidRPr="005D297C">
        <w:rPr>
          <w:rFonts w:ascii="Arial" w:hAnsi="Arial" w:cs="Arial"/>
          <w:sz w:val="20"/>
          <w:szCs w:val="20"/>
        </w:rPr>
        <w:t xml:space="preserve"> 2</w:t>
      </w:r>
      <w:r>
        <w:rPr>
          <w:rFonts w:ascii="Arial" w:hAnsi="Arial" w:cs="Arial"/>
          <w:sz w:val="20"/>
          <w:szCs w:val="20"/>
        </w:rPr>
        <w:t>.</w:t>
      </w:r>
      <w:r w:rsidR="00955618">
        <w:rPr>
          <w:rFonts w:ascii="Arial" w:hAnsi="Arial" w:cs="Arial"/>
          <w:sz w:val="20"/>
          <w:szCs w:val="20"/>
        </w:rPr>
        <w:t xml:space="preserve">  The accused TC was a socially isolated 13-</w:t>
      </w:r>
      <w:r w:rsidR="00BE76BB">
        <w:rPr>
          <w:rFonts w:ascii="Arial" w:hAnsi="Arial" w:cs="Arial"/>
          <w:sz w:val="20"/>
          <w:szCs w:val="20"/>
        </w:rPr>
        <w:t xml:space="preserve">14 </w:t>
      </w:r>
      <w:r w:rsidR="00955618">
        <w:rPr>
          <w:rFonts w:ascii="Arial" w:hAnsi="Arial" w:cs="Arial"/>
          <w:sz w:val="20"/>
          <w:szCs w:val="20"/>
        </w:rPr>
        <w:t xml:space="preserve">year-old autistic child with a fixation on ISIS and an IQ of 71.  TC’s behaviour was of such concern </w:t>
      </w:r>
      <w:r w:rsidR="00955618" w:rsidRPr="00955618">
        <w:rPr>
          <w:rFonts w:ascii="Arial" w:hAnsi="Arial" w:cs="Arial"/>
          <w:sz w:val="20"/>
          <w:szCs w:val="20"/>
        </w:rPr>
        <w:t xml:space="preserve">that his parents sought assistance from Victoria Police. </w:t>
      </w:r>
      <w:r w:rsidR="000867E8" w:rsidRPr="000B7637">
        <w:rPr>
          <w:rFonts w:ascii="Arial" w:hAnsi="Arial" w:cs="Arial"/>
          <w:sz w:val="20"/>
          <w:szCs w:val="20"/>
        </w:rPr>
        <w:t>The Security Investigation Unit of Victoria Police referred the family to the Countering Violent Extremism Unit (CVE) on 21 April 2021</w:t>
      </w:r>
      <w:r w:rsidR="000867E8">
        <w:rPr>
          <w:rFonts w:ascii="Arial" w:hAnsi="Arial" w:cs="Arial"/>
          <w:sz w:val="20"/>
          <w:szCs w:val="20"/>
        </w:rPr>
        <w:t xml:space="preserve"> and</w:t>
      </w:r>
      <w:r w:rsidR="000867E8" w:rsidRPr="000B7637">
        <w:rPr>
          <w:rFonts w:ascii="Arial" w:hAnsi="Arial" w:cs="Arial"/>
          <w:sz w:val="20"/>
          <w:szCs w:val="20"/>
        </w:rPr>
        <w:t xml:space="preserve"> Ms </w:t>
      </w:r>
      <w:r w:rsidR="00BE76BB">
        <w:rPr>
          <w:rFonts w:ascii="Arial" w:hAnsi="Arial" w:cs="Arial"/>
          <w:sz w:val="20"/>
          <w:szCs w:val="20"/>
        </w:rPr>
        <w:t>CM</w:t>
      </w:r>
      <w:r w:rsidR="000867E8" w:rsidRPr="000B7637">
        <w:rPr>
          <w:rFonts w:ascii="Arial" w:hAnsi="Arial" w:cs="Arial"/>
          <w:sz w:val="20"/>
          <w:szCs w:val="20"/>
        </w:rPr>
        <w:t xml:space="preserve">, </w:t>
      </w:r>
      <w:r w:rsidR="000867E8">
        <w:rPr>
          <w:rFonts w:ascii="Arial" w:hAnsi="Arial" w:cs="Arial"/>
          <w:sz w:val="20"/>
          <w:szCs w:val="20"/>
        </w:rPr>
        <w:t xml:space="preserve">a </w:t>
      </w:r>
      <w:r w:rsidR="000867E8" w:rsidRPr="000B7637">
        <w:rPr>
          <w:rFonts w:ascii="Arial" w:hAnsi="Arial" w:cs="Arial"/>
          <w:sz w:val="20"/>
          <w:szCs w:val="20"/>
        </w:rPr>
        <w:t>case manager at CVE, became engaged to provide services to rehabilitate and reintegrate TC and to provide services to mitigate risk.</w:t>
      </w:r>
      <w:r w:rsidR="000867E8">
        <w:rPr>
          <w:rFonts w:ascii="Arial" w:hAnsi="Arial" w:cs="Arial"/>
          <w:sz w:val="20"/>
          <w:szCs w:val="20"/>
        </w:rPr>
        <w:t xml:space="preserve"> TC’s</w:t>
      </w:r>
      <w:r w:rsidR="00955618" w:rsidRPr="00955618">
        <w:rPr>
          <w:rFonts w:ascii="Arial" w:hAnsi="Arial" w:cs="Arial"/>
          <w:sz w:val="20"/>
          <w:szCs w:val="20"/>
        </w:rPr>
        <w:t xml:space="preserve"> parents consented to the engagement of </w:t>
      </w:r>
      <w:r w:rsidR="000867E8">
        <w:rPr>
          <w:rFonts w:ascii="Arial" w:hAnsi="Arial" w:cs="Arial"/>
          <w:sz w:val="20"/>
          <w:szCs w:val="20"/>
        </w:rPr>
        <w:t>their son</w:t>
      </w:r>
      <w:r w:rsidR="00955618" w:rsidRPr="00955618">
        <w:rPr>
          <w:rFonts w:ascii="Arial" w:hAnsi="Arial" w:cs="Arial"/>
          <w:sz w:val="20"/>
          <w:szCs w:val="20"/>
        </w:rPr>
        <w:t xml:space="preserve"> in the </w:t>
      </w:r>
      <w:r w:rsidR="000867E8">
        <w:rPr>
          <w:rFonts w:ascii="Arial" w:hAnsi="Arial" w:cs="Arial"/>
          <w:sz w:val="20"/>
          <w:szCs w:val="20"/>
        </w:rPr>
        <w:t xml:space="preserve">CVE’s </w:t>
      </w:r>
      <w:r w:rsidR="00955618" w:rsidRPr="00955618">
        <w:rPr>
          <w:rFonts w:ascii="Arial" w:hAnsi="Arial" w:cs="Arial"/>
          <w:sz w:val="20"/>
          <w:szCs w:val="20"/>
        </w:rPr>
        <w:t xml:space="preserve">comprehensive rehabilitation program. </w:t>
      </w:r>
      <w:r w:rsidR="000867E8">
        <w:rPr>
          <w:rFonts w:ascii="Arial" w:hAnsi="Arial" w:cs="Arial"/>
          <w:sz w:val="20"/>
          <w:szCs w:val="20"/>
        </w:rPr>
        <w:t>However, a</w:t>
      </w:r>
      <w:r w:rsidR="00955618" w:rsidRPr="00955618">
        <w:rPr>
          <w:rFonts w:ascii="Arial" w:hAnsi="Arial" w:cs="Arial"/>
          <w:sz w:val="20"/>
          <w:szCs w:val="20"/>
        </w:rPr>
        <w:t xml:space="preserve">s part of </w:t>
      </w:r>
      <w:r w:rsidR="00955618">
        <w:rPr>
          <w:rFonts w:ascii="Arial" w:hAnsi="Arial" w:cs="Arial"/>
          <w:sz w:val="20"/>
          <w:szCs w:val="20"/>
        </w:rPr>
        <w:t>a</w:t>
      </w:r>
      <w:r w:rsidR="00955618" w:rsidRPr="00955618">
        <w:rPr>
          <w:rFonts w:ascii="Arial" w:hAnsi="Arial" w:cs="Arial"/>
          <w:sz w:val="20"/>
          <w:szCs w:val="20"/>
        </w:rPr>
        <w:t xml:space="preserve"> Joint Counter Terrorism </w:t>
      </w:r>
      <w:r w:rsidR="000B7637">
        <w:rPr>
          <w:rFonts w:ascii="Arial" w:hAnsi="Arial" w:cs="Arial"/>
          <w:sz w:val="20"/>
          <w:szCs w:val="20"/>
        </w:rPr>
        <w:t>T</w:t>
      </w:r>
      <w:r w:rsidR="00955618" w:rsidRPr="00955618">
        <w:rPr>
          <w:rFonts w:ascii="Arial" w:hAnsi="Arial" w:cs="Arial"/>
          <w:sz w:val="20"/>
          <w:szCs w:val="20"/>
        </w:rPr>
        <w:t xml:space="preserve">eam </w:t>
      </w:r>
      <w:r w:rsidR="000B7637">
        <w:rPr>
          <w:rFonts w:ascii="Arial" w:hAnsi="Arial" w:cs="Arial"/>
          <w:sz w:val="20"/>
          <w:szCs w:val="20"/>
        </w:rPr>
        <w:t xml:space="preserve">(JCTT) </w:t>
      </w:r>
      <w:r w:rsidR="00955618" w:rsidRPr="00955618">
        <w:rPr>
          <w:rFonts w:ascii="Arial" w:hAnsi="Arial" w:cs="Arial"/>
          <w:sz w:val="20"/>
          <w:szCs w:val="20"/>
        </w:rPr>
        <w:t>investigation into the child</w:t>
      </w:r>
      <w:r w:rsidR="000867E8">
        <w:rPr>
          <w:rFonts w:ascii="Arial" w:hAnsi="Arial" w:cs="Arial"/>
          <w:sz w:val="20"/>
          <w:szCs w:val="20"/>
        </w:rPr>
        <w:t>,</w:t>
      </w:r>
      <w:r w:rsidR="00955618" w:rsidRPr="00955618">
        <w:rPr>
          <w:rFonts w:ascii="Arial" w:hAnsi="Arial" w:cs="Arial"/>
          <w:sz w:val="20"/>
          <w:szCs w:val="20"/>
        </w:rPr>
        <w:t xml:space="preserve"> an </w:t>
      </w:r>
      <w:r w:rsidR="00955618">
        <w:rPr>
          <w:rFonts w:ascii="Arial" w:hAnsi="Arial" w:cs="Arial"/>
          <w:sz w:val="20"/>
          <w:szCs w:val="20"/>
        </w:rPr>
        <w:t>online covert operative (</w:t>
      </w:r>
      <w:r w:rsidR="00955618" w:rsidRPr="00955618">
        <w:rPr>
          <w:rFonts w:ascii="Arial" w:hAnsi="Arial" w:cs="Arial"/>
          <w:sz w:val="20"/>
          <w:szCs w:val="20"/>
        </w:rPr>
        <w:t>OCO</w:t>
      </w:r>
      <w:r w:rsidR="00955618">
        <w:rPr>
          <w:rFonts w:ascii="Arial" w:hAnsi="Arial" w:cs="Arial"/>
          <w:sz w:val="20"/>
          <w:szCs w:val="20"/>
        </w:rPr>
        <w:t>)</w:t>
      </w:r>
      <w:r w:rsidR="00955618" w:rsidRPr="00955618">
        <w:rPr>
          <w:rFonts w:ascii="Arial" w:hAnsi="Arial" w:cs="Arial"/>
          <w:sz w:val="20"/>
          <w:szCs w:val="20"/>
        </w:rPr>
        <w:t xml:space="preserve"> was </w:t>
      </w:r>
      <w:r w:rsidR="000867E8">
        <w:rPr>
          <w:rFonts w:ascii="Arial" w:hAnsi="Arial" w:cs="Arial"/>
          <w:sz w:val="20"/>
          <w:szCs w:val="20"/>
        </w:rPr>
        <w:t xml:space="preserve">also </w:t>
      </w:r>
      <w:r w:rsidR="00955618" w:rsidRPr="00955618">
        <w:rPr>
          <w:rFonts w:ascii="Arial" w:hAnsi="Arial" w:cs="Arial"/>
          <w:sz w:val="20"/>
          <w:szCs w:val="20"/>
        </w:rPr>
        <w:t xml:space="preserve">appointed and engaged with the </w:t>
      </w:r>
      <w:r w:rsidR="00955618" w:rsidRPr="00955618">
        <w:rPr>
          <w:rFonts w:ascii="Arial" w:hAnsi="Arial" w:cs="Arial"/>
          <w:sz w:val="20"/>
          <w:szCs w:val="20"/>
        </w:rPr>
        <w:lastRenderedPageBreak/>
        <w:t xml:space="preserve">child secretly online. TC’s parents </w:t>
      </w:r>
      <w:r w:rsidR="00955618">
        <w:rPr>
          <w:rFonts w:ascii="Arial" w:hAnsi="Arial" w:cs="Arial"/>
          <w:sz w:val="20"/>
          <w:szCs w:val="20"/>
        </w:rPr>
        <w:t xml:space="preserve">and TC’s psychologist </w:t>
      </w:r>
      <w:r w:rsidR="00955618" w:rsidRPr="00955618">
        <w:rPr>
          <w:rFonts w:ascii="Arial" w:hAnsi="Arial" w:cs="Arial"/>
          <w:sz w:val="20"/>
          <w:szCs w:val="20"/>
        </w:rPr>
        <w:t xml:space="preserve">were unaware of the existence of the OCO. </w:t>
      </w:r>
      <w:r w:rsidR="00955618">
        <w:rPr>
          <w:rFonts w:ascii="Arial" w:hAnsi="Arial" w:cs="Arial"/>
          <w:sz w:val="20"/>
          <w:szCs w:val="20"/>
        </w:rPr>
        <w:t xml:space="preserve"> In the course of a large number of ‘grooming’ conversations with the OCO, </w:t>
      </w:r>
      <w:r w:rsidR="00955618" w:rsidRPr="00955618">
        <w:rPr>
          <w:rFonts w:ascii="Arial" w:hAnsi="Arial" w:cs="Arial"/>
          <w:sz w:val="20"/>
          <w:szCs w:val="20"/>
        </w:rPr>
        <w:t>TC’s online behaviour escalated</w:t>
      </w:r>
      <w:r w:rsidR="001216CB">
        <w:rPr>
          <w:rFonts w:ascii="Arial" w:hAnsi="Arial" w:cs="Arial"/>
          <w:sz w:val="20"/>
          <w:szCs w:val="20"/>
        </w:rPr>
        <w:t xml:space="preserve"> and</w:t>
      </w:r>
      <w:r w:rsidR="00955618" w:rsidRPr="00955618">
        <w:rPr>
          <w:rFonts w:ascii="Arial" w:hAnsi="Arial" w:cs="Arial"/>
          <w:sz w:val="20"/>
          <w:szCs w:val="20"/>
        </w:rPr>
        <w:t xml:space="preserve"> a knife with ISIS written on it was found in his bedroom</w:t>
      </w:r>
      <w:r w:rsidR="001216CB">
        <w:rPr>
          <w:rFonts w:ascii="Arial" w:hAnsi="Arial" w:cs="Arial"/>
          <w:sz w:val="20"/>
          <w:szCs w:val="20"/>
        </w:rPr>
        <w:t>.  S</w:t>
      </w:r>
      <w:r w:rsidR="00955618">
        <w:rPr>
          <w:rFonts w:ascii="Arial" w:hAnsi="Arial" w:cs="Arial"/>
          <w:sz w:val="20"/>
          <w:szCs w:val="20"/>
        </w:rPr>
        <w:t xml:space="preserve">hortly </w:t>
      </w:r>
      <w:r w:rsidR="00955618" w:rsidRPr="00955618">
        <w:rPr>
          <w:rFonts w:ascii="Arial" w:hAnsi="Arial" w:cs="Arial"/>
          <w:sz w:val="20"/>
          <w:szCs w:val="20"/>
        </w:rPr>
        <w:t xml:space="preserve">after </w:t>
      </w:r>
      <w:r w:rsidR="00BB4510">
        <w:rPr>
          <w:rFonts w:ascii="Arial" w:hAnsi="Arial" w:cs="Arial"/>
          <w:sz w:val="20"/>
          <w:szCs w:val="20"/>
        </w:rPr>
        <w:t>his 14</w:t>
      </w:r>
      <w:r w:rsidR="00BB4510" w:rsidRPr="00BB4510">
        <w:rPr>
          <w:rFonts w:ascii="Arial" w:hAnsi="Arial" w:cs="Arial"/>
          <w:sz w:val="20"/>
          <w:szCs w:val="20"/>
          <w:vertAlign w:val="superscript"/>
        </w:rPr>
        <w:t>th</w:t>
      </w:r>
      <w:r w:rsidR="00BB4510">
        <w:rPr>
          <w:rFonts w:ascii="Arial" w:hAnsi="Arial" w:cs="Arial"/>
          <w:sz w:val="20"/>
          <w:szCs w:val="20"/>
        </w:rPr>
        <w:t xml:space="preserve"> birthday</w:t>
      </w:r>
      <w:r w:rsidR="00955618" w:rsidRPr="00955618">
        <w:rPr>
          <w:rFonts w:ascii="Arial" w:hAnsi="Arial" w:cs="Arial"/>
          <w:sz w:val="20"/>
          <w:szCs w:val="20"/>
        </w:rPr>
        <w:t xml:space="preserve"> </w:t>
      </w:r>
      <w:r w:rsidR="00877C39">
        <w:rPr>
          <w:rFonts w:ascii="Arial" w:hAnsi="Arial" w:cs="Arial"/>
          <w:sz w:val="20"/>
          <w:szCs w:val="20"/>
        </w:rPr>
        <w:t>TC</w:t>
      </w:r>
      <w:r w:rsidR="00955618" w:rsidRPr="00955618">
        <w:rPr>
          <w:rFonts w:ascii="Arial" w:hAnsi="Arial" w:cs="Arial"/>
          <w:sz w:val="20"/>
          <w:szCs w:val="20"/>
        </w:rPr>
        <w:t xml:space="preserve"> was charged with </w:t>
      </w:r>
      <w:r w:rsidR="00955618">
        <w:rPr>
          <w:rFonts w:ascii="Arial" w:hAnsi="Arial" w:cs="Arial"/>
          <w:sz w:val="20"/>
          <w:szCs w:val="20"/>
        </w:rPr>
        <w:t>two</w:t>
      </w:r>
      <w:r w:rsidR="00955618" w:rsidRPr="00955618">
        <w:rPr>
          <w:rFonts w:ascii="Arial" w:hAnsi="Arial" w:cs="Arial"/>
          <w:sz w:val="20"/>
          <w:szCs w:val="20"/>
        </w:rPr>
        <w:t xml:space="preserve"> offences</w:t>
      </w:r>
      <w:r w:rsidR="00955618">
        <w:rPr>
          <w:rFonts w:ascii="Arial" w:hAnsi="Arial" w:cs="Arial"/>
          <w:sz w:val="20"/>
          <w:szCs w:val="20"/>
        </w:rPr>
        <w:t>:</w:t>
      </w:r>
    </w:p>
    <w:p w14:paraId="073EDFB6" w14:textId="77777777" w:rsidR="00BB4510" w:rsidRDefault="00955618" w:rsidP="002F5EE0">
      <w:pPr>
        <w:jc w:val="both"/>
        <w:rPr>
          <w:rFonts w:ascii="Arial" w:hAnsi="Arial" w:cs="Arial"/>
          <w:sz w:val="20"/>
          <w:szCs w:val="20"/>
        </w:rPr>
      </w:pPr>
      <w:r>
        <w:rPr>
          <w:rFonts w:ascii="Arial" w:hAnsi="Arial" w:cs="Arial"/>
          <w:sz w:val="20"/>
          <w:szCs w:val="20"/>
        </w:rPr>
        <w:t xml:space="preserve">(1) membership of a terrorist organisation </w:t>
      </w:r>
      <w:r w:rsidRPr="0093550F">
        <w:rPr>
          <w:rFonts w:ascii="Arial" w:hAnsi="Arial" w:cs="Arial"/>
          <w:sz w:val="20"/>
          <w:szCs w:val="20"/>
        </w:rPr>
        <w:t xml:space="preserve">contrary to s 102.3 of the </w:t>
      </w:r>
      <w:r w:rsidRPr="0093550F">
        <w:rPr>
          <w:rFonts w:ascii="Arial" w:eastAsia="Book Antiqua" w:hAnsi="Arial" w:cs="Arial"/>
          <w:i/>
          <w:sz w:val="20"/>
          <w:szCs w:val="20"/>
        </w:rPr>
        <w:t>Criminal Code Act 1995 (</w:t>
      </w:r>
      <w:proofErr w:type="spellStart"/>
      <w:r w:rsidRPr="0093550F">
        <w:rPr>
          <w:rFonts w:ascii="Arial" w:eastAsia="Book Antiqua" w:hAnsi="Arial" w:cs="Arial"/>
          <w:i/>
          <w:sz w:val="20"/>
          <w:szCs w:val="20"/>
        </w:rPr>
        <w:t>Cth</w:t>
      </w:r>
      <w:proofErr w:type="spellEnd"/>
      <w:r w:rsidRPr="0093550F">
        <w:rPr>
          <w:rFonts w:ascii="Arial" w:eastAsia="Book Antiqua" w:hAnsi="Arial" w:cs="Arial"/>
          <w:i/>
          <w:sz w:val="20"/>
          <w:szCs w:val="20"/>
        </w:rPr>
        <w:t>)</w:t>
      </w:r>
      <w:r w:rsidR="00BB4510" w:rsidRPr="00BB4510">
        <w:rPr>
          <w:rFonts w:ascii="Arial" w:eastAsia="Book Antiqua" w:hAnsi="Arial" w:cs="Arial"/>
          <w:iCs/>
          <w:sz w:val="20"/>
          <w:szCs w:val="20"/>
        </w:rPr>
        <w:t>;</w:t>
      </w:r>
      <w:r w:rsidRPr="00BB4510">
        <w:rPr>
          <w:rFonts w:ascii="Arial" w:eastAsia="Book Antiqua" w:hAnsi="Arial" w:cs="Arial"/>
          <w:iCs/>
          <w:sz w:val="20"/>
          <w:szCs w:val="20"/>
        </w:rPr>
        <w:t xml:space="preserve"> </w:t>
      </w:r>
      <w:r w:rsidRPr="00955618">
        <w:rPr>
          <w:rFonts w:ascii="Arial" w:eastAsia="Book Antiqua" w:hAnsi="Arial" w:cs="Arial"/>
          <w:iCs/>
          <w:sz w:val="20"/>
          <w:szCs w:val="20"/>
        </w:rPr>
        <w:t xml:space="preserve">and (2) </w:t>
      </w:r>
      <w:r w:rsidRPr="0093550F">
        <w:rPr>
          <w:rFonts w:ascii="Arial" w:hAnsi="Arial" w:cs="Arial"/>
          <w:sz w:val="20"/>
          <w:szCs w:val="20"/>
        </w:rPr>
        <w:t xml:space="preserve">advocating terrorism contrary to s 80.2C of </w:t>
      </w:r>
      <w:r w:rsidRPr="0093550F">
        <w:rPr>
          <w:rFonts w:ascii="Arial" w:eastAsia="Book Antiqua" w:hAnsi="Arial" w:cs="Arial"/>
          <w:i/>
          <w:sz w:val="20"/>
          <w:szCs w:val="20"/>
        </w:rPr>
        <w:t>the Code</w:t>
      </w:r>
      <w:r w:rsidRPr="0093550F">
        <w:rPr>
          <w:rFonts w:ascii="Arial" w:hAnsi="Arial" w:cs="Arial"/>
          <w:sz w:val="20"/>
          <w:szCs w:val="20"/>
        </w:rPr>
        <w:t>.</w:t>
      </w:r>
    </w:p>
    <w:p w14:paraId="101AE0BD" w14:textId="784657D6" w:rsidR="005D297C" w:rsidRPr="00FF672E" w:rsidRDefault="00955618" w:rsidP="002F5EE0">
      <w:pPr>
        <w:jc w:val="both"/>
        <w:rPr>
          <w:rFonts w:ascii="Arial" w:hAnsi="Arial" w:cs="Arial"/>
          <w:sz w:val="20"/>
          <w:szCs w:val="20"/>
        </w:rPr>
      </w:pPr>
      <w:r w:rsidRPr="0093550F">
        <w:rPr>
          <w:rFonts w:ascii="Arial" w:hAnsi="Arial" w:cs="Arial"/>
          <w:sz w:val="20"/>
          <w:szCs w:val="20"/>
        </w:rPr>
        <w:t xml:space="preserve">The charges </w:t>
      </w:r>
      <w:r w:rsidR="00BB4510">
        <w:rPr>
          <w:rFonts w:ascii="Arial" w:hAnsi="Arial" w:cs="Arial"/>
          <w:sz w:val="20"/>
          <w:szCs w:val="20"/>
        </w:rPr>
        <w:t>we</w:t>
      </w:r>
      <w:r w:rsidRPr="0093550F">
        <w:rPr>
          <w:rFonts w:ascii="Arial" w:hAnsi="Arial" w:cs="Arial"/>
          <w:sz w:val="20"/>
          <w:szCs w:val="20"/>
        </w:rPr>
        <w:t xml:space="preserve">re based on a number of utterances by </w:t>
      </w:r>
      <w:r w:rsidR="00A63726">
        <w:rPr>
          <w:rFonts w:ascii="Arial" w:hAnsi="Arial" w:cs="Arial"/>
          <w:sz w:val="20"/>
          <w:szCs w:val="20"/>
        </w:rPr>
        <w:t>TC</w:t>
      </w:r>
      <w:r w:rsidRPr="0093550F">
        <w:rPr>
          <w:rFonts w:ascii="Arial" w:hAnsi="Arial" w:cs="Arial"/>
          <w:sz w:val="20"/>
          <w:szCs w:val="20"/>
        </w:rPr>
        <w:t xml:space="preserve"> about terrorism and his expressed intention to engage in terrorist behaviour.  He also expressed his affection for and allegiance to terrorist organisations.  Much of this arose over a </w:t>
      </w:r>
      <w:r w:rsidR="00FF672E">
        <w:rPr>
          <w:rFonts w:ascii="Arial" w:hAnsi="Arial" w:cs="Arial"/>
          <w:sz w:val="20"/>
          <w:szCs w:val="20"/>
        </w:rPr>
        <w:t xml:space="preserve">71-day </w:t>
      </w:r>
      <w:r w:rsidRPr="0093550F">
        <w:rPr>
          <w:rFonts w:ascii="Arial" w:hAnsi="Arial" w:cs="Arial"/>
          <w:sz w:val="20"/>
          <w:szCs w:val="20"/>
        </w:rPr>
        <w:t xml:space="preserve">period between </w:t>
      </w:r>
      <w:r w:rsidR="00FF672E">
        <w:rPr>
          <w:rFonts w:ascii="Arial" w:hAnsi="Arial" w:cs="Arial"/>
          <w:sz w:val="20"/>
          <w:szCs w:val="20"/>
        </w:rPr>
        <w:t xml:space="preserve">29 </w:t>
      </w:r>
      <w:r w:rsidRPr="0093550F">
        <w:rPr>
          <w:rFonts w:ascii="Arial" w:hAnsi="Arial" w:cs="Arial"/>
          <w:sz w:val="20"/>
          <w:szCs w:val="20"/>
        </w:rPr>
        <w:t xml:space="preserve">July and </w:t>
      </w:r>
      <w:r w:rsidR="00FF672E">
        <w:rPr>
          <w:rFonts w:ascii="Arial" w:hAnsi="Arial" w:cs="Arial"/>
          <w:sz w:val="20"/>
          <w:szCs w:val="20"/>
        </w:rPr>
        <w:t xml:space="preserve">6 </w:t>
      </w:r>
      <w:r w:rsidRPr="0093550F">
        <w:rPr>
          <w:rFonts w:ascii="Arial" w:hAnsi="Arial" w:cs="Arial"/>
          <w:sz w:val="20"/>
          <w:szCs w:val="20"/>
        </w:rPr>
        <w:t xml:space="preserve">October 2021 </w:t>
      </w:r>
      <w:r w:rsidR="00FF672E">
        <w:rPr>
          <w:rFonts w:ascii="Arial" w:hAnsi="Arial" w:cs="Arial"/>
          <w:sz w:val="20"/>
          <w:szCs w:val="20"/>
        </w:rPr>
        <w:t>during which the OCO engaged with TC on 55 days.  The engagement occurred regularly and frequently and often more than once in a day</w:t>
      </w:r>
      <w:r w:rsidRPr="0093550F">
        <w:rPr>
          <w:rFonts w:ascii="Arial" w:hAnsi="Arial" w:cs="Arial"/>
          <w:sz w:val="20"/>
          <w:szCs w:val="20"/>
        </w:rPr>
        <w:t xml:space="preserve">.  </w:t>
      </w:r>
      <w:r w:rsidR="00FF672E">
        <w:rPr>
          <w:rFonts w:ascii="Arial" w:hAnsi="Arial" w:cs="Arial"/>
          <w:sz w:val="20"/>
          <w:szCs w:val="20"/>
        </w:rPr>
        <w:t xml:space="preserve">The evidence in the contested hearing before Magistrate Fleming was that TC </w:t>
      </w:r>
      <w:r w:rsidRPr="00955618">
        <w:rPr>
          <w:rFonts w:ascii="Arial" w:hAnsi="Arial" w:cs="Arial"/>
          <w:sz w:val="20"/>
          <w:szCs w:val="20"/>
        </w:rPr>
        <w:t>had limited capability to enact any of the behaviour discussed in the online chats</w:t>
      </w:r>
      <w:r>
        <w:rPr>
          <w:rFonts w:ascii="Arial" w:hAnsi="Arial" w:cs="Arial"/>
          <w:sz w:val="20"/>
          <w:szCs w:val="20"/>
        </w:rPr>
        <w:t xml:space="preserve"> with the OCO</w:t>
      </w:r>
      <w:r w:rsidRPr="00955618">
        <w:rPr>
          <w:rFonts w:ascii="Arial" w:hAnsi="Arial" w:cs="Arial"/>
          <w:sz w:val="20"/>
          <w:szCs w:val="20"/>
        </w:rPr>
        <w:t>.</w:t>
      </w:r>
    </w:p>
    <w:p w14:paraId="2FF7949E" w14:textId="072FA944" w:rsidR="005D297C" w:rsidRDefault="00FF672E" w:rsidP="00FF672E">
      <w:pPr>
        <w:spacing w:before="120"/>
        <w:jc w:val="both"/>
        <w:rPr>
          <w:rFonts w:ascii="Arial" w:hAnsi="Arial" w:cs="Arial"/>
          <w:sz w:val="20"/>
          <w:szCs w:val="20"/>
        </w:rPr>
      </w:pPr>
      <w:r>
        <w:rPr>
          <w:rFonts w:ascii="Arial" w:hAnsi="Arial" w:cs="Arial"/>
          <w:sz w:val="20"/>
          <w:szCs w:val="20"/>
        </w:rPr>
        <w:t xml:space="preserve">In ordering that the </w:t>
      </w:r>
      <w:r w:rsidR="00A73E04">
        <w:rPr>
          <w:rFonts w:ascii="Arial" w:hAnsi="Arial" w:cs="Arial"/>
          <w:sz w:val="20"/>
          <w:szCs w:val="20"/>
        </w:rPr>
        <w:t xml:space="preserve">criminal </w:t>
      </w:r>
      <w:r>
        <w:rPr>
          <w:rFonts w:ascii="Arial" w:hAnsi="Arial" w:cs="Arial"/>
          <w:sz w:val="20"/>
          <w:szCs w:val="20"/>
        </w:rPr>
        <w:t xml:space="preserve">proceedings against TC be permanently stayed, Magistrate Fleming </w:t>
      </w:r>
      <w:r w:rsidR="000B7637">
        <w:rPr>
          <w:rFonts w:ascii="Arial" w:hAnsi="Arial" w:cs="Arial"/>
          <w:sz w:val="20"/>
          <w:szCs w:val="20"/>
        </w:rPr>
        <w:t>sai</w:t>
      </w:r>
      <w:r>
        <w:rPr>
          <w:rFonts w:ascii="Arial" w:hAnsi="Arial" w:cs="Arial"/>
          <w:sz w:val="20"/>
          <w:szCs w:val="20"/>
        </w:rPr>
        <w:t>d at [72]</w:t>
      </w:r>
      <w:r w:rsidR="000B7637">
        <w:rPr>
          <w:rFonts w:ascii="Arial" w:hAnsi="Arial" w:cs="Arial"/>
          <w:sz w:val="20"/>
          <w:szCs w:val="20"/>
        </w:rPr>
        <w:noBreakHyphen/>
      </w:r>
      <w:r>
        <w:rPr>
          <w:rFonts w:ascii="Arial" w:hAnsi="Arial" w:cs="Arial"/>
          <w:sz w:val="20"/>
          <w:szCs w:val="20"/>
        </w:rPr>
        <w:t>[84]:</w:t>
      </w:r>
    </w:p>
    <w:p w14:paraId="617382FD" w14:textId="4A7F12A3" w:rsidR="00FF672E" w:rsidRPr="00FF672E" w:rsidRDefault="00FF672E" w:rsidP="00FF672E">
      <w:pPr>
        <w:spacing w:before="60"/>
        <w:ind w:left="567" w:right="567"/>
        <w:jc w:val="both"/>
        <w:rPr>
          <w:rFonts w:ascii="Arial" w:hAnsi="Arial" w:cs="Arial"/>
          <w:sz w:val="20"/>
          <w:szCs w:val="20"/>
        </w:rPr>
      </w:pPr>
      <w:r w:rsidRPr="00FF672E">
        <w:rPr>
          <w:rFonts w:ascii="Arial" w:hAnsi="Arial" w:cs="Arial"/>
          <w:sz w:val="20"/>
          <w:szCs w:val="20"/>
        </w:rPr>
        <w:t xml:space="preserve">[72] </w:t>
      </w:r>
      <w:r w:rsidR="000B7637">
        <w:rPr>
          <w:rFonts w:ascii="Arial" w:hAnsi="Arial" w:cs="Arial"/>
          <w:sz w:val="20"/>
          <w:szCs w:val="20"/>
        </w:rPr>
        <w:t>“</w:t>
      </w:r>
      <w:r w:rsidRPr="00FF672E">
        <w:rPr>
          <w:rFonts w:ascii="Arial" w:hAnsi="Arial" w:cs="Arial"/>
          <w:sz w:val="20"/>
          <w:szCs w:val="20"/>
        </w:rPr>
        <w:t>There is no doubt that terrorist activities are an abomination that strike fear into every citizen. It is right that the Prosecution describes the case before the Court as one of national security. The community is right to expect police entities to do all that they can to identify, investigate and prosecute offenders. The community also has a right to expect police entities to engage in conduct that is beyond reproach.</w:t>
      </w:r>
    </w:p>
    <w:p w14:paraId="67946CE0" w14:textId="717EEB04" w:rsidR="00FF672E" w:rsidRDefault="00FF672E" w:rsidP="00FF672E">
      <w:pPr>
        <w:spacing w:before="60"/>
        <w:ind w:left="567" w:right="567"/>
        <w:jc w:val="both"/>
        <w:rPr>
          <w:rFonts w:ascii="Arial" w:hAnsi="Arial" w:cs="Arial"/>
          <w:sz w:val="20"/>
          <w:szCs w:val="20"/>
        </w:rPr>
      </w:pPr>
      <w:r w:rsidRPr="00FF672E">
        <w:rPr>
          <w:rFonts w:ascii="Arial" w:hAnsi="Arial" w:cs="Arial"/>
          <w:sz w:val="20"/>
          <w:szCs w:val="20"/>
        </w:rPr>
        <w:t xml:space="preserve">[73] The diversionary program engaged in was tailor-made for TC. The evidence is that rehabilitation does not progress in a straight line, particularly when children are involved and especially when there are complex mental health factors in play. There will be lapses in a participant’s progress. This is to be expected. The AFP and Victoria Police are experienced in assessing risk and managing risk. Significantly, the first stage of police involvement with TC was to set up </w:t>
      </w:r>
      <w:r w:rsidR="000867E8">
        <w:rPr>
          <w:rFonts w:ascii="Arial" w:hAnsi="Arial" w:cs="Arial"/>
          <w:sz w:val="20"/>
          <w:szCs w:val="20"/>
        </w:rPr>
        <w:t xml:space="preserve">[the CVE] </w:t>
      </w:r>
      <w:r w:rsidRPr="00FF672E">
        <w:rPr>
          <w:rFonts w:ascii="Arial" w:hAnsi="Arial" w:cs="Arial"/>
          <w:sz w:val="20"/>
          <w:szCs w:val="20"/>
        </w:rPr>
        <w:t xml:space="preserve">rehabilitation program. It was the intention of </w:t>
      </w:r>
      <w:r w:rsidR="000867E8">
        <w:rPr>
          <w:rFonts w:ascii="Arial" w:hAnsi="Arial" w:cs="Arial"/>
          <w:sz w:val="20"/>
          <w:szCs w:val="20"/>
        </w:rPr>
        <w:t xml:space="preserve">[the case manager] </w:t>
      </w:r>
      <w:r w:rsidRPr="00FF672E">
        <w:rPr>
          <w:rFonts w:ascii="Arial" w:hAnsi="Arial" w:cs="Arial"/>
          <w:sz w:val="20"/>
          <w:szCs w:val="20"/>
        </w:rPr>
        <w:t xml:space="preserve">Ms </w:t>
      </w:r>
      <w:r w:rsidR="00BE76BB">
        <w:rPr>
          <w:rFonts w:ascii="Arial" w:hAnsi="Arial" w:cs="Arial"/>
          <w:sz w:val="20"/>
          <w:szCs w:val="20"/>
        </w:rPr>
        <w:t>CM</w:t>
      </w:r>
      <w:r w:rsidRPr="00FF672E">
        <w:rPr>
          <w:rFonts w:ascii="Arial" w:hAnsi="Arial" w:cs="Arial"/>
          <w:sz w:val="20"/>
          <w:szCs w:val="20"/>
        </w:rPr>
        <w:t xml:space="preserve"> to support TC and his family. I have no doubt that Ms </w:t>
      </w:r>
      <w:r w:rsidR="00BE76BB">
        <w:rPr>
          <w:rFonts w:ascii="Arial" w:hAnsi="Arial" w:cs="Arial"/>
          <w:sz w:val="20"/>
          <w:szCs w:val="20"/>
        </w:rPr>
        <w:t>CM</w:t>
      </w:r>
      <w:r w:rsidRPr="00FF672E">
        <w:rPr>
          <w:rFonts w:ascii="Arial" w:hAnsi="Arial" w:cs="Arial"/>
          <w:sz w:val="20"/>
          <w:szCs w:val="20"/>
        </w:rPr>
        <w:t xml:space="preserve">’s priority was rehabilitation. </w:t>
      </w:r>
      <w:r w:rsidR="000867E8">
        <w:rPr>
          <w:rFonts w:ascii="Arial" w:hAnsi="Arial" w:cs="Arial"/>
          <w:sz w:val="20"/>
          <w:szCs w:val="20"/>
        </w:rPr>
        <w:t>[But] t</w:t>
      </w:r>
      <w:r w:rsidRPr="00FF672E">
        <w:rPr>
          <w:rFonts w:ascii="Arial" w:hAnsi="Arial" w:cs="Arial"/>
          <w:sz w:val="20"/>
          <w:szCs w:val="20"/>
        </w:rPr>
        <w:t>he JCTT never intended to prioritise the rehabilitation program and TC’s reintegration into a pro</w:t>
      </w:r>
      <w:r w:rsidR="000867E8">
        <w:rPr>
          <w:rFonts w:ascii="Arial" w:hAnsi="Arial" w:cs="Arial"/>
          <w:sz w:val="20"/>
          <w:szCs w:val="20"/>
        </w:rPr>
        <w:t>-</w:t>
      </w:r>
      <w:r w:rsidRPr="00FF672E">
        <w:rPr>
          <w:rFonts w:ascii="Arial" w:hAnsi="Arial" w:cs="Arial"/>
          <w:sz w:val="20"/>
          <w:szCs w:val="20"/>
        </w:rPr>
        <w:t xml:space="preserve">social way of living. </w:t>
      </w:r>
      <w:r w:rsidR="00884063">
        <w:rPr>
          <w:rFonts w:ascii="Arial" w:hAnsi="Arial" w:cs="Arial"/>
          <w:sz w:val="20"/>
          <w:szCs w:val="20"/>
        </w:rPr>
        <w:t xml:space="preserve"> </w:t>
      </w:r>
      <w:r w:rsidRPr="00FF672E">
        <w:rPr>
          <w:rFonts w:ascii="Arial" w:hAnsi="Arial" w:cs="Arial"/>
          <w:sz w:val="20"/>
          <w:szCs w:val="20"/>
        </w:rPr>
        <w:t>The intention of the police entities became evident when the OCO was appointed.</w:t>
      </w:r>
    </w:p>
    <w:p w14:paraId="1F9C6603" w14:textId="56C04B2D" w:rsidR="00FF672E" w:rsidRDefault="00FF672E" w:rsidP="00FF672E">
      <w:pPr>
        <w:spacing w:before="60"/>
        <w:ind w:left="567" w:right="567"/>
        <w:jc w:val="both"/>
        <w:rPr>
          <w:rFonts w:ascii="Arial" w:hAnsi="Arial" w:cs="Arial"/>
          <w:sz w:val="20"/>
          <w:szCs w:val="20"/>
        </w:rPr>
      </w:pPr>
      <w:r>
        <w:rPr>
          <w:rFonts w:ascii="Arial" w:hAnsi="Arial" w:cs="Arial"/>
          <w:sz w:val="20"/>
          <w:szCs w:val="20"/>
        </w:rPr>
        <w:t>[</w:t>
      </w:r>
      <w:r w:rsidRPr="00FF672E">
        <w:rPr>
          <w:rFonts w:ascii="Arial" w:hAnsi="Arial" w:cs="Arial"/>
          <w:sz w:val="20"/>
          <w:szCs w:val="20"/>
        </w:rPr>
        <w:t>74</w:t>
      </w:r>
      <w:r>
        <w:rPr>
          <w:rFonts w:ascii="Arial" w:hAnsi="Arial" w:cs="Arial"/>
          <w:sz w:val="20"/>
          <w:szCs w:val="20"/>
        </w:rPr>
        <w:t>]</w:t>
      </w:r>
      <w:r w:rsidRPr="00FF672E">
        <w:rPr>
          <w:rFonts w:ascii="Arial" w:hAnsi="Arial" w:cs="Arial"/>
          <w:sz w:val="20"/>
          <w:szCs w:val="20"/>
        </w:rPr>
        <w:t xml:space="preserve"> The potential risk in relation to terrorism offences is of the highest order because the outcomes can be of the highest harm.</w:t>
      </w:r>
      <w:r w:rsidR="00884063">
        <w:rPr>
          <w:rFonts w:ascii="Arial" w:hAnsi="Arial" w:cs="Arial"/>
          <w:sz w:val="20"/>
          <w:szCs w:val="20"/>
        </w:rPr>
        <w:t xml:space="preserve"> </w:t>
      </w:r>
      <w:r w:rsidRPr="00FF672E">
        <w:rPr>
          <w:rFonts w:ascii="Arial" w:hAnsi="Arial" w:cs="Arial"/>
          <w:sz w:val="20"/>
          <w:szCs w:val="20"/>
        </w:rPr>
        <w:t xml:space="preserve"> The JCTT relied on the diversionary program undertaken by Victoria Police to assist it in the criminal investigation and in the gathering of evidence against TC.</w:t>
      </w:r>
    </w:p>
    <w:p w14:paraId="02DD4AD1" w14:textId="192B9432" w:rsidR="000B7637" w:rsidRDefault="00FF672E" w:rsidP="00FF672E">
      <w:pPr>
        <w:spacing w:before="60"/>
        <w:ind w:left="567" w:right="567"/>
        <w:jc w:val="both"/>
        <w:rPr>
          <w:rFonts w:ascii="Arial" w:hAnsi="Arial" w:cs="Arial"/>
          <w:sz w:val="20"/>
          <w:szCs w:val="20"/>
        </w:rPr>
      </w:pPr>
      <w:r>
        <w:rPr>
          <w:rFonts w:ascii="Arial" w:hAnsi="Arial" w:cs="Arial"/>
          <w:sz w:val="20"/>
          <w:szCs w:val="20"/>
        </w:rPr>
        <w:t>[</w:t>
      </w:r>
      <w:r w:rsidRPr="00FF672E">
        <w:rPr>
          <w:rFonts w:ascii="Arial" w:hAnsi="Arial" w:cs="Arial"/>
          <w:sz w:val="20"/>
          <w:szCs w:val="20"/>
        </w:rPr>
        <w:t>75</w:t>
      </w:r>
      <w:r>
        <w:rPr>
          <w:rFonts w:ascii="Arial" w:hAnsi="Arial" w:cs="Arial"/>
          <w:sz w:val="20"/>
          <w:szCs w:val="20"/>
        </w:rPr>
        <w:t>]</w:t>
      </w:r>
      <w:r w:rsidRPr="00FF672E">
        <w:rPr>
          <w:rFonts w:ascii="Arial" w:hAnsi="Arial" w:cs="Arial"/>
          <w:sz w:val="20"/>
          <w:szCs w:val="20"/>
        </w:rPr>
        <w:t xml:space="preserve"> Once the OCO commenced TC’s rehabilitation was thwarted. The evidence is that TC’s risk of committing an act of terrorism escalated.  The rehabilitation program was undermined by the contamination of the OCO. </w:t>
      </w:r>
      <w:r w:rsidR="00BB4510">
        <w:rPr>
          <w:rFonts w:ascii="Arial" w:hAnsi="Arial" w:cs="Arial"/>
          <w:sz w:val="20"/>
          <w:szCs w:val="20"/>
        </w:rPr>
        <w:t xml:space="preserve"> </w:t>
      </w:r>
      <w:r w:rsidRPr="00FF672E">
        <w:rPr>
          <w:rFonts w:ascii="Arial" w:hAnsi="Arial" w:cs="Arial"/>
          <w:sz w:val="20"/>
          <w:szCs w:val="20"/>
        </w:rPr>
        <w:t xml:space="preserve">Competing forces were at play which pulled TC in opposite directions. </w:t>
      </w:r>
      <w:r w:rsidR="00BB4510">
        <w:rPr>
          <w:rFonts w:ascii="Arial" w:hAnsi="Arial" w:cs="Arial"/>
          <w:sz w:val="20"/>
          <w:szCs w:val="20"/>
        </w:rPr>
        <w:t xml:space="preserve"> </w:t>
      </w:r>
      <w:r w:rsidRPr="00FF672E">
        <w:rPr>
          <w:rFonts w:ascii="Arial" w:hAnsi="Arial" w:cs="Arial"/>
          <w:sz w:val="20"/>
          <w:szCs w:val="20"/>
        </w:rPr>
        <w:t xml:space="preserve">The JCTT approached this case as though the threshold test was that no risk is acceptable when dealing with the grave threat of terrorism. </w:t>
      </w:r>
      <w:r w:rsidR="00BB4510">
        <w:rPr>
          <w:rFonts w:ascii="Arial" w:hAnsi="Arial" w:cs="Arial"/>
          <w:sz w:val="20"/>
          <w:szCs w:val="20"/>
        </w:rPr>
        <w:t xml:space="preserve"> </w:t>
      </w:r>
      <w:r w:rsidRPr="00FF672E">
        <w:rPr>
          <w:rFonts w:ascii="Arial" w:hAnsi="Arial" w:cs="Arial"/>
          <w:sz w:val="20"/>
          <w:szCs w:val="20"/>
        </w:rPr>
        <w:t>It is through this lens that the JCTT engaged in the conduct it has engaged in to detect the risk, assess it and act to ensure the protection of the community. The means however do not justify the end</w:t>
      </w:r>
      <w:r w:rsidR="00BB4510">
        <w:rPr>
          <w:rFonts w:ascii="Arial" w:hAnsi="Arial" w:cs="Arial"/>
          <w:sz w:val="20"/>
          <w:szCs w:val="20"/>
        </w:rPr>
        <w:t xml:space="preserve">: </w:t>
      </w:r>
      <w:r w:rsidR="00BB4510" w:rsidRPr="007875B5">
        <w:rPr>
          <w:rFonts w:ascii="Arial" w:hAnsi="Arial" w:cs="Arial"/>
          <w:i/>
          <w:iCs/>
          <w:sz w:val="20"/>
          <w:szCs w:val="20"/>
        </w:rPr>
        <w:t xml:space="preserve">Strickland </w:t>
      </w:r>
      <w:r w:rsidR="00CF4A4D">
        <w:rPr>
          <w:rFonts w:ascii="Arial" w:hAnsi="Arial" w:cs="Arial"/>
          <w:i/>
          <w:iCs/>
          <w:sz w:val="20"/>
          <w:szCs w:val="20"/>
        </w:rPr>
        <w:t>(a pseudonym)</w:t>
      </w:r>
      <w:r w:rsidR="00BB4510" w:rsidRPr="007875B5">
        <w:rPr>
          <w:rFonts w:ascii="Arial" w:hAnsi="Arial" w:cs="Arial"/>
          <w:i/>
          <w:iCs/>
          <w:sz w:val="20"/>
          <w:szCs w:val="20"/>
        </w:rPr>
        <w:t xml:space="preserve"> v CDPP</w:t>
      </w:r>
      <w:r w:rsidR="00BB4510">
        <w:rPr>
          <w:rFonts w:ascii="Arial" w:hAnsi="Arial" w:cs="Arial"/>
          <w:sz w:val="20"/>
          <w:szCs w:val="20"/>
        </w:rPr>
        <w:t xml:space="preserve"> [2018] HCA 53 at [106]</w:t>
      </w:r>
      <w:r w:rsidRPr="00FF672E">
        <w:rPr>
          <w:rFonts w:ascii="Arial" w:hAnsi="Arial" w:cs="Arial"/>
          <w:sz w:val="20"/>
          <w:szCs w:val="20"/>
        </w:rPr>
        <w:t xml:space="preserve">. </w:t>
      </w:r>
      <w:r w:rsidR="00BB4510">
        <w:rPr>
          <w:rFonts w:ascii="Arial" w:hAnsi="Arial" w:cs="Arial"/>
          <w:sz w:val="20"/>
          <w:szCs w:val="20"/>
        </w:rPr>
        <w:t xml:space="preserve"> </w:t>
      </w:r>
      <w:r w:rsidRPr="00FF672E">
        <w:rPr>
          <w:rFonts w:ascii="Arial" w:hAnsi="Arial" w:cs="Arial"/>
          <w:sz w:val="20"/>
          <w:szCs w:val="20"/>
        </w:rPr>
        <w:t xml:space="preserve">The conduct of the JCTT must be moderated by the circumstances of each case. The evidence obtained in the way it has been obtained has not </w:t>
      </w:r>
      <w:r w:rsidR="00BB4510">
        <w:rPr>
          <w:rFonts w:ascii="Arial" w:hAnsi="Arial" w:cs="Arial"/>
          <w:sz w:val="20"/>
          <w:szCs w:val="20"/>
        </w:rPr>
        <w:t>‘</w:t>
      </w:r>
      <w:r w:rsidRPr="00FF672E">
        <w:rPr>
          <w:rFonts w:ascii="Arial" w:hAnsi="Arial" w:cs="Arial"/>
          <w:sz w:val="20"/>
          <w:szCs w:val="20"/>
        </w:rPr>
        <w:t>worked itself pure</w:t>
      </w:r>
      <w:r w:rsidR="00BB4510">
        <w:rPr>
          <w:rFonts w:ascii="Arial" w:hAnsi="Arial" w:cs="Arial"/>
          <w:sz w:val="20"/>
          <w:szCs w:val="20"/>
        </w:rPr>
        <w:t xml:space="preserve">’ </w:t>
      </w:r>
      <w:r w:rsidR="007875B5">
        <w:rPr>
          <w:rFonts w:ascii="Arial" w:hAnsi="Arial" w:cs="Arial"/>
          <w:sz w:val="20"/>
          <w:szCs w:val="20"/>
        </w:rPr>
        <w:t xml:space="preserve">[to use] </w:t>
      </w:r>
      <w:r w:rsidR="00BB4510">
        <w:rPr>
          <w:rFonts w:ascii="Arial" w:hAnsi="Arial" w:cs="Arial"/>
          <w:sz w:val="20"/>
          <w:szCs w:val="20"/>
        </w:rPr>
        <w:t xml:space="preserve">an expression borrowed from </w:t>
      </w:r>
      <w:proofErr w:type="spellStart"/>
      <w:r w:rsidR="00BB4510" w:rsidRPr="007875B5">
        <w:rPr>
          <w:rFonts w:ascii="Arial" w:hAnsi="Arial" w:cs="Arial"/>
          <w:i/>
          <w:iCs/>
          <w:sz w:val="20"/>
          <w:szCs w:val="20"/>
        </w:rPr>
        <w:t>Omychund</w:t>
      </w:r>
      <w:proofErr w:type="spellEnd"/>
      <w:r w:rsidR="00BB4510" w:rsidRPr="007875B5">
        <w:rPr>
          <w:rFonts w:ascii="Arial" w:hAnsi="Arial" w:cs="Arial"/>
          <w:i/>
          <w:iCs/>
          <w:sz w:val="20"/>
          <w:szCs w:val="20"/>
        </w:rPr>
        <w:t xml:space="preserve"> v Barker</w:t>
      </w:r>
      <w:r w:rsidR="00BB4510">
        <w:rPr>
          <w:rFonts w:ascii="Arial" w:hAnsi="Arial" w:cs="Arial"/>
          <w:sz w:val="20"/>
          <w:szCs w:val="20"/>
        </w:rPr>
        <w:t xml:space="preserve"> (1744) 1 </w:t>
      </w:r>
      <w:proofErr w:type="spellStart"/>
      <w:r w:rsidR="00BB4510">
        <w:rPr>
          <w:rFonts w:ascii="Arial" w:hAnsi="Arial" w:cs="Arial"/>
          <w:sz w:val="20"/>
          <w:szCs w:val="20"/>
        </w:rPr>
        <w:t>Atk</w:t>
      </w:r>
      <w:proofErr w:type="spellEnd"/>
      <w:r w:rsidR="00BB4510">
        <w:rPr>
          <w:rFonts w:ascii="Arial" w:hAnsi="Arial" w:cs="Arial"/>
          <w:sz w:val="20"/>
          <w:szCs w:val="20"/>
        </w:rPr>
        <w:t xml:space="preserve"> 21 at 33 [26 ER 15 at 23]</w:t>
      </w:r>
      <w:r w:rsidRPr="00FF672E">
        <w:rPr>
          <w:rFonts w:ascii="Arial" w:hAnsi="Arial" w:cs="Arial"/>
          <w:sz w:val="20"/>
          <w:szCs w:val="20"/>
        </w:rPr>
        <w:t>.</w:t>
      </w:r>
    </w:p>
    <w:p w14:paraId="538A1C0F" w14:textId="37E0F677" w:rsidR="000B7637" w:rsidRDefault="000B7637" w:rsidP="00FF672E">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76</w:t>
      </w:r>
      <w:r>
        <w:rPr>
          <w:rFonts w:ascii="Arial" w:hAnsi="Arial" w:cs="Arial"/>
          <w:sz w:val="20"/>
          <w:szCs w:val="20"/>
        </w:rPr>
        <w:t>]</w:t>
      </w:r>
      <w:r w:rsidR="00FF672E" w:rsidRPr="00FF672E">
        <w:rPr>
          <w:rFonts w:ascii="Arial" w:hAnsi="Arial" w:cs="Arial"/>
          <w:sz w:val="20"/>
          <w:szCs w:val="20"/>
        </w:rPr>
        <w:t xml:space="preserve"> In </w:t>
      </w:r>
      <w:r w:rsidR="00FF672E" w:rsidRPr="000B7637">
        <w:rPr>
          <w:rFonts w:ascii="Arial" w:hAnsi="Arial" w:cs="Arial"/>
          <w:i/>
          <w:iCs/>
          <w:sz w:val="20"/>
          <w:szCs w:val="20"/>
        </w:rPr>
        <w:t>Clark v The Queen</w:t>
      </w:r>
      <w:r w:rsidR="00FF672E" w:rsidRPr="00FF672E">
        <w:rPr>
          <w:rFonts w:ascii="Arial" w:hAnsi="Arial" w:cs="Arial"/>
          <w:sz w:val="20"/>
          <w:szCs w:val="20"/>
        </w:rPr>
        <w:t xml:space="preserve"> [2016] VSCA 96, Weinberg, Ashley and Coghlan JJA, describing the principles underpinning the granting of a permanent stay in criminal proceedings, said at [13]-[19]:</w:t>
      </w:r>
    </w:p>
    <w:p w14:paraId="7A77D28F"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[13] ‘These principles are well settled. The power to order a permanent stay derives from the inherent (or, in some cases, implied) power of a court, including the County Court, to protect the integrity of its processes where the administration of justice so requires. It is a remedy that is invoked in order to prevent an abuse of process.</w:t>
      </w:r>
    </w:p>
    <w:p w14:paraId="0063A92D"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 xml:space="preserve">[14] The concept of abuse of process extends to the use of the court’s processes in a way that is inconsistent with two fundamental requirements arising in criminal proceedings. These are, first, that the court protect its ability to function as a court of law by ensuring that its processes are used fairly by State and citizen alike. The second is that unless the court protects its ability to function in that way, its failure will lead to an erosion of public confidence. The court’s processes will be seen as lending themselves to oppression and injustice. </w:t>
      </w:r>
    </w:p>
    <w:p w14:paraId="4C82F446"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[15] The continuation of proceedings that are unjustifiably and unfairly oppressive will, of itself, amount to an abuse of process. Moreover, as is well understood, a prosecution can be stayed if it has been instituted and maintained for an improper purpose.</w:t>
      </w:r>
    </w:p>
    <w:p w14:paraId="5A5E6CCE" w14:textId="19F84075" w:rsidR="000B7637" w:rsidRDefault="00FF672E" w:rsidP="00A63726">
      <w:pPr>
        <w:keepNext/>
        <w:keepLines/>
        <w:spacing w:before="60"/>
        <w:ind w:left="1021" w:right="1021"/>
        <w:jc w:val="both"/>
        <w:rPr>
          <w:rFonts w:ascii="Arial" w:hAnsi="Arial" w:cs="Arial"/>
          <w:sz w:val="18"/>
          <w:szCs w:val="18"/>
        </w:rPr>
      </w:pPr>
      <w:r w:rsidRPr="000B7637">
        <w:rPr>
          <w:rFonts w:ascii="Arial" w:hAnsi="Arial" w:cs="Arial"/>
          <w:sz w:val="18"/>
          <w:szCs w:val="18"/>
        </w:rPr>
        <w:lastRenderedPageBreak/>
        <w:t xml:space="preserve">[16] In a criminal context, the term </w:t>
      </w:r>
      <w:r w:rsidR="00BE76BB">
        <w:rPr>
          <w:rFonts w:ascii="Arial" w:hAnsi="Arial" w:cs="Arial"/>
          <w:sz w:val="18"/>
          <w:szCs w:val="18"/>
        </w:rPr>
        <w:t>“</w:t>
      </w:r>
      <w:r w:rsidRPr="000B7637">
        <w:rPr>
          <w:rFonts w:ascii="Arial" w:hAnsi="Arial" w:cs="Arial"/>
          <w:sz w:val="18"/>
          <w:szCs w:val="18"/>
        </w:rPr>
        <w:t>abuse of process</w:t>
      </w:r>
      <w:r w:rsidR="00BE76BB">
        <w:rPr>
          <w:rFonts w:ascii="Arial" w:hAnsi="Arial" w:cs="Arial"/>
          <w:sz w:val="18"/>
          <w:szCs w:val="18"/>
        </w:rPr>
        <w:t>”</w:t>
      </w:r>
      <w:r w:rsidRPr="000B7637">
        <w:rPr>
          <w:rFonts w:ascii="Arial" w:hAnsi="Arial" w:cs="Arial"/>
          <w:sz w:val="18"/>
          <w:szCs w:val="18"/>
        </w:rPr>
        <w:t xml:space="preserve"> encompasses not only circumstances within the narrowest conception of that term (such as bringing a prosecution for an improper purpose or maintaining one that is clearly foredoomed to fail), but also pursuing a criminal proceeding in a manner that is unfair and gives rise to oppression. </w:t>
      </w:r>
    </w:p>
    <w:p w14:paraId="35FDB999"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[17] It is only in an extreme case that a permanent stay of proceedings will be ordered. Necessarily, such cases will be rare. It follows that an applicant for a permanent stay must discharge a heavy onus if a court is to be persuaded to grant that remedy.</w:t>
      </w:r>
    </w:p>
    <w:p w14:paraId="2ACE214A" w14:textId="77777777" w:rsidR="000B7637" w:rsidRDefault="00FF672E" w:rsidP="000B7637">
      <w:pPr>
        <w:spacing w:before="60"/>
        <w:ind w:left="1021" w:right="1021"/>
        <w:jc w:val="both"/>
        <w:rPr>
          <w:rFonts w:ascii="Arial" w:hAnsi="Arial" w:cs="Arial"/>
          <w:sz w:val="18"/>
          <w:szCs w:val="18"/>
        </w:rPr>
      </w:pPr>
      <w:r w:rsidRPr="000B7637">
        <w:rPr>
          <w:rFonts w:ascii="Arial" w:hAnsi="Arial" w:cs="Arial"/>
          <w:sz w:val="18"/>
          <w:szCs w:val="18"/>
        </w:rPr>
        <w:t xml:space="preserve">[18] In determining whether a permanent stay should be granted, a court must have regard to the substantial public interest in having those charged with serious criminal offences brought to trial. A stay of that kind is tantamount to an immunity from prosecution and is not therefore lightly to be granted. </w:t>
      </w:r>
    </w:p>
    <w:p w14:paraId="15DFCCBF" w14:textId="77777777" w:rsidR="00A56260" w:rsidRDefault="00FF672E" w:rsidP="000B7637">
      <w:pPr>
        <w:spacing w:before="60"/>
        <w:ind w:left="1021" w:right="1021"/>
        <w:jc w:val="both"/>
        <w:rPr>
          <w:rFonts w:ascii="Arial" w:hAnsi="Arial" w:cs="Arial"/>
          <w:sz w:val="18"/>
          <w:szCs w:val="18"/>
        </w:rPr>
      </w:pPr>
      <w:r w:rsidRPr="007875B5">
        <w:rPr>
          <w:rFonts w:ascii="Arial" w:hAnsi="Arial" w:cs="Arial"/>
          <w:sz w:val="18"/>
          <w:szCs w:val="18"/>
        </w:rPr>
        <w:t>[19] There is more to a court’s decision as to whether a trial should proceed than fairness to the accused. An applicant for a stay must establish that the continuation of the proceedings would, not merely could, involve unacceptable injustice or unfairness. It must be shown that the continuation of the proceedings would be so unfairly and unjustifiably oppressive as to itself constitute an abuse of process.’</w:t>
      </w:r>
    </w:p>
    <w:p w14:paraId="67512AAB" w14:textId="45BE75AF" w:rsidR="000B7637" w:rsidRPr="00A56260" w:rsidRDefault="007875B5" w:rsidP="00A56260">
      <w:pPr>
        <w:spacing w:before="60"/>
        <w:ind w:left="567" w:right="567"/>
        <w:jc w:val="both"/>
        <w:rPr>
          <w:rFonts w:ascii="Arial" w:hAnsi="Arial" w:cs="Arial"/>
          <w:sz w:val="20"/>
          <w:szCs w:val="20"/>
        </w:rPr>
      </w:pPr>
      <w:r w:rsidRPr="00A56260">
        <w:rPr>
          <w:rFonts w:ascii="Arial" w:hAnsi="Arial" w:cs="Arial"/>
          <w:sz w:val="20"/>
          <w:szCs w:val="20"/>
        </w:rPr>
        <w:t xml:space="preserve">See also </w:t>
      </w:r>
      <w:r w:rsidRPr="00A56260">
        <w:rPr>
          <w:rFonts w:ascii="Arial" w:hAnsi="Arial" w:cs="Arial"/>
          <w:i/>
          <w:iCs/>
          <w:sz w:val="20"/>
          <w:szCs w:val="20"/>
        </w:rPr>
        <w:t xml:space="preserve">DPP v </w:t>
      </w:r>
      <w:proofErr w:type="spellStart"/>
      <w:r w:rsidRPr="00A56260">
        <w:rPr>
          <w:rFonts w:ascii="Arial" w:hAnsi="Arial" w:cs="Arial"/>
          <w:i/>
          <w:iCs/>
          <w:sz w:val="20"/>
          <w:szCs w:val="20"/>
        </w:rPr>
        <w:t>Tuteru</w:t>
      </w:r>
      <w:proofErr w:type="spellEnd"/>
      <w:r w:rsidRPr="00A56260">
        <w:rPr>
          <w:rFonts w:ascii="Arial" w:hAnsi="Arial" w:cs="Arial"/>
          <w:sz w:val="20"/>
          <w:szCs w:val="20"/>
        </w:rPr>
        <w:t xml:space="preserve"> [2023] VSCA 188 at [63]-[69].</w:t>
      </w:r>
    </w:p>
    <w:p w14:paraId="6F315D56" w14:textId="17FA138F" w:rsidR="007875B5"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77</w:t>
      </w:r>
      <w:r>
        <w:rPr>
          <w:rFonts w:ascii="Arial" w:hAnsi="Arial" w:cs="Arial"/>
          <w:sz w:val="20"/>
          <w:szCs w:val="20"/>
        </w:rPr>
        <w:t>]</w:t>
      </w:r>
      <w:r w:rsidR="00FF672E" w:rsidRPr="00FF672E">
        <w:rPr>
          <w:rFonts w:ascii="Arial" w:hAnsi="Arial" w:cs="Arial"/>
          <w:sz w:val="20"/>
          <w:szCs w:val="20"/>
        </w:rPr>
        <w:t xml:space="preserve"> A permanent stay may be ordered where there are no other means to protect the integrity of the court’s processes. Edelman J stated in </w:t>
      </w:r>
      <w:r w:rsidR="00FF672E" w:rsidRPr="000B7637">
        <w:rPr>
          <w:rFonts w:ascii="Arial" w:hAnsi="Arial" w:cs="Arial"/>
          <w:i/>
          <w:iCs/>
          <w:sz w:val="20"/>
          <w:szCs w:val="20"/>
        </w:rPr>
        <w:t>Strickland</w:t>
      </w:r>
      <w:r w:rsidR="000916A7" w:rsidRPr="00860E87">
        <w:rPr>
          <w:rFonts w:ascii="Arial" w:hAnsi="Arial" w:cs="Arial"/>
          <w:i/>
          <w:iCs/>
          <w:sz w:val="20"/>
          <w:szCs w:val="20"/>
        </w:rPr>
        <w:t xml:space="preserve"> </w:t>
      </w:r>
      <w:r w:rsidR="00860E87" w:rsidRPr="00860E87">
        <w:rPr>
          <w:rFonts w:ascii="Arial" w:hAnsi="Arial" w:cs="Arial"/>
          <w:i/>
          <w:iCs/>
          <w:sz w:val="20"/>
          <w:szCs w:val="20"/>
        </w:rPr>
        <w:t>v CDPP</w:t>
      </w:r>
      <w:r w:rsidR="00860E87">
        <w:rPr>
          <w:rFonts w:ascii="Arial" w:hAnsi="Arial" w:cs="Arial"/>
          <w:sz w:val="20"/>
          <w:szCs w:val="20"/>
        </w:rPr>
        <w:t xml:space="preserve"> </w:t>
      </w:r>
      <w:r w:rsidR="000916A7">
        <w:rPr>
          <w:rFonts w:ascii="Arial" w:hAnsi="Arial" w:cs="Arial"/>
          <w:sz w:val="20"/>
          <w:szCs w:val="20"/>
        </w:rPr>
        <w:t>at [249]:</w:t>
      </w:r>
    </w:p>
    <w:p w14:paraId="7BADE64A" w14:textId="5F515B86" w:rsidR="000B7637" w:rsidRPr="007875B5" w:rsidRDefault="00BE76BB" w:rsidP="007875B5">
      <w:pPr>
        <w:spacing w:before="60"/>
        <w:ind w:left="1021" w:right="1021"/>
        <w:jc w:val="both"/>
        <w:rPr>
          <w:rFonts w:ascii="Arial" w:hAnsi="Arial" w:cs="Arial"/>
          <w:sz w:val="18"/>
          <w:szCs w:val="18"/>
        </w:rPr>
      </w:pPr>
      <w:r>
        <w:rPr>
          <w:rFonts w:ascii="Arial" w:hAnsi="Arial" w:cs="Arial"/>
          <w:sz w:val="18"/>
          <w:szCs w:val="18"/>
        </w:rPr>
        <w:t>‘”</w:t>
      </w:r>
      <w:r w:rsidR="00FF672E" w:rsidRPr="007875B5">
        <w:rPr>
          <w:rFonts w:ascii="Arial" w:hAnsi="Arial" w:cs="Arial"/>
          <w:sz w:val="18"/>
          <w:szCs w:val="18"/>
        </w:rPr>
        <w:t>Abuse of process</w:t>
      </w:r>
      <w:r>
        <w:rPr>
          <w:rFonts w:ascii="Arial" w:hAnsi="Arial" w:cs="Arial"/>
          <w:sz w:val="18"/>
          <w:szCs w:val="18"/>
        </w:rPr>
        <w:t>”</w:t>
      </w:r>
      <w:r w:rsidR="00FF672E" w:rsidRPr="007875B5">
        <w:rPr>
          <w:rFonts w:ascii="Arial" w:hAnsi="Arial" w:cs="Arial"/>
          <w:sz w:val="18"/>
          <w:szCs w:val="18"/>
        </w:rPr>
        <w:t xml:space="preserve"> may not be the best language to describe the category where the focus is upon the integrity of the court generally rather than its particular processes. The rationale for this category has been described in various ways. The rationale has been described as being </w:t>
      </w:r>
      <w:r>
        <w:rPr>
          <w:rFonts w:ascii="Arial" w:hAnsi="Arial" w:cs="Arial"/>
          <w:sz w:val="18"/>
          <w:szCs w:val="18"/>
        </w:rPr>
        <w:t>“</w:t>
      </w:r>
      <w:r w:rsidR="00FF672E" w:rsidRPr="007875B5">
        <w:rPr>
          <w:rFonts w:ascii="Arial" w:hAnsi="Arial" w:cs="Arial"/>
          <w:sz w:val="18"/>
          <w:szCs w:val="18"/>
        </w:rPr>
        <w:t>a responsibility for the maintenance of the rule of law that embraces a willingness to oversee executive action and to refuse to countenance behaviour that threatens either basic human rights or the rule of law</w:t>
      </w:r>
      <w:r>
        <w:rPr>
          <w:rFonts w:ascii="Arial" w:hAnsi="Arial" w:cs="Arial"/>
          <w:sz w:val="18"/>
          <w:szCs w:val="18"/>
        </w:rPr>
        <w:t>”</w:t>
      </w:r>
      <w:r w:rsidR="00FF672E" w:rsidRPr="007875B5">
        <w:rPr>
          <w:rFonts w:ascii="Arial" w:hAnsi="Arial" w:cs="Arial"/>
          <w:sz w:val="18"/>
          <w:szCs w:val="18"/>
        </w:rPr>
        <w:t xml:space="preserve">. It has been described as avoiding </w:t>
      </w:r>
      <w:r>
        <w:rPr>
          <w:rFonts w:ascii="Arial" w:hAnsi="Arial" w:cs="Arial"/>
          <w:sz w:val="18"/>
          <w:szCs w:val="18"/>
        </w:rPr>
        <w:t>“</w:t>
      </w:r>
      <w:r w:rsidR="00FF672E" w:rsidRPr="007875B5">
        <w:rPr>
          <w:rFonts w:ascii="Arial" w:hAnsi="Arial" w:cs="Arial"/>
          <w:sz w:val="18"/>
          <w:szCs w:val="18"/>
        </w:rPr>
        <w:t>an erosion of public confidence</w:t>
      </w:r>
      <w:r>
        <w:rPr>
          <w:rFonts w:ascii="Arial" w:hAnsi="Arial" w:cs="Arial"/>
          <w:sz w:val="18"/>
          <w:szCs w:val="18"/>
        </w:rPr>
        <w:t>”</w:t>
      </w:r>
      <w:r w:rsidR="00FF672E" w:rsidRPr="007875B5">
        <w:rPr>
          <w:rFonts w:ascii="Arial" w:hAnsi="Arial" w:cs="Arial"/>
          <w:sz w:val="18"/>
          <w:szCs w:val="18"/>
        </w:rPr>
        <w:t>. It has also been described as arising where a trial would bring the administration of justice into disrepute. Each of these verbal formulations attempts to capture a concern for the systemic protection of the integrity of the court within an integrated system of justice. The possibility of an unfair trial, or a degree of unfairness in a trial, may be a factor contributing to that concern. But an unfair trial is not a prerequisite for a permanent stay in this category</w:t>
      </w:r>
      <w:r w:rsidR="000549D0">
        <w:rPr>
          <w:rFonts w:ascii="Arial" w:hAnsi="Arial" w:cs="Arial"/>
          <w:sz w:val="18"/>
          <w:szCs w:val="18"/>
        </w:rPr>
        <w:t>.’</w:t>
      </w:r>
      <w:r w:rsidR="00E71DB3">
        <w:rPr>
          <w:rFonts w:ascii="Arial" w:hAnsi="Arial" w:cs="Arial"/>
          <w:sz w:val="18"/>
          <w:szCs w:val="18"/>
        </w:rPr>
        <w:t xml:space="preserve"> (citations omitted)</w:t>
      </w:r>
    </w:p>
    <w:p w14:paraId="3727555C"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78</w:t>
      </w:r>
      <w:r>
        <w:rPr>
          <w:rFonts w:ascii="Arial" w:hAnsi="Arial" w:cs="Arial"/>
          <w:sz w:val="20"/>
          <w:szCs w:val="20"/>
        </w:rPr>
        <w:t>]</w:t>
      </w:r>
      <w:r w:rsidR="00FF672E" w:rsidRPr="00FF672E">
        <w:rPr>
          <w:rFonts w:ascii="Arial" w:hAnsi="Arial" w:cs="Arial"/>
          <w:sz w:val="20"/>
          <w:szCs w:val="20"/>
        </w:rPr>
        <w:t xml:space="preserve"> The chats between the OCO and TC were obtained in circumstances that do not meet the minimum standard that society expects of law enforcement officers.</w:t>
      </w:r>
    </w:p>
    <w:p w14:paraId="3320FDFD"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79</w:t>
      </w:r>
      <w:r>
        <w:rPr>
          <w:rFonts w:ascii="Arial" w:hAnsi="Arial" w:cs="Arial"/>
          <w:sz w:val="20"/>
          <w:szCs w:val="20"/>
        </w:rPr>
        <w:t>]</w:t>
      </w:r>
      <w:r w:rsidR="00FF672E" w:rsidRPr="00FF672E">
        <w:rPr>
          <w:rFonts w:ascii="Arial" w:hAnsi="Arial" w:cs="Arial"/>
          <w:sz w:val="20"/>
          <w:szCs w:val="20"/>
        </w:rPr>
        <w:t xml:space="preserve"> The community would not expect law enforcement officers to encourage a 13-14 year old child towards racial hatred, distrust of police and violent extremism, encouraging the child’s fixation on ISIS.</w:t>
      </w:r>
    </w:p>
    <w:p w14:paraId="1A9A9A74" w14:textId="2B7BA632"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80</w:t>
      </w:r>
      <w:r>
        <w:rPr>
          <w:rFonts w:ascii="Arial" w:hAnsi="Arial" w:cs="Arial"/>
          <w:sz w:val="20"/>
          <w:szCs w:val="20"/>
        </w:rPr>
        <w:t>]</w:t>
      </w:r>
      <w:r w:rsidR="00FF672E" w:rsidRPr="00FF672E">
        <w:rPr>
          <w:rFonts w:ascii="Arial" w:hAnsi="Arial" w:cs="Arial"/>
          <w:sz w:val="20"/>
          <w:szCs w:val="20"/>
        </w:rPr>
        <w:t xml:space="preserve"> The community would not expect law enforcement to use the guise of a rehabilitation service to entice the parents of a troubled child to engage in a process that results in potential harm to the child.</w:t>
      </w:r>
    </w:p>
    <w:p w14:paraId="0DDE25F7" w14:textId="77777777"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81</w:t>
      </w:r>
      <w:r>
        <w:rPr>
          <w:rFonts w:ascii="Arial" w:hAnsi="Arial" w:cs="Arial"/>
          <w:sz w:val="20"/>
          <w:szCs w:val="20"/>
        </w:rPr>
        <w:t>]</w:t>
      </w:r>
      <w:r w:rsidR="00FF672E" w:rsidRPr="00FF672E">
        <w:rPr>
          <w:rFonts w:ascii="Arial" w:hAnsi="Arial" w:cs="Arial"/>
          <w:sz w:val="20"/>
          <w:szCs w:val="20"/>
        </w:rPr>
        <w:t xml:space="preserve"> By its conduct in attempting to radicalise TC for the purposes of gaining evidence to prosecute TC for the offences with which he has been charged, the AFP has completely and inevitably undermined the therapeutic process initiated by TC’s parents and the CVE to seek help to engage TC in the therapeutic and rehabilitative process.</w:t>
      </w:r>
    </w:p>
    <w:p w14:paraId="6F58A292" w14:textId="41A3A541"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82</w:t>
      </w:r>
      <w:r>
        <w:rPr>
          <w:rFonts w:ascii="Arial" w:hAnsi="Arial" w:cs="Arial"/>
          <w:sz w:val="20"/>
          <w:szCs w:val="20"/>
        </w:rPr>
        <w:t>]</w:t>
      </w:r>
      <w:r w:rsidR="00FF672E" w:rsidRPr="00FF672E">
        <w:rPr>
          <w:rFonts w:ascii="Arial" w:hAnsi="Arial" w:cs="Arial"/>
          <w:sz w:val="20"/>
          <w:szCs w:val="20"/>
        </w:rPr>
        <w:t xml:space="preserve"> The conduct engaged in by the JCTT and the AFP falls so profoundly short of the minimum standards expected of law enforcement offices that to refuse this application would be to condone and encourage further instances of such conduct.</w:t>
      </w:r>
    </w:p>
    <w:p w14:paraId="5AA86D2D" w14:textId="3E078754" w:rsidR="000B7637"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83</w:t>
      </w:r>
      <w:r>
        <w:rPr>
          <w:rFonts w:ascii="Arial" w:hAnsi="Arial" w:cs="Arial"/>
          <w:sz w:val="20"/>
          <w:szCs w:val="20"/>
        </w:rPr>
        <w:t>]</w:t>
      </w:r>
      <w:r w:rsidR="00FF672E" w:rsidRPr="00FF672E">
        <w:rPr>
          <w:rFonts w:ascii="Arial" w:hAnsi="Arial" w:cs="Arial"/>
          <w:sz w:val="20"/>
          <w:szCs w:val="20"/>
        </w:rPr>
        <w:t xml:space="preserve"> I am satisfied that to allow this proceeding to continue would not only be unjustifiably and unfairly oppressive to TC but would also lead to an erosion in public confidence in the Court’s processes. The re-radicalisation of TC which was created by JCTT in the guise of OCO’s chats with TC were obtained in circumstances that fall far short of the minimum standard that society expects of law enforcement officers.</w:t>
      </w:r>
    </w:p>
    <w:p w14:paraId="512B7E69" w14:textId="6E5959B2" w:rsidR="00FF672E" w:rsidRPr="00FF672E" w:rsidRDefault="000B7637" w:rsidP="000B7637">
      <w:pPr>
        <w:spacing w:before="60"/>
        <w:ind w:left="567" w:right="567"/>
        <w:jc w:val="both"/>
        <w:rPr>
          <w:rFonts w:ascii="Arial" w:hAnsi="Arial" w:cs="Arial"/>
          <w:sz w:val="20"/>
          <w:szCs w:val="20"/>
        </w:rPr>
      </w:pPr>
      <w:r>
        <w:rPr>
          <w:rFonts w:ascii="Arial" w:hAnsi="Arial" w:cs="Arial"/>
          <w:sz w:val="20"/>
          <w:szCs w:val="20"/>
        </w:rPr>
        <w:t>[</w:t>
      </w:r>
      <w:r w:rsidR="00FF672E" w:rsidRPr="00FF672E">
        <w:rPr>
          <w:rFonts w:ascii="Arial" w:hAnsi="Arial" w:cs="Arial"/>
          <w:sz w:val="20"/>
          <w:szCs w:val="20"/>
        </w:rPr>
        <w:t>84</w:t>
      </w:r>
      <w:r>
        <w:rPr>
          <w:rFonts w:ascii="Arial" w:hAnsi="Arial" w:cs="Arial"/>
          <w:sz w:val="20"/>
          <w:szCs w:val="20"/>
        </w:rPr>
        <w:t>]</w:t>
      </w:r>
      <w:r w:rsidR="00FF672E" w:rsidRPr="00FF672E">
        <w:rPr>
          <w:rFonts w:ascii="Arial" w:hAnsi="Arial" w:cs="Arial"/>
          <w:sz w:val="20"/>
          <w:szCs w:val="20"/>
        </w:rPr>
        <w:t xml:space="preserve"> There is no other way to protect the integrity of the system of justice administered by the Court except to grant the application and order that the proceedings be permanently stayed.</w:t>
      </w:r>
      <w:r>
        <w:rPr>
          <w:rFonts w:ascii="Arial" w:hAnsi="Arial" w:cs="Arial"/>
          <w:sz w:val="20"/>
          <w:szCs w:val="20"/>
        </w:rPr>
        <w:t>”</w:t>
      </w:r>
    </w:p>
    <w:p w14:paraId="3CFBA3A6" w14:textId="77777777" w:rsidR="005D297C" w:rsidRPr="00FF672E" w:rsidRDefault="005D297C" w:rsidP="002F5EE0">
      <w:pPr>
        <w:jc w:val="both"/>
        <w:rPr>
          <w:rFonts w:ascii="Arial" w:hAnsi="Arial" w:cs="Arial"/>
          <w:color w:val="000000"/>
          <w:sz w:val="16"/>
          <w:szCs w:val="20"/>
        </w:rPr>
      </w:pPr>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lastRenderedPageBreak/>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r w:rsidRPr="00164487">
        <w:rPr>
          <w:rFonts w:ascii="Arial" w:hAnsi="Arial" w:cs="Arial"/>
          <w:i/>
          <w:color w:val="000000"/>
          <w:sz w:val="20"/>
          <w:szCs w:val="20"/>
        </w:rPr>
        <w:t>Jago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r w:rsidR="00F83143" w:rsidRPr="00164487">
        <w:rPr>
          <w:rFonts w:ascii="Arial" w:hAnsi="Arial" w:cs="Arial"/>
          <w:i/>
          <w:color w:val="000000"/>
          <w:sz w:val="20"/>
        </w:rPr>
        <w:t>Jago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3219C5AE" w14:textId="75746CB8" w:rsidR="00E02832" w:rsidRDefault="00E02832" w:rsidP="00E02832">
      <w:pPr>
        <w:jc w:val="both"/>
        <w:rPr>
          <w:rFonts w:ascii="Arial" w:hAnsi="Arial" w:cs="Arial"/>
          <w:sz w:val="20"/>
        </w:rPr>
      </w:pPr>
      <w:r>
        <w:rPr>
          <w:rFonts w:ascii="Arial" w:hAnsi="Arial" w:cs="Arial"/>
          <w:sz w:val="20"/>
        </w:rPr>
        <w:t xml:space="preserve">See also </w:t>
      </w:r>
      <w:r w:rsidRPr="00E02832">
        <w:rPr>
          <w:rFonts w:ascii="Arial" w:hAnsi="Arial" w:cs="Arial"/>
          <w:i/>
          <w:iCs/>
          <w:sz w:val="20"/>
        </w:rPr>
        <w:t>Ballard (a pseudonym) v The King</w:t>
      </w:r>
      <w:r>
        <w:rPr>
          <w:rFonts w:ascii="Arial" w:hAnsi="Arial" w:cs="Arial"/>
          <w:sz w:val="20"/>
        </w:rPr>
        <w:t xml:space="preserve"> [2024] VSCA 26 where the Court of Appeal held that a trial judge had not erred in refusing to order a permanent stay of a proposed retrial on charges of rape and reckless endangerment after a jury was discharged without verdict at an earlier trial.</w:t>
      </w:r>
    </w:p>
    <w:p w14:paraId="151C40C5" w14:textId="0E7BB978" w:rsidR="00E02832" w:rsidRDefault="00E02832" w:rsidP="00D64B2E">
      <w:pPr>
        <w:rPr>
          <w:rFonts w:ascii="Arial" w:hAnsi="Arial" w:cs="Arial"/>
          <w:sz w:val="20"/>
        </w:rPr>
      </w:pPr>
    </w:p>
    <w:p w14:paraId="489011BA" w14:textId="6F892CD3"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lastRenderedPageBreak/>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68" w:name="_3.3.4.2_Res_judicata,"/>
      <w:bookmarkStart w:id="269" w:name="B3342"/>
      <w:bookmarkEnd w:id="268"/>
      <w:bookmarkEnd w:id="269"/>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pPr>
        <w:keepNext/>
        <w:keepLines/>
        <w:numPr>
          <w:ilvl w:val="0"/>
          <w:numId w:val="81"/>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pPr>
        <w:numPr>
          <w:ilvl w:val="0"/>
          <w:numId w:val="81"/>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pPr>
        <w:numPr>
          <w:ilvl w:val="0"/>
          <w:numId w:val="81"/>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6DF8A0A5"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proofErr w:type="spellStart"/>
      <w:r w:rsidR="00F56D91" w:rsidRPr="00F56D91">
        <w:rPr>
          <w:rFonts w:ascii="Arial" w:hAnsi="Arial" w:cs="Arial"/>
          <w:i/>
          <w:iCs/>
          <w:sz w:val="20"/>
          <w:szCs w:val="20"/>
        </w:rPr>
        <w:t>Gemcan</w:t>
      </w:r>
      <w:proofErr w:type="spellEnd"/>
      <w:r w:rsidR="00F56D91" w:rsidRPr="00F56D91">
        <w:rPr>
          <w:rFonts w:ascii="Arial" w:hAnsi="Arial" w:cs="Arial"/>
          <w:i/>
          <w:iCs/>
          <w:sz w:val="20"/>
          <w:szCs w:val="20"/>
        </w:rPr>
        <w:t xml:space="preserve">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r w:rsidR="00486A96">
        <w:rPr>
          <w:rFonts w:ascii="Arial" w:hAnsi="Arial" w:cs="Arial"/>
          <w:sz w:val="20"/>
          <w:szCs w:val="20"/>
        </w:rPr>
        <w:t xml:space="preserve"> and by John Dixon J in </w:t>
      </w:r>
      <w:proofErr w:type="spellStart"/>
      <w:r w:rsidR="00486A96" w:rsidRPr="00486A96">
        <w:rPr>
          <w:rFonts w:ascii="Arial" w:hAnsi="Arial" w:cs="Arial"/>
          <w:i/>
          <w:iCs/>
          <w:sz w:val="20"/>
          <w:szCs w:val="20"/>
        </w:rPr>
        <w:t>Zaric</w:t>
      </w:r>
      <w:proofErr w:type="spellEnd"/>
      <w:r w:rsidR="00486A96" w:rsidRPr="00486A96">
        <w:rPr>
          <w:rFonts w:ascii="Arial" w:hAnsi="Arial" w:cs="Arial"/>
          <w:i/>
          <w:iCs/>
          <w:sz w:val="20"/>
          <w:szCs w:val="20"/>
        </w:rPr>
        <w:t xml:space="preserve"> &amp; </w:t>
      </w:r>
      <w:proofErr w:type="spellStart"/>
      <w:r w:rsidR="00486A96" w:rsidRPr="00486A96">
        <w:rPr>
          <w:rFonts w:ascii="Arial" w:hAnsi="Arial" w:cs="Arial"/>
          <w:i/>
          <w:iCs/>
          <w:sz w:val="20"/>
          <w:szCs w:val="20"/>
        </w:rPr>
        <w:t>Ors</w:t>
      </w:r>
      <w:proofErr w:type="spellEnd"/>
      <w:r w:rsidR="00486A96" w:rsidRPr="00486A96">
        <w:rPr>
          <w:rFonts w:ascii="Arial" w:hAnsi="Arial" w:cs="Arial"/>
          <w:i/>
          <w:iCs/>
          <w:sz w:val="20"/>
          <w:szCs w:val="20"/>
        </w:rPr>
        <w:t xml:space="preserve"> v City of Greater Dandenong</w:t>
      </w:r>
      <w:r w:rsidR="00486A96">
        <w:rPr>
          <w:rFonts w:ascii="Arial" w:hAnsi="Arial" w:cs="Arial"/>
          <w:sz w:val="20"/>
          <w:szCs w:val="20"/>
        </w:rPr>
        <w:t xml:space="preserve"> [2022] VSC 680 at [46]-[50]</w:t>
      </w:r>
      <w:r w:rsidR="00F56D91">
        <w:rPr>
          <w:rFonts w:ascii="Arial" w:hAnsi="Arial" w:cs="Arial"/>
          <w:sz w:val="20"/>
          <w:szCs w:val="20"/>
        </w:rPr>
        <w:t>.</w:t>
      </w:r>
    </w:p>
    <w:p w14:paraId="1B48C028" w14:textId="270B1A3A"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w:t>
      </w:r>
      <w:r>
        <w:rPr>
          <w:rFonts w:ascii="Arial" w:hAnsi="Arial" w:cs="Arial"/>
          <w:sz w:val="20"/>
          <w:szCs w:val="20"/>
        </w:rPr>
        <w:lastRenderedPageBreak/>
        <w:t xml:space="preserve">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w:t>
      </w:r>
      <w:r w:rsidRPr="00DE0813">
        <w:rPr>
          <w:rFonts w:ascii="Arial" w:hAnsi="Arial" w:cs="Arial"/>
          <w:sz w:val="20"/>
          <w:szCs w:val="20"/>
        </w:rPr>
        <w:lastRenderedPageBreak/>
        <w:t>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lastRenderedPageBreak/>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pPr>
        <w:numPr>
          <w:ilvl w:val="0"/>
          <w:numId w:val="50"/>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pPr>
        <w:numPr>
          <w:ilvl w:val="0"/>
          <w:numId w:val="50"/>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 xml:space="preserve">At the beginning of this hearing, I determined that the principle of issue estoppel precluded the court reconsidering the question of whether the allegations of sexual misconduct made by C1 and C2 against the father were proven on the balance of probabilities. Accordingly, </w:t>
      </w:r>
      <w:r w:rsidRPr="000D3DBE">
        <w:rPr>
          <w:rFonts w:ascii="Arial" w:hAnsi="Arial" w:cs="Arial"/>
          <w:sz w:val="20"/>
          <w:szCs w:val="20"/>
        </w:rPr>
        <w:lastRenderedPageBreak/>
        <w:t>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70"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70"/>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pPr>
        <w:pStyle w:val="ListParagraph"/>
        <w:numPr>
          <w:ilvl w:val="0"/>
          <w:numId w:val="76"/>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proofErr w:type="spellStart"/>
      <w:r w:rsidRPr="00BA55C5">
        <w:rPr>
          <w:rFonts w:ascii="Arial" w:hAnsi="Arial" w:cs="Arial"/>
          <w:i/>
          <w:iCs/>
          <w:sz w:val="20"/>
          <w:szCs w:val="16"/>
        </w:rPr>
        <w:t>Schorel</w:t>
      </w:r>
      <w:proofErr w:type="spellEnd"/>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pPr>
        <w:pStyle w:val="ListParagraph"/>
        <w:numPr>
          <w:ilvl w:val="0"/>
          <w:numId w:val="76"/>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pPr>
        <w:pStyle w:val="ListParagraph"/>
        <w:numPr>
          <w:ilvl w:val="0"/>
          <w:numId w:val="76"/>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pPr>
        <w:pStyle w:val="ListParagraph"/>
        <w:numPr>
          <w:ilvl w:val="0"/>
          <w:numId w:val="76"/>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There can be dispute as to whether child J suffered certain injuries and, indeed, whether either or both parents ought to be considered to bear responsibility for such injuries, without any need specifically to contend that the earlier order was ‘wrongly made’.”</w:t>
      </w:r>
    </w:p>
    <w:p w14:paraId="0CB93AEF" w14:textId="77777777" w:rsidR="00E55ACE" w:rsidRPr="00E55ACE" w:rsidRDefault="00E55ACE" w:rsidP="00E55ACE">
      <w:pPr>
        <w:ind w:right="567"/>
        <w:contextualSpacing/>
        <w:jc w:val="both"/>
        <w:rPr>
          <w:rFonts w:ascii="Arial" w:hAnsi="Arial" w:cs="Arial"/>
          <w:sz w:val="8"/>
          <w:szCs w:val="4"/>
        </w:rPr>
      </w:pPr>
    </w:p>
    <w:p w14:paraId="6DDD9CEF" w14:textId="385426D3" w:rsidR="00D15EEE" w:rsidRDefault="00E23DE2">
      <w:pPr>
        <w:pStyle w:val="ListParagraph"/>
        <w:numPr>
          <w:ilvl w:val="0"/>
          <w:numId w:val="76"/>
        </w:numPr>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 xml:space="preserve">However, no relation of such a kind exists between child </w:t>
      </w:r>
      <w:r w:rsidR="00201B53" w:rsidRPr="00201B53">
        <w:rPr>
          <w:rFonts w:ascii="Arial" w:hAnsi="Arial" w:cs="Arial"/>
          <w:b/>
          <w:bCs/>
          <w:sz w:val="20"/>
          <w:szCs w:val="16"/>
        </w:rPr>
        <w:lastRenderedPageBreak/>
        <w:t>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pPr>
        <w:pStyle w:val="ListParagraph"/>
        <w:numPr>
          <w:ilvl w:val="0"/>
          <w:numId w:val="76"/>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71" w:name="_3.3.4.3_Requirement_of"/>
      <w:bookmarkStart w:id="272" w:name="B3343"/>
      <w:bookmarkEnd w:id="271"/>
      <w:bookmarkEnd w:id="272"/>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legislation were significantly 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 xml:space="preserve">filed a protection application in relation to a child on the basis that she was in need of protection under s.162(1) CYFA.  The protective concerns were centred on an alleged risk of abuse by the stepfather DE and an associated risk that the mother </w:t>
      </w:r>
      <w:r w:rsidRPr="005172AB">
        <w:rPr>
          <w:rFonts w:ascii="Arial" w:hAnsi="Arial" w:cs="Arial"/>
          <w:sz w:val="20"/>
          <w:szCs w:val="20"/>
        </w:rPr>
        <w:lastRenderedPageBreak/>
        <w:t>[M]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Ginnane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5380CCAD" w14:textId="77777777" w:rsidR="00756901" w:rsidRDefault="00756901" w:rsidP="00756901">
      <w:pPr>
        <w:rPr>
          <w:rFonts w:ascii="Arial" w:hAnsi="Arial" w:cs="Arial"/>
          <w:sz w:val="20"/>
        </w:rPr>
      </w:pPr>
    </w:p>
    <w:p w14:paraId="0F38D80D" w14:textId="449F10E6" w:rsidR="00756901" w:rsidRPr="009F25D4" w:rsidRDefault="00756901" w:rsidP="00756901">
      <w:pPr>
        <w:pStyle w:val="Heading3"/>
        <w:keepNext/>
        <w:spacing w:line="240" w:lineRule="auto"/>
        <w:rPr>
          <w:rFonts w:ascii="Arial" w:hAnsi="Arial" w:cs="Arial"/>
          <w:b/>
          <w:bCs/>
          <w:color w:val="000000"/>
          <w:sz w:val="20"/>
        </w:rPr>
      </w:pPr>
      <w:bookmarkStart w:id="273" w:name="_3.3.4.4_Implied_power"/>
      <w:bookmarkEnd w:id="273"/>
      <w:r w:rsidRPr="006C4114">
        <w:rPr>
          <w:rFonts w:ascii="Arial" w:hAnsi="Arial" w:cs="Arial"/>
          <w:b/>
          <w:bCs/>
          <w:sz w:val="20"/>
        </w:rPr>
        <w:t>3.3.</w:t>
      </w:r>
      <w:r>
        <w:rPr>
          <w:rFonts w:ascii="Arial" w:hAnsi="Arial" w:cs="Arial"/>
          <w:b/>
          <w:bCs/>
          <w:sz w:val="20"/>
        </w:rPr>
        <w:t>4</w:t>
      </w:r>
      <w:r w:rsidRPr="006C4114">
        <w:rPr>
          <w:rFonts w:ascii="Arial" w:hAnsi="Arial" w:cs="Arial"/>
          <w:b/>
          <w:bCs/>
          <w:sz w:val="20"/>
        </w:rPr>
        <w:t>.</w:t>
      </w:r>
      <w:r>
        <w:rPr>
          <w:rFonts w:ascii="Arial" w:hAnsi="Arial" w:cs="Arial"/>
          <w:b/>
          <w:bCs/>
          <w:sz w:val="20"/>
        </w:rPr>
        <w:t>4</w:t>
      </w:r>
      <w:r w:rsidRPr="006C4114">
        <w:rPr>
          <w:rFonts w:ascii="Arial" w:hAnsi="Arial" w:cs="Arial"/>
          <w:b/>
          <w:bCs/>
          <w:sz w:val="20"/>
        </w:rPr>
        <w:tab/>
      </w:r>
      <w:r>
        <w:rPr>
          <w:rFonts w:ascii="Arial" w:hAnsi="Arial" w:cs="Arial"/>
          <w:b/>
          <w:bCs/>
          <w:sz w:val="20"/>
        </w:rPr>
        <w:t>Implied power to reinstate a</w:t>
      </w:r>
      <w:r w:rsidR="00C11A19">
        <w:rPr>
          <w:rFonts w:ascii="Arial" w:hAnsi="Arial" w:cs="Arial"/>
          <w:b/>
          <w:bCs/>
          <w:sz w:val="20"/>
        </w:rPr>
        <w:t xml:space="preserve"> proceeding</w:t>
      </w:r>
      <w:r>
        <w:rPr>
          <w:rFonts w:ascii="Arial" w:hAnsi="Arial" w:cs="Arial"/>
          <w:b/>
          <w:bCs/>
          <w:sz w:val="20"/>
        </w:rPr>
        <w:t xml:space="preserve"> which was struck out</w:t>
      </w:r>
    </w:p>
    <w:p w14:paraId="08FF1180" w14:textId="4B2DDC2D" w:rsidR="001A10A8" w:rsidRDefault="001A10A8" w:rsidP="001A10A8">
      <w:pPr>
        <w:spacing w:before="120"/>
        <w:jc w:val="both"/>
        <w:rPr>
          <w:rFonts w:ascii="Arial" w:hAnsi="Arial" w:cs="Arial"/>
          <w:sz w:val="20"/>
        </w:rPr>
      </w:pPr>
      <w:r>
        <w:rPr>
          <w:rFonts w:ascii="Arial" w:hAnsi="Arial" w:cs="Arial"/>
          <w:sz w:val="20"/>
        </w:rPr>
        <w:t>It seems clear enough that the Children’s Court in both the Family Division and the Criminal Division has implied power to reinstate a</w:t>
      </w:r>
      <w:r w:rsidR="00C11A19">
        <w:rPr>
          <w:rFonts w:ascii="Arial" w:hAnsi="Arial" w:cs="Arial"/>
          <w:sz w:val="20"/>
        </w:rPr>
        <w:t xml:space="preserve"> proceeding (whether comprising a</w:t>
      </w:r>
      <w:r>
        <w:rPr>
          <w:rFonts w:ascii="Arial" w:hAnsi="Arial" w:cs="Arial"/>
          <w:sz w:val="20"/>
        </w:rPr>
        <w:t xml:space="preserve">n application or </w:t>
      </w:r>
      <w:r w:rsidR="00C11A19">
        <w:rPr>
          <w:rFonts w:ascii="Arial" w:hAnsi="Arial" w:cs="Arial"/>
          <w:sz w:val="20"/>
        </w:rPr>
        <w:t xml:space="preserve">a </w:t>
      </w:r>
      <w:r>
        <w:rPr>
          <w:rFonts w:ascii="Arial" w:hAnsi="Arial" w:cs="Arial"/>
          <w:sz w:val="20"/>
        </w:rPr>
        <w:t>charge</w:t>
      </w:r>
      <w:r w:rsidR="00C11A19">
        <w:rPr>
          <w:rFonts w:ascii="Arial" w:hAnsi="Arial" w:cs="Arial"/>
          <w:sz w:val="20"/>
        </w:rPr>
        <w:t>)</w:t>
      </w:r>
      <w:r>
        <w:rPr>
          <w:rFonts w:ascii="Arial" w:hAnsi="Arial" w:cs="Arial"/>
          <w:sz w:val="20"/>
        </w:rPr>
        <w:t xml:space="preserve"> which </w:t>
      </w:r>
      <w:r w:rsidR="00C11A19">
        <w:rPr>
          <w:rFonts w:ascii="Arial" w:hAnsi="Arial" w:cs="Arial"/>
          <w:sz w:val="20"/>
        </w:rPr>
        <w:t>h</w:t>
      </w:r>
      <w:r>
        <w:rPr>
          <w:rFonts w:ascii="Arial" w:hAnsi="Arial" w:cs="Arial"/>
          <w:sz w:val="20"/>
        </w:rPr>
        <w:t xml:space="preserve">as </w:t>
      </w:r>
      <w:r w:rsidR="00C11A19">
        <w:rPr>
          <w:rFonts w:ascii="Arial" w:hAnsi="Arial" w:cs="Arial"/>
          <w:sz w:val="20"/>
        </w:rPr>
        <w:t xml:space="preserve">been </w:t>
      </w:r>
      <w:r>
        <w:rPr>
          <w:rFonts w:ascii="Arial" w:hAnsi="Arial" w:cs="Arial"/>
          <w:sz w:val="20"/>
        </w:rPr>
        <w:t xml:space="preserve">struck out.  In </w:t>
      </w:r>
      <w:r w:rsidRPr="001A10A8">
        <w:rPr>
          <w:rFonts w:ascii="Arial" w:hAnsi="Arial" w:cs="Arial"/>
          <w:i/>
          <w:iCs/>
          <w:sz w:val="20"/>
        </w:rPr>
        <w:t xml:space="preserve">The Herald and Weekly Times Pty Ltd &amp; Anor v State of Victoria &amp; </w:t>
      </w:r>
      <w:proofErr w:type="spellStart"/>
      <w:r w:rsidRPr="001A10A8">
        <w:rPr>
          <w:rFonts w:ascii="Arial" w:hAnsi="Arial" w:cs="Arial"/>
          <w:i/>
          <w:iCs/>
          <w:sz w:val="20"/>
        </w:rPr>
        <w:t>Ors</w:t>
      </w:r>
      <w:proofErr w:type="spellEnd"/>
      <w:r>
        <w:rPr>
          <w:rFonts w:ascii="Arial" w:hAnsi="Arial" w:cs="Arial"/>
          <w:sz w:val="20"/>
        </w:rPr>
        <w:t xml:space="preserve"> [2006] VSCA 146 the Court of Appeal (Chernov, Nettle &amp; Ashley JJA) held at [19] that the Victorian Civil and Administrative Tribunal had such an implied power in appropriate circumstances:</w:t>
      </w:r>
    </w:p>
    <w:p w14:paraId="64E71725" w14:textId="5FDF661B" w:rsidR="00756901" w:rsidRPr="003675B1" w:rsidRDefault="00756901" w:rsidP="00756901">
      <w:pPr>
        <w:spacing w:before="80"/>
        <w:ind w:left="567" w:right="567"/>
        <w:jc w:val="both"/>
        <w:rPr>
          <w:rFonts w:ascii="Arial" w:hAnsi="Arial" w:cs="Arial"/>
          <w:color w:val="000000"/>
          <w:sz w:val="20"/>
          <w:szCs w:val="20"/>
          <w:shd w:val="clear" w:color="auto" w:fill="FFFFFF"/>
        </w:rPr>
      </w:pPr>
      <w:r w:rsidRPr="003675B1">
        <w:rPr>
          <w:rFonts w:ascii="Arial" w:hAnsi="Arial" w:cs="Arial"/>
          <w:color w:val="000000"/>
          <w:sz w:val="20"/>
          <w:szCs w:val="20"/>
          <w:shd w:val="clear" w:color="auto" w:fill="FFFFFF"/>
        </w:rPr>
        <w:t>“In our view, the Tribunal does have the implied power, in appropriate circumstances, to reinstate a proceeding that it has struck out.</w:t>
      </w:r>
      <w:r w:rsidR="003675B1">
        <w:rPr>
          <w:rFonts w:ascii="Arial" w:hAnsi="Arial" w:cs="Arial"/>
          <w:color w:val="000000"/>
          <w:sz w:val="20"/>
          <w:szCs w:val="20"/>
          <w:shd w:val="clear" w:color="auto" w:fill="FFFFFF"/>
        </w:rPr>
        <w:t xml:space="preserve"> </w:t>
      </w:r>
      <w:r w:rsidRPr="003675B1">
        <w:rPr>
          <w:rFonts w:ascii="Arial" w:hAnsi="Arial" w:cs="Arial"/>
          <w:color w:val="000000"/>
          <w:sz w:val="20"/>
          <w:szCs w:val="20"/>
          <w:shd w:val="clear" w:color="auto" w:fill="FFFFFF"/>
        </w:rPr>
        <w:t xml:space="preserve"> Generally, as was pointed out by Kaye J in</w:t>
      </w:r>
      <w:r w:rsidR="003675B1">
        <w:rPr>
          <w:rFonts w:ascii="Arial" w:hAnsi="Arial" w:cs="Arial"/>
          <w:color w:val="000000"/>
          <w:sz w:val="20"/>
          <w:szCs w:val="20"/>
          <w:shd w:val="clear" w:color="auto" w:fill="FFFFFF"/>
        </w:rPr>
        <w:t xml:space="preserve"> </w:t>
      </w:r>
      <w:r w:rsidRPr="003675B1">
        <w:rPr>
          <w:rFonts w:ascii="Arial" w:hAnsi="Arial" w:cs="Arial"/>
          <w:i/>
          <w:iCs/>
          <w:color w:val="000000"/>
          <w:sz w:val="20"/>
          <w:szCs w:val="20"/>
          <w:shd w:val="clear" w:color="auto" w:fill="FFFFFF"/>
        </w:rPr>
        <w:t>R</w:t>
      </w:r>
      <w:r w:rsidR="003675B1">
        <w:rPr>
          <w:rFonts w:ascii="Arial" w:hAnsi="Arial" w:cs="Arial"/>
          <w:i/>
          <w:iCs/>
          <w:color w:val="000000"/>
          <w:sz w:val="20"/>
          <w:szCs w:val="20"/>
          <w:shd w:val="clear" w:color="auto" w:fill="FFFFFF"/>
        </w:rPr>
        <w:t> </w:t>
      </w:r>
      <w:r w:rsidRPr="003675B1">
        <w:rPr>
          <w:rFonts w:ascii="Arial" w:hAnsi="Arial" w:cs="Arial"/>
          <w:i/>
          <w:iCs/>
          <w:color w:val="000000"/>
          <w:sz w:val="20"/>
          <w:szCs w:val="20"/>
          <w:shd w:val="clear" w:color="auto" w:fill="FFFFFF"/>
        </w:rPr>
        <w:t xml:space="preserve">v. McGowan; Ex </w:t>
      </w:r>
      <w:proofErr w:type="spellStart"/>
      <w:r w:rsidRPr="003675B1">
        <w:rPr>
          <w:rFonts w:ascii="Arial" w:hAnsi="Arial" w:cs="Arial"/>
          <w:i/>
          <w:iCs/>
          <w:color w:val="000000"/>
          <w:sz w:val="20"/>
          <w:szCs w:val="20"/>
          <w:shd w:val="clear" w:color="auto" w:fill="FFFFFF"/>
        </w:rPr>
        <w:t>parte</w:t>
      </w:r>
      <w:proofErr w:type="spellEnd"/>
      <w:r w:rsidRPr="003675B1">
        <w:rPr>
          <w:rFonts w:ascii="Arial" w:hAnsi="Arial" w:cs="Arial"/>
          <w:i/>
          <w:iCs/>
          <w:color w:val="000000"/>
          <w:sz w:val="20"/>
          <w:szCs w:val="20"/>
          <w:shd w:val="clear" w:color="auto" w:fill="FFFFFF"/>
        </w:rPr>
        <w:t xml:space="preserve"> </w:t>
      </w:r>
      <w:proofErr w:type="spellStart"/>
      <w:r w:rsidRPr="003675B1">
        <w:rPr>
          <w:rFonts w:ascii="Arial" w:hAnsi="Arial" w:cs="Arial"/>
          <w:i/>
          <w:iCs/>
          <w:color w:val="000000"/>
          <w:sz w:val="20"/>
          <w:szCs w:val="20"/>
          <w:shd w:val="clear" w:color="auto" w:fill="FFFFFF"/>
        </w:rPr>
        <w:t>Macko</w:t>
      </w:r>
      <w:proofErr w:type="spellEnd"/>
      <w:r w:rsidRPr="003675B1">
        <w:rPr>
          <w:rFonts w:ascii="Arial" w:hAnsi="Arial" w:cs="Arial"/>
          <w:i/>
          <w:iCs/>
          <w:color w:val="000000"/>
          <w:sz w:val="20"/>
          <w:szCs w:val="20"/>
          <w:shd w:val="clear" w:color="auto" w:fill="FFFFFF"/>
        </w:rPr>
        <w:t xml:space="preserve"> &amp; Sanderson</w:t>
      </w:r>
      <w:r w:rsidR="003675B1">
        <w:rPr>
          <w:rFonts w:ascii="Arial" w:hAnsi="Arial" w:cs="Arial"/>
          <w:color w:val="000000"/>
          <w:sz w:val="20"/>
          <w:szCs w:val="20"/>
          <w:shd w:val="clear" w:color="auto" w:fill="FFFFFF"/>
        </w:rPr>
        <w:t xml:space="preserve"> [1984] VR 1000 at 1002, </w:t>
      </w:r>
      <w:r w:rsidRPr="003675B1">
        <w:rPr>
          <w:rFonts w:ascii="Arial" w:hAnsi="Arial" w:cs="Arial"/>
          <w:color w:val="000000"/>
          <w:sz w:val="20"/>
          <w:szCs w:val="20"/>
          <w:shd w:val="clear" w:color="auto" w:fill="FFFFFF"/>
        </w:rPr>
        <w:t>an order striking out an action does not terminate it. The latter occurs where judgment is entered in the proceeding or where it is discontinued. An order striking out an action, said his Honour, only has the effect of removing it from the list. It is plain enough, we think, that it would be a serious impediment to the Tribunal’s administration of the</w:t>
      </w:r>
      <w:r w:rsidR="003675B1">
        <w:rPr>
          <w:rFonts w:ascii="Arial" w:hAnsi="Arial" w:cs="Arial"/>
          <w:color w:val="000000"/>
          <w:sz w:val="20"/>
          <w:szCs w:val="20"/>
          <w:shd w:val="clear" w:color="auto" w:fill="FFFFFF"/>
        </w:rPr>
        <w:t xml:space="preserve"> </w:t>
      </w:r>
      <w:r w:rsidRPr="003675B1">
        <w:rPr>
          <w:rFonts w:ascii="Arial" w:hAnsi="Arial" w:cs="Arial"/>
          <w:sz w:val="20"/>
          <w:szCs w:val="20"/>
          <w:shd w:val="clear" w:color="auto" w:fill="FFFFFF"/>
        </w:rPr>
        <w:t>Act</w:t>
      </w:r>
      <w:r w:rsidR="003675B1">
        <w:rPr>
          <w:rFonts w:ascii="Arial" w:hAnsi="Arial" w:cs="Arial"/>
          <w:color w:val="000000"/>
          <w:sz w:val="20"/>
          <w:szCs w:val="20"/>
          <w:shd w:val="clear" w:color="auto" w:fill="FFFFFF"/>
        </w:rPr>
        <w:t xml:space="preserve"> </w:t>
      </w:r>
      <w:r w:rsidRPr="003675B1">
        <w:rPr>
          <w:rFonts w:ascii="Arial" w:hAnsi="Arial" w:cs="Arial"/>
          <w:color w:val="000000"/>
          <w:sz w:val="20"/>
          <w:szCs w:val="20"/>
          <w:shd w:val="clear" w:color="auto" w:fill="FFFFFF"/>
        </w:rPr>
        <w:t>if it could not reinstate a proceeding that was struck out in order to make an otherwise appropriate order in relation to it.</w:t>
      </w:r>
      <w:r w:rsidR="003675B1" w:rsidRPr="003675B1">
        <w:rPr>
          <w:rFonts w:ascii="Arial" w:hAnsi="Arial" w:cs="Arial"/>
          <w:color w:val="000000"/>
          <w:sz w:val="20"/>
          <w:szCs w:val="20"/>
          <w:shd w:val="clear" w:color="auto" w:fill="FFFFFF"/>
        </w:rPr>
        <w:t xml:space="preserve">  See also</w:t>
      </w:r>
      <w:r w:rsidR="001A10A8">
        <w:rPr>
          <w:rFonts w:ascii="Arial" w:hAnsi="Arial" w:cs="Arial"/>
          <w:color w:val="000000"/>
          <w:sz w:val="20"/>
          <w:szCs w:val="20"/>
          <w:shd w:val="clear" w:color="auto" w:fill="FFFFFF"/>
        </w:rPr>
        <w:t xml:space="preserve"> </w:t>
      </w:r>
      <w:r w:rsidR="003675B1" w:rsidRPr="003675B1">
        <w:rPr>
          <w:rFonts w:ascii="Arial" w:hAnsi="Arial" w:cs="Arial"/>
          <w:i/>
          <w:iCs/>
          <w:color w:val="000000"/>
          <w:sz w:val="20"/>
          <w:szCs w:val="20"/>
          <w:shd w:val="clear" w:color="auto" w:fill="FFFFFF"/>
        </w:rPr>
        <w:t>Aiken v. Aiken</w:t>
      </w:r>
      <w:r w:rsidR="001A10A8">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[1941] V</w:t>
      </w:r>
      <w:r w:rsidR="003675B1">
        <w:rPr>
          <w:rFonts w:ascii="Arial" w:hAnsi="Arial" w:cs="Arial"/>
          <w:color w:val="000000"/>
          <w:sz w:val="20"/>
          <w:szCs w:val="20"/>
          <w:shd w:val="clear" w:color="auto" w:fill="FFFFFF"/>
        </w:rPr>
        <w:t>LR</w:t>
      </w:r>
      <w:r w:rsidR="003675B1" w:rsidRPr="003675B1">
        <w:rPr>
          <w:rFonts w:ascii="Arial" w:hAnsi="Arial" w:cs="Arial"/>
          <w:color w:val="000000"/>
          <w:sz w:val="20"/>
          <w:szCs w:val="20"/>
          <w:shd w:val="clear" w:color="auto" w:fill="FFFFFF"/>
        </w:rPr>
        <w:t xml:space="preserve"> 124</w:t>
      </w:r>
      <w:r w:rsidR="003675B1">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and</w:t>
      </w:r>
      <w:r w:rsidR="003675B1">
        <w:rPr>
          <w:rFonts w:ascii="Arial" w:hAnsi="Arial" w:cs="Arial"/>
          <w:color w:val="000000"/>
          <w:sz w:val="20"/>
          <w:szCs w:val="20"/>
          <w:shd w:val="clear" w:color="auto" w:fill="FFFFFF"/>
        </w:rPr>
        <w:t xml:space="preserve"> </w:t>
      </w:r>
      <w:r w:rsidR="003675B1" w:rsidRPr="003675B1">
        <w:rPr>
          <w:rFonts w:ascii="Arial" w:hAnsi="Arial" w:cs="Arial"/>
          <w:i/>
          <w:iCs/>
          <w:color w:val="000000"/>
          <w:sz w:val="20"/>
          <w:szCs w:val="20"/>
          <w:shd w:val="clear" w:color="auto" w:fill="FFFFFF"/>
        </w:rPr>
        <w:t>Roberts v. Gippsland Agricultural and Earth Moving Contracting Co. Pty Ltd</w:t>
      </w:r>
      <w:r w:rsidR="001A10A8">
        <w:rPr>
          <w:rFonts w:ascii="Arial" w:hAnsi="Arial" w:cs="Arial"/>
          <w:i/>
          <w:iCs/>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[1956] V</w:t>
      </w:r>
      <w:r w:rsidR="003675B1">
        <w:rPr>
          <w:rFonts w:ascii="Arial" w:hAnsi="Arial" w:cs="Arial"/>
          <w:color w:val="000000"/>
          <w:sz w:val="20"/>
          <w:szCs w:val="20"/>
          <w:shd w:val="clear" w:color="auto" w:fill="FFFFFF"/>
        </w:rPr>
        <w:t>LR</w:t>
      </w:r>
      <w:r w:rsidR="003675B1" w:rsidRPr="003675B1">
        <w:rPr>
          <w:rFonts w:ascii="Arial" w:hAnsi="Arial" w:cs="Arial"/>
          <w:color w:val="000000"/>
          <w:sz w:val="20"/>
          <w:szCs w:val="20"/>
          <w:shd w:val="clear" w:color="auto" w:fill="FFFFFF"/>
        </w:rPr>
        <w:t xml:space="preserve"> 555 at</w:t>
      </w:r>
      <w:r w:rsidR="001A10A8">
        <w:rPr>
          <w:rFonts w:ascii="Arial" w:hAnsi="Arial" w:cs="Arial"/>
          <w:color w:val="000000"/>
          <w:sz w:val="20"/>
          <w:szCs w:val="20"/>
          <w:shd w:val="clear" w:color="auto" w:fill="FFFFFF"/>
        </w:rPr>
        <w:t xml:space="preserve"> </w:t>
      </w:r>
      <w:r w:rsidR="003675B1" w:rsidRPr="003675B1">
        <w:rPr>
          <w:rFonts w:ascii="Arial" w:hAnsi="Arial" w:cs="Arial"/>
          <w:sz w:val="20"/>
          <w:szCs w:val="20"/>
          <w:shd w:val="clear" w:color="auto" w:fill="FFFFFF"/>
        </w:rPr>
        <w:t>565</w:t>
      </w:r>
      <w:r w:rsidR="001A10A8">
        <w:rPr>
          <w:rFonts w:ascii="Arial" w:hAnsi="Arial" w:cs="Arial"/>
          <w:color w:val="000000"/>
          <w:sz w:val="20"/>
          <w:szCs w:val="20"/>
          <w:shd w:val="clear" w:color="auto" w:fill="FFFFFF"/>
        </w:rPr>
        <w:t xml:space="preserve"> </w:t>
      </w:r>
      <w:r w:rsidR="003675B1" w:rsidRPr="003675B1">
        <w:rPr>
          <w:rFonts w:ascii="Arial" w:hAnsi="Arial" w:cs="Arial"/>
          <w:color w:val="000000"/>
          <w:sz w:val="20"/>
          <w:szCs w:val="20"/>
          <w:shd w:val="clear" w:color="auto" w:fill="FFFFFF"/>
        </w:rPr>
        <w:t>per Smith J.</w:t>
      </w:r>
      <w:r w:rsidRPr="003675B1">
        <w:rPr>
          <w:rFonts w:ascii="Arial" w:hAnsi="Arial" w:cs="Arial"/>
          <w:color w:val="000000"/>
          <w:sz w:val="20"/>
          <w:szCs w:val="20"/>
          <w:shd w:val="clear" w:color="auto" w:fill="FFFFFF"/>
        </w:rPr>
        <w:t>”</w:t>
      </w:r>
    </w:p>
    <w:p w14:paraId="5E70581D" w14:textId="77777777" w:rsidR="00756901" w:rsidRDefault="00756901" w:rsidP="002F68AE">
      <w:pPr>
        <w:rPr>
          <w:rFonts w:ascii="Arial" w:hAnsi="Arial" w:cs="Arial"/>
          <w:sz w:val="20"/>
        </w:rPr>
      </w:pPr>
    </w:p>
    <w:p w14:paraId="2948991E" w14:textId="6AB35D10" w:rsidR="001A10A8" w:rsidRDefault="001A10A8" w:rsidP="002F68AE">
      <w:pPr>
        <w:rPr>
          <w:rFonts w:ascii="Arial" w:hAnsi="Arial" w:cs="Arial"/>
          <w:sz w:val="20"/>
        </w:rPr>
      </w:pPr>
      <w:r>
        <w:rPr>
          <w:rFonts w:ascii="Arial" w:hAnsi="Arial" w:cs="Arial"/>
          <w:sz w:val="20"/>
        </w:rPr>
        <w:t xml:space="preserve">See also </w:t>
      </w:r>
      <w:proofErr w:type="spellStart"/>
      <w:r w:rsidRPr="00D040BE">
        <w:rPr>
          <w:rFonts w:ascii="Arial" w:hAnsi="Arial" w:cs="Arial"/>
          <w:i/>
          <w:iCs/>
          <w:color w:val="000000"/>
          <w:sz w:val="20"/>
        </w:rPr>
        <w:t>Thurin</w:t>
      </w:r>
      <w:proofErr w:type="spellEnd"/>
      <w:r w:rsidRPr="00D040BE">
        <w:rPr>
          <w:rFonts w:ascii="Arial" w:hAnsi="Arial" w:cs="Arial"/>
          <w:i/>
          <w:iCs/>
          <w:color w:val="000000"/>
          <w:sz w:val="20"/>
        </w:rPr>
        <w:t xml:space="preserve"> v </w:t>
      </w:r>
      <w:proofErr w:type="spellStart"/>
      <w:r w:rsidRPr="00D040BE">
        <w:rPr>
          <w:rFonts w:ascii="Arial" w:hAnsi="Arial" w:cs="Arial"/>
          <w:i/>
          <w:iCs/>
          <w:color w:val="000000"/>
          <w:sz w:val="20"/>
        </w:rPr>
        <w:t>Krongold</w:t>
      </w:r>
      <w:proofErr w:type="spellEnd"/>
      <w:r w:rsidRPr="00D040BE">
        <w:rPr>
          <w:rFonts w:ascii="Arial" w:hAnsi="Arial" w:cs="Arial"/>
          <w:i/>
          <w:iCs/>
          <w:color w:val="000000"/>
          <w:sz w:val="20"/>
        </w:rPr>
        <w:t xml:space="preserve"> Constructions Aust P/L</w:t>
      </w:r>
      <w:r>
        <w:rPr>
          <w:rFonts w:ascii="Arial" w:hAnsi="Arial" w:cs="Arial"/>
          <w:color w:val="000000"/>
          <w:sz w:val="20"/>
        </w:rPr>
        <w:t xml:space="preserve"> [2022] VSCA 226 at [150]</w:t>
      </w:r>
      <w:r w:rsidR="00C11A19">
        <w:rPr>
          <w:rFonts w:ascii="Arial" w:hAnsi="Arial" w:cs="Arial"/>
          <w:color w:val="000000"/>
          <w:sz w:val="20"/>
        </w:rPr>
        <w:t xml:space="preserve">; </w:t>
      </w:r>
      <w:r w:rsidR="00C11A19" w:rsidRPr="00C11A19">
        <w:rPr>
          <w:rFonts w:ascii="Arial" w:hAnsi="Arial" w:cs="Arial"/>
          <w:i/>
          <w:iCs/>
          <w:color w:val="000000"/>
          <w:sz w:val="20"/>
        </w:rPr>
        <w:t>Zhang v Bajada</w:t>
      </w:r>
      <w:r w:rsidR="00C11A19">
        <w:rPr>
          <w:rFonts w:ascii="Arial" w:hAnsi="Arial" w:cs="Arial"/>
          <w:color w:val="000000"/>
          <w:sz w:val="20"/>
        </w:rPr>
        <w:t xml:space="preserve"> [2024] VSC 15 at [65].  See also</w:t>
      </w:r>
      <w:r>
        <w:rPr>
          <w:rFonts w:ascii="Arial" w:hAnsi="Arial" w:cs="Arial"/>
          <w:color w:val="000000"/>
          <w:sz w:val="20"/>
        </w:rPr>
        <w:t xml:space="preserve"> the criminal cases referred to in </w:t>
      </w:r>
      <w:r w:rsidRPr="00A975E6">
        <w:rPr>
          <w:rFonts w:ascii="Arial" w:hAnsi="Arial" w:cs="Arial"/>
          <w:b/>
          <w:bCs/>
          <w:color w:val="000000"/>
          <w:sz w:val="20"/>
          <w:shd w:val="clear" w:color="auto" w:fill="C5E0B3" w:themeFill="accent6" w:themeFillTint="66"/>
        </w:rPr>
        <w:t>section 11.1.10</w:t>
      </w:r>
      <w:r>
        <w:rPr>
          <w:rFonts w:ascii="Arial" w:hAnsi="Arial" w:cs="Arial"/>
          <w:color w:val="000000"/>
          <w:sz w:val="20"/>
        </w:rPr>
        <w:t>.</w:t>
      </w:r>
    </w:p>
    <w:p w14:paraId="2C19AD3E" w14:textId="7B095E98" w:rsidR="001A10A8" w:rsidRPr="00A92EB4" w:rsidRDefault="001A10A8"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74" w:name="_3.4_Procedural_guidelines"/>
      <w:bookmarkStart w:id="275" w:name="B34"/>
      <w:bookmarkEnd w:id="274"/>
      <w:bookmarkEnd w:id="275"/>
      <w:r>
        <w:rPr>
          <w:rFonts w:ascii="Arial" w:hAnsi="Arial" w:cs="Arial"/>
          <w:b/>
          <w:bCs/>
        </w:rPr>
        <w:t>3.4</w:t>
      </w:r>
      <w:r>
        <w:rPr>
          <w:rFonts w:ascii="Arial" w:hAnsi="Arial" w:cs="Arial"/>
          <w:b/>
          <w:bCs/>
        </w:rPr>
        <w:tab/>
        <w:t>Procedural guidelines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76" w:name="_3.4.1_Comprehensibility_etc."/>
      <w:bookmarkStart w:id="277" w:name="B341"/>
      <w:bookmarkStart w:id="278" w:name="_Toc30651645"/>
      <w:bookmarkStart w:id="279" w:name="_Toc30652629"/>
      <w:bookmarkStart w:id="280" w:name="_Toc30652727"/>
      <w:bookmarkStart w:id="281" w:name="_Toc30654072"/>
      <w:bookmarkStart w:id="282" w:name="_Toc30654423"/>
      <w:bookmarkStart w:id="283" w:name="_Toc30655042"/>
      <w:bookmarkStart w:id="284" w:name="_Toc30655299"/>
      <w:bookmarkStart w:id="285" w:name="_Toc30656977"/>
      <w:bookmarkStart w:id="286" w:name="_Toc30661726"/>
      <w:bookmarkStart w:id="287" w:name="_Toc30666414"/>
      <w:bookmarkStart w:id="288" w:name="_Toc30666644"/>
      <w:bookmarkStart w:id="289" w:name="_Toc30667819"/>
      <w:bookmarkStart w:id="290" w:name="_Toc30669197"/>
      <w:bookmarkStart w:id="291" w:name="_Toc30671413"/>
      <w:bookmarkStart w:id="292" w:name="_Toc30673940"/>
      <w:bookmarkStart w:id="293" w:name="_Toc30691162"/>
      <w:bookmarkStart w:id="294" w:name="_Toc30691533"/>
      <w:bookmarkStart w:id="295" w:name="_Toc30691913"/>
      <w:bookmarkStart w:id="296" w:name="_Toc30692672"/>
      <w:bookmarkStart w:id="297" w:name="_Toc30693051"/>
      <w:bookmarkStart w:id="298" w:name="_Toc30693429"/>
      <w:bookmarkStart w:id="299" w:name="_Toc30693808"/>
      <w:bookmarkStart w:id="300" w:name="_Toc30694189"/>
      <w:bookmarkStart w:id="301" w:name="_Toc30698778"/>
      <w:bookmarkStart w:id="302" w:name="_Toc30699156"/>
      <w:bookmarkStart w:id="303" w:name="_Toc30699541"/>
      <w:bookmarkStart w:id="304" w:name="_Toc30700696"/>
      <w:bookmarkStart w:id="305" w:name="_Toc30701083"/>
      <w:bookmarkStart w:id="306" w:name="_Toc30743692"/>
      <w:bookmarkStart w:id="307" w:name="_Toc30754514"/>
      <w:bookmarkStart w:id="308" w:name="_Toc30756954"/>
      <w:bookmarkStart w:id="309" w:name="_Toc30757503"/>
      <w:bookmarkStart w:id="310" w:name="_Toc30757903"/>
      <w:bookmarkStart w:id="311" w:name="_Toc30762664"/>
      <w:bookmarkStart w:id="312" w:name="_Toc30767318"/>
      <w:bookmarkStart w:id="313" w:name="_Toc34823334"/>
      <w:bookmarkEnd w:id="276"/>
      <w:bookmarkEnd w:id="277"/>
      <w:r>
        <w:rPr>
          <w:rFonts w:ascii="Arial" w:hAnsi="Arial" w:cs="Arial"/>
          <w:b/>
          <w:bCs/>
          <w:sz w:val="20"/>
        </w:rPr>
        <w:t>3.4.1</w:t>
      </w:r>
      <w:r>
        <w:rPr>
          <w:rFonts w:ascii="Arial" w:hAnsi="Arial" w:cs="Arial"/>
          <w:b/>
          <w:bCs/>
          <w:sz w:val="20"/>
        </w:rPr>
        <w:tab/>
        <w:t>Comprehensibility etc.</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314"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314"/>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E55ACE">
      <w:pPr>
        <w:pStyle w:val="Heading3"/>
        <w:keepNext/>
        <w:keepLines/>
        <w:widowControl/>
        <w:spacing w:after="100" w:line="240" w:lineRule="auto"/>
        <w:rPr>
          <w:rFonts w:ascii="Arial" w:hAnsi="Arial" w:cs="Arial"/>
          <w:b/>
          <w:bCs/>
          <w:sz w:val="20"/>
        </w:rPr>
      </w:pPr>
      <w:bookmarkStart w:id="315" w:name="_3.4.2_Pilot_program"/>
      <w:bookmarkStart w:id="316" w:name="B342"/>
      <w:bookmarkEnd w:id="315"/>
      <w:bookmarkEnd w:id="316"/>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E02832">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17717EF3"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w:t>
      </w:r>
      <w:r w:rsidR="005F1CAA" w:rsidRPr="00A975E6">
        <w:rPr>
          <w:rFonts w:ascii="Arial" w:hAnsi="Arial" w:cs="Arial"/>
          <w:b/>
          <w:bCs/>
          <w:sz w:val="20"/>
          <w:shd w:val="clear" w:color="auto" w:fill="C5E0B3" w:themeFill="accent6" w:themeFillTint="66"/>
        </w:rPr>
        <w:t>section 3.5.5</w:t>
      </w:r>
      <w:r w:rsidR="005F1CAA">
        <w:rPr>
          <w:rFonts w:ascii="Arial" w:hAnsi="Arial" w:cs="Arial"/>
          <w:sz w:val="20"/>
        </w:rPr>
        <w:t xml:space="preserve">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428A8CD4"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58497755" w14:textId="1573DB50" w:rsidR="00A27F77" w:rsidRDefault="00A27F77" w:rsidP="00582465">
      <w:pPr>
        <w:tabs>
          <w:tab w:val="num" w:pos="720"/>
        </w:tabs>
        <w:ind w:left="6"/>
        <w:jc w:val="both"/>
        <w:rPr>
          <w:rFonts w:ascii="Arial" w:hAnsi="Arial" w:cs="Arial"/>
          <w:sz w:val="20"/>
        </w:rPr>
      </w:pPr>
    </w:p>
    <w:p w14:paraId="0565F38F" w14:textId="071C283F" w:rsidR="00A27F77" w:rsidRDefault="00A27F77" w:rsidP="00A27F77">
      <w:pPr>
        <w:tabs>
          <w:tab w:val="num" w:pos="720"/>
        </w:tabs>
        <w:ind w:left="6"/>
        <w:jc w:val="both"/>
        <w:rPr>
          <w:rFonts w:ascii="Arial" w:hAnsi="Arial" w:cs="Arial"/>
          <w:sz w:val="20"/>
        </w:rPr>
      </w:pPr>
      <w:r>
        <w:rPr>
          <w:rFonts w:ascii="Arial" w:hAnsi="Arial" w:cs="Arial"/>
          <w:sz w:val="20"/>
        </w:rPr>
        <w:t xml:space="preserve">Section 389K(4) of the CPA provides that a person must not act </w:t>
      </w:r>
      <w:r w:rsidRPr="00A27F77">
        <w:rPr>
          <w:rFonts w:ascii="Arial" w:hAnsi="Arial" w:cs="Arial"/>
          <w:sz w:val="20"/>
          <w:szCs w:val="20"/>
        </w:rPr>
        <w:t xml:space="preserve">as an intermediary in a particular proceeding unless the person has taken an oath or made an affirmation in the prescribed form. </w:t>
      </w:r>
      <w:r w:rsidR="00933F96">
        <w:rPr>
          <w:rFonts w:ascii="Arial" w:hAnsi="Arial" w:cs="Arial"/>
          <w:sz w:val="20"/>
          <w:szCs w:val="20"/>
        </w:rPr>
        <w:t xml:space="preserve">In </w:t>
      </w:r>
      <w:r w:rsidR="00933F96" w:rsidRPr="00A27F77">
        <w:rPr>
          <w:rFonts w:ascii="Arial" w:hAnsi="Arial" w:cs="Arial"/>
          <w:i/>
          <w:iCs/>
          <w:sz w:val="20"/>
        </w:rPr>
        <w:t>Peter James (a</w:t>
      </w:r>
      <w:r w:rsidR="00933F96">
        <w:rPr>
          <w:rFonts w:ascii="Arial" w:hAnsi="Arial" w:cs="Arial"/>
          <w:i/>
          <w:iCs/>
          <w:sz w:val="20"/>
        </w:rPr>
        <w:t> </w:t>
      </w:r>
      <w:r w:rsidR="00933F96" w:rsidRPr="00A27F77">
        <w:rPr>
          <w:rFonts w:ascii="Arial" w:hAnsi="Arial" w:cs="Arial"/>
          <w:i/>
          <w:iCs/>
          <w:sz w:val="20"/>
        </w:rPr>
        <w:t>pseudonym) v The King</w:t>
      </w:r>
      <w:r w:rsidR="00933F96">
        <w:rPr>
          <w:rFonts w:ascii="Arial" w:hAnsi="Arial" w:cs="Arial"/>
          <w:sz w:val="20"/>
        </w:rPr>
        <w:t xml:space="preserve"> [2023] VSCA 34 </w:t>
      </w:r>
      <w:r w:rsidR="00933F96">
        <w:rPr>
          <w:rFonts w:ascii="Arial" w:hAnsi="Arial" w:cs="Arial"/>
          <w:sz w:val="20"/>
          <w:szCs w:val="20"/>
        </w:rPr>
        <w:t xml:space="preserve">the intermediary was not sworn as required by </w:t>
      </w:r>
      <w:r w:rsidR="00933F96" w:rsidRPr="00A27F77">
        <w:rPr>
          <w:rFonts w:ascii="Arial" w:hAnsi="Arial" w:cs="Arial"/>
          <w:sz w:val="20"/>
          <w:szCs w:val="20"/>
        </w:rPr>
        <w:t xml:space="preserve">389K(4) of the CPA </w:t>
      </w:r>
      <w:r w:rsidR="00933F96">
        <w:rPr>
          <w:rFonts w:ascii="Arial" w:hAnsi="Arial" w:cs="Arial"/>
          <w:sz w:val="20"/>
          <w:szCs w:val="20"/>
        </w:rPr>
        <w:t>and</w:t>
      </w:r>
      <w:r w:rsidR="00933F96" w:rsidRPr="00A27F77">
        <w:rPr>
          <w:rFonts w:ascii="Arial" w:hAnsi="Arial" w:cs="Arial"/>
          <w:sz w:val="20"/>
          <w:szCs w:val="20"/>
        </w:rPr>
        <w:t xml:space="preserve"> reg 21 and sch 1 of the </w:t>
      </w:r>
      <w:r w:rsidR="00933F96" w:rsidRPr="00933F96">
        <w:rPr>
          <w:rFonts w:ascii="Arial" w:hAnsi="Arial" w:cs="Arial"/>
          <w:i/>
          <w:iCs/>
          <w:sz w:val="20"/>
          <w:szCs w:val="20"/>
        </w:rPr>
        <w:t>Criminal Procedure Regulations 2020</w:t>
      </w:r>
      <w:r w:rsidR="00933F96">
        <w:rPr>
          <w:rFonts w:ascii="Arial" w:hAnsi="Arial" w:cs="Arial"/>
          <w:sz w:val="20"/>
          <w:szCs w:val="20"/>
        </w:rPr>
        <w:t>.  In rejecting the applicant’s submission that the failure to swear the intermediary had resulted in a substantial miscarriage of justice, the Court of Appeal (E</w:t>
      </w:r>
      <w:r w:rsidR="00933F96" w:rsidRPr="00933F96">
        <w:rPr>
          <w:rFonts w:ascii="Arial" w:hAnsi="Arial" w:cs="Arial"/>
          <w:sz w:val="20"/>
          <w:szCs w:val="20"/>
        </w:rPr>
        <w:t xml:space="preserve">merton </w:t>
      </w:r>
      <w:r w:rsidR="00933F96">
        <w:rPr>
          <w:rFonts w:ascii="Arial" w:hAnsi="Arial" w:cs="Arial"/>
          <w:sz w:val="20"/>
          <w:szCs w:val="20"/>
        </w:rPr>
        <w:t>P</w:t>
      </w:r>
      <w:r w:rsidR="00933F96" w:rsidRPr="00933F96">
        <w:rPr>
          <w:rFonts w:ascii="Arial" w:hAnsi="Arial" w:cs="Arial"/>
          <w:sz w:val="20"/>
          <w:szCs w:val="20"/>
        </w:rPr>
        <w:t xml:space="preserve">, </w:t>
      </w:r>
      <w:r w:rsidR="00933F96">
        <w:rPr>
          <w:rFonts w:ascii="Arial" w:hAnsi="Arial" w:cs="Arial"/>
          <w:sz w:val="20"/>
          <w:szCs w:val="20"/>
        </w:rPr>
        <w:t>K</w:t>
      </w:r>
      <w:r w:rsidR="00933F96" w:rsidRPr="00933F96">
        <w:rPr>
          <w:rFonts w:ascii="Arial" w:hAnsi="Arial" w:cs="Arial"/>
          <w:sz w:val="20"/>
          <w:szCs w:val="20"/>
        </w:rPr>
        <w:t xml:space="preserve">yrou and </w:t>
      </w:r>
      <w:r w:rsidR="00933F96">
        <w:rPr>
          <w:rFonts w:ascii="Arial" w:hAnsi="Arial" w:cs="Arial"/>
          <w:sz w:val="20"/>
          <w:szCs w:val="20"/>
        </w:rPr>
        <w:t>K</w:t>
      </w:r>
      <w:r w:rsidR="00933F96" w:rsidRPr="00933F96">
        <w:rPr>
          <w:rFonts w:ascii="Arial" w:hAnsi="Arial" w:cs="Arial"/>
          <w:sz w:val="20"/>
          <w:szCs w:val="20"/>
        </w:rPr>
        <w:t xml:space="preserve">aye </w:t>
      </w:r>
      <w:r w:rsidR="00933F96">
        <w:rPr>
          <w:rFonts w:ascii="Arial" w:hAnsi="Arial" w:cs="Arial"/>
          <w:sz w:val="20"/>
          <w:szCs w:val="20"/>
        </w:rPr>
        <w:t>JJA) said at [62]:</w:t>
      </w:r>
    </w:p>
    <w:p w14:paraId="028CA75F" w14:textId="67969443" w:rsidR="00933F96" w:rsidRDefault="00933F96" w:rsidP="00933F96">
      <w:pPr>
        <w:spacing w:before="80"/>
        <w:ind w:left="454" w:right="454"/>
        <w:jc w:val="both"/>
        <w:rPr>
          <w:rFonts w:ascii="Arial" w:hAnsi="Arial" w:cs="Arial"/>
          <w:iCs/>
          <w:sz w:val="20"/>
        </w:rPr>
      </w:pPr>
      <w:r>
        <w:rPr>
          <w:rFonts w:ascii="Arial" w:hAnsi="Arial" w:cs="Arial"/>
          <w:iCs/>
          <w:sz w:val="20"/>
        </w:rPr>
        <w:t xml:space="preserve">“In </w:t>
      </w:r>
      <w:r w:rsidRPr="00933F96">
        <w:rPr>
          <w:rFonts w:ascii="Arial" w:hAnsi="Arial" w:cs="Arial"/>
          <w:sz w:val="20"/>
          <w:szCs w:val="20"/>
        </w:rPr>
        <w:t>our opinion, compliance with the requirement in s 389K(4) of the CPA that an intermediary must not act in that role in a proceeding unless he or she is sworn is not a fundamental requirement of a properly constituted criminal trial such that any breach</w:t>
      </w:r>
      <w:r>
        <w:rPr>
          <w:rFonts w:ascii="Arial" w:hAnsi="Arial" w:cs="Arial"/>
          <w:sz w:val="20"/>
          <w:szCs w:val="20"/>
        </w:rPr>
        <w:t xml:space="preserve"> </w:t>
      </w:r>
      <w:r w:rsidRPr="00933F96">
        <w:rPr>
          <w:rFonts w:ascii="Arial" w:hAnsi="Arial" w:cs="Arial"/>
          <w:sz w:val="20"/>
          <w:szCs w:val="20"/>
        </w:rPr>
        <w:t>will automatically result in a substantial miscarriage of justice. The same conclusion applies to the requirement in s 22(1) of the Evidence Act (insofar as it is taken to apply to intermediaries), that a person must either take an oath or make an affirmation before acting in that role in a proceeding. Whether a breach of these statutory provisions results in a substantial miscarriage of justice will depend on the circumstances of each case including, in particular, the role performed by the intermediary in each case.</w:t>
      </w:r>
      <w:r>
        <w:rPr>
          <w:rFonts w:ascii="Arial" w:hAnsi="Arial" w:cs="Arial"/>
          <w:sz w:val="20"/>
          <w:szCs w:val="20"/>
        </w:rPr>
        <w:t>”</w:t>
      </w:r>
    </w:p>
    <w:p w14:paraId="333D6953" w14:textId="77777777" w:rsidR="00A27F77" w:rsidRDefault="00A27F77" w:rsidP="00A27F77">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41"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E00823">
      <w:pPr>
        <w:numPr>
          <w:ilvl w:val="0"/>
          <w:numId w:val="39"/>
        </w:numPr>
        <w:ind w:left="357" w:hanging="357"/>
        <w:jc w:val="both"/>
        <w:rPr>
          <w:rFonts w:ascii="Arial" w:hAnsi="Arial" w:cs="Arial"/>
          <w:sz w:val="20"/>
        </w:rPr>
      </w:pPr>
      <w:r>
        <w:rPr>
          <w:rFonts w:ascii="Arial" w:hAnsi="Arial" w:cs="Arial"/>
          <w:sz w:val="20"/>
        </w:rPr>
        <w:lastRenderedPageBreak/>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17" w:name="_3.4.3_Standing_to"/>
      <w:bookmarkStart w:id="318" w:name="B343"/>
      <w:bookmarkStart w:id="319" w:name="_Toc30651646"/>
      <w:bookmarkStart w:id="320" w:name="_Toc30652630"/>
      <w:bookmarkStart w:id="321" w:name="_Toc30652728"/>
      <w:bookmarkStart w:id="322" w:name="_Toc30654073"/>
      <w:bookmarkStart w:id="323" w:name="_Toc30654424"/>
      <w:bookmarkStart w:id="324" w:name="_Toc30655043"/>
      <w:bookmarkStart w:id="325" w:name="_Toc30655300"/>
      <w:bookmarkStart w:id="326" w:name="_Toc30656978"/>
      <w:bookmarkStart w:id="327" w:name="_Toc30661727"/>
      <w:bookmarkStart w:id="328" w:name="_Toc30666415"/>
      <w:bookmarkStart w:id="329" w:name="_Toc30666645"/>
      <w:bookmarkStart w:id="330" w:name="_Toc30667820"/>
      <w:bookmarkStart w:id="331" w:name="_Toc30669198"/>
      <w:bookmarkStart w:id="332" w:name="_Toc30671414"/>
      <w:bookmarkStart w:id="333" w:name="_Toc30673941"/>
      <w:bookmarkStart w:id="334" w:name="_Toc30691163"/>
      <w:bookmarkStart w:id="335" w:name="_Toc30691534"/>
      <w:bookmarkStart w:id="336" w:name="_Toc30691914"/>
      <w:bookmarkStart w:id="337" w:name="_Toc30692673"/>
      <w:bookmarkStart w:id="338" w:name="_Toc30693052"/>
      <w:bookmarkStart w:id="339" w:name="_Toc30693430"/>
      <w:bookmarkStart w:id="340" w:name="_Toc30693809"/>
      <w:bookmarkStart w:id="341" w:name="_Toc30694190"/>
      <w:bookmarkStart w:id="342" w:name="_Toc30698779"/>
      <w:bookmarkStart w:id="343" w:name="_Toc30699157"/>
      <w:bookmarkStart w:id="344" w:name="_Toc30699542"/>
      <w:bookmarkStart w:id="345" w:name="_Toc30700697"/>
      <w:bookmarkStart w:id="346" w:name="_Toc30701084"/>
      <w:bookmarkStart w:id="347" w:name="_Toc30743693"/>
      <w:bookmarkStart w:id="348" w:name="_Toc30754515"/>
      <w:bookmarkStart w:id="349" w:name="_Toc30756955"/>
      <w:bookmarkStart w:id="350" w:name="_Toc30757504"/>
      <w:bookmarkStart w:id="351" w:name="_Toc30757904"/>
      <w:bookmarkStart w:id="352" w:name="_Toc30762665"/>
      <w:bookmarkStart w:id="353" w:name="_Toc30767319"/>
      <w:bookmarkStart w:id="354" w:name="_Toc34823335"/>
      <w:bookmarkEnd w:id="317"/>
      <w:bookmarkEnd w:id="318"/>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710D31C" w14:textId="08DE1919"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27FFAA86"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 xml:space="preserve">1989 [‘CYPA’] which uses </w:t>
      </w:r>
      <w:proofErr w:type="gramStart"/>
      <w:r w:rsidRPr="00152F96">
        <w:rPr>
          <w:rFonts w:ascii="Arial" w:hAnsi="Arial" w:cs="Arial"/>
          <w:sz w:val="20"/>
          <w:szCs w:val="20"/>
        </w:rPr>
        <w:t>exactly the same</w:t>
      </w:r>
      <w:proofErr w:type="gramEnd"/>
      <w:r w:rsidRPr="00152F96">
        <w:rPr>
          <w:rFonts w:ascii="Arial" w:hAnsi="Arial" w:cs="Arial"/>
          <w:sz w:val="20"/>
          <w:szCs w:val="20"/>
        </w:rPr>
        <w:t xml:space="preserv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lastRenderedPageBreak/>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D405C3">
      <w:pPr>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4A9DCA75" w:rsidR="001B31CC" w:rsidRDefault="001B31CC" w:rsidP="001B31CC">
      <w:pPr>
        <w:jc w:val="both"/>
        <w:rPr>
          <w:rFonts w:ascii="Arial" w:hAnsi="Arial" w:cs="Arial"/>
          <w:sz w:val="20"/>
        </w:rPr>
      </w:pPr>
    </w:p>
    <w:p w14:paraId="72AE9B92" w14:textId="6D72D027" w:rsidR="001244F4" w:rsidRDefault="002176AF" w:rsidP="001B31CC">
      <w:pPr>
        <w:jc w:val="both"/>
        <w:rPr>
          <w:rFonts w:ascii="Arial" w:hAnsi="Arial" w:cs="Arial"/>
          <w:sz w:val="20"/>
          <w:szCs w:val="20"/>
        </w:rPr>
      </w:pPr>
      <w:r>
        <w:rPr>
          <w:rFonts w:ascii="Arial" w:hAnsi="Arial" w:cs="Arial"/>
          <w:sz w:val="20"/>
        </w:rPr>
        <w:t>In determining whether it is “</w:t>
      </w:r>
      <w:r w:rsidRPr="002176AF">
        <w:rPr>
          <w:rFonts w:ascii="Arial" w:hAnsi="Arial" w:cs="Arial"/>
          <w:b/>
          <w:bCs/>
          <w:sz w:val="20"/>
        </w:rPr>
        <w:t>practicable</w:t>
      </w:r>
      <w:r>
        <w:rPr>
          <w:rFonts w:ascii="Arial" w:hAnsi="Arial" w:cs="Arial"/>
          <w:sz w:val="20"/>
        </w:rPr>
        <w:t>” to allow a person who has a “</w:t>
      </w:r>
      <w:r w:rsidRPr="002176AF">
        <w:rPr>
          <w:rFonts w:ascii="Arial" w:hAnsi="Arial" w:cs="Arial"/>
          <w:b/>
          <w:bCs/>
          <w:sz w:val="20"/>
        </w:rPr>
        <w:t>direct interest</w:t>
      </w:r>
      <w:r>
        <w:rPr>
          <w:rFonts w:ascii="Arial" w:hAnsi="Arial" w:cs="Arial"/>
          <w:sz w:val="20"/>
        </w:rPr>
        <w:t xml:space="preserve">” to be joined as a party, some assistance may be gained from the decision of the High Court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Pr="007526D0">
        <w:rPr>
          <w:rFonts w:ascii="Arial" w:hAnsi="Arial" w:cs="Arial"/>
          <w:sz w:val="20"/>
          <w:szCs w:val="20"/>
        </w:rPr>
        <w:t xml:space="preserve"> (1987) 162 CLR 447</w:t>
      </w:r>
      <w:r>
        <w:rPr>
          <w:rFonts w:ascii="Arial" w:hAnsi="Arial" w:cs="Arial"/>
          <w:sz w:val="20"/>
          <w:szCs w:val="20"/>
        </w:rPr>
        <w:t xml:space="preserve">.  In that case the appellant J was the mother of five children whom the first respondent </w:t>
      </w:r>
      <w:r w:rsidR="00113B8F">
        <w:rPr>
          <w:rFonts w:ascii="Arial" w:hAnsi="Arial" w:cs="Arial"/>
          <w:sz w:val="20"/>
          <w:szCs w:val="20"/>
        </w:rPr>
        <w:t xml:space="preserve">Mr </w:t>
      </w:r>
      <w:proofErr w:type="spellStart"/>
      <w:r w:rsidR="00113B8F">
        <w:rPr>
          <w:rFonts w:ascii="Arial" w:hAnsi="Arial" w:cs="Arial"/>
          <w:sz w:val="20"/>
          <w:szCs w:val="20"/>
        </w:rPr>
        <w:t>Lieschke</w:t>
      </w:r>
      <w:proofErr w:type="spellEnd"/>
      <w:r w:rsidR="00113B8F">
        <w:rPr>
          <w:rFonts w:ascii="Arial" w:hAnsi="Arial" w:cs="Arial"/>
          <w:sz w:val="20"/>
          <w:szCs w:val="20"/>
        </w:rPr>
        <w:t xml:space="preserve"> </w:t>
      </w:r>
      <w:r>
        <w:rPr>
          <w:rFonts w:ascii="Arial" w:hAnsi="Arial" w:cs="Arial"/>
          <w:sz w:val="20"/>
          <w:szCs w:val="20"/>
        </w:rPr>
        <w:t xml:space="preserve">had apprehended and brought before a NSW Children’s Court, alleging that each was a “neglected child” as defined in s.72 of the </w:t>
      </w:r>
      <w:r w:rsidRPr="002176AF">
        <w:rPr>
          <w:rFonts w:ascii="Arial" w:hAnsi="Arial" w:cs="Arial"/>
          <w:i/>
          <w:iCs/>
          <w:sz w:val="20"/>
          <w:szCs w:val="20"/>
        </w:rPr>
        <w:t xml:space="preserve">Child Welfare </w:t>
      </w:r>
      <w:r>
        <w:rPr>
          <w:rFonts w:ascii="Arial" w:hAnsi="Arial" w:cs="Arial"/>
          <w:i/>
          <w:iCs/>
          <w:sz w:val="20"/>
          <w:szCs w:val="20"/>
        </w:rPr>
        <w:t>A</w:t>
      </w:r>
      <w:r w:rsidRPr="002176AF">
        <w:rPr>
          <w:rFonts w:ascii="Arial" w:hAnsi="Arial" w:cs="Arial"/>
          <w:i/>
          <w:iCs/>
          <w:sz w:val="20"/>
          <w:szCs w:val="20"/>
        </w:rPr>
        <w:t>ct 1939 (NSW)</w:t>
      </w:r>
      <w:r>
        <w:rPr>
          <w:rFonts w:ascii="Arial" w:hAnsi="Arial" w:cs="Arial"/>
          <w:sz w:val="20"/>
          <w:szCs w:val="20"/>
        </w:rPr>
        <w:t xml:space="preserve">.  </w:t>
      </w:r>
      <w:r w:rsidR="00993D7E">
        <w:rPr>
          <w:rFonts w:ascii="Arial" w:hAnsi="Arial" w:cs="Arial"/>
          <w:sz w:val="20"/>
          <w:szCs w:val="20"/>
        </w:rPr>
        <w:t>In ensuing proceedings before a magistrate, J</w:t>
      </w:r>
      <w:r w:rsidR="00113B8F">
        <w:rPr>
          <w:rFonts w:ascii="Arial" w:hAnsi="Arial" w:cs="Arial"/>
          <w:sz w:val="20"/>
          <w:szCs w:val="20"/>
        </w:rPr>
        <w:t xml:space="preserve"> </w:t>
      </w:r>
      <w:r w:rsidR="00993D7E">
        <w:rPr>
          <w:rFonts w:ascii="Arial" w:hAnsi="Arial" w:cs="Arial"/>
          <w:sz w:val="20"/>
          <w:szCs w:val="20"/>
        </w:rPr>
        <w:t xml:space="preserve">applied as of right to appear as a party.  The magistrate, in respect of one child concerning whom serious allegations were to be made against J, agreed “to permit the parents to appear by leave at the commencement of the proceedings” but refused the parents leave to appear in relation to the other </w:t>
      </w:r>
      <w:r w:rsidR="00993D7E" w:rsidRPr="00954EF8">
        <w:rPr>
          <w:rFonts w:ascii="Arial" w:hAnsi="Arial" w:cs="Arial"/>
          <w:color w:val="000000" w:themeColor="text1"/>
          <w:sz w:val="20"/>
          <w:szCs w:val="20"/>
        </w:rPr>
        <w:t>children</w:t>
      </w:r>
      <w:r w:rsidR="00954EF8" w:rsidRPr="00954EF8">
        <w:rPr>
          <w:rFonts w:ascii="Arial" w:hAnsi="Arial" w:cs="Arial"/>
          <w:color w:val="000000" w:themeColor="text1"/>
          <w:sz w:val="20"/>
          <w:szCs w:val="20"/>
        </w:rPr>
        <w:t xml:space="preserve">, saying that they would be allowed to give evidence if he found a </w:t>
      </w:r>
      <w:r w:rsidR="00954EF8" w:rsidRPr="00954EF8">
        <w:rPr>
          <w:rFonts w:ascii="Arial" w:hAnsi="Arial" w:cs="Arial"/>
          <w:i/>
          <w:iCs/>
          <w:color w:val="000000" w:themeColor="text1"/>
          <w:sz w:val="20"/>
          <w:szCs w:val="20"/>
        </w:rPr>
        <w:t>prima facie</w:t>
      </w:r>
      <w:r w:rsidR="00954EF8" w:rsidRPr="00954EF8">
        <w:rPr>
          <w:rFonts w:ascii="Arial" w:hAnsi="Arial" w:cs="Arial"/>
          <w:color w:val="000000" w:themeColor="text1"/>
          <w:sz w:val="20"/>
          <w:szCs w:val="20"/>
        </w:rPr>
        <w:t xml:space="preserve"> case.</w:t>
      </w:r>
      <w:r w:rsidR="00993D7E" w:rsidRPr="00954EF8">
        <w:rPr>
          <w:rFonts w:ascii="Arial" w:hAnsi="Arial" w:cs="Arial"/>
          <w:color w:val="000000" w:themeColor="text1"/>
          <w:sz w:val="20"/>
          <w:szCs w:val="20"/>
        </w:rPr>
        <w:t xml:space="preserve">  The High </w:t>
      </w:r>
      <w:r w:rsidR="00993D7E">
        <w:rPr>
          <w:rFonts w:ascii="Arial" w:hAnsi="Arial" w:cs="Arial"/>
          <w:sz w:val="20"/>
          <w:szCs w:val="20"/>
        </w:rPr>
        <w:t xml:space="preserve">Court </w:t>
      </w:r>
      <w:r w:rsidR="00FC47FD">
        <w:rPr>
          <w:rFonts w:ascii="Arial" w:hAnsi="Arial" w:cs="Arial"/>
          <w:sz w:val="20"/>
          <w:szCs w:val="20"/>
        </w:rPr>
        <w:t>allowed the appeal, holding</w:t>
      </w:r>
      <w:r w:rsidR="00993D7E">
        <w:rPr>
          <w:rFonts w:ascii="Arial" w:hAnsi="Arial" w:cs="Arial"/>
          <w:sz w:val="20"/>
          <w:szCs w:val="20"/>
        </w:rPr>
        <w:t xml:space="preserve"> unanimously that the parents of the child</w:t>
      </w:r>
      <w:r w:rsidR="00FC47FD">
        <w:rPr>
          <w:rFonts w:ascii="Arial" w:hAnsi="Arial" w:cs="Arial"/>
          <w:sz w:val="20"/>
          <w:szCs w:val="20"/>
        </w:rPr>
        <w:t>ren</w:t>
      </w:r>
      <w:r w:rsidR="00993D7E">
        <w:rPr>
          <w:rFonts w:ascii="Arial" w:hAnsi="Arial" w:cs="Arial"/>
          <w:sz w:val="20"/>
          <w:szCs w:val="20"/>
        </w:rPr>
        <w:t xml:space="preserve"> had a right to </w:t>
      </w:r>
      <w:r w:rsidR="00993D7E">
        <w:rPr>
          <w:rFonts w:ascii="Arial" w:hAnsi="Arial" w:cs="Arial"/>
          <w:sz w:val="20"/>
          <w:szCs w:val="20"/>
        </w:rPr>
        <w:lastRenderedPageBreak/>
        <w:t>be heard</w:t>
      </w:r>
      <w:r w:rsidR="00EA69EE">
        <w:rPr>
          <w:rFonts w:ascii="Arial" w:hAnsi="Arial" w:cs="Arial"/>
          <w:sz w:val="20"/>
          <w:szCs w:val="20"/>
        </w:rPr>
        <w:t>,</w:t>
      </w:r>
      <w:r w:rsidR="00B9568F">
        <w:rPr>
          <w:rFonts w:ascii="Arial" w:hAnsi="Arial" w:cs="Arial"/>
          <w:sz w:val="20"/>
          <w:szCs w:val="20"/>
        </w:rPr>
        <w:t xml:space="preserve"> and also broadened this application of the principle of natural justice to include guardians</w:t>
      </w:r>
      <w:r w:rsidR="00993D7E">
        <w:rPr>
          <w:rFonts w:ascii="Arial" w:hAnsi="Arial" w:cs="Arial"/>
          <w:sz w:val="20"/>
          <w:szCs w:val="20"/>
        </w:rPr>
        <w:t>.</w:t>
      </w:r>
      <w:r w:rsidR="00FC47FD">
        <w:rPr>
          <w:rFonts w:ascii="Arial" w:hAnsi="Arial" w:cs="Arial"/>
          <w:sz w:val="20"/>
          <w:szCs w:val="20"/>
        </w:rPr>
        <w:t xml:space="preserve">  In</w:t>
      </w:r>
      <w:r w:rsidR="00113B8F">
        <w:rPr>
          <w:rFonts w:ascii="Arial" w:hAnsi="Arial" w:cs="Arial"/>
          <w:sz w:val="20"/>
          <w:szCs w:val="20"/>
        </w:rPr>
        <w:t> </w:t>
      </w:r>
      <w:r w:rsidR="00FC47FD">
        <w:rPr>
          <w:rFonts w:ascii="Arial" w:hAnsi="Arial" w:cs="Arial"/>
          <w:sz w:val="20"/>
          <w:szCs w:val="20"/>
        </w:rPr>
        <w:t xml:space="preserve">the leading judgment Brennan J </w:t>
      </w:r>
      <w:r w:rsidR="001244F4">
        <w:rPr>
          <w:rFonts w:ascii="Arial" w:hAnsi="Arial" w:cs="Arial"/>
          <w:sz w:val="20"/>
          <w:szCs w:val="20"/>
        </w:rPr>
        <w:t>said at p</w:t>
      </w:r>
      <w:r w:rsidR="00076470">
        <w:rPr>
          <w:rFonts w:ascii="Arial" w:hAnsi="Arial" w:cs="Arial"/>
          <w:sz w:val="20"/>
          <w:szCs w:val="20"/>
        </w:rPr>
        <w:t>p</w:t>
      </w:r>
      <w:r w:rsidR="001244F4">
        <w:rPr>
          <w:rFonts w:ascii="Arial" w:hAnsi="Arial" w:cs="Arial"/>
          <w:sz w:val="20"/>
          <w:szCs w:val="20"/>
        </w:rPr>
        <w:t>.456</w:t>
      </w:r>
      <w:r w:rsidR="00076470">
        <w:rPr>
          <w:rFonts w:ascii="Arial" w:hAnsi="Arial" w:cs="Arial"/>
          <w:sz w:val="20"/>
          <w:szCs w:val="20"/>
        </w:rPr>
        <w:t xml:space="preserve"> &amp; 458</w:t>
      </w:r>
      <w:r w:rsidR="00B9568F">
        <w:rPr>
          <w:rFonts w:ascii="Arial" w:hAnsi="Arial" w:cs="Arial"/>
          <w:sz w:val="20"/>
          <w:szCs w:val="20"/>
        </w:rPr>
        <w:t xml:space="preserve"> [emphasis added]</w:t>
      </w:r>
      <w:r w:rsidR="001244F4">
        <w:rPr>
          <w:rFonts w:ascii="Arial" w:hAnsi="Arial" w:cs="Arial"/>
          <w:sz w:val="20"/>
          <w:szCs w:val="20"/>
        </w:rPr>
        <w:t>:</w:t>
      </w:r>
    </w:p>
    <w:p w14:paraId="49E392B4" w14:textId="1EC13645" w:rsidR="001244F4" w:rsidRDefault="001244F4" w:rsidP="001244F4">
      <w:pPr>
        <w:spacing w:before="80"/>
        <w:ind w:left="454" w:right="454"/>
        <w:jc w:val="both"/>
        <w:rPr>
          <w:rFonts w:ascii="Arial" w:hAnsi="Arial" w:cs="Arial"/>
          <w:iCs/>
          <w:sz w:val="20"/>
        </w:rPr>
      </w:pPr>
      <w:r>
        <w:rPr>
          <w:rFonts w:ascii="Arial" w:hAnsi="Arial" w:cs="Arial"/>
          <w:iCs/>
          <w:sz w:val="20"/>
        </w:rPr>
        <w:t xml:space="preserve">“The general principle which governs this case is clearly established.  It is stated by Barwick CJ in </w:t>
      </w:r>
      <w:r w:rsidRPr="001244F4">
        <w:rPr>
          <w:rFonts w:ascii="Arial" w:hAnsi="Arial" w:cs="Arial"/>
          <w:i/>
          <w:sz w:val="20"/>
        </w:rPr>
        <w:t>Twist v Randwick Municipal Council</w:t>
      </w:r>
      <w:r>
        <w:rPr>
          <w:rFonts w:ascii="Arial" w:hAnsi="Arial" w:cs="Arial"/>
          <w:iCs/>
          <w:sz w:val="20"/>
        </w:rPr>
        <w:t xml:space="preserve"> (1976) 136 CLR 106 at pp.109-110 in these terms:</w:t>
      </w:r>
    </w:p>
    <w:p w14:paraId="39FCAB4F" w14:textId="228DAECF" w:rsidR="001244F4" w:rsidRPr="00076470" w:rsidRDefault="00076470" w:rsidP="00076470">
      <w:pPr>
        <w:spacing w:before="60"/>
        <w:ind w:left="907" w:right="907"/>
        <w:jc w:val="both"/>
        <w:rPr>
          <w:rFonts w:ascii="Arial" w:hAnsi="Arial" w:cs="Arial"/>
          <w:sz w:val="18"/>
          <w:szCs w:val="18"/>
        </w:rPr>
      </w:pPr>
      <w:r>
        <w:rPr>
          <w:rFonts w:ascii="Arial" w:hAnsi="Arial" w:cs="Arial"/>
          <w:sz w:val="18"/>
          <w:szCs w:val="18"/>
        </w:rPr>
        <w:t>‘The common law rule that a statutory authority having power to affect the rights of a person is bound to hear him before exercising the power is both fundamental and universal…But the legislature may displace the rule and provide for the exercise of such a power without any opportunity being afforded the affected person to oppose its exercise.  However, if that is the legislative intention</w:t>
      </w:r>
      <w:r w:rsidR="00387C91">
        <w:rPr>
          <w:rFonts w:ascii="Arial" w:hAnsi="Arial" w:cs="Arial"/>
          <w:sz w:val="18"/>
          <w:szCs w:val="18"/>
        </w:rPr>
        <w:t xml:space="preserve"> it must be made unambiguously clear.’</w:t>
      </w:r>
    </w:p>
    <w:p w14:paraId="3F56944A" w14:textId="1B6B62DF" w:rsidR="001A6F5D" w:rsidRDefault="00B9568F" w:rsidP="001A6F5D">
      <w:pPr>
        <w:spacing w:before="80"/>
        <w:ind w:left="454" w:right="454"/>
        <w:jc w:val="both"/>
        <w:rPr>
          <w:rFonts w:ascii="Arial" w:hAnsi="Arial" w:cs="Arial"/>
          <w:iCs/>
          <w:sz w:val="20"/>
        </w:rPr>
      </w:pPr>
      <w:r>
        <w:rPr>
          <w:rFonts w:ascii="Arial" w:hAnsi="Arial" w:cs="Arial"/>
          <w:iCs/>
          <w:sz w:val="20"/>
        </w:rPr>
        <w:t>…</w:t>
      </w:r>
      <w:r w:rsidR="001A6F5D">
        <w:rPr>
          <w:rFonts w:ascii="Arial" w:hAnsi="Arial" w:cs="Arial"/>
          <w:iCs/>
          <w:sz w:val="20"/>
        </w:rPr>
        <w:t xml:space="preserve">It would offend the deepest human sentiments as well as a basic legal principle </w:t>
      </w:r>
      <w:r w:rsidR="001244F4">
        <w:rPr>
          <w:rFonts w:ascii="Arial" w:hAnsi="Arial" w:cs="Arial"/>
          <w:iCs/>
          <w:sz w:val="20"/>
        </w:rPr>
        <w:t xml:space="preserve">to permit a court to take a child from its parents without hearing the parents when they can be heard and when they wish to be heard in opposition to the making of an order.  </w:t>
      </w:r>
      <w:r w:rsidR="001244F4" w:rsidRPr="001244F4">
        <w:rPr>
          <w:rFonts w:ascii="Arial" w:hAnsi="Arial" w:cs="Arial"/>
          <w:b/>
          <w:bCs/>
          <w:iCs/>
          <w:sz w:val="20"/>
        </w:rPr>
        <w:t>A guardian who has been appointed in loco parentis is no less entitled to be heard.</w:t>
      </w:r>
      <w:r w:rsidR="001244F4">
        <w:rPr>
          <w:rFonts w:ascii="Arial" w:hAnsi="Arial" w:cs="Arial"/>
          <w:iCs/>
          <w:sz w:val="20"/>
        </w:rPr>
        <w:t xml:space="preserve">  Only by ensuring, where practicable, that the parents or guardians have an opportunity to be heard can the Court be confident that it has protected whatever interests the child may have in its parents’ or guardians’ discharge of their duty to the child.”</w:t>
      </w:r>
    </w:p>
    <w:p w14:paraId="67463EFB" w14:textId="32ABCBEA" w:rsidR="00113B8F" w:rsidRDefault="00D57E98" w:rsidP="00D57E98">
      <w:pPr>
        <w:spacing w:before="80"/>
        <w:jc w:val="both"/>
        <w:rPr>
          <w:rFonts w:ascii="Arial" w:hAnsi="Arial" w:cs="Arial"/>
          <w:sz w:val="20"/>
        </w:rPr>
      </w:pPr>
      <w:r>
        <w:rPr>
          <w:rFonts w:ascii="Arial" w:hAnsi="Arial" w:cs="Arial"/>
          <w:sz w:val="20"/>
        </w:rPr>
        <w:t xml:space="preserve">However, one should also note </w:t>
      </w:r>
      <w:r w:rsidR="00113B8F">
        <w:rPr>
          <w:rFonts w:ascii="Arial" w:hAnsi="Arial" w:cs="Arial"/>
          <w:sz w:val="20"/>
        </w:rPr>
        <w:t xml:space="preserve">his Honour’s qualification </w:t>
      </w:r>
      <w:r>
        <w:rPr>
          <w:rFonts w:ascii="Arial" w:hAnsi="Arial" w:cs="Arial"/>
          <w:sz w:val="20"/>
        </w:rPr>
        <w:t>at p.457:</w:t>
      </w:r>
    </w:p>
    <w:p w14:paraId="6A1B1202" w14:textId="2D099573" w:rsidR="00113B8F" w:rsidRDefault="00113B8F" w:rsidP="00113B8F">
      <w:pPr>
        <w:spacing w:before="80"/>
        <w:ind w:left="454" w:right="454"/>
        <w:jc w:val="both"/>
        <w:rPr>
          <w:rFonts w:ascii="Arial" w:hAnsi="Arial" w:cs="Arial"/>
          <w:iCs/>
          <w:sz w:val="20"/>
        </w:rPr>
      </w:pPr>
      <w:r>
        <w:rPr>
          <w:rFonts w:ascii="Arial" w:hAnsi="Arial" w:cs="Arial"/>
          <w:sz w:val="20"/>
        </w:rPr>
        <w:t>“</w:t>
      </w:r>
      <w:r w:rsidRPr="00D57E98">
        <w:rPr>
          <w:rFonts w:ascii="Arial" w:hAnsi="Arial" w:cs="Arial"/>
          <w:sz w:val="20"/>
          <w:szCs w:val="20"/>
        </w:rPr>
        <w:t>In some custody proceedings, some qualification of the principles of natural justice may be necessary in order to ensure paramountcy to the welfare of the child</w:t>
      </w:r>
      <w:r>
        <w:rPr>
          <w:rFonts w:ascii="Arial" w:hAnsi="Arial" w:cs="Arial"/>
          <w:sz w:val="20"/>
          <w:szCs w:val="20"/>
        </w:rPr>
        <w:t xml:space="preserve">; e.g., it may be necessary to keep a welfare report confidential, as in </w:t>
      </w:r>
      <w:r w:rsidRPr="00113B8F">
        <w:rPr>
          <w:rFonts w:ascii="Arial" w:hAnsi="Arial" w:cs="Arial"/>
          <w:i/>
          <w:iCs/>
          <w:sz w:val="20"/>
          <w:szCs w:val="20"/>
        </w:rPr>
        <w:t>In re K. (Infants)</w:t>
      </w:r>
      <w:r>
        <w:rPr>
          <w:rFonts w:ascii="Arial" w:hAnsi="Arial" w:cs="Arial"/>
          <w:sz w:val="20"/>
          <w:szCs w:val="20"/>
        </w:rPr>
        <w:t xml:space="preserve"> [1965] AC 201…But a desire to promote the welfare of the child does not exclude application of the principles of natural justice</w:t>
      </w:r>
      <w:r w:rsidR="005973A3">
        <w:rPr>
          <w:rFonts w:ascii="Arial" w:hAnsi="Arial" w:cs="Arial"/>
          <w:sz w:val="20"/>
          <w:szCs w:val="20"/>
        </w:rPr>
        <w:t xml:space="preserve"> except so far as is necessary to avoid frustration of the purpose </w:t>
      </w:r>
      <w:r w:rsidRPr="00D57E98">
        <w:rPr>
          <w:rFonts w:ascii="Arial" w:hAnsi="Arial" w:cs="Arial"/>
          <w:sz w:val="20"/>
          <w:szCs w:val="20"/>
        </w:rPr>
        <w:t>for which the jurisdiction is conferred</w:t>
      </w:r>
      <w:r>
        <w:rPr>
          <w:rFonts w:ascii="Arial" w:hAnsi="Arial" w:cs="Arial"/>
          <w:sz w:val="20"/>
          <w:szCs w:val="20"/>
        </w:rPr>
        <w:t xml:space="preserve">: see </w:t>
      </w:r>
      <w:r w:rsidRPr="00113B8F">
        <w:rPr>
          <w:rFonts w:ascii="Arial" w:hAnsi="Arial" w:cs="Arial"/>
          <w:i/>
          <w:iCs/>
          <w:sz w:val="20"/>
          <w:szCs w:val="20"/>
        </w:rPr>
        <w:t xml:space="preserve">Re JRL; Ex </w:t>
      </w:r>
      <w:proofErr w:type="spellStart"/>
      <w:r w:rsidRPr="00113B8F">
        <w:rPr>
          <w:rFonts w:ascii="Arial" w:hAnsi="Arial" w:cs="Arial"/>
          <w:i/>
          <w:iCs/>
          <w:sz w:val="20"/>
          <w:szCs w:val="20"/>
        </w:rPr>
        <w:t>parte</w:t>
      </w:r>
      <w:proofErr w:type="spellEnd"/>
      <w:r w:rsidRPr="00113B8F">
        <w:rPr>
          <w:rFonts w:ascii="Arial" w:hAnsi="Arial" w:cs="Arial"/>
          <w:i/>
          <w:iCs/>
          <w:sz w:val="20"/>
          <w:szCs w:val="20"/>
        </w:rPr>
        <w:t xml:space="preserve"> CJL</w:t>
      </w:r>
      <w:r>
        <w:rPr>
          <w:rFonts w:ascii="Arial" w:hAnsi="Arial" w:cs="Arial"/>
          <w:sz w:val="20"/>
          <w:szCs w:val="20"/>
        </w:rPr>
        <w:t xml:space="preserve"> (1986) 161 CLR 342</w:t>
      </w:r>
      <w:r w:rsidRPr="00D57E98">
        <w:rPr>
          <w:rFonts w:ascii="Arial" w:hAnsi="Arial" w:cs="Arial"/>
          <w:i/>
          <w:sz w:val="20"/>
          <w:szCs w:val="20"/>
        </w:rPr>
        <w:t>.</w:t>
      </w:r>
      <w:r w:rsidRPr="004A6E11">
        <w:rPr>
          <w:rFonts w:ascii="Arial" w:hAnsi="Arial" w:cs="Arial"/>
          <w:iCs/>
          <w:sz w:val="20"/>
          <w:szCs w:val="20"/>
        </w:rPr>
        <w:t>”</w:t>
      </w:r>
    </w:p>
    <w:p w14:paraId="1FC0F935" w14:textId="77777777" w:rsidR="008A544E" w:rsidRDefault="008A544E" w:rsidP="008A544E">
      <w:pPr>
        <w:jc w:val="both"/>
        <w:rPr>
          <w:rFonts w:ascii="Arial" w:hAnsi="Arial" w:cs="Arial"/>
          <w:sz w:val="20"/>
        </w:rPr>
      </w:pPr>
    </w:p>
    <w:p w14:paraId="492516A8" w14:textId="2A80DD8F" w:rsidR="008A544E" w:rsidRDefault="008A544E" w:rsidP="008A544E">
      <w:pPr>
        <w:jc w:val="both"/>
        <w:rPr>
          <w:rFonts w:ascii="Arial" w:hAnsi="Arial" w:cs="Arial"/>
          <w:sz w:val="20"/>
        </w:rPr>
      </w:pPr>
      <w:r>
        <w:rPr>
          <w:rFonts w:ascii="Arial" w:hAnsi="Arial" w:cs="Arial"/>
          <w:sz w:val="20"/>
        </w:rPr>
        <w:t>Further,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w:t>
      </w:r>
      <w:r w:rsidRPr="00A975E6">
        <w:rPr>
          <w:rFonts w:ascii="Arial" w:hAnsi="Arial" w:cs="Arial"/>
          <w:b/>
          <w:bCs/>
          <w:sz w:val="20"/>
          <w:shd w:val="clear" w:color="auto" w:fill="C5E0B3" w:themeFill="accent6" w:themeFillTint="66"/>
        </w:rPr>
        <w:t>s</w:t>
      </w:r>
      <w:r w:rsidR="004B696B">
        <w:rPr>
          <w:rFonts w:ascii="Arial" w:hAnsi="Arial" w:cs="Arial"/>
          <w:b/>
          <w:bCs/>
          <w:sz w:val="20"/>
          <w:shd w:val="clear" w:color="auto" w:fill="C5E0B3" w:themeFill="accent6" w:themeFillTint="66"/>
        </w:rPr>
        <w:t>ubs</w:t>
      </w:r>
      <w:r w:rsidRPr="00A975E6">
        <w:rPr>
          <w:rFonts w:ascii="Arial" w:hAnsi="Arial" w:cs="Arial"/>
          <w:b/>
          <w:bCs/>
          <w:sz w:val="20"/>
          <w:shd w:val="clear" w:color="auto" w:fill="C5E0B3" w:themeFill="accent6" w:themeFillTint="66"/>
        </w:rPr>
        <w:t>ection 3.5.6.3</w:t>
      </w:r>
      <w:r>
        <w:rPr>
          <w:rFonts w:ascii="Arial" w:hAnsi="Arial" w:cs="Arial"/>
          <w:sz w:val="20"/>
        </w:rPr>
        <w:t xml:space="preserve"> below for a discussion of s.215B.</w:t>
      </w:r>
    </w:p>
    <w:p w14:paraId="177593CF" w14:textId="14B43841" w:rsidR="004D3373" w:rsidRDefault="004D3373" w:rsidP="001B31CC">
      <w:pPr>
        <w:jc w:val="both"/>
        <w:rPr>
          <w:rFonts w:ascii="Arial" w:hAnsi="Arial" w:cs="Arial"/>
          <w:sz w:val="20"/>
        </w:rPr>
      </w:pPr>
    </w:p>
    <w:p w14:paraId="4D72F6A9" w14:textId="77777777" w:rsidR="00B21DA4" w:rsidRDefault="00B21DA4" w:rsidP="008C6951">
      <w:pPr>
        <w:pStyle w:val="Heading3"/>
        <w:keepNext/>
        <w:keepLines/>
        <w:widowControl/>
        <w:spacing w:after="100" w:line="240" w:lineRule="auto"/>
        <w:rPr>
          <w:rFonts w:ascii="Arial" w:hAnsi="Arial" w:cs="Arial"/>
          <w:b/>
          <w:bCs/>
          <w:sz w:val="20"/>
        </w:rPr>
      </w:pPr>
      <w:bookmarkStart w:id="355" w:name="_3.4.4_Interpreter"/>
      <w:bookmarkStart w:id="356" w:name="B344"/>
      <w:bookmarkStart w:id="357" w:name="_Toc30649710"/>
      <w:bookmarkStart w:id="358" w:name="_Toc30651647"/>
      <w:bookmarkStart w:id="359" w:name="_Toc30652631"/>
      <w:bookmarkStart w:id="360" w:name="_Toc30652729"/>
      <w:bookmarkStart w:id="361" w:name="_Toc30654074"/>
      <w:bookmarkStart w:id="362" w:name="_Toc30654425"/>
      <w:bookmarkStart w:id="363" w:name="_Toc30655044"/>
      <w:bookmarkStart w:id="364" w:name="_Toc30655301"/>
      <w:bookmarkStart w:id="365" w:name="_Toc30656979"/>
      <w:bookmarkStart w:id="366" w:name="_Toc30661728"/>
      <w:bookmarkStart w:id="367" w:name="_Toc30666416"/>
      <w:bookmarkStart w:id="368" w:name="_Toc30666646"/>
      <w:bookmarkStart w:id="369" w:name="_Toc30667821"/>
      <w:bookmarkStart w:id="370" w:name="_Toc30669199"/>
      <w:bookmarkStart w:id="371" w:name="_Toc30671415"/>
      <w:bookmarkStart w:id="372" w:name="_Toc30673942"/>
      <w:bookmarkStart w:id="373" w:name="_Toc30691164"/>
      <w:bookmarkStart w:id="374" w:name="_Toc30691535"/>
      <w:bookmarkStart w:id="375" w:name="_Toc30691915"/>
      <w:bookmarkStart w:id="376" w:name="_Toc30692674"/>
      <w:bookmarkStart w:id="377" w:name="_Toc30693053"/>
      <w:bookmarkStart w:id="378" w:name="_Toc30693431"/>
      <w:bookmarkStart w:id="379" w:name="_Toc30693810"/>
      <w:bookmarkStart w:id="380" w:name="_Toc30694191"/>
      <w:bookmarkStart w:id="381" w:name="_Toc30698780"/>
      <w:bookmarkStart w:id="382" w:name="_Toc30699158"/>
      <w:bookmarkStart w:id="383" w:name="_Toc30699543"/>
      <w:bookmarkStart w:id="384" w:name="_Toc30700698"/>
      <w:bookmarkStart w:id="385" w:name="_Toc30701085"/>
      <w:bookmarkStart w:id="386" w:name="_Toc30743694"/>
      <w:bookmarkStart w:id="387" w:name="_Toc30754516"/>
      <w:bookmarkStart w:id="388" w:name="_Toc30756956"/>
      <w:bookmarkStart w:id="389" w:name="_Toc30757505"/>
      <w:bookmarkStart w:id="390" w:name="_Toc30757905"/>
      <w:bookmarkStart w:id="391" w:name="_Toc30762666"/>
      <w:bookmarkStart w:id="392" w:name="_Toc30767320"/>
      <w:bookmarkStart w:id="393" w:name="_Toc34823336"/>
      <w:bookmarkEnd w:id="355"/>
      <w:bookmarkEnd w:id="356"/>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586F6831" w14:textId="475D80DF" w:rsidR="006A0F25" w:rsidRDefault="00B21DA4" w:rsidP="006A0F25">
      <w:pPr>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w:t>
      </w:r>
      <w:proofErr w:type="spellStart"/>
      <w:r>
        <w:rPr>
          <w:rFonts w:ascii="Helvetica" w:hAnsi="Helvetica"/>
          <w:sz w:val="20"/>
        </w:rPr>
        <w:t>Habersberger</w:t>
      </w:r>
      <w:proofErr w:type="spellEnd"/>
      <w:r>
        <w:rPr>
          <w:rFonts w:ascii="Helvetica" w:hAnsi="Helvetica"/>
          <w:sz w:val="20"/>
        </w:rPr>
        <w:t xml:space="preserve"> AJA agreed, said in </w:t>
      </w:r>
      <w:r w:rsidRPr="00CA0011">
        <w:rPr>
          <w:rFonts w:ascii="Helvetica" w:hAnsi="Helvetica"/>
          <w:i/>
          <w:sz w:val="20"/>
        </w:rPr>
        <w:t xml:space="preserve">R v </w:t>
      </w:r>
      <w:proofErr w:type="spellStart"/>
      <w:r w:rsidRPr="00CA0011">
        <w:rPr>
          <w:rFonts w:ascii="Helvetica" w:hAnsi="Helvetica"/>
          <w:i/>
          <w:sz w:val="20"/>
        </w:rPr>
        <w:t>Yasso</w:t>
      </w:r>
      <w:proofErr w:type="spellEnd"/>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R v Lee Kun</w:t>
      </w:r>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42"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R v Saraya</w:t>
      </w:r>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w:t>
      </w:r>
      <w:r w:rsidRPr="002D645A">
        <w:rPr>
          <w:rFonts w:ascii="Arial" w:hAnsi="Arial" w:cs="Arial"/>
          <w:sz w:val="20"/>
          <w:szCs w:val="20"/>
        </w:rPr>
        <w:lastRenderedPageBreak/>
        <w:t xml:space="preserve">different in principle from that which in another case an electrical instrument might fulfil in overcoming the barrier of distance’: </w:t>
      </w:r>
      <w:proofErr w:type="spellStart"/>
      <w:r w:rsidRPr="002D645A">
        <w:rPr>
          <w:rFonts w:ascii="Arial" w:hAnsi="Arial" w:cs="Arial"/>
          <w:i/>
          <w:sz w:val="20"/>
          <w:szCs w:val="20"/>
        </w:rPr>
        <w:t>Gaio</w:t>
      </w:r>
      <w:proofErr w:type="spellEnd"/>
      <w:r w:rsidRPr="002D645A">
        <w:rPr>
          <w:rFonts w:ascii="Arial" w:hAnsi="Arial" w:cs="Arial"/>
          <w:i/>
          <w:sz w:val="20"/>
          <w:szCs w:val="20"/>
        </w:rPr>
        <w:t xml:space="preserve">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requires not only linguistic sophistication and sensitivity to 'minor'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Wigmore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r w:rsidRPr="002D645A">
        <w:rPr>
          <w:rFonts w:ascii="Arial" w:hAnsi="Arial" w:cs="Arial"/>
          <w:i/>
          <w:sz w:val="20"/>
          <w:szCs w:val="20"/>
        </w:rPr>
        <w:t>Perera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r w:rsidR="004C0561" w:rsidRPr="004C0561">
        <w:rPr>
          <w:rFonts w:ascii="Arial" w:hAnsi="Arial" w:cs="Arial"/>
          <w:i/>
          <w:sz w:val="20"/>
          <w:szCs w:val="20"/>
        </w:rPr>
        <w:t>Perera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7BC78570" w14:textId="77777777" w:rsidR="004D3373" w:rsidRDefault="004D3373" w:rsidP="004D3373">
      <w:pPr>
        <w:jc w:val="both"/>
        <w:rPr>
          <w:rFonts w:ascii="Arial" w:hAnsi="Arial" w:cs="Arial"/>
          <w:sz w:val="20"/>
        </w:rPr>
      </w:pPr>
    </w:p>
    <w:p w14:paraId="30571A44" w14:textId="77777777" w:rsidR="004D3373" w:rsidRPr="00BD3BA0" w:rsidRDefault="004D3373" w:rsidP="004D3373">
      <w:pPr>
        <w:jc w:val="center"/>
        <w:rPr>
          <w:rFonts w:ascii="Arial" w:hAnsi="Arial" w:cs="Arial"/>
          <w:b/>
          <w:bCs/>
          <w:sz w:val="22"/>
          <w:szCs w:val="28"/>
        </w:rPr>
      </w:pPr>
      <w:r w:rsidRPr="00BD3BA0">
        <w:rPr>
          <w:rFonts w:ascii="Arial" w:hAnsi="Arial" w:cs="Arial"/>
          <w:b/>
          <w:bCs/>
          <w:sz w:val="22"/>
          <w:szCs w:val="28"/>
        </w:rPr>
        <w:t>THE REST OF THIS PAGE IS BLANK</w:t>
      </w:r>
    </w:p>
    <w:p w14:paraId="189770DB" w14:textId="77777777" w:rsidR="004D3373" w:rsidRDefault="004D3373" w:rsidP="004D3373">
      <w:pPr>
        <w:rPr>
          <w:rFonts w:ascii="Arial" w:hAnsi="Arial" w:cs="Arial"/>
          <w:sz w:val="20"/>
        </w:rPr>
      </w:pPr>
    </w:p>
    <w:p w14:paraId="593737EE" w14:textId="77777777" w:rsidR="00A91950" w:rsidRDefault="00A91950">
      <w:pPr>
        <w:rPr>
          <w:rFonts w:ascii="Arial" w:hAnsi="Arial" w:cs="Arial"/>
          <w:b/>
          <w:kern w:val="28"/>
          <w:sz w:val="20"/>
          <w:szCs w:val="20"/>
          <w:lang w:val="en-GB"/>
        </w:rPr>
      </w:pPr>
      <w:bookmarkStart w:id="394" w:name="_3.4.5_Representation_of"/>
      <w:bookmarkStart w:id="395" w:name="B345"/>
      <w:bookmarkEnd w:id="394"/>
      <w:bookmarkEnd w:id="395"/>
      <w:r>
        <w:rPr>
          <w:rFonts w:ascii="Arial" w:hAnsi="Arial" w:cs="Arial"/>
          <w:b/>
          <w:sz w:val="20"/>
        </w:rPr>
        <w:br w:type="page"/>
      </w:r>
    </w:p>
    <w:p w14:paraId="10DC6CDD" w14:textId="69E38A22" w:rsidR="0022246F" w:rsidRDefault="00904185" w:rsidP="0022246F">
      <w:pPr>
        <w:pStyle w:val="Heading3"/>
        <w:keepNext/>
        <w:keepLines/>
        <w:spacing w:after="100" w:line="240" w:lineRule="auto"/>
        <w:rPr>
          <w:rFonts w:ascii="Arial" w:hAnsi="Arial" w:cs="Arial"/>
          <w:b/>
          <w:bCs/>
          <w:sz w:val="20"/>
        </w:rPr>
      </w:pPr>
      <w:r w:rsidRPr="00904185">
        <w:rPr>
          <w:rFonts w:ascii="Arial" w:hAnsi="Arial" w:cs="Arial"/>
          <w:b/>
          <w:sz w:val="20"/>
        </w:rPr>
        <w:lastRenderedPageBreak/>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sidRPr="00A975E6">
        <w:rPr>
          <w:rFonts w:ascii="Arial" w:hAnsi="Arial" w:cs="Arial"/>
          <w:b/>
          <w:bCs/>
          <w:sz w:val="20"/>
          <w:shd w:val="clear" w:color="auto" w:fill="C5E0B3" w:themeFill="accent6" w:themeFillTint="66"/>
        </w:rPr>
        <w:t>C</w:t>
      </w:r>
      <w:r w:rsidR="00904185" w:rsidRPr="00A975E6">
        <w:rPr>
          <w:rFonts w:ascii="Arial" w:hAnsi="Arial" w:cs="Arial"/>
          <w:b/>
          <w:bCs/>
          <w:sz w:val="20"/>
          <w:shd w:val="clear" w:color="auto" w:fill="C5E0B3" w:themeFill="accent6" w:themeFillTint="66"/>
        </w:rPr>
        <w:t xml:space="preserve">hapter </w:t>
      </w:r>
      <w:r w:rsidR="008015BB" w:rsidRPr="00A975E6">
        <w:rPr>
          <w:rFonts w:ascii="Arial" w:hAnsi="Arial" w:cs="Arial"/>
          <w:b/>
          <w:bCs/>
          <w:sz w:val="20"/>
          <w:shd w:val="clear" w:color="auto" w:fill="C5E0B3" w:themeFill="accent6" w:themeFillTint="66"/>
        </w:rPr>
        <w:t>4</w:t>
      </w:r>
      <w:r w:rsidR="008015BB">
        <w:rPr>
          <w:rFonts w:ascii="Arial" w:hAnsi="Arial" w:cs="Arial"/>
          <w:sz w:val="20"/>
        </w:rPr>
        <w:t xml:space="preserve">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Mengler</w:t>
      </w:r>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5452765A" w:rsidR="00E01B11" w:rsidRDefault="00E01B11" w:rsidP="00E01B11">
      <w:pPr>
        <w:jc w:val="both"/>
        <w:rPr>
          <w:rFonts w:ascii="Arial" w:hAnsi="Arial" w:cs="Arial"/>
          <w:sz w:val="20"/>
        </w:rPr>
      </w:pPr>
    </w:p>
    <w:p w14:paraId="1EA12A90" w14:textId="776ACF78" w:rsidR="009139AF" w:rsidRPr="009139AF" w:rsidRDefault="009139AF" w:rsidP="00E01B11">
      <w:pPr>
        <w:jc w:val="both"/>
        <w:rPr>
          <w:rFonts w:ascii="Arial" w:hAnsi="Arial" w:cs="Arial"/>
          <w:sz w:val="20"/>
          <w:szCs w:val="20"/>
        </w:rPr>
      </w:pPr>
      <w:r w:rsidRPr="009139AF">
        <w:rPr>
          <w:rFonts w:ascii="Arial" w:hAnsi="Arial" w:cs="Arial"/>
          <w:sz w:val="20"/>
          <w:szCs w:val="20"/>
        </w:rPr>
        <w:t xml:space="preserve">In </w:t>
      </w:r>
      <w:proofErr w:type="spellStart"/>
      <w:r w:rsidRPr="009139AF">
        <w:rPr>
          <w:rFonts w:ascii="Arial" w:hAnsi="Arial" w:cs="Arial"/>
          <w:i/>
          <w:iCs/>
          <w:sz w:val="20"/>
          <w:szCs w:val="20"/>
        </w:rPr>
        <w:t>Weldemichael</w:t>
      </w:r>
      <w:proofErr w:type="spellEnd"/>
      <w:r w:rsidRPr="009139AF">
        <w:rPr>
          <w:rFonts w:ascii="Arial" w:hAnsi="Arial" w:cs="Arial"/>
          <w:i/>
          <w:iCs/>
          <w:sz w:val="20"/>
          <w:szCs w:val="20"/>
        </w:rPr>
        <w:t xml:space="preserve"> v Duy Tri Ha</w:t>
      </w:r>
      <w:r w:rsidRPr="009139AF">
        <w:rPr>
          <w:rFonts w:ascii="Arial" w:hAnsi="Arial" w:cs="Arial"/>
          <w:sz w:val="20"/>
          <w:szCs w:val="20"/>
        </w:rPr>
        <w:t xml:space="preserve"> [2022] VSC 817</w:t>
      </w:r>
      <w:r>
        <w:rPr>
          <w:rFonts w:ascii="Arial" w:hAnsi="Arial" w:cs="Arial"/>
          <w:sz w:val="20"/>
          <w:szCs w:val="20"/>
        </w:rPr>
        <w:t xml:space="preserve"> one of the plaintiff’s objections was that the respondent had received assistance from his son during a VCAT hearing.  The son had addressed the Tribunal on occasions and had made submissions on his behalf although it appeared that an interpreter was present and that Mr Ha had some command of English.  In rejecting this objection Ginnane J said at [20]:</w:t>
      </w:r>
    </w:p>
    <w:p w14:paraId="507CB56B" w14:textId="1F0543FA" w:rsidR="009139AF" w:rsidRDefault="009139AF" w:rsidP="009139AF">
      <w:pPr>
        <w:spacing w:before="60"/>
        <w:ind w:left="454" w:right="454"/>
        <w:jc w:val="both"/>
        <w:rPr>
          <w:rFonts w:ascii="Arial" w:hAnsi="Arial" w:cs="Arial"/>
          <w:iCs/>
          <w:sz w:val="20"/>
        </w:rPr>
      </w:pPr>
      <w:r w:rsidRPr="009139AF">
        <w:rPr>
          <w:rFonts w:ascii="Arial" w:hAnsi="Arial" w:cs="Arial"/>
          <w:iCs/>
          <w:sz w:val="20"/>
          <w:szCs w:val="20"/>
        </w:rPr>
        <w:t>“</w:t>
      </w:r>
      <w:r w:rsidRPr="009139AF">
        <w:rPr>
          <w:rFonts w:ascii="Arial" w:hAnsi="Arial" w:cs="Arial"/>
          <w:sz w:val="20"/>
          <w:szCs w:val="20"/>
        </w:rPr>
        <w:t xml:space="preserve">VCAT had power to allow Mr Ha’s son to assist him in the way that he did. This is consistent with the Court of Appeal’s decision in </w:t>
      </w:r>
      <w:r w:rsidRPr="009139AF">
        <w:rPr>
          <w:rFonts w:ascii="Arial" w:hAnsi="Arial" w:cs="Arial"/>
          <w:i/>
          <w:iCs/>
          <w:sz w:val="20"/>
          <w:szCs w:val="20"/>
        </w:rPr>
        <w:t>Hua Li v John Hong Ping So</w:t>
      </w:r>
      <w:r w:rsidRPr="009139AF">
        <w:rPr>
          <w:rFonts w:ascii="Arial" w:hAnsi="Arial" w:cs="Arial"/>
          <w:sz w:val="20"/>
          <w:szCs w:val="20"/>
        </w:rPr>
        <w:t xml:space="preserve"> [2021] VSCA 32, [20] which discussed the discretion to permit a non-legally trained person to represent a litigant as a </w:t>
      </w:r>
      <w:r w:rsidRPr="009139AF">
        <w:rPr>
          <w:rFonts w:ascii="Arial" w:hAnsi="Arial" w:cs="Arial"/>
          <w:i/>
          <w:iCs/>
          <w:sz w:val="20"/>
          <w:szCs w:val="20"/>
        </w:rPr>
        <w:t>McKenzie</w:t>
      </w:r>
      <w:r w:rsidRPr="009139AF">
        <w:rPr>
          <w:rFonts w:ascii="Arial" w:hAnsi="Arial" w:cs="Arial"/>
          <w:sz w:val="20"/>
          <w:szCs w:val="20"/>
        </w:rPr>
        <w:t xml:space="preserve"> friend in special circumstances. That power is appropriately used to assist a person </w:t>
      </w:r>
      <w:r w:rsidRPr="009139AF">
        <w:rPr>
          <w:rFonts w:ascii="Arial" w:hAnsi="Arial" w:cs="Arial"/>
          <w:sz w:val="20"/>
          <w:szCs w:val="20"/>
        </w:rPr>
        <w:lastRenderedPageBreak/>
        <w:t>present their case when they may otherwise be unable to do so. The assistance may extend to making oral submissions on a person’s behalf.</w:t>
      </w:r>
      <w:r>
        <w:rPr>
          <w:rFonts w:ascii="Arial" w:hAnsi="Arial" w:cs="Arial"/>
          <w:sz w:val="20"/>
          <w:szCs w:val="20"/>
        </w:rPr>
        <w:t>”</w:t>
      </w:r>
    </w:p>
    <w:p w14:paraId="6B19A309" w14:textId="62271A82" w:rsidR="009139AF" w:rsidRDefault="009139AF" w:rsidP="00E01B11">
      <w:pPr>
        <w:jc w:val="both"/>
        <w:rPr>
          <w:rFonts w:ascii="Arial" w:hAnsi="Arial" w:cs="Arial"/>
          <w:sz w:val="20"/>
        </w:rPr>
      </w:pPr>
    </w:p>
    <w:p w14:paraId="5404D0FD" w14:textId="5DF87222" w:rsidR="002B1B43" w:rsidRPr="002B1B43" w:rsidRDefault="002B1B43" w:rsidP="00E01B11">
      <w:pPr>
        <w:jc w:val="both"/>
        <w:rPr>
          <w:rFonts w:ascii="Arial" w:hAnsi="Arial" w:cs="Arial"/>
          <w:sz w:val="20"/>
          <w:szCs w:val="20"/>
        </w:rPr>
      </w:pPr>
      <w:r w:rsidRPr="002B1B43">
        <w:rPr>
          <w:rFonts w:ascii="Arial" w:hAnsi="Arial" w:cs="Arial"/>
          <w:sz w:val="20"/>
          <w:szCs w:val="20"/>
        </w:rPr>
        <w:t xml:space="preserve">Other cases involving a McKenzie friend assisting a party include </w:t>
      </w:r>
      <w:r w:rsidRPr="002B1B43">
        <w:rPr>
          <w:rFonts w:ascii="Arial" w:hAnsi="Arial" w:cs="Arial"/>
          <w:i/>
          <w:iCs/>
          <w:sz w:val="20"/>
          <w:szCs w:val="20"/>
        </w:rPr>
        <w:t xml:space="preserve">Vella v </w:t>
      </w:r>
      <w:proofErr w:type="spellStart"/>
      <w:r w:rsidRPr="002B1B43">
        <w:rPr>
          <w:rFonts w:ascii="Arial" w:hAnsi="Arial" w:cs="Arial"/>
          <w:i/>
          <w:iCs/>
          <w:sz w:val="20"/>
          <w:szCs w:val="20"/>
        </w:rPr>
        <w:t>Wybecca</w:t>
      </w:r>
      <w:proofErr w:type="spellEnd"/>
      <w:r w:rsidRPr="002B1B43">
        <w:rPr>
          <w:rFonts w:ascii="Arial" w:hAnsi="Arial" w:cs="Arial"/>
          <w:i/>
          <w:iCs/>
          <w:sz w:val="20"/>
          <w:szCs w:val="20"/>
        </w:rPr>
        <w:t xml:space="preserve"> Pty Ltd</w:t>
      </w:r>
      <w:r w:rsidRPr="002B1B43">
        <w:rPr>
          <w:rFonts w:ascii="Arial" w:hAnsi="Arial" w:cs="Arial"/>
          <w:sz w:val="20"/>
          <w:szCs w:val="20"/>
        </w:rPr>
        <w:t xml:space="preserve"> [2014] VSC 443 and </w:t>
      </w:r>
      <w:r w:rsidRPr="002B1B43">
        <w:rPr>
          <w:rFonts w:ascii="Arial" w:hAnsi="Arial" w:cs="Arial"/>
          <w:i/>
          <w:iCs/>
          <w:sz w:val="20"/>
          <w:szCs w:val="20"/>
        </w:rPr>
        <w:t xml:space="preserve">210 Hawthorn Road Pty Ltd v Ellinson &amp; </w:t>
      </w:r>
      <w:proofErr w:type="spellStart"/>
      <w:r w:rsidRPr="002B1B43">
        <w:rPr>
          <w:rFonts w:ascii="Arial" w:hAnsi="Arial" w:cs="Arial"/>
          <w:i/>
          <w:iCs/>
          <w:sz w:val="20"/>
          <w:szCs w:val="20"/>
        </w:rPr>
        <w:t>Ors</w:t>
      </w:r>
      <w:proofErr w:type="spellEnd"/>
      <w:r w:rsidRPr="002B1B43">
        <w:rPr>
          <w:rFonts w:ascii="Arial" w:hAnsi="Arial" w:cs="Arial"/>
          <w:sz w:val="20"/>
          <w:szCs w:val="20"/>
        </w:rPr>
        <w:t xml:space="preserve"> [2024] VSC 61.</w:t>
      </w:r>
    </w:p>
    <w:p w14:paraId="3BB594FB" w14:textId="77777777" w:rsidR="002B1B43" w:rsidRDefault="002B1B43" w:rsidP="00E01B11">
      <w:pPr>
        <w:jc w:val="both"/>
        <w:rPr>
          <w:rFonts w:ascii="Arial" w:hAnsi="Arial" w:cs="Arial"/>
          <w:sz w:val="20"/>
        </w:rPr>
      </w:pPr>
    </w:p>
    <w:p w14:paraId="39C764F1" w14:textId="2BB3262A" w:rsidR="00D508A8" w:rsidRDefault="00D508A8" w:rsidP="00E01B11">
      <w:pPr>
        <w:jc w:val="both"/>
        <w:rPr>
          <w:rFonts w:ascii="Arial" w:hAnsi="Arial" w:cs="Arial"/>
          <w:sz w:val="20"/>
        </w:rPr>
      </w:pPr>
      <w:r>
        <w:rPr>
          <w:rFonts w:ascii="Arial" w:hAnsi="Arial" w:cs="Arial"/>
          <w:sz w:val="20"/>
        </w:rPr>
        <w:t xml:space="preserve">In </w:t>
      </w:r>
      <w:r w:rsidRPr="00D508A8">
        <w:rPr>
          <w:rFonts w:ascii="Arial" w:hAnsi="Arial" w:cs="Arial"/>
          <w:i/>
          <w:iCs/>
          <w:sz w:val="20"/>
          <w:szCs w:val="20"/>
        </w:rPr>
        <w:t>Victorian Legal Services Board v Nida</w:t>
      </w:r>
      <w:r>
        <w:rPr>
          <w:rFonts w:ascii="Arial" w:hAnsi="Arial" w:cs="Arial"/>
          <w:sz w:val="20"/>
          <w:szCs w:val="20"/>
        </w:rPr>
        <w:t xml:space="preserve"> [2023] VSC 25 the respondent, a former barrister whose practising certificate </w:t>
      </w:r>
      <w:r w:rsidR="00B0734D">
        <w:rPr>
          <w:rFonts w:ascii="Arial" w:hAnsi="Arial" w:cs="Arial"/>
          <w:sz w:val="20"/>
          <w:szCs w:val="20"/>
        </w:rPr>
        <w:t xml:space="preserve">the Victorian Bar Association </w:t>
      </w:r>
      <w:r>
        <w:rPr>
          <w:rFonts w:ascii="Arial" w:hAnsi="Arial" w:cs="Arial"/>
          <w:sz w:val="20"/>
          <w:szCs w:val="20"/>
        </w:rPr>
        <w:t xml:space="preserve">had </w:t>
      </w:r>
      <w:r w:rsidR="00B0734D">
        <w:rPr>
          <w:rFonts w:ascii="Arial" w:hAnsi="Arial" w:cs="Arial"/>
          <w:sz w:val="20"/>
          <w:szCs w:val="20"/>
        </w:rPr>
        <w:t xml:space="preserve">refused to renew, had engaged in legal practice by appearing on behalf of her </w:t>
      </w:r>
      <w:r w:rsidR="000C1A36">
        <w:rPr>
          <w:rFonts w:ascii="Arial" w:hAnsi="Arial" w:cs="Arial"/>
          <w:sz w:val="20"/>
          <w:szCs w:val="20"/>
        </w:rPr>
        <w:t>two</w:t>
      </w:r>
      <w:r w:rsidR="00B0734D">
        <w:rPr>
          <w:rFonts w:ascii="Arial" w:hAnsi="Arial" w:cs="Arial"/>
          <w:sz w:val="20"/>
          <w:szCs w:val="20"/>
        </w:rPr>
        <w:t xml:space="preserve"> sons aged 26 &amp; 29.  </w:t>
      </w:r>
      <w:r>
        <w:rPr>
          <w:rFonts w:ascii="Arial" w:hAnsi="Arial" w:cs="Arial"/>
          <w:sz w:val="20"/>
        </w:rPr>
        <w:t>At [4] Gorton J said:</w:t>
      </w:r>
    </w:p>
    <w:p w14:paraId="0A8C4BD5" w14:textId="7B66AD88" w:rsidR="00B0734D" w:rsidRDefault="00D508A8" w:rsidP="00D508A8">
      <w:pPr>
        <w:spacing w:before="60"/>
        <w:ind w:left="454" w:right="454"/>
        <w:jc w:val="both"/>
        <w:rPr>
          <w:rFonts w:ascii="Arial" w:hAnsi="Arial" w:cs="Arial"/>
          <w:sz w:val="20"/>
          <w:szCs w:val="20"/>
        </w:rPr>
      </w:pPr>
      <w:r>
        <w:rPr>
          <w:rFonts w:ascii="Arial" w:hAnsi="Arial" w:cs="Arial"/>
          <w:iCs/>
          <w:sz w:val="20"/>
        </w:rPr>
        <w:t>“[I]</w:t>
      </w:r>
      <w:r w:rsidRPr="00D508A8">
        <w:rPr>
          <w:rFonts w:ascii="Arial" w:hAnsi="Arial" w:cs="Arial"/>
          <w:sz w:val="20"/>
          <w:szCs w:val="20"/>
        </w:rPr>
        <w:t xml:space="preserve">n Victoria, lawyers with practising certificates have the right to appear in court for those who retain them but other people, including lawyers without practising certificates, can only appear in court for others with the leave of the court. </w:t>
      </w:r>
      <w:r w:rsidR="00B0734D">
        <w:rPr>
          <w:rFonts w:ascii="Arial" w:hAnsi="Arial" w:cs="Arial"/>
          <w:sz w:val="20"/>
          <w:szCs w:val="20"/>
        </w:rPr>
        <w:t xml:space="preserve"> </w:t>
      </w:r>
      <w:r w:rsidR="00B0734D" w:rsidRPr="00D508A8">
        <w:rPr>
          <w:rFonts w:ascii="Arial" w:hAnsi="Arial" w:cs="Arial"/>
          <w:sz w:val="20"/>
          <w:szCs w:val="20"/>
        </w:rPr>
        <w:t xml:space="preserve">Sections 10 and 11 of Schedule 1 of the Uniform Law prohibits anyone other than a ‘qualified entity’ from engaging in legal practice. The definition of ‘qualified entity’ includes an Australian legal practitioner, but that term is defined to mean an Australian lawyer who holds a current Australian practising certificate. Appearing for a party in court as a lawyer is ‘engaging in legal practice’. </w:t>
      </w:r>
      <w:r w:rsidRPr="00D508A8">
        <w:rPr>
          <w:rFonts w:ascii="Arial" w:hAnsi="Arial" w:cs="Arial"/>
          <w:sz w:val="20"/>
          <w:szCs w:val="20"/>
        </w:rPr>
        <w:t xml:space="preserve"> The true position is that mothers do not have an automatic right to represent their children in court and need the leave of the court to do so.</w:t>
      </w:r>
      <w:r w:rsidR="00B0734D">
        <w:rPr>
          <w:rFonts w:ascii="Arial" w:hAnsi="Arial" w:cs="Arial"/>
          <w:sz w:val="20"/>
          <w:szCs w:val="20"/>
        </w:rPr>
        <w:t xml:space="preserve"> </w:t>
      </w:r>
      <w:r w:rsidR="00B0734D" w:rsidRPr="00D508A8">
        <w:rPr>
          <w:rFonts w:ascii="Arial" w:hAnsi="Arial" w:cs="Arial"/>
          <w:sz w:val="20"/>
          <w:szCs w:val="20"/>
        </w:rPr>
        <w:t xml:space="preserve">The court retains a discretion to grant leave to a non-lawyer to appear as an advocate for someone else in an appropriate case – see </w:t>
      </w:r>
      <w:r w:rsidR="00B0734D" w:rsidRPr="00B0734D">
        <w:rPr>
          <w:rFonts w:ascii="Arial" w:hAnsi="Arial" w:cs="Arial"/>
          <w:i/>
          <w:iCs/>
          <w:sz w:val="20"/>
          <w:szCs w:val="20"/>
        </w:rPr>
        <w:t>Hubbard Association of Scientologists International v Anderson</w:t>
      </w:r>
      <w:r w:rsidR="00B0734D" w:rsidRPr="00D508A8">
        <w:rPr>
          <w:rFonts w:ascii="Arial" w:hAnsi="Arial" w:cs="Arial"/>
          <w:sz w:val="20"/>
          <w:szCs w:val="20"/>
        </w:rPr>
        <w:t xml:space="preserve"> [1972] VR 340, 342 (Smith, Little and Gowans JJ); </w:t>
      </w:r>
      <w:r w:rsidR="00B0734D" w:rsidRPr="00B0734D">
        <w:rPr>
          <w:rFonts w:ascii="Arial" w:hAnsi="Arial" w:cs="Arial"/>
          <w:i/>
          <w:iCs/>
          <w:sz w:val="20"/>
          <w:szCs w:val="20"/>
        </w:rPr>
        <w:t>Worldwide Enterprises Pty Ltd v Silberman</w:t>
      </w:r>
      <w:r w:rsidR="00B0734D" w:rsidRPr="00D508A8">
        <w:rPr>
          <w:rFonts w:ascii="Arial" w:hAnsi="Arial" w:cs="Arial"/>
          <w:sz w:val="20"/>
          <w:szCs w:val="20"/>
        </w:rPr>
        <w:t xml:space="preserve"> (2010) 26 VR 595, 601 [32] (Weinberg JA).</w:t>
      </w:r>
      <w:r w:rsidR="00B0734D">
        <w:rPr>
          <w:rFonts w:ascii="Arial" w:hAnsi="Arial" w:cs="Arial"/>
          <w:sz w:val="20"/>
          <w:szCs w:val="20"/>
        </w:rPr>
        <w:t>”</w:t>
      </w:r>
    </w:p>
    <w:p w14:paraId="69D2F270" w14:textId="77777777" w:rsidR="00B0734D" w:rsidRDefault="00B0734D" w:rsidP="00B0734D">
      <w:pPr>
        <w:jc w:val="both"/>
        <w:rPr>
          <w:rFonts w:ascii="Arial" w:hAnsi="Arial" w:cs="Arial"/>
          <w:sz w:val="20"/>
          <w:szCs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96" w:name="_3.4.6_Duty_of"/>
      <w:bookmarkEnd w:id="396"/>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 xml:space="preserve">Re Minister for Immigration and Multicultural and Indigenous Affairs; Ex </w:t>
      </w:r>
      <w:proofErr w:type="spellStart"/>
      <w:r w:rsidR="00852729" w:rsidRPr="00852729">
        <w:rPr>
          <w:rFonts w:ascii="Arial" w:hAnsi="Arial" w:cs="Arial"/>
          <w:i/>
          <w:sz w:val="20"/>
          <w:szCs w:val="20"/>
        </w:rPr>
        <w:t>parte</w:t>
      </w:r>
      <w:proofErr w:type="spellEnd"/>
      <w:r w:rsidR="00852729" w:rsidRPr="00852729">
        <w:rPr>
          <w:rFonts w:ascii="Arial" w:hAnsi="Arial" w:cs="Arial"/>
          <w:i/>
          <w:sz w:val="20"/>
          <w:szCs w:val="20"/>
        </w:rPr>
        <w:t xml:space="preserv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r w:rsidR="00852729" w:rsidRPr="00852729">
        <w:rPr>
          <w:rFonts w:ascii="Arial" w:hAnsi="Arial" w:cs="Arial"/>
          <w:i/>
          <w:sz w:val="20"/>
          <w:szCs w:val="20"/>
        </w:rPr>
        <w:t>Jago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r w:rsidR="000A0150" w:rsidRPr="000A0150">
        <w:rPr>
          <w:rFonts w:ascii="Arial" w:hAnsi="Arial" w:cs="Arial"/>
          <w:i/>
          <w:sz w:val="20"/>
          <w:szCs w:val="20"/>
        </w:rPr>
        <w:t>Jago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lastRenderedPageBreak/>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lastRenderedPageBreak/>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 xml:space="preserve">Tomasevic v </w:t>
      </w:r>
      <w:proofErr w:type="spellStart"/>
      <w:r w:rsidR="00352003" w:rsidRPr="00292662">
        <w:rPr>
          <w:rFonts w:ascii="Arial" w:eastAsia="Book Antiqua" w:hAnsi="Arial" w:cs="Arial"/>
          <w:i/>
          <w:sz w:val="20"/>
        </w:rPr>
        <w:t>Travaglini</w:t>
      </w:r>
      <w:proofErr w:type="spellEnd"/>
      <w:r w:rsidR="00352003" w:rsidRPr="00292662">
        <w:rPr>
          <w:rFonts w:ascii="Arial" w:eastAsia="Book Antiqua" w:hAnsi="Arial" w:cs="Arial"/>
          <w:i/>
          <w:sz w:val="20"/>
        </w:rPr>
        <w:t xml:space="preserve"> &amp; Anor</w:t>
      </w:r>
      <w:r w:rsidR="00352003" w:rsidRPr="00292662">
        <w:rPr>
          <w:rFonts w:ascii="Arial" w:hAnsi="Arial" w:cs="Arial"/>
          <w:sz w:val="20"/>
        </w:rPr>
        <w:t xml:space="preserve"> (2007) 17 VR 100 and </w:t>
      </w:r>
      <w:proofErr w:type="spellStart"/>
      <w:r w:rsidR="00352003" w:rsidRPr="00292662">
        <w:rPr>
          <w:rFonts w:ascii="Arial" w:eastAsia="Book Antiqua" w:hAnsi="Arial" w:cs="Arial"/>
          <w:i/>
          <w:sz w:val="20"/>
        </w:rPr>
        <w:t>Matsoukatidou</w:t>
      </w:r>
      <w:proofErr w:type="spellEnd"/>
      <w:r w:rsidR="00352003" w:rsidRPr="00292662">
        <w:rPr>
          <w:rFonts w:ascii="Arial" w:eastAsia="Book Antiqua" w:hAnsi="Arial" w:cs="Arial"/>
          <w:i/>
          <w:sz w:val="20"/>
        </w:rPr>
        <w:t xml:space="preserve"> v </w:t>
      </w:r>
      <w:proofErr w:type="spellStart"/>
      <w:r w:rsidR="00352003" w:rsidRPr="00292662">
        <w:rPr>
          <w:rFonts w:ascii="Arial" w:eastAsia="Book Antiqua" w:hAnsi="Arial" w:cs="Arial"/>
          <w:i/>
          <w:sz w:val="20"/>
        </w:rPr>
        <w:t>Yarra</w:t>
      </w:r>
      <w:proofErr w:type="spellEnd"/>
      <w:r w:rsidR="00352003" w:rsidRPr="00292662">
        <w:rPr>
          <w:rFonts w:ascii="Arial" w:eastAsia="Book Antiqua" w:hAnsi="Arial" w:cs="Arial"/>
          <w:i/>
          <w:sz w:val="20"/>
        </w:rPr>
        <w:t xml:space="preserve">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w:t>
      </w:r>
      <w:proofErr w:type="spellStart"/>
      <w:r w:rsidR="00943BBA">
        <w:rPr>
          <w:rFonts w:ascii="Helvetica" w:hAnsi="Helvetica"/>
          <w:color w:val="000000"/>
          <w:sz w:val="20"/>
        </w:rPr>
        <w:t>Derham</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 xml:space="preserve">; </w:t>
      </w:r>
      <w:r w:rsidR="00943BBA" w:rsidRPr="00943BBA">
        <w:rPr>
          <w:rFonts w:ascii="Helvetica" w:hAnsi="Helvetica"/>
          <w:i/>
          <w:iCs/>
          <w:color w:val="000000"/>
          <w:sz w:val="20"/>
        </w:rPr>
        <w:t xml:space="preserve">Re Rococo Group Pty Ltd (in </w:t>
      </w:r>
      <w:proofErr w:type="spellStart"/>
      <w:r w:rsidR="00943BBA" w:rsidRPr="00943BBA">
        <w:rPr>
          <w:rFonts w:ascii="Helvetica" w:hAnsi="Helvetica"/>
          <w:i/>
          <w:iCs/>
          <w:color w:val="000000"/>
          <w:sz w:val="20"/>
        </w:rPr>
        <w:t>liq</w:t>
      </w:r>
      <w:proofErr w:type="spellEnd"/>
      <w:r w:rsidR="00943BBA" w:rsidRPr="00943BBA">
        <w:rPr>
          <w:rFonts w:ascii="Helvetica" w:hAnsi="Helvetica"/>
          <w:i/>
          <w:iCs/>
          <w:color w:val="000000"/>
          <w:sz w:val="20"/>
        </w:rPr>
        <w:t>)</w:t>
      </w:r>
      <w:r w:rsidR="00943BBA">
        <w:rPr>
          <w:rFonts w:ascii="Helvetica" w:hAnsi="Helvetica"/>
          <w:color w:val="000000"/>
          <w:sz w:val="20"/>
        </w:rPr>
        <w:t xml:space="preserve"> [2022] VSC 167 at [7] per </w:t>
      </w:r>
      <w:proofErr w:type="spellStart"/>
      <w:r w:rsidR="00943BBA">
        <w:rPr>
          <w:rFonts w:ascii="Helvetica" w:hAnsi="Helvetica"/>
          <w:color w:val="000000"/>
          <w:sz w:val="20"/>
        </w:rPr>
        <w:t>Hetyey</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xml:space="preserve">) Inc &amp; </w:t>
      </w:r>
      <w:proofErr w:type="spellStart"/>
      <w:r w:rsidR="00212E60" w:rsidRPr="00E37520">
        <w:rPr>
          <w:rFonts w:ascii="Arial" w:hAnsi="Arial" w:cs="Arial"/>
          <w:i/>
          <w:color w:val="000000"/>
          <w:sz w:val="20"/>
        </w:rPr>
        <w:t>Ors</w:t>
      </w:r>
      <w:proofErr w:type="spellEnd"/>
      <w:r w:rsidR="00212E60" w:rsidRPr="00E37520">
        <w:rPr>
          <w:rFonts w:ascii="Arial" w:hAnsi="Arial" w:cs="Arial"/>
          <w:i/>
          <w:color w:val="000000"/>
          <w:sz w:val="20"/>
        </w:rPr>
        <w:t xml:space="preserve">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 xml:space="preserve">Westpac Banking Corporation v Angela Barrett &amp; </w:t>
      </w:r>
      <w:proofErr w:type="spellStart"/>
      <w:r w:rsidR="00443E59" w:rsidRPr="00E37520">
        <w:rPr>
          <w:rFonts w:ascii="Arial" w:hAnsi="Arial" w:cs="Arial"/>
          <w:i/>
          <w:color w:val="000000"/>
          <w:sz w:val="20"/>
          <w:szCs w:val="20"/>
        </w:rPr>
        <w:t>Ors</w:t>
      </w:r>
      <w:proofErr w:type="spellEnd"/>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9766AC">
      <w:pPr>
        <w:spacing w:before="60"/>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0163A4F0" w14:textId="77777777" w:rsidR="002B489D" w:rsidRDefault="002B489D" w:rsidP="002B489D">
      <w:pPr>
        <w:rPr>
          <w:rFonts w:ascii="Arial" w:hAnsi="Arial" w:cs="Arial"/>
          <w:color w:val="000000"/>
          <w:sz w:val="20"/>
        </w:rPr>
      </w:pPr>
      <w:bookmarkStart w:id="397" w:name="_3.5_What_happens"/>
      <w:bookmarkStart w:id="398" w:name="B35"/>
      <w:bookmarkStart w:id="399" w:name="_3.5_What_happens_1"/>
      <w:bookmarkStart w:id="400" w:name="_Toc30608807"/>
      <w:bookmarkStart w:id="401" w:name="_Toc30610021"/>
      <w:bookmarkStart w:id="402" w:name="_Toc30610265"/>
      <w:bookmarkStart w:id="403" w:name="_Toc30638419"/>
      <w:bookmarkStart w:id="404" w:name="_Toc30644228"/>
      <w:bookmarkStart w:id="405" w:name="_Toc30644631"/>
      <w:bookmarkStart w:id="406" w:name="_Toc30645181"/>
      <w:bookmarkStart w:id="407" w:name="_Toc30646392"/>
      <w:bookmarkStart w:id="408" w:name="_Toc30646687"/>
      <w:bookmarkStart w:id="409" w:name="_Toc30646798"/>
      <w:bookmarkStart w:id="410" w:name="_Toc30648155"/>
      <w:bookmarkStart w:id="411" w:name="_Toc30649053"/>
      <w:bookmarkStart w:id="412" w:name="_Toc30649129"/>
      <w:bookmarkStart w:id="413" w:name="_Toc30649390"/>
      <w:bookmarkStart w:id="414" w:name="_Toc30649711"/>
      <w:bookmarkStart w:id="415" w:name="_Toc30651648"/>
      <w:bookmarkStart w:id="416" w:name="_Toc30652632"/>
      <w:bookmarkStart w:id="417" w:name="_Toc30652730"/>
      <w:bookmarkStart w:id="418" w:name="_Toc30654075"/>
      <w:bookmarkStart w:id="419" w:name="_Toc30654426"/>
      <w:bookmarkStart w:id="420" w:name="_Toc30655045"/>
      <w:bookmarkStart w:id="421" w:name="_Toc30655302"/>
      <w:bookmarkStart w:id="422" w:name="_Toc30656980"/>
      <w:bookmarkStart w:id="423" w:name="_Toc30661729"/>
      <w:bookmarkStart w:id="424" w:name="_Toc30666417"/>
      <w:bookmarkStart w:id="425" w:name="_Toc30666647"/>
      <w:bookmarkStart w:id="426" w:name="_Toc30667822"/>
      <w:bookmarkStart w:id="427" w:name="_Toc30669200"/>
      <w:bookmarkStart w:id="428" w:name="_Toc30671416"/>
      <w:bookmarkStart w:id="429" w:name="_Toc30673943"/>
      <w:bookmarkStart w:id="430" w:name="_Toc30691165"/>
      <w:bookmarkStart w:id="431" w:name="_Toc30691536"/>
      <w:bookmarkStart w:id="432" w:name="_Toc30691916"/>
      <w:bookmarkStart w:id="433" w:name="_Toc30692675"/>
      <w:bookmarkStart w:id="434" w:name="_Toc30693054"/>
      <w:bookmarkStart w:id="435" w:name="_Toc30693432"/>
      <w:bookmarkStart w:id="436" w:name="_Toc30693811"/>
      <w:bookmarkStart w:id="437" w:name="_Toc30694192"/>
      <w:bookmarkStart w:id="438" w:name="_Toc30698781"/>
      <w:bookmarkStart w:id="439" w:name="_Toc30699159"/>
      <w:bookmarkStart w:id="440" w:name="_Toc30699544"/>
      <w:bookmarkStart w:id="441" w:name="_Toc30700699"/>
      <w:bookmarkStart w:id="442" w:name="_Toc30701086"/>
      <w:bookmarkStart w:id="443" w:name="_Toc30743695"/>
      <w:bookmarkStart w:id="444" w:name="_Toc30754517"/>
      <w:bookmarkStart w:id="445" w:name="_Toc30756957"/>
      <w:bookmarkStart w:id="446" w:name="_Toc30757506"/>
      <w:bookmarkStart w:id="447" w:name="_Toc30757906"/>
      <w:bookmarkStart w:id="448" w:name="_Toc30762667"/>
      <w:bookmarkStart w:id="449" w:name="_Toc30767321"/>
      <w:bookmarkStart w:id="450" w:name="_Toc34823337"/>
      <w:bookmarkEnd w:id="397"/>
      <w:bookmarkEnd w:id="398"/>
      <w:bookmarkEnd w:id="399"/>
    </w:p>
    <w:p w14:paraId="111A9D06" w14:textId="6F24D1BD" w:rsidR="00B21DA4" w:rsidRPr="001A1BF2" w:rsidRDefault="00B21DA4" w:rsidP="00F623AD">
      <w:pPr>
        <w:pStyle w:val="Heading2"/>
        <w:keepNext/>
        <w:keepLines/>
        <w:tabs>
          <w:tab w:val="left" w:pos="567"/>
        </w:tabs>
        <w:spacing w:line="240" w:lineRule="auto"/>
        <w:rPr>
          <w:rFonts w:ascii="Arial" w:hAnsi="Arial" w:cs="Arial"/>
          <w:b/>
          <w:bCs/>
          <w:color w:val="000000"/>
        </w:rPr>
      </w:pPr>
      <w:r w:rsidRPr="001A1BF2">
        <w:rPr>
          <w:rFonts w:ascii="Arial" w:hAnsi="Arial" w:cs="Arial"/>
          <w:b/>
          <w:bCs/>
          <w:color w:val="000000"/>
        </w:rPr>
        <w:t>3.5</w:t>
      </w:r>
      <w:r w:rsidRPr="001A1BF2">
        <w:rPr>
          <w:rFonts w:ascii="Arial" w:hAnsi="Arial" w:cs="Arial"/>
          <w:b/>
          <w:bCs/>
          <w:color w:val="000000"/>
        </w:rPr>
        <w:tab/>
        <w:t>What happens in court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62BB1167" w14:textId="003381B3" w:rsidR="009A2F63" w:rsidRDefault="009A2F63" w:rsidP="009A2F63">
      <w:pPr>
        <w:spacing w:before="120"/>
        <w:jc w:val="both"/>
        <w:rPr>
          <w:rFonts w:ascii="Arial" w:hAnsi="Arial" w:cs="Arial"/>
          <w:color w:val="000000"/>
          <w:sz w:val="20"/>
        </w:rPr>
      </w:pPr>
      <w:r>
        <w:rPr>
          <w:rFonts w:ascii="Arial" w:hAnsi="Arial" w:cs="Arial"/>
          <w:color w:val="000000"/>
          <w:sz w:val="20"/>
        </w:rPr>
        <w:t xml:space="preserve">All </w:t>
      </w:r>
      <w:r w:rsidR="002B489D">
        <w:rPr>
          <w:rFonts w:ascii="Arial" w:hAnsi="Arial" w:cs="Arial"/>
          <w:color w:val="000000"/>
          <w:sz w:val="20"/>
        </w:rPr>
        <w:t xml:space="preserve">Court </w:t>
      </w:r>
      <w:r>
        <w:rPr>
          <w:rFonts w:ascii="Arial" w:hAnsi="Arial" w:cs="Arial"/>
          <w:color w:val="000000"/>
          <w:sz w:val="20"/>
        </w:rPr>
        <w:t xml:space="preserve">proceedings in the Children’s Court are </w:t>
      </w:r>
      <w:r w:rsidR="00E35E20">
        <w:rPr>
          <w:rFonts w:ascii="Arial" w:hAnsi="Arial" w:cs="Arial"/>
          <w:color w:val="000000"/>
          <w:sz w:val="20"/>
        </w:rPr>
        <w:t xml:space="preserve">digitally </w:t>
      </w:r>
      <w:r>
        <w:rPr>
          <w:rFonts w:ascii="Arial" w:hAnsi="Arial" w:cs="Arial"/>
          <w:color w:val="000000"/>
          <w:sz w:val="20"/>
        </w:rPr>
        <w:t>recorded</w:t>
      </w:r>
      <w:r w:rsidR="004D5892">
        <w:rPr>
          <w:rFonts w:ascii="Arial" w:hAnsi="Arial" w:cs="Arial"/>
          <w:color w:val="000000"/>
          <w:sz w:val="20"/>
        </w:rPr>
        <w:t xml:space="preserve"> in accordance with </w:t>
      </w:r>
      <w:r>
        <w:rPr>
          <w:rFonts w:ascii="Arial" w:hAnsi="Arial" w:cs="Arial"/>
          <w:color w:val="000000"/>
          <w:sz w:val="20"/>
        </w:rPr>
        <w:t xml:space="preserve">s.19A </w:t>
      </w:r>
      <w:r w:rsidRPr="009A2F63">
        <w:rPr>
          <w:rFonts w:ascii="Arial" w:hAnsi="Arial" w:cs="Arial"/>
          <w:i/>
          <w:iCs/>
          <w:color w:val="000000"/>
          <w:sz w:val="20"/>
        </w:rPr>
        <w:t>Magistrates’ Court Act 1989</w:t>
      </w:r>
      <w:r>
        <w:rPr>
          <w:rFonts w:ascii="Arial" w:hAnsi="Arial" w:cs="Arial"/>
          <w:color w:val="000000"/>
          <w:sz w:val="20"/>
        </w:rPr>
        <w:t xml:space="preserve"> read in conjunction with s.528(2)(a) CYFA.</w:t>
      </w:r>
      <w:r w:rsidR="004D5892">
        <w:rPr>
          <w:rFonts w:ascii="Arial" w:hAnsi="Arial" w:cs="Arial"/>
          <w:color w:val="000000"/>
          <w:sz w:val="20"/>
        </w:rPr>
        <w:t xml:space="preserve">  See also </w:t>
      </w:r>
      <w:r w:rsidR="004D5892" w:rsidRPr="00A975E6">
        <w:rPr>
          <w:rFonts w:ascii="Arial" w:hAnsi="Arial" w:cs="Arial"/>
          <w:b/>
          <w:bCs/>
          <w:color w:val="000000"/>
          <w:sz w:val="20"/>
          <w:shd w:val="clear" w:color="auto" w:fill="C5E0B3" w:themeFill="accent6" w:themeFillTint="66"/>
        </w:rPr>
        <w:t>section 2.7.6</w:t>
      </w:r>
      <w:r w:rsidR="004D5892">
        <w:rPr>
          <w:rFonts w:ascii="Arial" w:hAnsi="Arial" w:cs="Arial"/>
          <w:color w:val="000000"/>
          <w:sz w:val="20"/>
        </w:rPr>
        <w:t>.</w:t>
      </w:r>
    </w:p>
    <w:p w14:paraId="2039956B" w14:textId="4A86B561" w:rsidR="009A2F63" w:rsidRDefault="009A2F63">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51" w:name="_3.5.1_Preparation"/>
      <w:bookmarkStart w:id="452" w:name="B351"/>
      <w:bookmarkStart w:id="453" w:name="_Toc30649712"/>
      <w:bookmarkStart w:id="454" w:name="_Toc30651649"/>
      <w:bookmarkStart w:id="455" w:name="_Toc30652633"/>
      <w:bookmarkStart w:id="456" w:name="_Toc30652731"/>
      <w:bookmarkStart w:id="457" w:name="_Toc30654076"/>
      <w:bookmarkStart w:id="458" w:name="_Toc30654427"/>
      <w:bookmarkStart w:id="459" w:name="_Toc30655046"/>
      <w:bookmarkStart w:id="460" w:name="_Toc30655303"/>
      <w:bookmarkStart w:id="461" w:name="_Toc30656981"/>
      <w:bookmarkStart w:id="462" w:name="_Toc30661730"/>
      <w:bookmarkStart w:id="463" w:name="_Toc30666418"/>
      <w:bookmarkStart w:id="464" w:name="_Toc30666648"/>
      <w:bookmarkStart w:id="465" w:name="_Toc30667823"/>
      <w:bookmarkStart w:id="466" w:name="_Toc30669201"/>
      <w:bookmarkStart w:id="467" w:name="_Toc30671417"/>
      <w:bookmarkStart w:id="468" w:name="_Toc30673944"/>
      <w:bookmarkStart w:id="469" w:name="_Toc30691166"/>
      <w:bookmarkStart w:id="470" w:name="_Toc30691537"/>
      <w:bookmarkStart w:id="471" w:name="_Toc30691917"/>
      <w:bookmarkStart w:id="472" w:name="_Toc30692676"/>
      <w:bookmarkStart w:id="473" w:name="_Toc30693055"/>
      <w:bookmarkStart w:id="474" w:name="_Toc30693433"/>
      <w:bookmarkStart w:id="475" w:name="_Toc30693812"/>
      <w:bookmarkStart w:id="476" w:name="_Toc30694193"/>
      <w:bookmarkStart w:id="477" w:name="_Toc30698782"/>
      <w:bookmarkStart w:id="478" w:name="_Toc30699160"/>
      <w:bookmarkStart w:id="479" w:name="_Toc30699545"/>
      <w:bookmarkStart w:id="480" w:name="_Toc30700700"/>
      <w:bookmarkStart w:id="481" w:name="_Toc30701087"/>
      <w:bookmarkStart w:id="482" w:name="_Toc30743696"/>
      <w:bookmarkStart w:id="483" w:name="_Toc30754518"/>
      <w:bookmarkStart w:id="484" w:name="_Toc30756958"/>
      <w:bookmarkStart w:id="485" w:name="_Toc30757507"/>
      <w:bookmarkStart w:id="486" w:name="_Toc30757907"/>
      <w:bookmarkStart w:id="487" w:name="_Toc30762668"/>
      <w:bookmarkStart w:id="488" w:name="_Toc30767322"/>
      <w:bookmarkStart w:id="489" w:name="_Toc34823338"/>
      <w:bookmarkEnd w:id="451"/>
      <w:bookmarkEnd w:id="452"/>
      <w:r w:rsidRPr="001A1BF2">
        <w:rPr>
          <w:rFonts w:ascii="Arial" w:hAnsi="Arial" w:cs="Arial"/>
          <w:b/>
          <w:bCs/>
          <w:color w:val="000000"/>
          <w:sz w:val="20"/>
        </w:rPr>
        <w:t>3.5.1</w:t>
      </w:r>
      <w:r w:rsidRPr="001A1BF2">
        <w:rPr>
          <w:rFonts w:ascii="Arial" w:hAnsi="Arial" w:cs="Arial"/>
          <w:b/>
          <w:bCs/>
          <w:color w:val="000000"/>
          <w:sz w:val="20"/>
        </w:rPr>
        <w:tab/>
        <w:t>Preparation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507D8B2" w14:textId="54C60F54"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w:t>
      </w:r>
      <w:r w:rsidR="006426B4">
        <w:rPr>
          <w:rFonts w:ascii="Arial" w:hAnsi="Arial" w:cs="Arial"/>
          <w:color w:val="000000"/>
          <w:sz w:val="20"/>
        </w:rPr>
        <w:t xml:space="preserve">independent </w:t>
      </w:r>
      <w:r w:rsidR="005A00C5">
        <w:rPr>
          <w:rFonts w:ascii="Arial" w:hAnsi="Arial" w:cs="Arial"/>
          <w:color w:val="000000"/>
          <w:sz w:val="20"/>
        </w:rPr>
        <w:t>underlying duty to ensure that orders made by it are in the best interests of the subject child</w:t>
      </w:r>
      <w:r w:rsidR="0063109C">
        <w:rPr>
          <w:rFonts w:ascii="Arial" w:hAnsi="Arial" w:cs="Arial"/>
          <w:color w:val="000000"/>
          <w:sz w:val="20"/>
        </w:rPr>
        <w:t>: see ss.8(1) &amp; 10 of the CYFA</w:t>
      </w:r>
      <w:r w:rsidR="005A00C5">
        <w:rPr>
          <w:rFonts w:ascii="Arial" w:hAnsi="Arial" w:cs="Arial"/>
          <w:color w:val="000000"/>
          <w:sz w:val="20"/>
        </w:rPr>
        <w:t>.</w:t>
      </w:r>
    </w:p>
    <w:p w14:paraId="15279957" w14:textId="44CA6CDE" w:rsidR="00B77BA2" w:rsidRDefault="00B77BA2">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90" w:name="_3.5.2_Mention"/>
      <w:bookmarkStart w:id="491" w:name="B352"/>
      <w:bookmarkStart w:id="492" w:name="_Toc30649714"/>
      <w:bookmarkStart w:id="493" w:name="_Toc30651651"/>
      <w:bookmarkStart w:id="494" w:name="_Toc30652635"/>
      <w:bookmarkStart w:id="495" w:name="_Toc30652733"/>
      <w:bookmarkStart w:id="496" w:name="_Toc30654078"/>
      <w:bookmarkStart w:id="497" w:name="_Toc30654429"/>
      <w:bookmarkStart w:id="498" w:name="_Toc30655048"/>
      <w:bookmarkStart w:id="499" w:name="_Toc30655305"/>
      <w:bookmarkStart w:id="500" w:name="_Toc30656983"/>
      <w:bookmarkStart w:id="501" w:name="_Toc30661732"/>
      <w:bookmarkStart w:id="502" w:name="_Toc30666420"/>
      <w:bookmarkStart w:id="503" w:name="_Toc30666650"/>
      <w:bookmarkStart w:id="504" w:name="_Toc30667825"/>
      <w:bookmarkStart w:id="505" w:name="_Toc30669203"/>
      <w:bookmarkStart w:id="506" w:name="_Toc30671419"/>
      <w:bookmarkStart w:id="507" w:name="_Toc30673946"/>
      <w:bookmarkStart w:id="508" w:name="_Toc30691168"/>
      <w:bookmarkStart w:id="509" w:name="_Toc30691539"/>
      <w:bookmarkStart w:id="510" w:name="_Toc30691919"/>
      <w:bookmarkStart w:id="511" w:name="_Toc30692678"/>
      <w:bookmarkStart w:id="512" w:name="_Toc30693057"/>
      <w:bookmarkStart w:id="513" w:name="_Toc30693435"/>
      <w:bookmarkStart w:id="514" w:name="_Toc30693814"/>
      <w:bookmarkStart w:id="515" w:name="_Toc30694195"/>
      <w:bookmarkStart w:id="516" w:name="_Toc30698784"/>
      <w:bookmarkStart w:id="517" w:name="_Toc30699162"/>
      <w:bookmarkStart w:id="518" w:name="_Toc30699547"/>
      <w:bookmarkStart w:id="519" w:name="_Toc30700702"/>
      <w:bookmarkStart w:id="520" w:name="_Toc30701089"/>
      <w:bookmarkStart w:id="521" w:name="_Toc30743698"/>
      <w:bookmarkStart w:id="522" w:name="_Toc30754520"/>
      <w:bookmarkStart w:id="523" w:name="_Toc30756960"/>
      <w:bookmarkStart w:id="524" w:name="_Toc30757509"/>
      <w:bookmarkStart w:id="525" w:name="_Toc30757909"/>
      <w:bookmarkStart w:id="526" w:name="_Toc30762670"/>
      <w:bookmarkStart w:id="527" w:name="_Toc30767324"/>
      <w:bookmarkStart w:id="528" w:name="_Toc34823340"/>
      <w:bookmarkEnd w:id="490"/>
      <w:bookmarkEnd w:id="491"/>
      <w:r>
        <w:rPr>
          <w:rFonts w:ascii="Arial" w:hAnsi="Arial" w:cs="Arial"/>
          <w:b/>
          <w:bCs/>
          <w:sz w:val="20"/>
        </w:rPr>
        <w:lastRenderedPageBreak/>
        <w:t>3.5.</w:t>
      </w:r>
      <w:r w:rsidR="00651711">
        <w:rPr>
          <w:rFonts w:ascii="Arial" w:hAnsi="Arial" w:cs="Arial"/>
          <w:b/>
          <w:bCs/>
          <w:sz w:val="20"/>
        </w:rPr>
        <w:t>2</w:t>
      </w:r>
      <w:r>
        <w:rPr>
          <w:rFonts w:ascii="Arial" w:hAnsi="Arial" w:cs="Arial"/>
          <w:b/>
          <w:bCs/>
          <w:sz w:val="20"/>
        </w:rPr>
        <w:tab/>
        <w:t>Mention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7AD4B5A2" w14:textId="18EAE52A" w:rsidR="00B21DA4" w:rsidRDefault="00B21DA4" w:rsidP="00A91950">
      <w:pPr>
        <w:keepNext/>
        <w:keepLines/>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20B3949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 xml:space="preserve">in the Criminal Division, for </w:t>
      </w:r>
      <w:r w:rsidR="00D62988">
        <w:rPr>
          <w:rFonts w:ascii="Arial" w:hAnsi="Arial" w:cs="Arial"/>
          <w:sz w:val="20"/>
        </w:rPr>
        <w:t xml:space="preserve">a </w:t>
      </w:r>
      <w:r>
        <w:rPr>
          <w:rFonts w:ascii="Arial" w:hAnsi="Arial" w:cs="Arial"/>
          <w:sz w:val="20"/>
        </w:rPr>
        <w:t>contest</w:t>
      </w:r>
      <w:r w:rsidR="0063109C">
        <w:rPr>
          <w:rFonts w:ascii="Arial" w:hAnsi="Arial" w:cs="Arial"/>
          <w:sz w:val="20"/>
        </w:rPr>
        <w:t xml:space="preserve"> </w:t>
      </w:r>
      <w:r>
        <w:rPr>
          <w:rFonts w:ascii="Arial" w:hAnsi="Arial" w:cs="Arial"/>
          <w:sz w:val="20"/>
        </w:rPr>
        <w:t>preceded by a contest mention</w:t>
      </w:r>
      <w:r w:rsidR="0063109C">
        <w:rPr>
          <w:rFonts w:ascii="Arial" w:hAnsi="Arial" w:cs="Arial"/>
          <w:sz w:val="20"/>
        </w:rPr>
        <w:t xml:space="preserve"> or for committal preceded by a committal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29" w:name="_3.5.3_Evidence"/>
      <w:bookmarkStart w:id="530" w:name="_Toc30649713"/>
      <w:bookmarkStart w:id="531" w:name="_Toc30651650"/>
      <w:bookmarkStart w:id="532" w:name="_Toc30652634"/>
      <w:bookmarkStart w:id="533" w:name="_Toc30652732"/>
      <w:bookmarkStart w:id="534" w:name="_Toc30654077"/>
      <w:bookmarkStart w:id="535" w:name="_Toc30654428"/>
      <w:bookmarkStart w:id="536" w:name="_Toc30655047"/>
      <w:bookmarkStart w:id="537" w:name="_Toc30655304"/>
      <w:bookmarkStart w:id="538" w:name="_Toc30656982"/>
      <w:bookmarkStart w:id="539" w:name="_Toc30661731"/>
      <w:bookmarkStart w:id="540" w:name="_Toc30666419"/>
      <w:bookmarkStart w:id="541" w:name="_Toc30666649"/>
      <w:bookmarkStart w:id="542" w:name="_Toc30667824"/>
      <w:bookmarkStart w:id="543" w:name="_Toc30669202"/>
      <w:bookmarkStart w:id="544" w:name="_Toc30671418"/>
      <w:bookmarkStart w:id="545" w:name="_Toc30673945"/>
      <w:bookmarkStart w:id="546" w:name="_Toc30691167"/>
      <w:bookmarkStart w:id="547" w:name="_Toc30691538"/>
      <w:bookmarkStart w:id="548" w:name="_Toc30691918"/>
      <w:bookmarkStart w:id="549" w:name="_Toc30692677"/>
      <w:bookmarkStart w:id="550" w:name="_Toc30693056"/>
      <w:bookmarkStart w:id="551" w:name="_Toc30693434"/>
      <w:bookmarkStart w:id="552" w:name="_Toc30693813"/>
      <w:bookmarkStart w:id="553" w:name="_Toc30694194"/>
      <w:bookmarkStart w:id="554" w:name="_Toc30698783"/>
      <w:bookmarkStart w:id="555" w:name="_Toc30699161"/>
      <w:bookmarkStart w:id="556" w:name="_Toc30699546"/>
      <w:bookmarkStart w:id="557" w:name="_Toc30700701"/>
      <w:bookmarkStart w:id="558" w:name="_Toc30701088"/>
      <w:bookmarkStart w:id="559" w:name="_Toc30743697"/>
      <w:bookmarkStart w:id="560" w:name="_Toc30754519"/>
      <w:bookmarkStart w:id="561" w:name="_Toc30756959"/>
      <w:bookmarkStart w:id="562" w:name="_Toc30757508"/>
      <w:bookmarkStart w:id="563" w:name="_Toc30757908"/>
      <w:bookmarkStart w:id="564" w:name="_Toc30762669"/>
      <w:bookmarkStart w:id="565" w:name="_Toc30767323"/>
      <w:bookmarkStart w:id="566" w:name="_Toc34823339"/>
      <w:bookmarkEnd w:id="529"/>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bookmarkStart w:id="567" w:name="_Hlk109651830"/>
    </w:p>
    <w:bookmarkEnd w:id="567"/>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68" w:name="_3.5.3.1_Admissibility_of"/>
      <w:bookmarkStart w:id="569" w:name="B3531"/>
      <w:bookmarkEnd w:id="568"/>
      <w:bookmarkEnd w:id="569"/>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3D366053" w14:textId="573774A8" w:rsidR="00C41198" w:rsidRDefault="00C41198" w:rsidP="00A4066A">
      <w:pPr>
        <w:spacing w:before="120"/>
        <w:jc w:val="both"/>
        <w:rPr>
          <w:rFonts w:ascii="Arial" w:hAnsi="Arial" w:cs="Arial"/>
          <w:color w:val="000000"/>
          <w:sz w:val="20"/>
        </w:rPr>
      </w:pPr>
      <w:r>
        <w:rPr>
          <w:rFonts w:ascii="Arial" w:hAnsi="Arial" w:cs="Arial"/>
          <w:color w:val="000000"/>
          <w:sz w:val="20"/>
        </w:rPr>
        <w:t xml:space="preserve">In </w:t>
      </w:r>
      <w:r w:rsidRPr="00C41198">
        <w:rPr>
          <w:rFonts w:ascii="Arial" w:hAnsi="Arial" w:cs="Arial"/>
          <w:i/>
          <w:iCs/>
          <w:color w:val="000000"/>
          <w:sz w:val="20"/>
        </w:rPr>
        <w:t>DPP v Roberts (Ruling No 15)</w:t>
      </w:r>
      <w:r>
        <w:rPr>
          <w:rFonts w:ascii="Arial" w:hAnsi="Arial" w:cs="Arial"/>
          <w:color w:val="000000"/>
          <w:sz w:val="20"/>
        </w:rPr>
        <w:t xml:space="preserve"> [2022] VSC 345 </w:t>
      </w:r>
      <w:r w:rsidR="00181DA6">
        <w:rPr>
          <w:rFonts w:ascii="Arial" w:hAnsi="Arial" w:cs="Arial"/>
          <w:color w:val="000000"/>
          <w:sz w:val="20"/>
        </w:rPr>
        <w:t>in a murder retrial Kaye JA admitted – against an objection by the prosecution – evidence that the accused had advised police 15 years later of the location of weapons and other items involved in the murders.  At [7] &amp; [10] his Honour said:</w:t>
      </w:r>
    </w:p>
    <w:p w14:paraId="08A509B8" w14:textId="62D174C6" w:rsidR="00181DA6" w:rsidRDefault="00181DA6" w:rsidP="00181DA6">
      <w:pPr>
        <w:spacing w:before="60"/>
        <w:ind w:left="567" w:right="567"/>
        <w:jc w:val="both"/>
        <w:rPr>
          <w:rFonts w:ascii="Arial" w:hAnsi="Arial" w:cs="Arial"/>
          <w:sz w:val="20"/>
          <w:szCs w:val="20"/>
        </w:rPr>
      </w:pPr>
      <w:r>
        <w:rPr>
          <w:rFonts w:ascii="Arial" w:hAnsi="Arial" w:cs="Arial"/>
          <w:bCs/>
          <w:sz w:val="20"/>
        </w:rPr>
        <w:t>[7] “</w:t>
      </w:r>
      <w:r w:rsidRPr="00C41198">
        <w:rPr>
          <w:rFonts w:ascii="Arial" w:hAnsi="Arial" w:cs="Arial"/>
          <w:sz w:val="20"/>
          <w:szCs w:val="20"/>
        </w:rPr>
        <w:t xml:space="preserve">Section 55(1) of the </w:t>
      </w:r>
      <w:r w:rsidRPr="00C41198">
        <w:rPr>
          <w:rFonts w:ascii="Arial" w:hAnsi="Arial" w:cs="Arial"/>
          <w:i/>
          <w:iCs/>
          <w:sz w:val="20"/>
          <w:szCs w:val="20"/>
        </w:rPr>
        <w:t>Evidence Act 2008</w:t>
      </w:r>
      <w:r w:rsidRPr="00C41198">
        <w:rPr>
          <w:rFonts w:ascii="Arial" w:hAnsi="Arial" w:cs="Arial"/>
          <w:sz w:val="20"/>
          <w:szCs w:val="20"/>
        </w:rPr>
        <w:t xml:space="preserve"> provides that evidence is relevant in a proceeding if it could rationally affect (‘directly or indirectly’) the assessment of the probability of the existence of a fact that is in issue in the proceeding. Section 102 provides that ‘credibility evidence’ about a witness is not admissible. Section 101A defines credibility evidence as evidence that is relevant only because it affects the assessment of the credibility of a witness or a person</w:t>
      </w:r>
      <w:r>
        <w:rPr>
          <w:rFonts w:ascii="Arial" w:hAnsi="Arial" w:cs="Arial"/>
          <w:sz w:val="20"/>
          <w:szCs w:val="20"/>
        </w:rPr>
        <w:t>…</w:t>
      </w:r>
    </w:p>
    <w:p w14:paraId="4A9E0DE7" w14:textId="2EA22EE2" w:rsidR="00181DA6" w:rsidRDefault="00181DA6" w:rsidP="00181DA6">
      <w:pPr>
        <w:spacing w:before="60"/>
        <w:ind w:left="567" w:right="567"/>
        <w:jc w:val="both"/>
        <w:rPr>
          <w:rFonts w:ascii="Arial" w:hAnsi="Arial" w:cs="Arial"/>
          <w:bCs/>
          <w:sz w:val="20"/>
        </w:rPr>
      </w:pPr>
      <w:r>
        <w:rPr>
          <w:rFonts w:ascii="Arial" w:hAnsi="Arial" w:cs="Arial"/>
          <w:sz w:val="20"/>
          <w:szCs w:val="20"/>
        </w:rPr>
        <w:t>[10] …</w:t>
      </w:r>
      <w:r w:rsidRPr="00181DA6">
        <w:rPr>
          <w:rFonts w:ascii="Arial" w:hAnsi="Arial" w:cs="Arial"/>
          <w:sz w:val="20"/>
          <w:szCs w:val="20"/>
        </w:rPr>
        <w:t xml:space="preserve"> I consider that the potential relevance for the evidence is marginal, but the evidence is capable of having some probative value. That is, the evidence is capable of going beyond affecting the mere credibility of both </w:t>
      </w:r>
      <w:r>
        <w:rPr>
          <w:rFonts w:ascii="Arial" w:hAnsi="Arial" w:cs="Arial"/>
          <w:sz w:val="20"/>
          <w:szCs w:val="20"/>
        </w:rPr>
        <w:t xml:space="preserve">[the co-accused] </w:t>
      </w:r>
      <w:r w:rsidRPr="00181DA6">
        <w:rPr>
          <w:rFonts w:ascii="Arial" w:hAnsi="Arial" w:cs="Arial"/>
          <w:sz w:val="20"/>
          <w:szCs w:val="20"/>
        </w:rPr>
        <w:t>Debs and the accused as witnesses in the trial, as it could indirectly affect the jury’s assessment of the probability of one or more facts in issue in the trial.</w:t>
      </w:r>
      <w:r>
        <w:rPr>
          <w:rFonts w:ascii="Arial" w:hAnsi="Arial" w:cs="Arial"/>
          <w:sz w:val="20"/>
          <w:szCs w:val="20"/>
        </w:rPr>
        <w:t>”</w:t>
      </w:r>
    </w:p>
    <w:p w14:paraId="744E7712" w14:textId="615FCC7A" w:rsidR="00C41198" w:rsidRDefault="00C41198" w:rsidP="00BB2003">
      <w:pPr>
        <w:jc w:val="both"/>
        <w:rPr>
          <w:rFonts w:ascii="Arial" w:hAnsi="Arial" w:cs="Arial"/>
          <w:color w:val="000000"/>
          <w:sz w:val="20"/>
        </w:rPr>
      </w:pPr>
    </w:p>
    <w:p w14:paraId="33344F65" w14:textId="022BB956" w:rsidR="00BB2003" w:rsidRDefault="00BB2003" w:rsidP="00BB2003">
      <w:pPr>
        <w:jc w:val="both"/>
        <w:rPr>
          <w:rFonts w:ascii="Arial" w:hAnsi="Arial" w:cs="Arial"/>
          <w:color w:val="000000"/>
          <w:sz w:val="20"/>
        </w:rPr>
      </w:pPr>
      <w:r>
        <w:rPr>
          <w:rFonts w:ascii="Arial" w:hAnsi="Arial" w:cs="Arial"/>
          <w:color w:val="000000"/>
          <w:sz w:val="20"/>
        </w:rPr>
        <w:t xml:space="preserve">Section 135 of the </w:t>
      </w:r>
      <w:r w:rsidRPr="00BB2003">
        <w:rPr>
          <w:rFonts w:ascii="Arial" w:hAnsi="Arial" w:cs="Arial"/>
          <w:i/>
          <w:iCs/>
          <w:color w:val="000000"/>
          <w:sz w:val="20"/>
        </w:rPr>
        <w:t>Evidence Act 2008</w:t>
      </w:r>
      <w:r>
        <w:rPr>
          <w:rFonts w:ascii="Arial" w:hAnsi="Arial" w:cs="Arial"/>
          <w:color w:val="000000"/>
          <w:sz w:val="20"/>
        </w:rPr>
        <w:t xml:space="preserve"> provides</w:t>
      </w:r>
      <w:r w:rsidR="002C50BD">
        <w:rPr>
          <w:rFonts w:ascii="Arial" w:hAnsi="Arial" w:cs="Arial"/>
          <w:color w:val="000000"/>
          <w:sz w:val="20"/>
        </w:rPr>
        <w:t xml:space="preserve"> </w:t>
      </w:r>
      <w:r w:rsidR="002C50BD" w:rsidRPr="002C50BD">
        <w:rPr>
          <w:rFonts w:ascii="Arial" w:hAnsi="Arial" w:cs="Arial"/>
          <w:b/>
          <w:bCs/>
          <w:color w:val="000000"/>
          <w:sz w:val="20"/>
        </w:rPr>
        <w:t>a general discretion to exclude evidence</w:t>
      </w:r>
      <w:r>
        <w:rPr>
          <w:rFonts w:ascii="Arial" w:hAnsi="Arial" w:cs="Arial"/>
          <w:color w:val="000000"/>
          <w:sz w:val="20"/>
        </w:rPr>
        <w:t>:</w:t>
      </w:r>
    </w:p>
    <w:p w14:paraId="2B74AFC5" w14:textId="3AB34C3F" w:rsidR="00BB2003" w:rsidRDefault="00BB2003" w:rsidP="00BB2003">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szCs w:val="20"/>
        </w:rPr>
        <w:t>The court may refuse to admit evidence if its probative value is substantially outweighed by the danger that the evidence might—</w:t>
      </w:r>
    </w:p>
    <w:p w14:paraId="0A859987" w14:textId="51F7F84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269F2F7B" w14:textId="01535295"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 or</w:t>
      </w:r>
    </w:p>
    <w:p w14:paraId="7493DBCB" w14:textId="7EB0DB3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(c)</w:t>
      </w:r>
      <w:r w:rsidRPr="00BB2003">
        <w:rPr>
          <w:rFonts w:ascii="Arial" w:hAnsi="Arial" w:cs="Arial"/>
          <w:sz w:val="20"/>
        </w:rPr>
        <w:tab/>
        <w:t>cause or result in undue waste of time; or</w:t>
      </w:r>
    </w:p>
    <w:p w14:paraId="2B05E8BD" w14:textId="77777777"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(d)</w:t>
      </w:r>
      <w:r w:rsidRPr="00BB2003">
        <w:rPr>
          <w:rFonts w:ascii="Arial" w:hAnsi="Arial" w:cs="Arial"/>
          <w:sz w:val="20"/>
        </w:rPr>
        <w:tab/>
        <w:t>unnecessarily demean the deceased in a criminal proceeding for a homicide offence.</w:t>
      </w:r>
    </w:p>
    <w:p w14:paraId="47AE27AC" w14:textId="77777777" w:rsidR="00BB2003" w:rsidRPr="00BB2003" w:rsidRDefault="00BB2003" w:rsidP="00BB2003">
      <w:pPr>
        <w:pStyle w:val="DraftSectionNote"/>
        <w:tabs>
          <w:tab w:val="right" w:pos="1304"/>
        </w:tabs>
        <w:ind w:left="850"/>
        <w:rPr>
          <w:rFonts w:ascii="Arial" w:hAnsi="Arial" w:cs="Arial"/>
          <w:b/>
        </w:rPr>
      </w:pPr>
      <w:r w:rsidRPr="00BB2003">
        <w:rPr>
          <w:rFonts w:ascii="Arial" w:hAnsi="Arial" w:cs="Arial"/>
          <w:b/>
        </w:rPr>
        <w:t>Note</w:t>
      </w:r>
    </w:p>
    <w:p w14:paraId="7F34C5A0" w14:textId="78405376" w:rsidR="00BB2003" w:rsidRPr="00BB2003" w:rsidRDefault="00BB2003" w:rsidP="00050A1B">
      <w:pPr>
        <w:pStyle w:val="DraftSectionNote"/>
        <w:tabs>
          <w:tab w:val="right" w:pos="1304"/>
        </w:tabs>
        <w:ind w:left="851" w:right="567"/>
        <w:jc w:val="both"/>
        <w:rPr>
          <w:rFonts w:ascii="Arial" w:hAnsi="Arial" w:cs="Arial"/>
        </w:rPr>
      </w:pPr>
      <w:r w:rsidRPr="00BB2003">
        <w:rPr>
          <w:rFonts w:ascii="Arial" w:hAnsi="Arial" w:cs="Arial"/>
        </w:rPr>
        <w:t xml:space="preserve">This section does not limit evidence of family violence that may be adduced under Part IC of the </w:t>
      </w:r>
      <w:r w:rsidRPr="00BB2003">
        <w:rPr>
          <w:rFonts w:ascii="Arial" w:hAnsi="Arial" w:cs="Arial"/>
          <w:b/>
        </w:rPr>
        <w:t>Crimes Act 1958</w:t>
      </w:r>
      <w:r w:rsidRPr="00BB2003">
        <w:rPr>
          <w:rFonts w:ascii="Arial" w:hAnsi="Arial" w:cs="Arial"/>
        </w:rPr>
        <w:t>.</w:t>
      </w:r>
      <w:r w:rsidR="002C50BD">
        <w:rPr>
          <w:rFonts w:ascii="Arial" w:hAnsi="Arial" w:cs="Arial"/>
        </w:rPr>
        <w:t>”</w:t>
      </w:r>
    </w:p>
    <w:p w14:paraId="79046E7E" w14:textId="77777777" w:rsidR="00BB2003" w:rsidRDefault="00BB2003" w:rsidP="00BB2003">
      <w:pPr>
        <w:jc w:val="both"/>
        <w:rPr>
          <w:rFonts w:ascii="Arial" w:hAnsi="Arial" w:cs="Arial"/>
          <w:color w:val="000000"/>
          <w:sz w:val="20"/>
        </w:rPr>
      </w:pPr>
    </w:p>
    <w:p w14:paraId="3A0FE311" w14:textId="73AFDF1C" w:rsidR="00BB2003" w:rsidRDefault="00BB2003" w:rsidP="001C0754">
      <w:pPr>
        <w:keepNext/>
        <w:keepLines/>
        <w:jc w:val="both"/>
        <w:rPr>
          <w:rFonts w:ascii="Arial" w:hAnsi="Arial" w:cs="Arial"/>
          <w:color w:val="000000"/>
          <w:sz w:val="20"/>
        </w:rPr>
      </w:pPr>
      <w:r>
        <w:rPr>
          <w:rFonts w:ascii="Arial" w:hAnsi="Arial" w:cs="Arial"/>
          <w:color w:val="000000"/>
          <w:sz w:val="20"/>
        </w:rPr>
        <w:lastRenderedPageBreak/>
        <w:t xml:space="preserve">Section 136 of the </w:t>
      </w:r>
      <w:r w:rsidRPr="00BB2003">
        <w:rPr>
          <w:rFonts w:ascii="Arial" w:hAnsi="Arial" w:cs="Arial"/>
          <w:i/>
          <w:iCs/>
          <w:color w:val="000000"/>
          <w:sz w:val="20"/>
        </w:rPr>
        <w:t>Evidence Act 2008</w:t>
      </w:r>
      <w:r>
        <w:rPr>
          <w:rFonts w:ascii="Arial" w:hAnsi="Arial" w:cs="Arial"/>
          <w:color w:val="000000"/>
          <w:sz w:val="20"/>
        </w:rPr>
        <w:t xml:space="preserve"> provides</w:t>
      </w:r>
      <w:r w:rsidR="00050A1B">
        <w:rPr>
          <w:rFonts w:ascii="Arial" w:hAnsi="Arial" w:cs="Arial"/>
          <w:color w:val="000000"/>
          <w:sz w:val="20"/>
        </w:rPr>
        <w:t xml:space="preserve"> </w:t>
      </w:r>
      <w:r w:rsidR="00050A1B" w:rsidRPr="00050A1B">
        <w:rPr>
          <w:rFonts w:ascii="Arial" w:hAnsi="Arial" w:cs="Arial"/>
          <w:b/>
          <w:bCs/>
          <w:color w:val="000000"/>
          <w:sz w:val="20"/>
        </w:rPr>
        <w:t>a general discretion to limit the use of evidence</w:t>
      </w:r>
      <w:r>
        <w:rPr>
          <w:rFonts w:ascii="Arial" w:hAnsi="Arial" w:cs="Arial"/>
          <w:color w:val="000000"/>
          <w:sz w:val="20"/>
        </w:rPr>
        <w:t>:</w:t>
      </w:r>
    </w:p>
    <w:p w14:paraId="0E86D06E" w14:textId="7035CA69" w:rsidR="00BB2003" w:rsidRDefault="00BB2003" w:rsidP="00BB2003">
      <w:pPr>
        <w:spacing w:before="60"/>
        <w:ind w:left="567" w:right="567"/>
        <w:jc w:val="both"/>
        <w:rPr>
          <w:rFonts w:ascii="Arial" w:hAnsi="Arial" w:cs="Arial"/>
          <w:sz w:val="20"/>
          <w:szCs w:val="20"/>
        </w:rPr>
      </w:pPr>
      <w:r>
        <w:rPr>
          <w:rFonts w:ascii="Arial" w:hAnsi="Arial" w:cs="Arial"/>
          <w:color w:val="000000"/>
          <w:sz w:val="20"/>
        </w:rPr>
        <w:t>“</w:t>
      </w:r>
      <w:r w:rsidRPr="00BB2003">
        <w:rPr>
          <w:rFonts w:ascii="Arial" w:hAnsi="Arial" w:cs="Arial"/>
          <w:sz w:val="20"/>
          <w:szCs w:val="20"/>
        </w:rPr>
        <w:t>The court may limit the use to be made of evidence if there is a danger that a particular use of the evidence might—</w:t>
      </w:r>
    </w:p>
    <w:p w14:paraId="45A975B1" w14:textId="77777777"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1114E723" w14:textId="41CDEE21"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w:t>
      </w:r>
      <w:r w:rsidR="002C50BD">
        <w:rPr>
          <w:rFonts w:ascii="Arial" w:hAnsi="Arial" w:cs="Arial"/>
          <w:sz w:val="20"/>
        </w:rPr>
        <w:t>.”</w:t>
      </w:r>
    </w:p>
    <w:p w14:paraId="50A8A7DF" w14:textId="5D7FFD83" w:rsidR="00BB2003" w:rsidRPr="00BB2003" w:rsidRDefault="00BB2003" w:rsidP="002C50BD">
      <w:pPr>
        <w:pStyle w:val="BodySectionSub"/>
        <w:spacing w:before="0"/>
        <w:ind w:left="0"/>
        <w:rPr>
          <w:rFonts w:ascii="Arial" w:hAnsi="Arial" w:cs="Arial"/>
          <w:sz w:val="20"/>
        </w:rPr>
      </w:pPr>
    </w:p>
    <w:p w14:paraId="77F5B30C" w14:textId="3687D051" w:rsidR="008A1522" w:rsidRDefault="008A1522" w:rsidP="002C50BD">
      <w:pPr>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0402D2">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0402D2">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606EC512" w:rsidR="00A56CE4" w:rsidRPr="000F0BE9" w:rsidRDefault="00A56CE4">
      <w:pPr>
        <w:pStyle w:val="ListParagraph"/>
        <w:numPr>
          <w:ilvl w:val="0"/>
          <w:numId w:val="89"/>
        </w:numPr>
        <w:ind w:left="1037" w:right="567" w:hanging="35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gravity of the matters alleged in relation to the question.”</w:t>
      </w:r>
    </w:p>
    <w:p w14:paraId="0DF36983" w14:textId="77777777" w:rsidR="00C41198" w:rsidRDefault="00C41198" w:rsidP="00C41198">
      <w:pPr>
        <w:jc w:val="both"/>
        <w:rPr>
          <w:rFonts w:ascii="Arial" w:hAnsi="Arial" w:cs="Arial"/>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70" w:name="_3.5.3.2_Admissibility_of"/>
      <w:bookmarkStart w:id="571" w:name="B3532"/>
      <w:bookmarkEnd w:id="570"/>
      <w:bookmarkEnd w:id="571"/>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2B485A17" w14:textId="77777777" w:rsidR="00E8698A" w:rsidRDefault="00E8698A" w:rsidP="00E8698A">
      <w:pPr>
        <w:spacing w:before="120"/>
        <w:jc w:val="both"/>
        <w:rPr>
          <w:rFonts w:ascii="Arial" w:hAnsi="Arial" w:cs="Arial"/>
          <w:color w:val="000000"/>
          <w:sz w:val="20"/>
        </w:rPr>
      </w:pPr>
      <w:r>
        <w:rPr>
          <w:rFonts w:ascii="Arial" w:hAnsi="Arial" w:cs="Arial"/>
          <w:color w:val="000000"/>
          <w:sz w:val="20"/>
        </w:rPr>
        <w:t xml:space="preserve">Section 137 of the Evidence Act 2008 relates to the </w:t>
      </w:r>
      <w:r w:rsidRPr="002C50BD">
        <w:rPr>
          <w:rFonts w:ascii="Arial" w:hAnsi="Arial" w:cs="Arial"/>
          <w:b/>
          <w:bCs/>
          <w:color w:val="000000"/>
          <w:sz w:val="20"/>
        </w:rPr>
        <w:t>exclusion of prejudicial evidence in criminal proceedings</w:t>
      </w:r>
      <w:r>
        <w:rPr>
          <w:rFonts w:ascii="Arial" w:hAnsi="Arial" w:cs="Arial"/>
          <w:color w:val="000000"/>
          <w:sz w:val="20"/>
        </w:rPr>
        <w:t>:</w:t>
      </w:r>
    </w:p>
    <w:p w14:paraId="11B4DD74" w14:textId="77777777" w:rsidR="00E8698A" w:rsidRDefault="00E8698A" w:rsidP="00E8698A">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rPr>
        <w:t>In a criminal proceeding, the court must refuse to admit evidence adduced by the prosecutor if its probative value is outweighed by the danger of unfair prejudice to the accused.</w:t>
      </w:r>
      <w:r>
        <w:rPr>
          <w:rFonts w:ascii="Arial" w:hAnsi="Arial" w:cs="Arial"/>
          <w:sz w:val="20"/>
        </w:rPr>
        <w:t>”</w:t>
      </w:r>
    </w:p>
    <w:p w14:paraId="3FB649EA" w14:textId="194F0D56" w:rsidR="00E8698A" w:rsidRDefault="00E8698A" w:rsidP="00E8698A">
      <w:pPr>
        <w:jc w:val="both"/>
        <w:rPr>
          <w:rFonts w:ascii="Arial" w:hAnsi="Arial" w:cs="Arial"/>
          <w:color w:val="000000"/>
          <w:sz w:val="20"/>
        </w:rPr>
      </w:pPr>
    </w:p>
    <w:p w14:paraId="08BF5903" w14:textId="2467E0D8" w:rsidR="00B218B9" w:rsidRDefault="00B218B9" w:rsidP="00E8698A">
      <w:pPr>
        <w:jc w:val="both"/>
        <w:rPr>
          <w:rFonts w:ascii="Arial" w:hAnsi="Arial" w:cs="Arial"/>
          <w:color w:val="000000"/>
          <w:sz w:val="20"/>
        </w:rPr>
      </w:pPr>
      <w:r>
        <w:rPr>
          <w:rFonts w:ascii="Arial" w:hAnsi="Arial" w:cs="Arial"/>
          <w:color w:val="000000"/>
          <w:sz w:val="20"/>
        </w:rPr>
        <w:t xml:space="preserve">In </w:t>
      </w:r>
      <w:r>
        <w:rPr>
          <w:rFonts w:ascii="Arial" w:hAnsi="Arial" w:cs="Arial"/>
          <w:i/>
          <w:iCs/>
          <w:color w:val="000000"/>
          <w:sz w:val="20"/>
        </w:rPr>
        <w:t>DPP v R</w:t>
      </w:r>
      <w:r w:rsidRPr="00B218B9">
        <w:rPr>
          <w:rFonts w:ascii="Arial" w:hAnsi="Arial" w:cs="Arial"/>
          <w:i/>
          <w:iCs/>
          <w:color w:val="000000"/>
          <w:sz w:val="20"/>
        </w:rPr>
        <w:t>oberts (Ruling No 4)</w:t>
      </w:r>
      <w:r>
        <w:rPr>
          <w:rFonts w:ascii="Arial" w:hAnsi="Arial" w:cs="Arial"/>
          <w:color w:val="000000"/>
          <w:sz w:val="20"/>
        </w:rPr>
        <w:t xml:space="preserve"> [2021] VSC 778 the accused was charged with two murder charges.  He applied for exclusion of </w:t>
      </w:r>
      <w:r w:rsidR="0080292F">
        <w:rPr>
          <w:rFonts w:ascii="Arial" w:hAnsi="Arial" w:cs="Arial"/>
          <w:color w:val="000000"/>
          <w:sz w:val="20"/>
        </w:rPr>
        <w:t xml:space="preserve">audio recordings of listening devices and telephone intercepts on the basis that </w:t>
      </w:r>
      <w:r w:rsidR="001B6F80" w:rsidRPr="001B6F80">
        <w:rPr>
          <w:rFonts w:ascii="Arial" w:hAnsi="Arial" w:cs="Arial"/>
          <w:sz w:val="20"/>
          <w:szCs w:val="20"/>
        </w:rPr>
        <w:t>the recordings of those conversations are so inaudible or unintelligible that it would not be open to the jury to find that the words or sounds, contained in the recordings, are those claimed by the prosecution.</w:t>
      </w:r>
      <w:r w:rsidR="00A76B36">
        <w:rPr>
          <w:rFonts w:ascii="Arial" w:hAnsi="Arial" w:cs="Arial"/>
          <w:sz w:val="20"/>
          <w:szCs w:val="20"/>
        </w:rPr>
        <w:t xml:space="preserve"> </w:t>
      </w:r>
      <w:r w:rsidR="001B6F80" w:rsidRPr="001B6F80">
        <w:rPr>
          <w:rFonts w:ascii="Arial" w:hAnsi="Arial" w:cs="Arial"/>
          <w:sz w:val="20"/>
          <w:szCs w:val="20"/>
        </w:rPr>
        <w:t xml:space="preserve"> Accordingly, it </w:t>
      </w:r>
      <w:r w:rsidR="00A76B36">
        <w:rPr>
          <w:rFonts w:ascii="Arial" w:hAnsi="Arial" w:cs="Arial"/>
          <w:sz w:val="20"/>
          <w:szCs w:val="20"/>
        </w:rPr>
        <w:t>wa</w:t>
      </w:r>
      <w:r w:rsidR="001B6F80" w:rsidRPr="001B6F80">
        <w:rPr>
          <w:rFonts w:ascii="Arial" w:hAnsi="Arial" w:cs="Arial"/>
          <w:sz w:val="20"/>
          <w:szCs w:val="20"/>
        </w:rPr>
        <w:t>s submitted that the evidence is irrelevant.</w:t>
      </w:r>
      <w:r w:rsidR="00036A81">
        <w:rPr>
          <w:rFonts w:ascii="Arial" w:hAnsi="Arial" w:cs="Arial"/>
          <w:sz w:val="20"/>
          <w:szCs w:val="20"/>
        </w:rPr>
        <w:t xml:space="preserve"> </w:t>
      </w:r>
      <w:r w:rsidR="001B6F80" w:rsidRPr="001B6F80">
        <w:rPr>
          <w:rFonts w:ascii="Arial" w:hAnsi="Arial" w:cs="Arial"/>
          <w:sz w:val="20"/>
          <w:szCs w:val="20"/>
        </w:rPr>
        <w:t xml:space="preserve"> Alternatively, it </w:t>
      </w:r>
      <w:r w:rsidR="00A76B36">
        <w:rPr>
          <w:rFonts w:ascii="Arial" w:hAnsi="Arial" w:cs="Arial"/>
          <w:sz w:val="20"/>
          <w:szCs w:val="20"/>
        </w:rPr>
        <w:t>wa</w:t>
      </w:r>
      <w:r w:rsidR="001B6F80" w:rsidRPr="001B6F80">
        <w:rPr>
          <w:rFonts w:ascii="Arial" w:hAnsi="Arial" w:cs="Arial"/>
          <w:sz w:val="20"/>
          <w:szCs w:val="20"/>
        </w:rPr>
        <w:t xml:space="preserve">s submitted that the evidence should be excluded under s 137 of the </w:t>
      </w:r>
      <w:r w:rsidR="001B6F80" w:rsidRPr="00A76B36">
        <w:rPr>
          <w:rFonts w:ascii="Arial" w:hAnsi="Arial" w:cs="Arial"/>
          <w:i/>
          <w:iCs/>
          <w:sz w:val="20"/>
          <w:szCs w:val="20"/>
        </w:rPr>
        <w:t>Evidence Act</w:t>
      </w:r>
      <w:r w:rsidR="001B6F80" w:rsidRPr="001B6F80">
        <w:rPr>
          <w:rFonts w:ascii="Arial" w:hAnsi="Arial" w:cs="Arial"/>
          <w:sz w:val="20"/>
          <w:szCs w:val="20"/>
        </w:rPr>
        <w:t xml:space="preserve"> on the basis that its probative value </w:t>
      </w:r>
      <w:r w:rsidR="00036A81">
        <w:rPr>
          <w:rFonts w:ascii="Arial" w:hAnsi="Arial" w:cs="Arial"/>
          <w:sz w:val="20"/>
          <w:szCs w:val="20"/>
        </w:rPr>
        <w:t>wa</w:t>
      </w:r>
      <w:r w:rsidR="001B6F80" w:rsidRPr="001B6F80">
        <w:rPr>
          <w:rFonts w:ascii="Arial" w:hAnsi="Arial" w:cs="Arial"/>
          <w:sz w:val="20"/>
          <w:szCs w:val="20"/>
        </w:rPr>
        <w:t>s outweighed by the danger of unfair prejudice to the accused</w:t>
      </w:r>
      <w:r w:rsidR="00A76B36">
        <w:rPr>
          <w:rFonts w:ascii="Arial" w:hAnsi="Arial" w:cs="Arial"/>
          <w:sz w:val="20"/>
          <w:szCs w:val="20"/>
        </w:rPr>
        <w:t xml:space="preserve">.  </w:t>
      </w:r>
      <w:r w:rsidR="0080292F">
        <w:rPr>
          <w:rFonts w:ascii="Arial" w:hAnsi="Arial" w:cs="Arial"/>
          <w:color w:val="000000"/>
          <w:sz w:val="20"/>
        </w:rPr>
        <w:t>Kaye JA held that some of the impugned passages were admissible and some were inadmissible.  At [</w:t>
      </w:r>
      <w:r w:rsidR="00A76B36">
        <w:rPr>
          <w:rFonts w:ascii="Arial" w:hAnsi="Arial" w:cs="Arial"/>
          <w:color w:val="000000"/>
          <w:sz w:val="20"/>
        </w:rPr>
        <w:t>5</w:t>
      </w:r>
      <w:r w:rsidR="0080292F">
        <w:rPr>
          <w:rFonts w:ascii="Arial" w:hAnsi="Arial" w:cs="Arial"/>
          <w:color w:val="000000"/>
          <w:sz w:val="20"/>
        </w:rPr>
        <w:t>]-[</w:t>
      </w:r>
      <w:r w:rsidR="00036A81">
        <w:rPr>
          <w:rFonts w:ascii="Arial" w:hAnsi="Arial" w:cs="Arial"/>
          <w:color w:val="000000"/>
          <w:sz w:val="20"/>
        </w:rPr>
        <w:t>10</w:t>
      </w:r>
      <w:r w:rsidR="0080292F">
        <w:rPr>
          <w:rFonts w:ascii="Arial" w:hAnsi="Arial" w:cs="Arial"/>
          <w:color w:val="000000"/>
          <w:sz w:val="20"/>
        </w:rPr>
        <w:t>] his Honour said:</w:t>
      </w:r>
    </w:p>
    <w:p w14:paraId="2D748071" w14:textId="77777777" w:rsidR="00A76B36" w:rsidRDefault="0080292F" w:rsidP="0080292F">
      <w:pPr>
        <w:spacing w:before="60"/>
        <w:ind w:left="567" w:right="567"/>
        <w:jc w:val="both"/>
        <w:rPr>
          <w:rFonts w:ascii="Arial" w:hAnsi="Arial" w:cs="Arial"/>
          <w:sz w:val="20"/>
          <w:szCs w:val="20"/>
        </w:rPr>
      </w:pPr>
      <w:r>
        <w:rPr>
          <w:rFonts w:ascii="Arial" w:hAnsi="Arial" w:cs="Arial"/>
          <w:color w:val="000000"/>
          <w:sz w:val="20"/>
        </w:rPr>
        <w:t>[</w:t>
      </w:r>
      <w:r w:rsidR="00A76B36">
        <w:rPr>
          <w:rFonts w:ascii="Arial" w:hAnsi="Arial" w:cs="Arial"/>
          <w:color w:val="000000"/>
          <w:sz w:val="20"/>
        </w:rPr>
        <w:t>5</w:t>
      </w:r>
      <w:r>
        <w:rPr>
          <w:rFonts w:ascii="Arial" w:hAnsi="Arial" w:cs="Arial"/>
          <w:color w:val="000000"/>
          <w:sz w:val="20"/>
        </w:rPr>
        <w:t>] “</w:t>
      </w:r>
      <w:r w:rsidR="00A76B36" w:rsidRPr="00A76B36">
        <w:rPr>
          <w:rFonts w:ascii="Arial" w:hAnsi="Arial" w:cs="Arial"/>
          <w:sz w:val="20"/>
          <w:szCs w:val="20"/>
        </w:rPr>
        <w:t>The principles that apply to the present application are well settled. In summary, they are as follows:</w:t>
      </w:r>
    </w:p>
    <w:p w14:paraId="1D467D82" w14:textId="135CD604"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(1) Where an out of court conversation has been recorded by mechanical means, the recording is the best evidence of the contents of the conversation. If the recording is available, there is no reason to admit evidence of an out of court listener of the recording, or a transcript made by that listener, as evidence of the content of the conversation</w:t>
      </w:r>
      <w:r>
        <w:rPr>
          <w:rFonts w:ascii="Arial" w:hAnsi="Arial" w:cs="Arial"/>
          <w:sz w:val="20"/>
          <w:szCs w:val="20"/>
        </w:rPr>
        <w:t xml:space="preserve">: </w:t>
      </w:r>
      <w:r w:rsidRPr="00A76B36">
        <w:rPr>
          <w:rFonts w:ascii="Arial" w:hAnsi="Arial" w:cs="Arial"/>
          <w:i/>
          <w:iCs/>
          <w:sz w:val="20"/>
          <w:szCs w:val="20"/>
        </w:rPr>
        <w:t>Butera v DPP</w:t>
      </w:r>
      <w:r w:rsidRPr="00A76B36">
        <w:rPr>
          <w:rFonts w:ascii="Arial" w:hAnsi="Arial" w:cs="Arial"/>
          <w:sz w:val="20"/>
          <w:szCs w:val="20"/>
        </w:rPr>
        <w:t xml:space="preserve"> (1987) 164 CLR 180, 186 (Mason CJ, Brennan and Deane JJ).</w:t>
      </w:r>
    </w:p>
    <w:p w14:paraId="61545A7E" w14:textId="2AF48BC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(2) Where there are aspects of such a recording which are indistinct so as not to yield the full content of the conversation, so that it may need to be played over repeatedly before the conversation can be accurately understood, the court may receive a transcript of the conversation, not as evidence of the conversation, but rather as a means of assisting in the understanding of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187.</w:t>
      </w:r>
    </w:p>
    <w:p w14:paraId="3FDEF2D7" w14:textId="7777777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(3) In such a case, the jury must be directed that the purpose of the transcript is not to provide independent evidence of the conversation, but rather to assist the jury to follow and understand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188</w:t>
      </w:r>
      <w:r w:rsidRPr="00A76B36">
        <w:rPr>
          <w:rFonts w:ascii="Arial" w:hAnsi="Arial" w:cs="Arial"/>
          <w:sz w:val="20"/>
          <w:szCs w:val="20"/>
        </w:rPr>
        <w:t>.</w:t>
      </w:r>
    </w:p>
    <w:p w14:paraId="2704060B" w14:textId="11CEAF30"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(4) If the quality of the recording is so poor that the jury could not make a fair and reliable assessment of the conversation, or if there is a real risk that the jury might misconstrue the words contained in the recording in a manner that would be unfairly prejudicial to the accused, the recording should not be admitted in evidence</w:t>
      </w:r>
      <w:r w:rsidR="0040623A">
        <w:rPr>
          <w:rFonts w:ascii="Arial" w:hAnsi="Arial" w:cs="Arial"/>
          <w:sz w:val="20"/>
          <w:szCs w:val="20"/>
        </w:rPr>
        <w:t xml:space="preserve">: </w:t>
      </w:r>
      <w:r w:rsidR="0040623A" w:rsidRPr="0040623A">
        <w:rPr>
          <w:rFonts w:ascii="Arial" w:hAnsi="Arial" w:cs="Arial"/>
          <w:i/>
          <w:iCs/>
          <w:sz w:val="20"/>
          <w:szCs w:val="20"/>
        </w:rPr>
        <w:t>R v Robson</w:t>
      </w:r>
      <w:r w:rsidR="0040623A" w:rsidRPr="0040623A">
        <w:rPr>
          <w:rFonts w:ascii="Arial" w:hAnsi="Arial" w:cs="Arial"/>
          <w:sz w:val="20"/>
          <w:szCs w:val="20"/>
        </w:rPr>
        <w:t xml:space="preserve"> [1972] 1 WLR 651, 656 (Shaw J)</w:t>
      </w:r>
      <w:r w:rsidR="0040623A">
        <w:rPr>
          <w:rFonts w:ascii="Arial" w:hAnsi="Arial" w:cs="Arial"/>
          <w:sz w:val="20"/>
          <w:szCs w:val="20"/>
        </w:rPr>
        <w:t xml:space="preserve">; </w:t>
      </w:r>
      <w:r w:rsidR="0040623A" w:rsidRPr="0040623A">
        <w:rPr>
          <w:rFonts w:ascii="Arial" w:hAnsi="Arial" w:cs="Arial"/>
          <w:i/>
          <w:iCs/>
          <w:sz w:val="20"/>
          <w:szCs w:val="20"/>
        </w:rPr>
        <w:t xml:space="preserve">Smith, Ashford &amp; </w:t>
      </w:r>
      <w:proofErr w:type="spellStart"/>
      <w:r w:rsidR="0040623A" w:rsidRPr="0040623A">
        <w:rPr>
          <w:rFonts w:ascii="Arial" w:hAnsi="Arial" w:cs="Arial"/>
          <w:i/>
          <w:iCs/>
          <w:sz w:val="20"/>
          <w:szCs w:val="20"/>
        </w:rPr>
        <w:t>Schevella</w:t>
      </w:r>
      <w:proofErr w:type="spellEnd"/>
      <w:r w:rsidR="0040623A" w:rsidRPr="0040623A">
        <w:rPr>
          <w:rFonts w:ascii="Arial" w:hAnsi="Arial" w:cs="Arial"/>
          <w:i/>
          <w:iCs/>
          <w:sz w:val="20"/>
          <w:szCs w:val="20"/>
        </w:rPr>
        <w:t xml:space="preserve"> v The Queen</w:t>
      </w:r>
      <w:r w:rsidR="0040623A" w:rsidRPr="0040623A">
        <w:rPr>
          <w:rFonts w:ascii="Arial" w:hAnsi="Arial" w:cs="Arial"/>
          <w:sz w:val="20"/>
          <w:szCs w:val="20"/>
        </w:rPr>
        <w:t xml:space="preserve"> (1990) 50 A Crim R 434, 450–1 (Young CJ, Crockett and Southwell JJ)</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[15]–[19] (Cummins J); </w:t>
      </w:r>
      <w:r w:rsidR="0040623A" w:rsidRPr="0040623A">
        <w:rPr>
          <w:rFonts w:ascii="Arial" w:hAnsi="Arial" w:cs="Arial"/>
          <w:i/>
          <w:iCs/>
          <w:sz w:val="20"/>
          <w:szCs w:val="20"/>
        </w:rPr>
        <w:t>Christos v The Queen</w:t>
      </w:r>
      <w:r w:rsidR="0040623A" w:rsidRPr="0040623A">
        <w:rPr>
          <w:rFonts w:ascii="Arial" w:hAnsi="Arial" w:cs="Arial"/>
          <w:sz w:val="20"/>
          <w:szCs w:val="20"/>
        </w:rPr>
        <w:t xml:space="preserve"> [2013] VSCA 202, [10] (Nettle AJA).</w:t>
      </w:r>
    </w:p>
    <w:p w14:paraId="12B9B3D8" w14:textId="77777777"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lastRenderedPageBreak/>
        <w:t>(5) In such a case, it may be necessary to exclude the recording of a conversation where the inaudible parts of it might unfairly affect the meaning attributed to the parts of the recording that are audible</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[19] (Cummins J)</w:t>
      </w:r>
      <w:r w:rsidRPr="00A76B36">
        <w:rPr>
          <w:rFonts w:ascii="Arial" w:hAnsi="Arial" w:cs="Arial"/>
          <w:sz w:val="20"/>
          <w:szCs w:val="20"/>
        </w:rPr>
        <w:t>.</w:t>
      </w:r>
    </w:p>
    <w:p w14:paraId="00CF4274" w14:textId="519ECBC1" w:rsidR="0080292F" w:rsidRDefault="0040623A" w:rsidP="00A76B36">
      <w:pPr>
        <w:spacing w:before="60"/>
        <w:ind w:left="567" w:right="567"/>
        <w:jc w:val="both"/>
        <w:rPr>
          <w:rFonts w:ascii="Arial" w:hAnsi="Arial" w:cs="Arial"/>
          <w:sz w:val="20"/>
          <w:szCs w:val="20"/>
        </w:rPr>
      </w:pPr>
      <w:r>
        <w:rPr>
          <w:rFonts w:ascii="Arial" w:hAnsi="Arial" w:cs="Arial"/>
          <w:sz w:val="20"/>
          <w:szCs w:val="20"/>
        </w:rPr>
        <w:t>[</w:t>
      </w:r>
      <w:r w:rsidR="00A76B36" w:rsidRPr="00A76B36">
        <w:rPr>
          <w:rFonts w:ascii="Arial" w:hAnsi="Arial" w:cs="Arial"/>
          <w:sz w:val="20"/>
          <w:szCs w:val="20"/>
        </w:rPr>
        <w:t>6</w:t>
      </w:r>
      <w:r>
        <w:rPr>
          <w:rFonts w:ascii="Arial" w:hAnsi="Arial" w:cs="Arial"/>
          <w:sz w:val="20"/>
          <w:szCs w:val="20"/>
        </w:rPr>
        <w:t>]</w:t>
      </w:r>
      <w:r w:rsidR="00A76B36" w:rsidRPr="00A76B36">
        <w:rPr>
          <w:rFonts w:ascii="Arial" w:hAnsi="Arial" w:cs="Arial"/>
          <w:sz w:val="20"/>
          <w:szCs w:val="20"/>
        </w:rPr>
        <w:t xml:space="preserve"> The leading authority on the admissibility of such evidence is the decision of the</w:t>
      </w:r>
      <w:r>
        <w:rPr>
          <w:rFonts w:ascii="Arial" w:hAnsi="Arial" w:cs="Arial"/>
          <w:sz w:val="20"/>
          <w:szCs w:val="20"/>
        </w:rPr>
        <w:t xml:space="preserve"> </w:t>
      </w:r>
      <w:r w:rsidRPr="0040623A">
        <w:rPr>
          <w:rFonts w:ascii="Arial" w:hAnsi="Arial" w:cs="Arial"/>
          <w:sz w:val="20"/>
          <w:szCs w:val="20"/>
        </w:rPr>
        <w:t xml:space="preserve">High Court in </w:t>
      </w:r>
      <w:r w:rsidRPr="0040623A">
        <w:rPr>
          <w:rFonts w:ascii="Arial" w:hAnsi="Arial" w:cs="Arial"/>
          <w:i/>
          <w:iCs/>
          <w:sz w:val="20"/>
          <w:szCs w:val="20"/>
        </w:rPr>
        <w:t>Butera</w:t>
      </w:r>
      <w:r w:rsidRPr="0040623A">
        <w:rPr>
          <w:rFonts w:ascii="Arial" w:hAnsi="Arial" w:cs="Arial"/>
          <w:sz w:val="20"/>
          <w:szCs w:val="20"/>
        </w:rPr>
        <w:t>. That case was primarily concerned with the admissibility of transcripts of recorded conversations which were in a foreign language. The transcripts were produced by interpreters who had translated the foreign language into English. The High Court held that the transcripts had been properly admitted in evidence.</w:t>
      </w:r>
    </w:p>
    <w:p w14:paraId="53FB9489" w14:textId="660602DB" w:rsidR="00923F1C" w:rsidRDefault="00923F1C" w:rsidP="00A76B36">
      <w:pPr>
        <w:spacing w:before="60"/>
        <w:ind w:left="567" w:right="567"/>
        <w:jc w:val="both"/>
        <w:rPr>
          <w:rFonts w:ascii="Arial" w:hAnsi="Arial" w:cs="Arial"/>
          <w:sz w:val="20"/>
          <w:szCs w:val="20"/>
        </w:rPr>
      </w:pPr>
      <w:r>
        <w:rPr>
          <w:rFonts w:ascii="Arial" w:hAnsi="Arial" w:cs="Arial"/>
          <w:sz w:val="20"/>
          <w:szCs w:val="20"/>
        </w:rPr>
        <w:t xml:space="preserve">[7] </w:t>
      </w:r>
      <w:r w:rsidRPr="0040623A">
        <w:rPr>
          <w:rFonts w:ascii="Arial" w:hAnsi="Arial" w:cs="Arial"/>
          <w:sz w:val="20"/>
          <w:szCs w:val="20"/>
        </w:rPr>
        <w:t>In reaching that conclusion, the court considered the question of the admissibility and use of transcripts of recorded conversations.</w:t>
      </w:r>
    </w:p>
    <w:p w14:paraId="0FA86D1E" w14:textId="32892D60" w:rsidR="00923F1C" w:rsidRDefault="00923F1C" w:rsidP="00A76B36">
      <w:pPr>
        <w:spacing w:before="60"/>
        <w:ind w:left="567" w:right="567"/>
        <w:jc w:val="both"/>
        <w:rPr>
          <w:rFonts w:ascii="Arial" w:hAnsi="Arial" w:cs="Arial"/>
          <w:color w:val="000000"/>
          <w:sz w:val="20"/>
        </w:rPr>
      </w:pPr>
      <w:r>
        <w:rPr>
          <w:rFonts w:ascii="Arial" w:hAnsi="Arial" w:cs="Arial"/>
          <w:sz w:val="20"/>
          <w:szCs w:val="20"/>
        </w:rPr>
        <w:t xml:space="preserve">[8] </w:t>
      </w:r>
      <w:r w:rsidRPr="0040623A">
        <w:rPr>
          <w:rFonts w:ascii="Arial" w:hAnsi="Arial" w:cs="Arial"/>
          <w:sz w:val="20"/>
          <w:szCs w:val="20"/>
        </w:rPr>
        <w:t>In their joint judgment, Mason CJ, Brennan and Deane JJ commenced by stating the first proposition outlined above, namely, that the recording of a conversation is the best evidence of such a conversation, so that, where the recording is available, there is no reason to admit the evidence of an out of court listener to the conversation, or a transcript made by the listener</w:t>
      </w:r>
      <w:r>
        <w:rPr>
          <w:rFonts w:ascii="Arial" w:hAnsi="Arial" w:cs="Arial"/>
          <w:sz w:val="20"/>
          <w:szCs w:val="20"/>
        </w:rPr>
        <w:t xml:space="preserve">: </w:t>
      </w:r>
      <w:r w:rsidRPr="00923F1C">
        <w:rPr>
          <w:rFonts w:ascii="Arial" w:hAnsi="Arial" w:cs="Arial"/>
          <w:i/>
          <w:iCs/>
          <w:sz w:val="20"/>
          <w:szCs w:val="20"/>
        </w:rPr>
        <w:t>Butera</w:t>
      </w:r>
      <w:r>
        <w:rPr>
          <w:rFonts w:ascii="Arial" w:hAnsi="Arial" w:cs="Arial"/>
          <w:sz w:val="20"/>
          <w:szCs w:val="20"/>
        </w:rPr>
        <w:t xml:space="preserve"> at 186.  </w:t>
      </w:r>
      <w:r w:rsidRPr="0040623A">
        <w:rPr>
          <w:rFonts w:ascii="Arial" w:hAnsi="Arial" w:cs="Arial"/>
          <w:sz w:val="20"/>
          <w:szCs w:val="20"/>
        </w:rPr>
        <w:t>Nevertheless, their Honours recognised the practical assistance that might be provided to the court by the provision to it of a transcript of the conversation as an aid to assist it listen to and understand the recording. In that respect, they stated</w:t>
      </w:r>
      <w:r>
        <w:rPr>
          <w:rFonts w:ascii="Arial" w:hAnsi="Arial" w:cs="Arial"/>
          <w:sz w:val="20"/>
          <w:szCs w:val="20"/>
        </w:rPr>
        <w:t xml:space="preserve"> at 187</w:t>
      </w:r>
      <w:r w:rsidRPr="0040623A">
        <w:rPr>
          <w:rFonts w:ascii="Arial" w:hAnsi="Arial" w:cs="Arial"/>
          <w:sz w:val="20"/>
          <w:szCs w:val="20"/>
        </w:rPr>
        <w:t>:</w:t>
      </w:r>
    </w:p>
    <w:p w14:paraId="6E4846C8" w14:textId="1D38DC89" w:rsidR="00B218B9" w:rsidRDefault="00923F1C" w:rsidP="00923F1C">
      <w:pPr>
        <w:spacing w:before="60"/>
        <w:ind w:left="1021" w:right="1021"/>
        <w:jc w:val="both"/>
        <w:rPr>
          <w:rFonts w:ascii="Arial" w:hAnsi="Arial" w:cs="Arial"/>
          <w:color w:val="000000"/>
          <w:sz w:val="20"/>
        </w:rPr>
      </w:pPr>
      <w:r w:rsidRPr="00923F1C">
        <w:rPr>
          <w:rFonts w:ascii="Arial" w:hAnsi="Arial" w:cs="Arial"/>
          <w:sz w:val="18"/>
          <w:szCs w:val="18"/>
        </w:rPr>
        <w:t xml:space="preserve">Although evidence derived from a tape recording is not subject to some of the frailties of human testimony, it may exhibit deficiencies from which human testimony is usually free. A tape recording which is indistinct may not yield its full content to the listener on its first playing over. It may need to be played over repeatedly before the listener’s ear becomes attuned to the words or other sounds recorded. This situation has led courts to receive transcripts not as evidence of the conversation or other sounds recorded but as a means of assisting in the perception and understanding of the evidence tendered by the playing over of the tape. In </w:t>
      </w:r>
      <w:r w:rsidRPr="00923F1C">
        <w:rPr>
          <w:rFonts w:ascii="Arial" w:hAnsi="Arial" w:cs="Arial"/>
          <w:i/>
          <w:iCs/>
          <w:sz w:val="18"/>
          <w:szCs w:val="18"/>
        </w:rPr>
        <w:t>Williams v The Queen</w:t>
      </w:r>
      <w:r w:rsidRPr="00923F1C">
        <w:rPr>
          <w:rFonts w:ascii="Arial" w:hAnsi="Arial" w:cs="Arial"/>
          <w:sz w:val="18"/>
          <w:szCs w:val="18"/>
        </w:rPr>
        <w:t xml:space="preserve">, </w:t>
      </w:r>
      <w:proofErr w:type="spellStart"/>
      <w:r w:rsidRPr="00923F1C">
        <w:rPr>
          <w:rFonts w:ascii="Arial" w:hAnsi="Arial" w:cs="Arial"/>
          <w:sz w:val="18"/>
          <w:szCs w:val="18"/>
        </w:rPr>
        <w:t>Neasey</w:t>
      </w:r>
      <w:proofErr w:type="spellEnd"/>
      <w:r w:rsidRPr="00923F1C">
        <w:rPr>
          <w:rFonts w:ascii="Arial" w:hAnsi="Arial" w:cs="Arial"/>
          <w:sz w:val="18"/>
          <w:szCs w:val="18"/>
        </w:rPr>
        <w:t xml:space="preserve"> J. cited with approval a Canadian case </w:t>
      </w:r>
      <w:r w:rsidRPr="00923F1C">
        <w:rPr>
          <w:rFonts w:ascii="Arial" w:hAnsi="Arial" w:cs="Arial"/>
          <w:i/>
          <w:iCs/>
          <w:sz w:val="18"/>
          <w:szCs w:val="18"/>
        </w:rPr>
        <w:t>Reg. v MacLean and MacLean [No. 1]</w:t>
      </w:r>
      <w:r w:rsidRPr="00923F1C">
        <w:rPr>
          <w:rFonts w:ascii="Arial" w:hAnsi="Arial" w:cs="Arial"/>
          <w:sz w:val="18"/>
          <w:szCs w:val="18"/>
        </w:rPr>
        <w:t xml:space="preserve"> in which the trial judge held:</w:t>
      </w:r>
    </w:p>
    <w:p w14:paraId="0494EE28" w14:textId="6A420A2B" w:rsidR="00923F1C" w:rsidRDefault="00923F1C" w:rsidP="00923F1C">
      <w:pPr>
        <w:spacing w:before="60"/>
        <w:ind w:left="1418" w:right="1418"/>
        <w:jc w:val="both"/>
        <w:rPr>
          <w:rFonts w:ascii="Arial" w:hAnsi="Arial" w:cs="Arial"/>
          <w:color w:val="000000"/>
          <w:sz w:val="20"/>
        </w:rPr>
      </w:pPr>
      <w:r w:rsidRPr="00923F1C">
        <w:rPr>
          <w:rFonts w:ascii="Arial" w:hAnsi="Arial" w:cs="Arial"/>
          <w:sz w:val="18"/>
          <w:szCs w:val="18"/>
        </w:rPr>
        <w:t>that he would not permit the transcripts to be used as evidence of the contents of the recording, but did admit them for the use of ‘the trier of the facts, after being properly instructed in that regard, for the sale purpose of following the playing of the tape in court and to assist the trier of the facts in determining what is in fact recorded thereon’.</w:t>
      </w:r>
    </w:p>
    <w:p w14:paraId="71FE3535" w14:textId="30CD9EDA" w:rsidR="00036A81" w:rsidRDefault="00036A81" w:rsidP="00036A81">
      <w:pPr>
        <w:spacing w:before="60"/>
        <w:ind w:left="1021" w:right="1021"/>
        <w:jc w:val="both"/>
        <w:rPr>
          <w:rFonts w:ascii="Arial" w:hAnsi="Arial" w:cs="Arial"/>
          <w:color w:val="000000"/>
          <w:sz w:val="20"/>
        </w:rPr>
      </w:pPr>
      <w:r w:rsidRPr="00036A81">
        <w:rPr>
          <w:rFonts w:ascii="Arial" w:hAnsi="Arial" w:cs="Arial"/>
          <w:sz w:val="18"/>
          <w:szCs w:val="18"/>
        </w:rPr>
        <w:t>Where the quality of the recording is such that the provision of a transcript for the use of the jury would permit them clearly to follow an indistinct recording, a transcript may be seen as an aid to listening though it is not independent evidence of the recorded conversation.</w:t>
      </w:r>
    </w:p>
    <w:p w14:paraId="19CD6F29" w14:textId="3088CCA7" w:rsidR="00036A81" w:rsidRDefault="00036A81" w:rsidP="00036A81">
      <w:pPr>
        <w:spacing w:before="60"/>
        <w:ind w:left="567" w:right="567"/>
        <w:jc w:val="both"/>
        <w:rPr>
          <w:rFonts w:ascii="Arial" w:hAnsi="Arial" w:cs="Arial"/>
          <w:sz w:val="20"/>
          <w:szCs w:val="20"/>
        </w:rPr>
      </w:pPr>
      <w:r>
        <w:rPr>
          <w:rFonts w:ascii="Arial" w:hAnsi="Arial" w:cs="Arial"/>
          <w:color w:val="000000"/>
          <w:sz w:val="20"/>
        </w:rPr>
        <w:t xml:space="preserve">[9] </w:t>
      </w:r>
      <w:r w:rsidRPr="0040623A">
        <w:rPr>
          <w:rFonts w:ascii="Arial" w:hAnsi="Arial" w:cs="Arial"/>
          <w:sz w:val="20"/>
          <w:szCs w:val="20"/>
        </w:rPr>
        <w:t xml:space="preserve">In reaching that conclusion, the Court emphasised </w:t>
      </w:r>
      <w:r>
        <w:rPr>
          <w:rFonts w:ascii="Arial" w:hAnsi="Arial" w:cs="Arial"/>
          <w:sz w:val="20"/>
          <w:szCs w:val="20"/>
        </w:rPr>
        <w:t xml:space="preserve">at 188 </w:t>
      </w:r>
      <w:r w:rsidRPr="0040623A">
        <w:rPr>
          <w:rFonts w:ascii="Arial" w:hAnsi="Arial" w:cs="Arial"/>
          <w:sz w:val="20"/>
          <w:szCs w:val="20"/>
        </w:rPr>
        <w:t>that the jury should be given instruction that the purpose of admitting the transcript is not to provide independent evidence of the conversation, but in order to aid the jury to understand the conversation that was recorded on the tape, and the jury should be instructed that it could not use the transcript as a substitute for the tape is the jury is not satisfied that the transcript correctly sets out what the jury heard on the tape</w:t>
      </w:r>
      <w:r>
        <w:rPr>
          <w:rFonts w:ascii="Arial" w:hAnsi="Arial" w:cs="Arial"/>
          <w:sz w:val="20"/>
          <w:szCs w:val="20"/>
        </w:rPr>
        <w:t>.</w:t>
      </w:r>
    </w:p>
    <w:p w14:paraId="174E51ED" w14:textId="0C4C9057" w:rsidR="00036A81" w:rsidRDefault="00036A81" w:rsidP="00036A81">
      <w:pPr>
        <w:spacing w:before="60"/>
        <w:ind w:left="567" w:right="567"/>
        <w:jc w:val="both"/>
        <w:rPr>
          <w:rFonts w:ascii="Arial" w:hAnsi="Arial" w:cs="Arial"/>
          <w:color w:val="000000"/>
          <w:sz w:val="20"/>
        </w:rPr>
      </w:pPr>
      <w:r>
        <w:rPr>
          <w:rFonts w:ascii="Arial" w:hAnsi="Arial" w:cs="Arial"/>
          <w:sz w:val="20"/>
          <w:szCs w:val="20"/>
        </w:rPr>
        <w:t xml:space="preserve">[10] </w:t>
      </w:r>
      <w:r w:rsidRPr="0040623A">
        <w:rPr>
          <w:rFonts w:ascii="Arial" w:hAnsi="Arial" w:cs="Arial"/>
          <w:sz w:val="20"/>
          <w:szCs w:val="20"/>
        </w:rPr>
        <w:t xml:space="preserve">The fourth principle, which I have outlined above, was discussed by the Court of Criminal Appeal in </w:t>
      </w:r>
      <w:r w:rsidRPr="00036A81">
        <w:rPr>
          <w:rFonts w:ascii="Arial" w:hAnsi="Arial" w:cs="Arial"/>
          <w:i/>
          <w:iCs/>
          <w:sz w:val="20"/>
          <w:szCs w:val="20"/>
        </w:rPr>
        <w:t xml:space="preserve">Smith, Ashford &amp; </w:t>
      </w:r>
      <w:proofErr w:type="spellStart"/>
      <w:r w:rsidRPr="00036A81">
        <w:rPr>
          <w:rFonts w:ascii="Arial" w:hAnsi="Arial" w:cs="Arial"/>
          <w:i/>
          <w:iCs/>
          <w:sz w:val="20"/>
          <w:szCs w:val="20"/>
        </w:rPr>
        <w:t>Schevella</w:t>
      </w:r>
      <w:proofErr w:type="spellEnd"/>
      <w:r w:rsidRPr="0040623A">
        <w:rPr>
          <w:rFonts w:ascii="Arial" w:hAnsi="Arial" w:cs="Arial"/>
          <w:sz w:val="20"/>
          <w:szCs w:val="20"/>
        </w:rPr>
        <w:t xml:space="preserve">. In that case, the Court expressed its acceptance of the test of admissibility applied by Shaw J in </w:t>
      </w:r>
      <w:r w:rsidRPr="00036A81">
        <w:rPr>
          <w:rFonts w:ascii="Arial" w:hAnsi="Arial" w:cs="Arial"/>
          <w:i/>
          <w:iCs/>
          <w:sz w:val="20"/>
          <w:szCs w:val="20"/>
        </w:rPr>
        <w:t>Robson</w:t>
      </w:r>
      <w:r>
        <w:rPr>
          <w:rFonts w:ascii="Arial" w:hAnsi="Arial" w:cs="Arial"/>
          <w:i/>
          <w:iCs/>
          <w:sz w:val="20"/>
          <w:szCs w:val="20"/>
        </w:rPr>
        <w:t xml:space="preserve"> </w:t>
      </w:r>
      <w:r w:rsidRPr="00036A81">
        <w:rPr>
          <w:rFonts w:ascii="Arial" w:hAnsi="Arial" w:cs="Arial"/>
          <w:sz w:val="20"/>
          <w:szCs w:val="20"/>
        </w:rPr>
        <w:t>at 656</w:t>
      </w:r>
      <w:r w:rsidRPr="0040623A">
        <w:rPr>
          <w:rFonts w:ascii="Arial" w:hAnsi="Arial" w:cs="Arial"/>
          <w:sz w:val="20"/>
          <w:szCs w:val="20"/>
        </w:rPr>
        <w:t>, namely, whether the quality of the recording was adequate in its ‘continuity, clarity and coherence’ to ‘enable the jury to form a fair and reliable assessment of the conversations’.</w:t>
      </w:r>
      <w:r>
        <w:rPr>
          <w:rFonts w:ascii="Arial" w:hAnsi="Arial" w:cs="Arial"/>
          <w:sz w:val="20"/>
          <w:szCs w:val="20"/>
        </w:rPr>
        <w:t>”</w:t>
      </w:r>
    </w:p>
    <w:p w14:paraId="0797E883" w14:textId="5BF37A63" w:rsidR="00F9358C" w:rsidRDefault="00F9358C" w:rsidP="00F9358C">
      <w:pPr>
        <w:jc w:val="both"/>
        <w:rPr>
          <w:rFonts w:ascii="Arial" w:hAnsi="Arial" w:cs="Arial"/>
          <w:color w:val="000000"/>
          <w:sz w:val="20"/>
        </w:rPr>
      </w:pPr>
    </w:p>
    <w:p w14:paraId="7BDF4E93" w14:textId="4D7FAD0B" w:rsidR="00D30F0A" w:rsidRPr="00851AAB" w:rsidRDefault="00D30F0A" w:rsidP="00D30F0A">
      <w:pPr>
        <w:jc w:val="both"/>
        <w:rPr>
          <w:rFonts w:ascii="Arial" w:hAnsi="Arial" w:cs="Arial"/>
          <w:sz w:val="20"/>
        </w:rPr>
      </w:pP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the applicant, aged 24, had been in a sexual relationship with a complainant, aged 14 to 15.  He had been charged with 9 counts of sexual penetration of a child under 16 and one of an indecent act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posts, the Court of Appeal held:</w:t>
      </w:r>
    </w:p>
    <w:p w14:paraId="40D6591C" w14:textId="77777777" w:rsidR="00D30F0A" w:rsidRDefault="00D30F0A">
      <w:pPr>
        <w:numPr>
          <w:ilvl w:val="0"/>
          <w:numId w:val="110"/>
        </w:numPr>
        <w:ind w:left="357" w:hanging="357"/>
        <w:jc w:val="both"/>
        <w:rPr>
          <w:rFonts w:ascii="Arial" w:hAnsi="Arial" w:cs="Arial"/>
          <w:sz w:val="20"/>
          <w:szCs w:val="20"/>
        </w:rPr>
      </w:pPr>
      <w:r w:rsidRPr="00601F5F">
        <w:rPr>
          <w:rFonts w:ascii="Arial" w:hAnsi="Arial" w:cs="Arial"/>
          <w:b/>
          <w:bCs/>
          <w:sz w:val="20"/>
          <w:szCs w:val="20"/>
        </w:rPr>
        <w:t>Section 1</w:t>
      </w:r>
      <w:r>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The impugned evidence was admissible pursuant to s.146 relating to “</w:t>
      </w:r>
      <w:r w:rsidRPr="00755563">
        <w:rPr>
          <w:rFonts w:ascii="Arial" w:hAnsi="Arial" w:cs="Arial"/>
          <w:b/>
          <w:bCs/>
          <w:sz w:val="20"/>
          <w:szCs w:val="20"/>
        </w:rPr>
        <w:t>Evidence produced by processes, machines and other devices</w:t>
      </w:r>
      <w:r>
        <w:rPr>
          <w:rFonts w:ascii="Arial" w:hAnsi="Arial" w:cs="Arial"/>
          <w:sz w:val="20"/>
          <w:szCs w:val="20"/>
        </w:rPr>
        <w:t>”: see [63] &amp; [71]-[73].</w:t>
      </w:r>
    </w:p>
    <w:p w14:paraId="7A255CD0" w14:textId="77777777" w:rsidR="00D30F0A" w:rsidRDefault="00D30F0A">
      <w:pPr>
        <w:numPr>
          <w:ilvl w:val="0"/>
          <w:numId w:val="110"/>
        </w:numPr>
        <w:ind w:left="357" w:hanging="357"/>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[75]-[77].</w:t>
      </w:r>
    </w:p>
    <w:p w14:paraId="06668902" w14:textId="77777777" w:rsidR="00D30F0A" w:rsidRPr="00601F5F" w:rsidRDefault="00D30F0A">
      <w:pPr>
        <w:numPr>
          <w:ilvl w:val="0"/>
          <w:numId w:val="110"/>
        </w:numPr>
        <w:ind w:left="357" w:hanging="357"/>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The probative value of the evidence of the Facebook posts was not outweighed by the danger of unfair prejudice to the applicant: see [82]-[86].</w:t>
      </w:r>
    </w:p>
    <w:p w14:paraId="7454FF9E" w14:textId="77777777" w:rsidR="00D30F0A" w:rsidRDefault="00D30F0A" w:rsidP="00F9358C">
      <w:pPr>
        <w:jc w:val="both"/>
        <w:rPr>
          <w:rFonts w:ascii="Arial" w:hAnsi="Arial" w:cs="Arial"/>
          <w:color w:val="000000"/>
          <w:sz w:val="20"/>
        </w:rPr>
      </w:pPr>
    </w:p>
    <w:p w14:paraId="3A933DE0" w14:textId="4CF9175F" w:rsidR="00F9358C" w:rsidRDefault="00F9358C" w:rsidP="00F9358C">
      <w:pPr>
        <w:jc w:val="both"/>
        <w:rPr>
          <w:rFonts w:ascii="Arial" w:hAnsi="Arial" w:cs="Arial"/>
          <w:color w:val="000000"/>
          <w:sz w:val="20"/>
        </w:rPr>
      </w:pPr>
      <w:r>
        <w:rPr>
          <w:rFonts w:ascii="Arial" w:hAnsi="Arial" w:cs="Arial"/>
          <w:color w:val="000000"/>
          <w:sz w:val="20"/>
        </w:rPr>
        <w:t xml:space="preserve">In </w:t>
      </w:r>
      <w:r w:rsidR="005114B0" w:rsidRPr="005114B0">
        <w:rPr>
          <w:rFonts w:ascii="Arial" w:hAnsi="Arial" w:cs="Arial"/>
          <w:i/>
          <w:iCs/>
          <w:color w:val="000000"/>
          <w:sz w:val="20"/>
        </w:rPr>
        <w:t>Moreno (a pseudonym) v The King</w:t>
      </w:r>
      <w:r w:rsidR="005114B0">
        <w:rPr>
          <w:rFonts w:ascii="Arial" w:hAnsi="Arial" w:cs="Arial"/>
          <w:color w:val="000000"/>
          <w:sz w:val="20"/>
        </w:rPr>
        <w:t xml:space="preserve"> [2023] VSCA 98 the applicant was charged with murder and </w:t>
      </w:r>
      <w:r w:rsidR="00880EEB">
        <w:rPr>
          <w:rFonts w:ascii="Arial" w:hAnsi="Arial" w:cs="Arial"/>
          <w:color w:val="000000"/>
          <w:sz w:val="20"/>
        </w:rPr>
        <w:t xml:space="preserve">aggravated burglary arising from a single incident.  </w:t>
      </w:r>
      <w:r w:rsidR="005E6F10" w:rsidRPr="005E6F10">
        <w:rPr>
          <w:rFonts w:ascii="Arial" w:hAnsi="Arial" w:cs="Arial"/>
          <w:sz w:val="20"/>
          <w:szCs w:val="20"/>
        </w:rPr>
        <w:t>On the same indictment, the applicant was also charged with an earlier attempted armed robbery.</w:t>
      </w:r>
      <w:r w:rsidR="005E6F10">
        <w:rPr>
          <w:rFonts w:ascii="Arial" w:hAnsi="Arial" w:cs="Arial"/>
          <w:sz w:val="20"/>
          <w:szCs w:val="20"/>
        </w:rPr>
        <w:t xml:space="preserve">  </w:t>
      </w:r>
      <w:r w:rsidR="00880EEB">
        <w:rPr>
          <w:rFonts w:ascii="Arial" w:hAnsi="Arial" w:cs="Arial"/>
          <w:color w:val="000000"/>
          <w:sz w:val="20"/>
        </w:rPr>
        <w:t xml:space="preserve">A witness had identified the </w:t>
      </w:r>
      <w:r w:rsidR="00DB165F">
        <w:rPr>
          <w:rFonts w:ascii="Arial" w:hAnsi="Arial" w:cs="Arial"/>
          <w:color w:val="000000"/>
          <w:sz w:val="20"/>
        </w:rPr>
        <w:t>applicant after a conversation</w:t>
      </w:r>
      <w:r w:rsidR="00C555B5">
        <w:rPr>
          <w:rFonts w:ascii="Arial" w:hAnsi="Arial" w:cs="Arial"/>
          <w:color w:val="000000"/>
          <w:sz w:val="20"/>
        </w:rPr>
        <w:t xml:space="preserve"> with another person and having been shown a Facebook photograph of the applicant.  The trial judge had allowed the admission of the impugned identification evidence.  </w:t>
      </w:r>
      <w:r w:rsidR="00884E6E">
        <w:rPr>
          <w:rFonts w:ascii="Arial" w:hAnsi="Arial" w:cs="Arial"/>
          <w:color w:val="000000"/>
          <w:sz w:val="20"/>
        </w:rPr>
        <w:t>In its analysis at [</w:t>
      </w:r>
      <w:r w:rsidR="00C52CBD">
        <w:rPr>
          <w:rFonts w:ascii="Arial" w:hAnsi="Arial" w:cs="Arial"/>
          <w:color w:val="000000"/>
          <w:sz w:val="20"/>
        </w:rPr>
        <w:t>95</w:t>
      </w:r>
      <w:r w:rsidR="00884E6E">
        <w:rPr>
          <w:rFonts w:ascii="Arial" w:hAnsi="Arial" w:cs="Arial"/>
          <w:color w:val="000000"/>
          <w:sz w:val="20"/>
        </w:rPr>
        <w:t>]-[</w:t>
      </w:r>
      <w:r w:rsidR="00C52CBD">
        <w:rPr>
          <w:rFonts w:ascii="Arial" w:hAnsi="Arial" w:cs="Arial"/>
          <w:color w:val="000000"/>
          <w:sz w:val="20"/>
        </w:rPr>
        <w:t>107</w:t>
      </w:r>
      <w:r w:rsidR="00884E6E">
        <w:rPr>
          <w:rFonts w:ascii="Arial" w:hAnsi="Arial" w:cs="Arial"/>
          <w:color w:val="000000"/>
          <w:sz w:val="20"/>
        </w:rPr>
        <w:t>] t</w:t>
      </w:r>
      <w:r w:rsidR="008F2487">
        <w:rPr>
          <w:rFonts w:ascii="Arial" w:hAnsi="Arial" w:cs="Arial"/>
          <w:color w:val="000000"/>
          <w:sz w:val="20"/>
        </w:rPr>
        <w:t xml:space="preserve">he Court of Appeal </w:t>
      </w:r>
      <w:r w:rsidR="00EE5247">
        <w:rPr>
          <w:rFonts w:ascii="Arial" w:hAnsi="Arial" w:cs="Arial"/>
          <w:color w:val="000000"/>
          <w:sz w:val="20"/>
        </w:rPr>
        <w:t xml:space="preserve">allowed the appeal, </w:t>
      </w:r>
      <w:r w:rsidR="00037BB7">
        <w:rPr>
          <w:rFonts w:ascii="Arial" w:hAnsi="Arial" w:cs="Arial"/>
          <w:color w:val="000000"/>
          <w:sz w:val="20"/>
        </w:rPr>
        <w:t xml:space="preserve">applying s.137 of the Evidence Act 2008 and </w:t>
      </w:r>
      <w:r w:rsidR="00EE5247">
        <w:rPr>
          <w:rFonts w:ascii="Arial" w:hAnsi="Arial" w:cs="Arial"/>
          <w:color w:val="000000"/>
          <w:sz w:val="20"/>
        </w:rPr>
        <w:t xml:space="preserve">holding that the </w:t>
      </w:r>
      <w:r w:rsidR="007466FB">
        <w:rPr>
          <w:rFonts w:ascii="Arial" w:hAnsi="Arial" w:cs="Arial"/>
          <w:color w:val="000000"/>
          <w:sz w:val="20"/>
        </w:rPr>
        <w:t>probative value of the impugned evidence was low but the</w:t>
      </w:r>
      <w:r w:rsidR="00634286">
        <w:rPr>
          <w:rFonts w:ascii="Arial" w:hAnsi="Arial" w:cs="Arial"/>
          <w:color w:val="000000"/>
          <w:sz w:val="20"/>
        </w:rPr>
        <w:t xml:space="preserve"> prejudice to the applicant was substantial and was not capable of being </w:t>
      </w:r>
      <w:r w:rsidR="00884E6E">
        <w:rPr>
          <w:rFonts w:ascii="Arial" w:hAnsi="Arial" w:cs="Arial"/>
          <w:color w:val="000000"/>
          <w:sz w:val="20"/>
        </w:rPr>
        <w:t>adequately ameliorated by judicial direction.</w:t>
      </w:r>
    </w:p>
    <w:p w14:paraId="530388C4" w14:textId="77777777" w:rsidR="00F54375" w:rsidRDefault="00F54375" w:rsidP="00F9358C">
      <w:pPr>
        <w:jc w:val="both"/>
        <w:rPr>
          <w:rFonts w:ascii="Arial" w:hAnsi="Arial" w:cs="Arial"/>
          <w:color w:val="000000"/>
          <w:sz w:val="20"/>
        </w:rPr>
      </w:pPr>
    </w:p>
    <w:p w14:paraId="514F93E0" w14:textId="33ABDC93" w:rsidR="0086609B" w:rsidRPr="00EA734F" w:rsidRDefault="0086609B" w:rsidP="00037BB7">
      <w:pPr>
        <w:jc w:val="both"/>
        <w:rPr>
          <w:rFonts w:ascii="Arial" w:hAnsi="Arial" w:cs="Arial"/>
          <w:color w:val="000000"/>
          <w:sz w:val="20"/>
          <w:szCs w:val="20"/>
        </w:rPr>
      </w:pPr>
      <w:r w:rsidRPr="00EA734F">
        <w:rPr>
          <w:rFonts w:ascii="Arial" w:hAnsi="Arial" w:cs="Arial"/>
          <w:color w:val="000000"/>
          <w:sz w:val="20"/>
          <w:szCs w:val="20"/>
        </w:rPr>
        <w:t xml:space="preserve">See also </w:t>
      </w:r>
      <w:r w:rsidR="007A64B3" w:rsidRPr="007A64B3">
        <w:rPr>
          <w:rFonts w:ascii="Arial" w:hAnsi="Arial" w:cs="Arial"/>
          <w:i/>
          <w:iCs/>
          <w:sz w:val="20"/>
          <w:szCs w:val="20"/>
        </w:rPr>
        <w:t>R v Dickman</w:t>
      </w:r>
      <w:r w:rsidR="007A64B3" w:rsidRPr="007A64B3">
        <w:rPr>
          <w:rFonts w:ascii="Arial" w:hAnsi="Arial" w:cs="Arial"/>
          <w:sz w:val="20"/>
          <w:szCs w:val="20"/>
        </w:rPr>
        <w:t xml:space="preserve"> (2017) 261 CLR 601</w:t>
      </w:r>
      <w:r w:rsidR="007A64B3">
        <w:rPr>
          <w:rFonts w:ascii="Arial" w:hAnsi="Arial" w:cs="Arial"/>
          <w:sz w:val="20"/>
          <w:szCs w:val="20"/>
        </w:rPr>
        <w:t xml:space="preserve">; </w:t>
      </w:r>
      <w:r w:rsidRPr="00EA734F">
        <w:rPr>
          <w:rFonts w:ascii="Arial" w:hAnsi="Arial" w:cs="Arial"/>
          <w:i/>
          <w:iCs/>
          <w:color w:val="000000"/>
          <w:sz w:val="20"/>
          <w:szCs w:val="20"/>
        </w:rPr>
        <w:t>DPP v Roberts (Ruling No 3)</w:t>
      </w:r>
      <w:r w:rsidRPr="00EA734F">
        <w:rPr>
          <w:rFonts w:ascii="Arial" w:hAnsi="Arial" w:cs="Arial"/>
          <w:color w:val="000000"/>
          <w:sz w:val="20"/>
          <w:szCs w:val="20"/>
        </w:rPr>
        <w:t xml:space="preserve"> [2021] VSC 658</w:t>
      </w:r>
      <w:r w:rsidR="00EA734F" w:rsidRPr="00EA734F">
        <w:rPr>
          <w:rFonts w:ascii="Arial" w:hAnsi="Arial" w:cs="Arial"/>
          <w:color w:val="000000"/>
          <w:sz w:val="20"/>
          <w:szCs w:val="20"/>
        </w:rPr>
        <w:t xml:space="preserve">; </w:t>
      </w:r>
      <w:r w:rsidR="00EA734F" w:rsidRPr="00EA734F">
        <w:rPr>
          <w:rFonts w:ascii="Arial" w:hAnsi="Arial" w:cs="Arial"/>
          <w:i/>
          <w:iCs/>
          <w:color w:val="000000"/>
          <w:sz w:val="20"/>
          <w:szCs w:val="20"/>
        </w:rPr>
        <w:t>Tate (a</w:t>
      </w:r>
      <w:r w:rsidR="007A64B3">
        <w:rPr>
          <w:rFonts w:ascii="Arial" w:hAnsi="Arial" w:cs="Arial"/>
          <w:i/>
          <w:iCs/>
          <w:color w:val="000000"/>
          <w:sz w:val="20"/>
          <w:szCs w:val="20"/>
        </w:rPr>
        <w:t> </w:t>
      </w:r>
      <w:r w:rsidR="00EA734F" w:rsidRPr="00EA734F">
        <w:rPr>
          <w:rFonts w:ascii="Arial" w:hAnsi="Arial" w:cs="Arial"/>
          <w:i/>
          <w:iCs/>
          <w:color w:val="000000"/>
          <w:sz w:val="20"/>
          <w:szCs w:val="20"/>
        </w:rPr>
        <w:t xml:space="preserve">pseudonym) v The King </w:t>
      </w:r>
      <w:r w:rsidR="00EA734F" w:rsidRPr="00EA734F">
        <w:rPr>
          <w:rFonts w:ascii="Arial" w:hAnsi="Arial" w:cs="Arial"/>
          <w:color w:val="000000"/>
          <w:sz w:val="20"/>
          <w:szCs w:val="20"/>
        </w:rPr>
        <w:t>[2023] VSCA 249.</w:t>
      </w:r>
    </w:p>
    <w:p w14:paraId="1D37BA1D" w14:textId="77777777" w:rsidR="007A64B3" w:rsidRDefault="007A64B3" w:rsidP="00F9358C">
      <w:pPr>
        <w:jc w:val="both"/>
        <w:rPr>
          <w:rFonts w:ascii="Arial" w:hAnsi="Arial" w:cs="Arial"/>
          <w:color w:val="000000"/>
          <w:sz w:val="20"/>
        </w:rPr>
      </w:pPr>
    </w:p>
    <w:p w14:paraId="0BBAEAF5" w14:textId="77777777" w:rsidR="00A4066A" w:rsidRPr="0047194B" w:rsidRDefault="00A4066A" w:rsidP="00E8698A">
      <w:pPr>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72" w:name="_3.5.3.3_Admissibility_of"/>
      <w:bookmarkStart w:id="573" w:name="B3533"/>
      <w:bookmarkEnd w:id="572"/>
      <w:bookmarkEnd w:id="573"/>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20D57C30" w14:textId="77777777" w:rsidR="00ED6D68" w:rsidRDefault="00ED6D68" w:rsidP="00A13B31">
      <w:pPr>
        <w:spacing w:before="120"/>
        <w:jc w:val="both"/>
        <w:rPr>
          <w:rFonts w:ascii="Arial" w:hAnsi="Arial" w:cs="Arial"/>
          <w:sz w:val="20"/>
        </w:rPr>
      </w:pPr>
      <w:r>
        <w:rPr>
          <w:rFonts w:ascii="Arial" w:hAnsi="Arial" w:cs="Arial"/>
          <w:sz w:val="20"/>
        </w:rPr>
        <w:t xml:space="preserve">Section 215(1)(d) of the CYFA provides – with similar effect to s.65 of the </w:t>
      </w:r>
      <w:r w:rsidRPr="00934D0F">
        <w:rPr>
          <w:rFonts w:ascii="Arial" w:hAnsi="Arial" w:cs="Arial"/>
          <w:i/>
          <w:iCs/>
          <w:sz w:val="20"/>
        </w:rPr>
        <w:t xml:space="preserve">Family Violence Protection Act 2008 </w:t>
      </w:r>
      <w:r w:rsidRPr="000D1B14">
        <w:rPr>
          <w:rFonts w:ascii="Arial" w:hAnsi="Arial" w:cs="Arial"/>
          <w:sz w:val="20"/>
        </w:rPr>
        <w:t xml:space="preserve">and </w:t>
      </w:r>
      <w:r>
        <w:rPr>
          <w:rFonts w:ascii="Arial" w:hAnsi="Arial" w:cs="Arial"/>
          <w:bCs/>
          <w:sz w:val="20"/>
        </w:rPr>
        <w:t xml:space="preserve">s.47 of the </w:t>
      </w:r>
      <w:r w:rsidRPr="00934D0F">
        <w:rPr>
          <w:rFonts w:ascii="Arial" w:hAnsi="Arial" w:cs="Arial"/>
          <w:bCs/>
          <w:i/>
          <w:iCs/>
          <w:sz w:val="20"/>
        </w:rPr>
        <w:t>Personal Safety Intervention Orders Act 2010</w:t>
      </w:r>
      <w:r w:rsidRPr="00A10E05">
        <w:rPr>
          <w:rFonts w:ascii="Arial" w:hAnsi="Arial" w:cs="Arial"/>
          <w:sz w:val="20"/>
        </w:rPr>
        <w:t xml:space="preserve"> </w:t>
      </w:r>
      <w:r>
        <w:rPr>
          <w:rFonts w:ascii="Arial" w:hAnsi="Arial" w:cs="Arial"/>
          <w:sz w:val="20"/>
        </w:rPr>
        <w:t>–</w:t>
      </w:r>
      <w:r w:rsidRPr="00A10E05">
        <w:rPr>
          <w:rFonts w:ascii="Arial" w:hAnsi="Arial" w:cs="Arial"/>
          <w:sz w:val="20"/>
        </w:rPr>
        <w:t xml:space="preserve"> that</w:t>
      </w:r>
      <w:r>
        <w:rPr>
          <w:rFonts w:ascii="Arial" w:hAnsi="Arial" w:cs="Arial"/>
          <w:sz w:val="20"/>
        </w:rPr>
        <w:t>:</w:t>
      </w:r>
    </w:p>
    <w:p w14:paraId="390A0332" w14:textId="77777777" w:rsidR="00ED6D68" w:rsidRDefault="00ED6D68" w:rsidP="00ED6D68">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50297320" w14:textId="77777777" w:rsidR="00ED6D68" w:rsidRDefault="00ED6D68" w:rsidP="00ED6D68">
      <w:pPr>
        <w:jc w:val="both"/>
        <w:rPr>
          <w:rFonts w:ascii="Arial" w:hAnsi="Arial" w:cs="Arial"/>
          <w:bCs/>
          <w:sz w:val="20"/>
        </w:rPr>
      </w:pPr>
    </w:p>
    <w:p w14:paraId="4FEB3843" w14:textId="25634E64" w:rsidR="00ED6D68" w:rsidRDefault="00EE245F" w:rsidP="00ED6D68">
      <w:pPr>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r w:rsidR="00A13B31">
        <w:rPr>
          <w:rFonts w:ascii="Arial" w:hAnsi="Arial" w:cs="Arial"/>
          <w:sz w:val="20"/>
        </w:rPr>
        <w:t xml:space="preserve">  </w:t>
      </w:r>
      <w:r w:rsidR="00ED6D68">
        <w:rPr>
          <w:rFonts w:ascii="Arial" w:hAnsi="Arial" w:cs="Arial"/>
          <w:sz w:val="20"/>
        </w:rPr>
        <w:t xml:space="preserve">It follows that s.142 of the </w:t>
      </w:r>
      <w:r w:rsidR="00ED6D68" w:rsidRPr="00934D0F">
        <w:rPr>
          <w:rFonts w:ascii="Arial" w:hAnsi="Arial" w:cs="Arial"/>
          <w:i/>
          <w:iCs/>
          <w:sz w:val="20"/>
        </w:rPr>
        <w:t>Evidence Act 2008</w:t>
      </w:r>
      <w:r w:rsidR="00ED6D68">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4FB512BE" w14:textId="77777777" w:rsidR="00ED6D68" w:rsidRDefault="00ED6D68" w:rsidP="00A10E05">
      <w:pPr>
        <w:jc w:val="both"/>
        <w:rPr>
          <w:rFonts w:ascii="Arial" w:hAnsi="Arial" w:cs="Arial"/>
          <w:bCs/>
          <w:sz w:val="20"/>
        </w:rPr>
      </w:pPr>
    </w:p>
    <w:p w14:paraId="44DCC58D" w14:textId="27FCD5AE" w:rsidR="00A4066A" w:rsidRDefault="00A4066A" w:rsidP="00A10E05">
      <w:pPr>
        <w:jc w:val="both"/>
        <w:rPr>
          <w:rFonts w:ascii="Arial" w:hAnsi="Arial" w:cs="Arial"/>
          <w:bCs/>
          <w:sz w:val="20"/>
        </w:rPr>
      </w:pPr>
      <w:r>
        <w:rPr>
          <w:rFonts w:ascii="Arial" w:hAnsi="Arial" w:cs="Arial"/>
          <w:bCs/>
          <w:sz w:val="20"/>
        </w:rPr>
        <w:t xml:space="preserve">The proper operation of a provision </w:t>
      </w:r>
      <w:r w:rsidR="00A13B31">
        <w:rPr>
          <w:rFonts w:ascii="Arial" w:hAnsi="Arial" w:cs="Arial"/>
          <w:bCs/>
          <w:sz w:val="20"/>
        </w:rPr>
        <w:t xml:space="preserve">akin to s.215(1)(d) CYFA </w:t>
      </w:r>
      <w:r>
        <w:rPr>
          <w:rFonts w:ascii="Arial" w:hAnsi="Arial" w:cs="Arial"/>
          <w:bCs/>
          <w:sz w:val="20"/>
        </w:rPr>
        <w:t xml:space="preserve">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29DC616" w:rsidR="00A4066A" w:rsidRDefault="00A4066A" w:rsidP="00A4066A">
      <w:pPr>
        <w:spacing w:before="120"/>
        <w:jc w:val="both"/>
        <w:rPr>
          <w:rFonts w:ascii="Arial" w:hAnsi="Arial" w:cs="Arial"/>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r w:rsidR="006668EB">
        <w:rPr>
          <w:rFonts w:ascii="Arial" w:hAnsi="Arial" w:cs="Arial"/>
          <w:sz w:val="20"/>
        </w:rPr>
        <w:t xml:space="preserve">  The writer saw a </w:t>
      </w:r>
      <w:r w:rsidR="00892D9B">
        <w:rPr>
          <w:rFonts w:ascii="Arial" w:hAnsi="Arial" w:cs="Arial"/>
          <w:sz w:val="20"/>
        </w:rPr>
        <w:t>striking</w:t>
      </w:r>
      <w:r w:rsidR="006668EB">
        <w:rPr>
          <w:rFonts w:ascii="Arial" w:hAnsi="Arial" w:cs="Arial"/>
          <w:sz w:val="20"/>
        </w:rPr>
        <w:t xml:space="preserve"> example of such a danger in a contested Family Division case in 2018 in which </w:t>
      </w:r>
      <w:r w:rsidR="00ED6D68">
        <w:rPr>
          <w:rFonts w:ascii="Arial" w:hAnsi="Arial" w:cs="Arial"/>
          <w:sz w:val="20"/>
        </w:rPr>
        <w:t>one of the</w:t>
      </w:r>
      <w:r w:rsidR="006668EB">
        <w:rPr>
          <w:rFonts w:ascii="Arial" w:hAnsi="Arial" w:cs="Arial"/>
          <w:sz w:val="20"/>
        </w:rPr>
        <w:t xml:space="preserve"> Department’s report</w:t>
      </w:r>
      <w:r w:rsidR="00ED6D68">
        <w:rPr>
          <w:rFonts w:ascii="Arial" w:hAnsi="Arial" w:cs="Arial"/>
          <w:sz w:val="20"/>
        </w:rPr>
        <w:t>s</w:t>
      </w:r>
      <w:r w:rsidR="006668EB">
        <w:rPr>
          <w:rFonts w:ascii="Arial" w:hAnsi="Arial" w:cs="Arial"/>
          <w:sz w:val="20"/>
        </w:rPr>
        <w:t xml:space="preserve"> had said that “a secondary report was received that [the father] had been seen with [</w:t>
      </w:r>
      <w:r w:rsidR="00892D9B">
        <w:rPr>
          <w:rFonts w:ascii="Arial" w:hAnsi="Arial" w:cs="Arial"/>
          <w:sz w:val="20"/>
        </w:rPr>
        <w:t xml:space="preserve">M, </w:t>
      </w:r>
      <w:r w:rsidR="006668EB">
        <w:rPr>
          <w:rFonts w:ascii="Arial" w:hAnsi="Arial" w:cs="Arial"/>
          <w:sz w:val="20"/>
        </w:rPr>
        <w:t xml:space="preserve">one of his children] in [X] shopping </w:t>
      </w:r>
      <w:proofErr w:type="spellStart"/>
      <w:r w:rsidR="006668EB">
        <w:rPr>
          <w:rFonts w:ascii="Arial" w:hAnsi="Arial" w:cs="Arial"/>
          <w:sz w:val="20"/>
        </w:rPr>
        <w:t>center</w:t>
      </w:r>
      <w:proofErr w:type="spellEnd"/>
      <w:r w:rsidR="006668EB">
        <w:rPr>
          <w:rFonts w:ascii="Arial" w:hAnsi="Arial" w:cs="Arial"/>
          <w:sz w:val="20"/>
        </w:rPr>
        <w:t xml:space="preserve"> [</w:t>
      </w:r>
      <w:r w:rsidR="006668EB" w:rsidRPr="006668EB">
        <w:rPr>
          <w:rFonts w:ascii="Arial" w:hAnsi="Arial" w:cs="Arial"/>
          <w:i/>
          <w:iCs/>
          <w:sz w:val="20"/>
        </w:rPr>
        <w:t>sic</w:t>
      </w:r>
      <w:r w:rsidR="006668EB">
        <w:rPr>
          <w:rFonts w:ascii="Arial" w:hAnsi="Arial" w:cs="Arial"/>
          <w:sz w:val="20"/>
        </w:rPr>
        <w:t xml:space="preserve">]”.  However, the case note </w:t>
      </w:r>
      <w:r w:rsidR="007D0083">
        <w:rPr>
          <w:rFonts w:ascii="Arial" w:hAnsi="Arial" w:cs="Arial"/>
          <w:sz w:val="20"/>
        </w:rPr>
        <w:t>i</w:t>
      </w:r>
      <w:r w:rsidR="006668EB">
        <w:rPr>
          <w:rFonts w:ascii="Arial" w:hAnsi="Arial" w:cs="Arial"/>
          <w:sz w:val="20"/>
        </w:rPr>
        <w:t xml:space="preserve">n which this comment was made – a case note on which reporter privilege was </w:t>
      </w:r>
      <w:r w:rsidR="001B6C9D">
        <w:rPr>
          <w:rFonts w:ascii="Arial" w:hAnsi="Arial" w:cs="Arial"/>
          <w:sz w:val="20"/>
        </w:rPr>
        <w:t xml:space="preserve">unsuccessfully </w:t>
      </w:r>
      <w:r w:rsidR="006668EB">
        <w:rPr>
          <w:rFonts w:ascii="Arial" w:hAnsi="Arial" w:cs="Arial"/>
          <w:sz w:val="20"/>
        </w:rPr>
        <w:t xml:space="preserve">claimed – included </w:t>
      </w:r>
      <w:r w:rsidR="00ED6D68">
        <w:rPr>
          <w:rFonts w:ascii="Arial" w:hAnsi="Arial" w:cs="Arial"/>
          <w:sz w:val="20"/>
        </w:rPr>
        <w:t>information</w:t>
      </w:r>
      <w:r w:rsidR="006668EB">
        <w:rPr>
          <w:rFonts w:ascii="Arial" w:hAnsi="Arial" w:cs="Arial"/>
          <w:sz w:val="20"/>
        </w:rPr>
        <w:t xml:space="preserve"> that the reporter “didn’t personally see [the father and </w:t>
      </w:r>
      <w:r w:rsidR="009C37B7">
        <w:rPr>
          <w:rFonts w:ascii="Arial" w:hAnsi="Arial" w:cs="Arial"/>
          <w:sz w:val="20"/>
        </w:rPr>
        <w:t>M</w:t>
      </w:r>
      <w:r w:rsidR="006668EB">
        <w:rPr>
          <w:rFonts w:ascii="Arial" w:hAnsi="Arial" w:cs="Arial"/>
          <w:sz w:val="20"/>
        </w:rPr>
        <w:t xml:space="preserve">] together but that it was an unrelated third person </w:t>
      </w:r>
      <w:r w:rsidR="00ED6D68">
        <w:rPr>
          <w:rFonts w:ascii="Arial" w:hAnsi="Arial" w:cs="Arial"/>
          <w:sz w:val="20"/>
        </w:rPr>
        <w:t>“</w:t>
      </w:r>
      <w:r w:rsidR="006668EB">
        <w:rPr>
          <w:rFonts w:ascii="Arial" w:hAnsi="Arial" w:cs="Arial"/>
          <w:sz w:val="20"/>
        </w:rPr>
        <w:t xml:space="preserve">who had told him she believed she saw [the father and </w:t>
      </w:r>
      <w:r w:rsidR="00892D9B">
        <w:rPr>
          <w:rFonts w:ascii="Arial" w:hAnsi="Arial" w:cs="Arial"/>
          <w:sz w:val="20"/>
        </w:rPr>
        <w:t>M</w:t>
      </w:r>
      <w:r w:rsidR="00ED6D68">
        <w:rPr>
          <w:rFonts w:ascii="Arial" w:hAnsi="Arial" w:cs="Arial"/>
          <w:sz w:val="20"/>
        </w:rPr>
        <w:t>] together at [X] shopping centre on the Saturday”.</w:t>
      </w:r>
    </w:p>
    <w:p w14:paraId="2A821BF3" w14:textId="77777777" w:rsidR="00A10E05" w:rsidRDefault="00A10E05" w:rsidP="00A4066A">
      <w:pPr>
        <w:jc w:val="both"/>
        <w:rPr>
          <w:rFonts w:ascii="Arial" w:hAnsi="Arial" w:cs="Arial"/>
          <w:sz w:val="20"/>
        </w:rPr>
      </w:pPr>
    </w:p>
    <w:p w14:paraId="5C77107E" w14:textId="704306D7" w:rsidR="00A4066A" w:rsidRDefault="0019386A" w:rsidP="00A4066A">
      <w:pPr>
        <w:jc w:val="both"/>
        <w:rPr>
          <w:rFonts w:ascii="Arial" w:hAnsi="Arial" w:cs="Arial"/>
          <w:sz w:val="20"/>
        </w:rPr>
      </w:pPr>
      <w:r>
        <w:rPr>
          <w:rFonts w:ascii="Arial" w:hAnsi="Arial" w:cs="Arial"/>
          <w:sz w:val="20"/>
        </w:rPr>
        <w:t>However, notwithstanding the broad words “as it thinks fit”</w:t>
      </w:r>
      <w:r w:rsidR="00ED6D68">
        <w:rPr>
          <w:rFonts w:ascii="Arial" w:hAnsi="Arial" w:cs="Arial"/>
          <w:sz w:val="20"/>
        </w:rPr>
        <w:t>,</w:t>
      </w:r>
      <w:r>
        <w:rPr>
          <w:rFonts w:ascii="Arial" w:hAnsi="Arial" w:cs="Arial"/>
          <w:sz w:val="20"/>
        </w:rPr>
        <w:t xml:space="preserve">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xml:space="preserve">.  In rejecting a submission that the words “may </w:t>
      </w:r>
      <w:r w:rsidR="00A4066A">
        <w:rPr>
          <w:rFonts w:ascii="Arial" w:hAnsi="Arial" w:cs="Arial"/>
          <w:sz w:val="20"/>
        </w:rPr>
        <w:lastRenderedPageBreak/>
        <w:t>inform itself in any way it thinks fit” should be regarded as redundant but holding that the words were subject to a requirement to accord procedural fairness, Maxwell P said at [28]-[29]</w:t>
      </w:r>
      <w:r w:rsidR="00D30F0A">
        <w:rPr>
          <w:rFonts w:ascii="Arial" w:hAnsi="Arial" w:cs="Arial"/>
          <w:sz w:val="20"/>
        </w:rPr>
        <w:t>:</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767DBFC9" w14:textId="77777777" w:rsidR="002B489D" w:rsidRDefault="002B489D" w:rsidP="002B489D">
      <w:pPr>
        <w:jc w:val="both"/>
        <w:rPr>
          <w:rFonts w:ascii="Arial" w:hAnsi="Arial" w:cs="Arial"/>
          <w:sz w:val="20"/>
        </w:rPr>
      </w:pPr>
    </w:p>
    <w:p w14:paraId="61BB1416" w14:textId="529188EB" w:rsidR="0022246F" w:rsidRPr="009F25D4" w:rsidRDefault="00165BA9" w:rsidP="00C41198">
      <w:pPr>
        <w:pStyle w:val="Heading3"/>
        <w:keepNext/>
        <w:keepLines/>
        <w:widowControl/>
        <w:spacing w:line="240" w:lineRule="auto"/>
        <w:rPr>
          <w:rFonts w:ascii="Arial" w:hAnsi="Arial" w:cs="Arial"/>
          <w:b/>
          <w:bCs/>
          <w:color w:val="000000"/>
          <w:sz w:val="20"/>
        </w:rPr>
      </w:pPr>
      <w:bookmarkStart w:id="574" w:name="_3.5.3.4_The_hearsay"/>
      <w:bookmarkEnd w:id="574"/>
      <w:r>
        <w:rPr>
          <w:rFonts w:ascii="Arial" w:hAnsi="Arial" w:cs="Arial"/>
          <w:b/>
          <w:bCs/>
          <w:color w:val="000000"/>
          <w:sz w:val="20"/>
        </w:rPr>
        <w:t>3.</w:t>
      </w:r>
      <w:r w:rsidR="0019386A" w:rsidRPr="008C3BC8">
        <w:rPr>
          <w:rFonts w:ascii="Arial" w:hAnsi="Arial" w:cs="Arial"/>
          <w:b/>
          <w:bCs/>
          <w:color w:val="000000"/>
          <w:sz w:val="20"/>
        </w:rPr>
        <w:t>5.</w:t>
      </w:r>
      <w:r w:rsidR="0019386A">
        <w:rPr>
          <w:rFonts w:ascii="Arial" w:hAnsi="Arial" w:cs="Arial"/>
          <w:b/>
          <w:bCs/>
          <w:color w:val="000000"/>
          <w:sz w:val="20"/>
        </w:rPr>
        <w:t>3.4</w:t>
      </w:r>
      <w:r w:rsidR="0019386A">
        <w:rPr>
          <w:rFonts w:ascii="Arial" w:hAnsi="Arial" w:cs="Arial"/>
          <w:b/>
          <w:bCs/>
          <w:color w:val="000000"/>
          <w:sz w:val="20"/>
        </w:rPr>
        <w:tab/>
      </w:r>
      <w:r w:rsidR="0019386A" w:rsidRPr="008C3BC8">
        <w:rPr>
          <w:rFonts w:ascii="Arial" w:hAnsi="Arial" w:cs="Arial"/>
          <w:b/>
          <w:color w:val="000000"/>
          <w:sz w:val="20"/>
        </w:rPr>
        <w:t>The hearsay rule and exceptions thereto</w:t>
      </w:r>
    </w:p>
    <w:p w14:paraId="60FE8A46" w14:textId="2CA757E7" w:rsidR="0019386A" w:rsidRPr="00164487" w:rsidRDefault="0019386A" w:rsidP="00D62988">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6F8FBC75"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r w:rsidR="008F03B5">
        <w:rPr>
          <w:rFonts w:ascii="Arial" w:hAnsi="Arial" w:cs="Arial"/>
          <w:color w:val="000000"/>
          <w:sz w:val="20"/>
        </w:rPr>
        <w:t>;</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36A48AD1" w:rsidR="0019386A" w:rsidRPr="00DC76C3"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r w:rsidR="008F03B5">
        <w:rPr>
          <w:rFonts w:ascii="Arial" w:hAnsi="Arial" w:cs="Arial"/>
          <w:color w:val="000000"/>
          <w:sz w:val="20"/>
        </w:rPr>
        <w:t xml:space="preserve">: cf. </w:t>
      </w:r>
      <w:r w:rsidR="008F03B5" w:rsidRPr="008F03B5">
        <w:rPr>
          <w:rFonts w:ascii="Arial" w:hAnsi="Arial" w:cs="Arial"/>
          <w:i/>
          <w:iCs/>
          <w:sz w:val="20"/>
          <w:szCs w:val="20"/>
        </w:rPr>
        <w:t>Hayward v A &amp; T Goldman Pty Ltd (Ruling)</w:t>
      </w:r>
      <w:r w:rsidR="008F03B5" w:rsidRPr="008F03B5">
        <w:rPr>
          <w:rFonts w:ascii="Arial" w:hAnsi="Arial" w:cs="Arial"/>
          <w:sz w:val="20"/>
          <w:szCs w:val="20"/>
        </w:rPr>
        <w:t xml:space="preserve"> [2023] VSC 719</w:t>
      </w:r>
      <w:r w:rsidR="008F03B5">
        <w:rPr>
          <w:rFonts w:ascii="Arial" w:hAnsi="Arial" w:cs="Arial"/>
          <w:sz w:val="20"/>
          <w:szCs w:val="20"/>
        </w:rPr>
        <w:t>;</w:t>
      </w:r>
      <w:r w:rsidR="00DC76C3">
        <w:rPr>
          <w:rFonts w:ascii="Arial" w:hAnsi="Arial" w:cs="Arial"/>
          <w:sz w:val="20"/>
          <w:szCs w:val="20"/>
        </w:rPr>
        <w:t xml:space="preserve"> </w:t>
      </w:r>
      <w:r w:rsidR="00DC76C3" w:rsidRPr="00DC76C3">
        <w:rPr>
          <w:rFonts w:ascii="Arial" w:hAnsi="Arial" w:cs="Arial"/>
          <w:i/>
          <w:iCs/>
          <w:sz w:val="20"/>
          <w:szCs w:val="20"/>
        </w:rPr>
        <w:t>Kane (a pseudonym) v The King; Moon (a pseudonym) v The King</w:t>
      </w:r>
      <w:r w:rsidR="00DC76C3">
        <w:rPr>
          <w:rFonts w:ascii="Arial" w:hAnsi="Arial" w:cs="Arial"/>
          <w:sz w:val="20"/>
          <w:szCs w:val="20"/>
        </w:rPr>
        <w:t xml:space="preserve"> [2023] VSCA 305 at [65]-[66].</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29A5B918"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w:t>
      </w:r>
      <w:r w:rsidR="00CA4B60">
        <w:rPr>
          <w:rFonts w:ascii="Arial" w:hAnsi="Arial" w:cs="Arial"/>
          <w:color w:val="000000"/>
          <w:sz w:val="20"/>
        </w:rPr>
        <w:t>2</w:t>
      </w:r>
      <w:r w:rsidRPr="00164487">
        <w:rPr>
          <w:rFonts w:ascii="Arial" w:hAnsi="Arial" w:cs="Arial"/>
          <w:color w:val="000000"/>
          <w:sz w:val="20"/>
        </w:rPr>
        <w:t xml:space="preserve">: exceptions to the rule </w:t>
      </w:r>
      <w:r w:rsidR="00CA4B60">
        <w:rPr>
          <w:rFonts w:ascii="Arial" w:hAnsi="Arial" w:cs="Arial"/>
          <w:color w:val="000000"/>
          <w:sz w:val="20"/>
        </w:rPr>
        <w:t xml:space="preserve">in s.91 </w:t>
      </w:r>
      <w:r w:rsidRPr="00164487">
        <w:rPr>
          <w:rFonts w:ascii="Arial" w:hAnsi="Arial" w:cs="Arial"/>
          <w:color w:val="000000"/>
          <w:sz w:val="20"/>
        </w:rPr>
        <w:t>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649716C0"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w:t>
      </w:r>
      <w:r w:rsidR="00123639">
        <w:rPr>
          <w:rFonts w:ascii="Arial" w:hAnsi="Arial" w:cs="Arial"/>
          <w:color w:val="000000"/>
          <w:sz w:val="20"/>
        </w:rPr>
        <w:t xml:space="preserve">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lastRenderedPageBreak/>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6C7734A6"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r w:rsidR="00AE7BD1">
        <w:rPr>
          <w:rFonts w:ascii="Arial" w:hAnsi="Arial" w:cs="Arial"/>
          <w:color w:val="000000"/>
          <w:sz w:val="20"/>
        </w:rPr>
        <w:t xml:space="preserve">; </w:t>
      </w:r>
      <w:r w:rsidR="00AE7BD1" w:rsidRPr="00365B9A">
        <w:rPr>
          <w:rFonts w:ascii="Arial" w:hAnsi="Arial" w:cs="Arial"/>
          <w:i/>
          <w:iCs/>
          <w:color w:val="000000"/>
          <w:sz w:val="20"/>
          <w:szCs w:val="20"/>
        </w:rPr>
        <w:t xml:space="preserve">Snyder (a pseudonym) v The Queen </w:t>
      </w:r>
      <w:r w:rsidR="00AE7BD1" w:rsidRPr="00365B9A">
        <w:rPr>
          <w:rFonts w:ascii="Arial" w:hAnsi="Arial" w:cs="Arial"/>
          <w:color w:val="000000"/>
          <w:sz w:val="20"/>
          <w:szCs w:val="20"/>
        </w:rPr>
        <w:t>[202</w:t>
      </w:r>
      <w:r w:rsidR="00AE7BD1">
        <w:rPr>
          <w:rFonts w:ascii="Arial" w:hAnsi="Arial" w:cs="Arial"/>
          <w:color w:val="000000"/>
          <w:sz w:val="20"/>
          <w:szCs w:val="20"/>
        </w:rPr>
        <w:t>1</w:t>
      </w:r>
      <w:r w:rsidR="00AE7BD1" w:rsidRPr="00365B9A">
        <w:rPr>
          <w:rFonts w:ascii="Arial" w:hAnsi="Arial" w:cs="Arial"/>
          <w:color w:val="000000"/>
          <w:sz w:val="20"/>
          <w:szCs w:val="20"/>
        </w:rPr>
        <w:t xml:space="preserve">] VSCA </w:t>
      </w:r>
      <w:r w:rsidR="00AE7BD1">
        <w:rPr>
          <w:rFonts w:ascii="Arial" w:hAnsi="Arial" w:cs="Arial"/>
          <w:color w:val="000000"/>
          <w:sz w:val="20"/>
          <w:szCs w:val="20"/>
        </w:rPr>
        <w:t>96</w:t>
      </w:r>
      <w:r w:rsidRPr="00164487">
        <w:rPr>
          <w:rFonts w:ascii="Arial" w:hAnsi="Arial" w:cs="Arial"/>
          <w:color w:val="000000"/>
          <w:sz w:val="20"/>
        </w:rPr>
        <w:t>.</w:t>
      </w:r>
    </w:p>
    <w:p w14:paraId="00F0E1A5" w14:textId="64CBCC16" w:rsidR="00241128" w:rsidRDefault="00241128" w:rsidP="00241128">
      <w:pPr>
        <w:jc w:val="both"/>
        <w:rPr>
          <w:rFonts w:ascii="Arial" w:hAnsi="Arial" w:cs="Arial"/>
          <w:color w:val="000000"/>
          <w:sz w:val="20"/>
        </w:rPr>
      </w:pPr>
    </w:p>
    <w:p w14:paraId="15ACBC1E" w14:textId="460AA723" w:rsidR="00123639" w:rsidRPr="00164487" w:rsidRDefault="00123639" w:rsidP="00123639">
      <w:pPr>
        <w:jc w:val="both"/>
        <w:rPr>
          <w:rFonts w:ascii="Arial" w:hAnsi="Arial" w:cs="Arial"/>
          <w:color w:val="000000"/>
          <w:sz w:val="20"/>
        </w:rPr>
      </w:pPr>
      <w:r>
        <w:rPr>
          <w:rFonts w:ascii="Arial" w:hAnsi="Arial" w:cs="Arial"/>
          <w:color w:val="000000"/>
          <w:sz w:val="20"/>
        </w:rPr>
        <w:t xml:space="preserve">Section 66 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available</w:t>
      </w:r>
      <w:r w:rsidRPr="00164487">
        <w:rPr>
          <w:rFonts w:ascii="Arial" w:hAnsi="Arial" w:cs="Arial"/>
          <w:color w:val="000000"/>
          <w:sz w:val="20"/>
        </w:rPr>
        <w:t xml:space="preserve"> to give evidence about an asserted fact.  Section 6</w:t>
      </w:r>
      <w:r>
        <w:rPr>
          <w:rFonts w:ascii="Arial" w:hAnsi="Arial" w:cs="Arial"/>
          <w:color w:val="000000"/>
          <w:sz w:val="20"/>
        </w:rPr>
        <w:t>6</w:t>
      </w:r>
      <w:r w:rsidRPr="00164487">
        <w:rPr>
          <w:rFonts w:ascii="Arial" w:hAnsi="Arial" w:cs="Arial"/>
          <w:color w:val="000000"/>
          <w:sz w:val="20"/>
        </w:rPr>
        <w:t>(2) provides that the hearsay rule does not apply to evidence of a previous representation that is given by a person who saw, heard or otherwise perceived the representation being made if-</w:t>
      </w:r>
    </w:p>
    <w:p w14:paraId="1EB9948E" w14:textId="503C45A6"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r>
      <w:r w:rsidR="000C0984">
        <w:rPr>
          <w:rFonts w:ascii="Arial" w:hAnsi="Arial" w:cs="Arial"/>
          <w:color w:val="000000"/>
          <w:sz w:val="20"/>
        </w:rPr>
        <w:t>the person who</w:t>
      </w:r>
      <w:r w:rsidRPr="00164487">
        <w:rPr>
          <w:rFonts w:ascii="Arial" w:hAnsi="Arial" w:cs="Arial"/>
          <w:color w:val="000000"/>
          <w:sz w:val="20"/>
        </w:rPr>
        <w:t xml:space="preserve"> made </w:t>
      </w:r>
      <w:r w:rsidR="000C0984">
        <w:rPr>
          <w:rFonts w:ascii="Arial" w:hAnsi="Arial" w:cs="Arial"/>
          <w:color w:val="000000"/>
          <w:sz w:val="20"/>
        </w:rPr>
        <w:t>the</w:t>
      </w:r>
      <w:r w:rsidRPr="00164487">
        <w:rPr>
          <w:rFonts w:ascii="Arial" w:hAnsi="Arial" w:cs="Arial"/>
          <w:color w:val="000000"/>
          <w:sz w:val="20"/>
        </w:rPr>
        <w:t xml:space="preserve"> representation </w:t>
      </w:r>
      <w:r w:rsidR="000C0984">
        <w:rPr>
          <w:rFonts w:ascii="Arial" w:hAnsi="Arial" w:cs="Arial"/>
          <w:color w:val="000000"/>
          <w:sz w:val="20"/>
        </w:rPr>
        <w:t>has been or is to be called to give evidence</w:t>
      </w:r>
      <w:r w:rsidRPr="00164487">
        <w:rPr>
          <w:rFonts w:ascii="Arial" w:hAnsi="Arial" w:cs="Arial"/>
          <w:color w:val="000000"/>
          <w:sz w:val="20"/>
        </w:rPr>
        <w:t xml:space="preserve">; </w:t>
      </w:r>
      <w:r w:rsidR="000C0984">
        <w:rPr>
          <w:rFonts w:ascii="Arial" w:hAnsi="Arial" w:cs="Arial"/>
          <w:color w:val="000000"/>
          <w:sz w:val="20"/>
        </w:rPr>
        <w:t>and</w:t>
      </w:r>
    </w:p>
    <w:p w14:paraId="5084D444" w14:textId="14142A72"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r>
      <w:r w:rsidR="000C0984">
        <w:rPr>
          <w:rFonts w:ascii="Arial" w:hAnsi="Arial" w:cs="Arial"/>
          <w:color w:val="000000"/>
          <w:sz w:val="20"/>
        </w:rPr>
        <w:t>either-</w:t>
      </w:r>
    </w:p>
    <w:p w14:paraId="79615A08" w14:textId="1776DF2F" w:rsidR="00123639" w:rsidRDefault="000C0984" w:rsidP="000C0984">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when the representation was made, the occurrence of the asserted fact was fresh in the memory of the person who made the representation; or</w:t>
      </w:r>
    </w:p>
    <w:p w14:paraId="465CC838" w14:textId="5E6E3F74" w:rsidR="000C0984" w:rsidRDefault="000C0984" w:rsidP="000C0984">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the person who made the representation is a victim of an offence to which the proceeding relates and was under the age of 18 years at the time the representation was made.</w:t>
      </w:r>
    </w:p>
    <w:p w14:paraId="5A8E18DF" w14:textId="61373115" w:rsidR="00123639" w:rsidRDefault="00A70F14" w:rsidP="00241128">
      <w:pPr>
        <w:jc w:val="both"/>
        <w:rPr>
          <w:rFonts w:ascii="Arial" w:hAnsi="Arial" w:cs="Arial"/>
          <w:color w:val="000000"/>
          <w:sz w:val="20"/>
        </w:rPr>
      </w:pPr>
      <w:r>
        <w:rPr>
          <w:rFonts w:ascii="Arial" w:hAnsi="Arial" w:cs="Arial"/>
          <w:color w:val="000000"/>
          <w:sz w:val="20"/>
        </w:rPr>
        <w:t xml:space="preserve">See s.66(2A) for matters which may be taken into account in determining whether the occurrence of the asserted fact was “fresh in the memory of the person who made the representation”.  See also </w:t>
      </w:r>
      <w:r w:rsidRPr="00A70F14">
        <w:rPr>
          <w:rFonts w:ascii="Arial" w:hAnsi="Arial" w:cs="Arial"/>
          <w:i/>
          <w:iCs/>
          <w:color w:val="000000"/>
          <w:sz w:val="20"/>
        </w:rPr>
        <w:t>DPP v Roberts (Ruling No 14)</w:t>
      </w:r>
      <w:r>
        <w:rPr>
          <w:rFonts w:ascii="Arial" w:hAnsi="Arial" w:cs="Arial"/>
          <w:color w:val="000000"/>
          <w:sz w:val="20"/>
        </w:rPr>
        <w:t xml:space="preserve"> [2022] VSC 344 where hearsay evidence was allowed of representation made 15 years after the occurrence of the asserted fact.</w:t>
      </w:r>
    </w:p>
    <w:p w14:paraId="4598158F" w14:textId="77777777" w:rsidR="00A70F14" w:rsidRDefault="00A70F14" w:rsidP="00241128">
      <w:pPr>
        <w:jc w:val="both"/>
        <w:rPr>
          <w:rFonts w:ascii="Arial" w:hAnsi="Arial" w:cs="Arial"/>
          <w:color w:val="000000"/>
          <w:sz w:val="20"/>
        </w:rPr>
      </w:pPr>
    </w:p>
    <w:p w14:paraId="340D2998" w14:textId="02EA3A9E"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5218EC59" w:rsidR="0019386A" w:rsidRDefault="0019386A" w:rsidP="0019386A">
      <w:pPr>
        <w:jc w:val="both"/>
        <w:rPr>
          <w:rFonts w:ascii="Arial" w:hAnsi="Arial" w:cs="Arial"/>
          <w:sz w:val="20"/>
        </w:rPr>
      </w:pPr>
    </w:p>
    <w:p w14:paraId="6C371621" w14:textId="79F0B44C" w:rsidR="00F5305E" w:rsidRDefault="00F5305E" w:rsidP="0019386A">
      <w:pPr>
        <w:jc w:val="both"/>
        <w:rPr>
          <w:rFonts w:ascii="Arial" w:hAnsi="Arial" w:cs="Arial"/>
          <w:sz w:val="20"/>
        </w:rPr>
      </w:pPr>
      <w:r>
        <w:rPr>
          <w:rFonts w:ascii="Arial" w:hAnsi="Arial" w:cs="Arial"/>
          <w:sz w:val="20"/>
        </w:rPr>
        <w:t xml:space="preserve">For an extensive judicial discussion of ss.91 &amp; 92 see </w:t>
      </w:r>
      <w:r w:rsidRPr="00F5305E">
        <w:rPr>
          <w:rFonts w:ascii="Arial" w:hAnsi="Arial" w:cs="Arial"/>
          <w:i/>
          <w:iCs/>
          <w:sz w:val="20"/>
        </w:rPr>
        <w:t>Osborne v Butler (a ps</w:t>
      </w:r>
      <w:r w:rsidR="00CA4B60">
        <w:rPr>
          <w:rFonts w:ascii="Arial" w:hAnsi="Arial" w:cs="Arial"/>
          <w:i/>
          <w:iCs/>
          <w:sz w:val="20"/>
        </w:rPr>
        <w:t>eu</w:t>
      </w:r>
      <w:r w:rsidRPr="00F5305E">
        <w:rPr>
          <w:rFonts w:ascii="Arial" w:hAnsi="Arial" w:cs="Arial"/>
          <w:i/>
          <w:iCs/>
          <w:sz w:val="20"/>
        </w:rPr>
        <w:t>donym)</w:t>
      </w:r>
      <w:r>
        <w:rPr>
          <w:rFonts w:ascii="Arial" w:hAnsi="Arial" w:cs="Arial"/>
          <w:sz w:val="20"/>
        </w:rPr>
        <w:t xml:space="preserve"> [2024] VSCA 6 at [19]-[37] &amp; [61]-[62]</w:t>
      </w:r>
      <w:r w:rsidR="00CA4B60">
        <w:rPr>
          <w:rFonts w:ascii="Arial" w:hAnsi="Arial" w:cs="Arial"/>
          <w:sz w:val="20"/>
        </w:rPr>
        <w:t xml:space="preserve">; see also </w:t>
      </w:r>
      <w:r w:rsidR="00CA4B60" w:rsidRPr="00CA4B60">
        <w:rPr>
          <w:rFonts w:ascii="Arial" w:hAnsi="Arial" w:cs="Arial"/>
          <w:i/>
          <w:iCs/>
          <w:sz w:val="20"/>
          <w:szCs w:val="20"/>
        </w:rPr>
        <w:t>Commissioner of the Australian Federal Police v Kannan (Evidence Ruling)</w:t>
      </w:r>
      <w:r w:rsidR="00CA4B60">
        <w:rPr>
          <w:rFonts w:ascii="Arial" w:hAnsi="Arial" w:cs="Arial"/>
          <w:i/>
          <w:iCs/>
          <w:sz w:val="20"/>
          <w:szCs w:val="20"/>
        </w:rPr>
        <w:t xml:space="preserve"> </w:t>
      </w:r>
      <w:r w:rsidR="00CA4B60" w:rsidRPr="00CA4B60">
        <w:rPr>
          <w:rFonts w:ascii="Arial" w:hAnsi="Arial" w:cs="Arial"/>
          <w:sz w:val="20"/>
          <w:szCs w:val="20"/>
        </w:rPr>
        <w:t>[2024] VSC 35 at [45]-[54].</w:t>
      </w:r>
    </w:p>
    <w:p w14:paraId="2548AD77" w14:textId="12C48C12" w:rsidR="00F5305E" w:rsidRDefault="00F5305E" w:rsidP="0019386A">
      <w:pPr>
        <w:jc w:val="both"/>
        <w:rPr>
          <w:rFonts w:ascii="Arial" w:hAnsi="Arial" w:cs="Arial"/>
          <w:sz w:val="20"/>
        </w:rPr>
      </w:pPr>
    </w:p>
    <w:p w14:paraId="157ADE9A" w14:textId="49BD1494" w:rsidR="000F2CE5" w:rsidRPr="009F25D4" w:rsidRDefault="000F2CE5" w:rsidP="000F2CE5">
      <w:pPr>
        <w:pStyle w:val="Heading3"/>
        <w:keepNext/>
        <w:spacing w:line="240" w:lineRule="auto"/>
        <w:rPr>
          <w:rFonts w:ascii="Arial" w:hAnsi="Arial" w:cs="Arial"/>
          <w:b/>
          <w:bCs/>
          <w:color w:val="000000"/>
          <w:sz w:val="20"/>
        </w:rPr>
      </w:pPr>
      <w:bookmarkStart w:id="575" w:name="_3.5.3.5_Expert_evidence"/>
      <w:bookmarkEnd w:id="575"/>
      <w:r w:rsidRPr="008C3BC8">
        <w:rPr>
          <w:rFonts w:ascii="Arial" w:hAnsi="Arial" w:cs="Arial"/>
          <w:b/>
          <w:bCs/>
          <w:color w:val="000000"/>
          <w:sz w:val="20"/>
        </w:rPr>
        <w:t>3.5.</w:t>
      </w:r>
      <w:r>
        <w:rPr>
          <w:rFonts w:ascii="Arial" w:hAnsi="Arial" w:cs="Arial"/>
          <w:b/>
          <w:bCs/>
          <w:color w:val="000000"/>
          <w:sz w:val="20"/>
        </w:rPr>
        <w:t>3.5</w:t>
      </w:r>
      <w:r>
        <w:rPr>
          <w:rFonts w:ascii="Arial" w:hAnsi="Arial" w:cs="Arial"/>
          <w:b/>
          <w:bCs/>
          <w:color w:val="000000"/>
          <w:sz w:val="20"/>
        </w:rPr>
        <w:tab/>
      </w:r>
      <w:r w:rsidR="00E02733">
        <w:rPr>
          <w:rFonts w:ascii="Arial" w:hAnsi="Arial" w:cs="Arial"/>
          <w:b/>
          <w:bCs/>
          <w:color w:val="000000"/>
          <w:sz w:val="20"/>
        </w:rPr>
        <w:t>E</w:t>
      </w:r>
      <w:r>
        <w:rPr>
          <w:rFonts w:ascii="Arial" w:hAnsi="Arial" w:cs="Arial"/>
          <w:b/>
          <w:color w:val="000000"/>
          <w:sz w:val="20"/>
        </w:rPr>
        <w:t>xpert evidence</w:t>
      </w:r>
    </w:p>
    <w:p w14:paraId="06B64D8D" w14:textId="3C04899B" w:rsidR="009C5B94" w:rsidRPr="00BE2ABB" w:rsidRDefault="009C5B94" w:rsidP="000107B6">
      <w:pPr>
        <w:spacing w:before="120"/>
        <w:jc w:val="both"/>
        <w:rPr>
          <w:rFonts w:ascii="Arial" w:hAnsi="Arial" w:cs="Arial"/>
          <w:bCs/>
          <w:color w:val="000000"/>
          <w:sz w:val="20"/>
        </w:rPr>
      </w:pPr>
      <w:r>
        <w:rPr>
          <w:rFonts w:ascii="Arial" w:hAnsi="Arial" w:cs="Arial"/>
          <w:bCs/>
          <w:sz w:val="20"/>
        </w:rPr>
        <w:t xml:space="preserve">From early times courts have been accustomed to act on the opinions of experts.  The topic is dealt with in great detail in "Expert Evidence", a 5 volume loose-leaf service by Ian </w:t>
      </w:r>
      <w:proofErr w:type="spellStart"/>
      <w:r>
        <w:rPr>
          <w:rFonts w:ascii="Arial" w:hAnsi="Arial" w:cs="Arial"/>
          <w:bCs/>
          <w:sz w:val="20"/>
        </w:rPr>
        <w:t>Freckleton</w:t>
      </w:r>
      <w:proofErr w:type="spellEnd"/>
      <w:r>
        <w:rPr>
          <w:rFonts w:ascii="Arial" w:hAnsi="Arial" w:cs="Arial"/>
          <w:bCs/>
          <w:sz w:val="20"/>
        </w:rPr>
        <w:t xml:space="preserve"> &amp; Hugh Selby.  The relevant principles are discussed and applied in the </w:t>
      </w:r>
      <w:r w:rsidR="00585686">
        <w:rPr>
          <w:rFonts w:ascii="Arial" w:hAnsi="Arial" w:cs="Arial"/>
          <w:sz w:val="20"/>
        </w:rPr>
        <w:t>judgment</w:t>
      </w:r>
      <w:r>
        <w:rPr>
          <w:rFonts w:ascii="Arial" w:hAnsi="Arial" w:cs="Arial"/>
          <w:sz w:val="20"/>
        </w:rPr>
        <w:t>s</w:t>
      </w:r>
      <w:r w:rsidR="00585686">
        <w:rPr>
          <w:rFonts w:ascii="Arial" w:hAnsi="Arial" w:cs="Arial"/>
          <w:sz w:val="20"/>
        </w:rPr>
        <w:t xml:space="preserve"> of the </w:t>
      </w:r>
      <w:r w:rsidR="00585686" w:rsidRPr="00585686">
        <w:rPr>
          <w:rFonts w:ascii="Arial" w:hAnsi="Arial" w:cs="Arial"/>
          <w:sz w:val="20"/>
          <w:szCs w:val="20"/>
        </w:rPr>
        <w:t xml:space="preserve">High Court in </w:t>
      </w:r>
      <w:r w:rsidR="00585686" w:rsidRPr="00585686">
        <w:rPr>
          <w:rFonts w:ascii="Arial" w:hAnsi="Arial" w:cs="Arial"/>
          <w:i/>
          <w:iCs/>
          <w:sz w:val="20"/>
          <w:szCs w:val="20"/>
        </w:rPr>
        <w:t>Lang v The Queen</w:t>
      </w:r>
      <w:r w:rsidR="00585686" w:rsidRPr="00585686">
        <w:rPr>
          <w:rFonts w:ascii="Arial" w:hAnsi="Arial" w:cs="Arial"/>
          <w:sz w:val="20"/>
          <w:szCs w:val="20"/>
        </w:rPr>
        <w:t xml:space="preserve"> [2023] HCA 29</w:t>
      </w:r>
      <w:r>
        <w:rPr>
          <w:rFonts w:ascii="Arial" w:hAnsi="Arial" w:cs="Arial"/>
          <w:sz w:val="20"/>
          <w:szCs w:val="20"/>
        </w:rPr>
        <w:t xml:space="preserve"> and </w:t>
      </w:r>
      <w:r w:rsidR="000107B6" w:rsidRPr="00495449">
        <w:rPr>
          <w:rFonts w:ascii="Arial" w:hAnsi="Arial" w:cs="Arial"/>
          <w:bCs/>
          <w:i/>
          <w:sz w:val="20"/>
        </w:rPr>
        <w:t>HG v R</w:t>
      </w:r>
      <w:r w:rsidR="000107B6">
        <w:rPr>
          <w:rFonts w:ascii="Arial" w:hAnsi="Arial" w:cs="Arial"/>
          <w:bCs/>
          <w:sz w:val="20"/>
        </w:rPr>
        <w:t xml:space="preserve"> (1999) 197 CLR 414 at [39] &amp; [44] per Gleeson CJ.  See also </w:t>
      </w:r>
      <w:r w:rsidRPr="00495449">
        <w:rPr>
          <w:rFonts w:ascii="Arial" w:hAnsi="Arial" w:cs="Arial"/>
          <w:bCs/>
          <w:i/>
          <w:sz w:val="20"/>
        </w:rPr>
        <w:t xml:space="preserve">Makita Australia Pty Ltd v </w:t>
      </w:r>
      <w:proofErr w:type="spellStart"/>
      <w:r w:rsidRPr="00495449">
        <w:rPr>
          <w:rFonts w:ascii="Arial" w:hAnsi="Arial" w:cs="Arial"/>
          <w:bCs/>
          <w:i/>
          <w:sz w:val="20"/>
        </w:rPr>
        <w:t>Sprowles</w:t>
      </w:r>
      <w:proofErr w:type="spellEnd"/>
      <w:r>
        <w:rPr>
          <w:rFonts w:ascii="Arial" w:hAnsi="Arial" w:cs="Arial"/>
          <w:bCs/>
          <w:sz w:val="20"/>
        </w:rPr>
        <w:t xml:space="preserve"> (2001) 52 NSWLR 705 at [85] per </w:t>
      </w:r>
      <w:proofErr w:type="spellStart"/>
      <w:r>
        <w:rPr>
          <w:rFonts w:ascii="Arial" w:hAnsi="Arial" w:cs="Arial"/>
          <w:bCs/>
          <w:sz w:val="20"/>
        </w:rPr>
        <w:t>Heydon</w:t>
      </w:r>
      <w:proofErr w:type="spellEnd"/>
      <w:r>
        <w:rPr>
          <w:rFonts w:ascii="Arial" w:hAnsi="Arial" w:cs="Arial"/>
          <w:bCs/>
          <w:sz w:val="20"/>
        </w:rPr>
        <w:t xml:space="preserve"> JA; </w:t>
      </w:r>
      <w:r w:rsidRPr="00495449">
        <w:rPr>
          <w:rFonts w:ascii="Arial" w:hAnsi="Arial" w:cs="Arial"/>
          <w:bCs/>
          <w:i/>
          <w:sz w:val="20"/>
        </w:rPr>
        <w:t xml:space="preserve">Ocean Marine Mutual v </w:t>
      </w:r>
      <w:proofErr w:type="spellStart"/>
      <w:r w:rsidRPr="00495449">
        <w:rPr>
          <w:rFonts w:ascii="Arial" w:hAnsi="Arial" w:cs="Arial"/>
          <w:bCs/>
          <w:i/>
          <w:sz w:val="20"/>
        </w:rPr>
        <w:t>Jetopay</w:t>
      </w:r>
      <w:proofErr w:type="spellEnd"/>
      <w:r w:rsidRPr="00495449">
        <w:rPr>
          <w:rFonts w:ascii="Arial" w:hAnsi="Arial" w:cs="Arial"/>
          <w:bCs/>
          <w:i/>
          <w:sz w:val="20"/>
        </w:rPr>
        <w:t xml:space="preserve"> </w:t>
      </w:r>
      <w:r>
        <w:rPr>
          <w:rFonts w:ascii="Arial" w:hAnsi="Arial" w:cs="Arial"/>
          <w:bCs/>
          <w:sz w:val="20"/>
        </w:rPr>
        <w:t xml:space="preserve">(2000) 120 FCR 146 at [21]-[23] per Black CJ, Cooper &amp; Emmett JJ; </w:t>
      </w:r>
      <w:r w:rsidRPr="00495449">
        <w:rPr>
          <w:rFonts w:ascii="Arial" w:hAnsi="Arial" w:cs="Arial"/>
          <w:bCs/>
          <w:i/>
          <w:sz w:val="20"/>
        </w:rPr>
        <w:t>Ronchi v Alcoa</w:t>
      </w:r>
      <w:r>
        <w:rPr>
          <w:rFonts w:ascii="Arial" w:hAnsi="Arial" w:cs="Arial"/>
          <w:bCs/>
          <w:sz w:val="20"/>
        </w:rPr>
        <w:t xml:space="preserve"> [2008] VSCA 83 at [54] per Eames JA; </w:t>
      </w:r>
      <w:r w:rsidRPr="008A1184">
        <w:rPr>
          <w:rFonts w:ascii="Arial" w:hAnsi="Arial" w:cs="Arial"/>
          <w:bCs/>
          <w:i/>
          <w:sz w:val="20"/>
        </w:rPr>
        <w:t xml:space="preserve">Mackie &amp; Staff Pty Ltd v </w:t>
      </w:r>
      <w:proofErr w:type="spellStart"/>
      <w:r w:rsidRPr="008A1184">
        <w:rPr>
          <w:rFonts w:ascii="Arial" w:hAnsi="Arial" w:cs="Arial"/>
          <w:bCs/>
          <w:i/>
          <w:sz w:val="20"/>
        </w:rPr>
        <w:t>Glengollan</w:t>
      </w:r>
      <w:proofErr w:type="spellEnd"/>
      <w:r w:rsidRPr="008A1184">
        <w:rPr>
          <w:rFonts w:ascii="Arial" w:hAnsi="Arial" w:cs="Arial"/>
          <w:bCs/>
          <w:i/>
          <w:sz w:val="20"/>
        </w:rPr>
        <w:t xml:space="preserve"> Village for Aged People</w:t>
      </w:r>
      <w:r>
        <w:rPr>
          <w:rFonts w:ascii="Arial" w:hAnsi="Arial" w:cs="Arial"/>
          <w:bCs/>
          <w:sz w:val="20"/>
        </w:rPr>
        <w:t xml:space="preserve"> [2007] VSC 201 at [11]-[14] &amp; [30] per </w:t>
      </w:r>
      <w:proofErr w:type="spellStart"/>
      <w:r>
        <w:rPr>
          <w:rFonts w:ascii="Arial" w:hAnsi="Arial" w:cs="Arial"/>
          <w:bCs/>
          <w:sz w:val="20"/>
        </w:rPr>
        <w:t>Habersberger</w:t>
      </w:r>
      <w:proofErr w:type="spellEnd"/>
      <w:r>
        <w:rPr>
          <w:rFonts w:ascii="Arial" w:hAnsi="Arial" w:cs="Arial"/>
          <w:bCs/>
          <w:sz w:val="20"/>
        </w:rPr>
        <w:t xml:space="preserve"> J; </w:t>
      </w:r>
      <w:r w:rsidRPr="000547DB">
        <w:rPr>
          <w:rFonts w:ascii="Arial" w:hAnsi="Arial" w:cs="Arial"/>
          <w:bCs/>
          <w:i/>
          <w:sz w:val="20"/>
        </w:rPr>
        <w:t xml:space="preserve">R v Dong Song Choi &amp; </w:t>
      </w:r>
      <w:proofErr w:type="spellStart"/>
      <w:r w:rsidRPr="000547DB">
        <w:rPr>
          <w:rFonts w:ascii="Arial" w:hAnsi="Arial" w:cs="Arial"/>
          <w:bCs/>
          <w:i/>
          <w:sz w:val="20"/>
        </w:rPr>
        <w:t>Ors</w:t>
      </w:r>
      <w:proofErr w:type="spellEnd"/>
      <w:r>
        <w:rPr>
          <w:rFonts w:ascii="Arial" w:hAnsi="Arial" w:cs="Arial"/>
          <w:bCs/>
          <w:sz w:val="20"/>
        </w:rPr>
        <w:t xml:space="preserve"> [aka </w:t>
      </w:r>
      <w:r w:rsidRPr="000547DB">
        <w:rPr>
          <w:rFonts w:ascii="Arial" w:hAnsi="Arial" w:cs="Arial"/>
          <w:bCs/>
          <w:i/>
          <w:sz w:val="20"/>
        </w:rPr>
        <w:t xml:space="preserve">In the Matter of </w:t>
      </w:r>
      <w:r w:rsidRPr="00BE2ABB">
        <w:rPr>
          <w:rFonts w:ascii="Arial" w:hAnsi="Arial" w:cs="Arial"/>
          <w:bCs/>
          <w:i/>
          <w:color w:val="000000"/>
          <w:sz w:val="20"/>
        </w:rPr>
        <w:t>the Pong Su (Ruling No. 19)</w:t>
      </w:r>
      <w:r w:rsidRPr="00BE2ABB">
        <w:rPr>
          <w:rFonts w:ascii="Arial" w:hAnsi="Arial" w:cs="Arial"/>
          <w:bCs/>
          <w:color w:val="000000"/>
          <w:sz w:val="20"/>
        </w:rPr>
        <w:t xml:space="preserve">] [2005] VSC 66 at [29]-[30] per Kellam J; </w:t>
      </w:r>
      <w:r w:rsidRPr="00BE2ABB">
        <w:rPr>
          <w:rFonts w:ascii="Arial" w:hAnsi="Arial" w:cs="Arial"/>
          <w:bCs/>
          <w:i/>
          <w:color w:val="000000"/>
          <w:sz w:val="20"/>
        </w:rPr>
        <w:t>R v Cox (Ruling No.1)</w:t>
      </w:r>
      <w:r w:rsidRPr="00BE2ABB">
        <w:rPr>
          <w:rFonts w:ascii="Arial" w:hAnsi="Arial" w:cs="Arial"/>
          <w:bCs/>
          <w:color w:val="000000"/>
          <w:sz w:val="20"/>
        </w:rPr>
        <w:t xml:space="preserve"> [2005] VSC 157 at [11] &amp; </w:t>
      </w:r>
      <w:r w:rsidRPr="00BE2ABB">
        <w:rPr>
          <w:rFonts w:ascii="Arial" w:hAnsi="Arial" w:cs="Arial"/>
          <w:bCs/>
          <w:i/>
          <w:color w:val="000000"/>
          <w:sz w:val="20"/>
        </w:rPr>
        <w:t>(Ruling No.2)</w:t>
      </w:r>
      <w:r w:rsidRPr="00BE2ABB">
        <w:rPr>
          <w:rFonts w:ascii="Arial" w:hAnsi="Arial" w:cs="Arial"/>
          <w:bCs/>
          <w:color w:val="000000"/>
          <w:sz w:val="20"/>
        </w:rPr>
        <w:t xml:space="preserve"> [2005] VSC 224 per Kaye J; </w:t>
      </w:r>
      <w:r w:rsidRPr="00BE2ABB">
        <w:rPr>
          <w:rFonts w:ascii="Arial" w:hAnsi="Arial" w:cs="Arial"/>
          <w:bCs/>
          <w:i/>
          <w:color w:val="000000"/>
          <w:sz w:val="20"/>
        </w:rPr>
        <w:t>R v Rich (Ruling No.10)</w:t>
      </w:r>
      <w:r w:rsidRPr="00BE2ABB">
        <w:rPr>
          <w:rFonts w:ascii="Arial" w:hAnsi="Arial" w:cs="Arial"/>
          <w:bCs/>
          <w:color w:val="000000"/>
          <w:sz w:val="20"/>
        </w:rPr>
        <w:t xml:space="preserve"> [2009] VSC 10 at [26]-[34] per </w:t>
      </w:r>
      <w:proofErr w:type="spellStart"/>
      <w:r w:rsidRPr="00BE2ABB">
        <w:rPr>
          <w:rFonts w:ascii="Arial" w:hAnsi="Arial" w:cs="Arial"/>
          <w:bCs/>
          <w:color w:val="000000"/>
          <w:sz w:val="20"/>
        </w:rPr>
        <w:t>Lasry</w:t>
      </w:r>
      <w:proofErr w:type="spellEnd"/>
      <w:r w:rsidRPr="00BE2ABB">
        <w:rPr>
          <w:rFonts w:ascii="Arial" w:hAnsi="Arial" w:cs="Arial"/>
          <w:bCs/>
          <w:color w:val="000000"/>
          <w:sz w:val="20"/>
        </w:rPr>
        <w:t xml:space="preserve"> J; </w:t>
      </w:r>
      <w:r w:rsidRPr="00BE2ABB">
        <w:rPr>
          <w:rFonts w:ascii="Arial" w:hAnsi="Arial" w:cs="Arial"/>
          <w:bCs/>
          <w:i/>
          <w:color w:val="000000"/>
          <w:sz w:val="20"/>
        </w:rPr>
        <w:t>MA v The Queen</w:t>
      </w:r>
      <w:r w:rsidRPr="00BE2ABB">
        <w:rPr>
          <w:rFonts w:ascii="Arial" w:hAnsi="Arial" w:cs="Arial"/>
          <w:bCs/>
          <w:color w:val="000000"/>
          <w:sz w:val="20"/>
        </w:rPr>
        <w:t xml:space="preserve"> [2013] VSCA 20 at [57]-[77] per Osborn JA &amp; [89]-[100] per Redlich &amp; Whelan JJA.</w:t>
      </w:r>
    </w:p>
    <w:p w14:paraId="333C2391" w14:textId="2075876C" w:rsidR="009C5B94" w:rsidRDefault="009C5B94" w:rsidP="000107B6">
      <w:pPr>
        <w:jc w:val="both"/>
        <w:rPr>
          <w:rFonts w:ascii="Arial" w:hAnsi="Arial" w:cs="Arial"/>
          <w:sz w:val="20"/>
          <w:szCs w:val="20"/>
        </w:rPr>
      </w:pPr>
    </w:p>
    <w:p w14:paraId="57D909E2" w14:textId="3C5D002A" w:rsidR="000107B6" w:rsidRDefault="000107B6" w:rsidP="000107B6">
      <w:pPr>
        <w:pBdr>
          <w:top w:val="thinThickThinSmallGap" w:sz="24" w:space="1" w:color="auto"/>
        </w:pBdr>
        <w:jc w:val="both"/>
        <w:rPr>
          <w:rFonts w:ascii="Arial" w:hAnsi="Arial" w:cs="Arial"/>
          <w:sz w:val="20"/>
          <w:szCs w:val="20"/>
        </w:rPr>
      </w:pPr>
    </w:p>
    <w:p w14:paraId="5BC469BE" w14:textId="329D52CF" w:rsidR="00585686" w:rsidRPr="00585686" w:rsidRDefault="000107B6" w:rsidP="000107B6">
      <w:pPr>
        <w:jc w:val="both"/>
        <w:rPr>
          <w:rFonts w:ascii="Arial" w:hAnsi="Arial" w:cs="Arial"/>
          <w:sz w:val="20"/>
          <w:szCs w:val="20"/>
        </w:rPr>
      </w:pPr>
      <w:r>
        <w:rPr>
          <w:rFonts w:ascii="Arial" w:hAnsi="Arial" w:cs="Arial"/>
          <w:sz w:val="20"/>
          <w:szCs w:val="20"/>
        </w:rPr>
        <w:t xml:space="preserve">The judgments in </w:t>
      </w:r>
      <w:r w:rsidRPr="000107B6">
        <w:rPr>
          <w:rFonts w:ascii="Arial" w:hAnsi="Arial" w:cs="Arial"/>
          <w:i/>
          <w:iCs/>
          <w:sz w:val="20"/>
          <w:szCs w:val="20"/>
        </w:rPr>
        <w:t>Lang v The Queen</w:t>
      </w:r>
      <w:r>
        <w:rPr>
          <w:rFonts w:ascii="Arial" w:hAnsi="Arial" w:cs="Arial"/>
          <w:sz w:val="20"/>
          <w:szCs w:val="20"/>
        </w:rPr>
        <w:t xml:space="preserve"> [2023] HCA 29 </w:t>
      </w:r>
      <w:r w:rsidR="00585686" w:rsidRPr="00585686">
        <w:rPr>
          <w:rFonts w:ascii="Arial" w:hAnsi="Arial" w:cs="Arial"/>
          <w:sz w:val="20"/>
          <w:szCs w:val="20"/>
        </w:rPr>
        <w:t>contain a very detailed analysis of expert evidence</w:t>
      </w:r>
      <w:r w:rsidR="00585686">
        <w:rPr>
          <w:rFonts w:ascii="Arial" w:hAnsi="Arial" w:cs="Arial"/>
          <w:sz w:val="20"/>
          <w:szCs w:val="20"/>
        </w:rPr>
        <w:t xml:space="preserve">, its admissibility generally and its admissibility in the circumstances of this </w:t>
      </w:r>
      <w:r w:rsidR="003A6B6B">
        <w:rPr>
          <w:rFonts w:ascii="Arial" w:hAnsi="Arial" w:cs="Arial"/>
          <w:sz w:val="20"/>
          <w:szCs w:val="20"/>
        </w:rPr>
        <w:t xml:space="preserve">quite unusual </w:t>
      </w:r>
      <w:r w:rsidR="00585686">
        <w:rPr>
          <w:rFonts w:ascii="Arial" w:hAnsi="Arial" w:cs="Arial"/>
          <w:sz w:val="20"/>
          <w:szCs w:val="20"/>
        </w:rPr>
        <w:t xml:space="preserve">case.  </w:t>
      </w:r>
      <w:r w:rsidR="00585686" w:rsidRPr="00585686">
        <w:rPr>
          <w:rFonts w:ascii="Arial" w:hAnsi="Arial" w:cs="Arial"/>
          <w:sz w:val="20"/>
          <w:szCs w:val="20"/>
        </w:rPr>
        <w:t>The appellant is a former medical practitioner.</w:t>
      </w:r>
      <w:r w:rsidR="00585686">
        <w:rPr>
          <w:rFonts w:ascii="Arial" w:hAnsi="Arial" w:cs="Arial"/>
          <w:sz w:val="20"/>
          <w:szCs w:val="20"/>
        </w:rPr>
        <w:t xml:space="preserve"> </w:t>
      </w:r>
      <w:r w:rsidR="00585686" w:rsidRPr="00585686">
        <w:rPr>
          <w:rFonts w:ascii="Arial" w:hAnsi="Arial" w:cs="Arial"/>
          <w:sz w:val="20"/>
          <w:szCs w:val="20"/>
        </w:rPr>
        <w:t xml:space="preserve"> The victim was his 68 year old girl</w:t>
      </w:r>
      <w:r w:rsidR="00585686">
        <w:rPr>
          <w:rFonts w:ascii="Arial" w:hAnsi="Arial" w:cs="Arial"/>
          <w:sz w:val="20"/>
          <w:szCs w:val="20"/>
        </w:rPr>
        <w:noBreakHyphen/>
      </w:r>
      <w:r w:rsidR="00585686" w:rsidRPr="00585686">
        <w:rPr>
          <w:rFonts w:ascii="Arial" w:hAnsi="Arial" w:cs="Arial"/>
          <w:sz w:val="20"/>
          <w:szCs w:val="20"/>
        </w:rPr>
        <w:t>friend. The cause of the victim’s death in her bed in her apartment in the early hours of the morning was blood loss from a stab wound to her abdomen from a knife.</w:t>
      </w:r>
      <w:r w:rsidR="00585686">
        <w:rPr>
          <w:rFonts w:ascii="Arial" w:hAnsi="Arial" w:cs="Arial"/>
          <w:sz w:val="20"/>
          <w:szCs w:val="20"/>
        </w:rPr>
        <w:t xml:space="preserve"> </w:t>
      </w:r>
      <w:r w:rsidR="00585686" w:rsidRPr="00585686">
        <w:rPr>
          <w:rFonts w:ascii="Arial" w:hAnsi="Arial" w:cs="Arial"/>
          <w:sz w:val="20"/>
          <w:szCs w:val="20"/>
        </w:rPr>
        <w:t xml:space="preserve"> The appellant and the victim were the only two people who were in the victim’s apartment at the time of her death.</w:t>
      </w:r>
      <w:r w:rsidR="00585686">
        <w:rPr>
          <w:rFonts w:ascii="Arial" w:hAnsi="Arial" w:cs="Arial"/>
          <w:sz w:val="20"/>
          <w:szCs w:val="20"/>
        </w:rPr>
        <w:t xml:space="preserve"> </w:t>
      </w:r>
      <w:r w:rsidR="00585686" w:rsidRPr="00585686">
        <w:rPr>
          <w:rFonts w:ascii="Arial" w:hAnsi="Arial" w:cs="Arial"/>
          <w:sz w:val="20"/>
          <w:szCs w:val="20"/>
        </w:rPr>
        <w:t xml:space="preserve"> The appellant accepted at trial and before the High Court that there were only two possibilities: either the victim committed suicide or she was murdered by the appellant. </w:t>
      </w:r>
      <w:r w:rsidR="00585686">
        <w:rPr>
          <w:rFonts w:ascii="Arial" w:hAnsi="Arial" w:cs="Arial"/>
          <w:sz w:val="20"/>
          <w:szCs w:val="20"/>
        </w:rPr>
        <w:t xml:space="preserve"> </w:t>
      </w:r>
      <w:r w:rsidR="00585686" w:rsidRPr="00585686">
        <w:rPr>
          <w:rFonts w:ascii="Arial" w:hAnsi="Arial" w:cs="Arial"/>
          <w:sz w:val="20"/>
          <w:szCs w:val="20"/>
        </w:rPr>
        <w:t xml:space="preserve">The appellant had been convicted </w:t>
      </w:r>
      <w:r w:rsidR="00665F5B">
        <w:rPr>
          <w:rFonts w:ascii="Arial" w:hAnsi="Arial" w:cs="Arial"/>
          <w:sz w:val="20"/>
          <w:szCs w:val="20"/>
        </w:rPr>
        <w:t>in</w:t>
      </w:r>
      <w:r w:rsidR="00585686" w:rsidRPr="00585686">
        <w:rPr>
          <w:rFonts w:ascii="Arial" w:hAnsi="Arial" w:cs="Arial"/>
          <w:sz w:val="20"/>
          <w:szCs w:val="20"/>
        </w:rPr>
        <w:t xml:space="preserve"> a </w:t>
      </w:r>
      <w:r w:rsidR="00665F5B">
        <w:rPr>
          <w:rFonts w:ascii="Arial" w:hAnsi="Arial" w:cs="Arial"/>
          <w:sz w:val="20"/>
          <w:szCs w:val="20"/>
        </w:rPr>
        <w:t xml:space="preserve">first </w:t>
      </w:r>
      <w:r w:rsidR="00585686" w:rsidRPr="00585686">
        <w:rPr>
          <w:rFonts w:ascii="Arial" w:hAnsi="Arial" w:cs="Arial"/>
          <w:sz w:val="20"/>
          <w:szCs w:val="20"/>
        </w:rPr>
        <w:t>trial before a judge and jury in which prejudicial evidence was admitted concerning the suicide rates of Australian women. The erroneous admission of that evidence led to that conviction being quashed on appeal.</w:t>
      </w:r>
    </w:p>
    <w:p w14:paraId="03A1CDBC" w14:textId="5441EC1F" w:rsidR="00585686" w:rsidRPr="00585686" w:rsidRDefault="00585686" w:rsidP="00AF0E6C">
      <w:pPr>
        <w:spacing w:before="120"/>
        <w:jc w:val="both"/>
        <w:rPr>
          <w:rFonts w:ascii="Arial" w:hAnsi="Arial" w:cs="Arial"/>
          <w:sz w:val="20"/>
          <w:szCs w:val="20"/>
        </w:rPr>
      </w:pPr>
      <w:r w:rsidRPr="00585686">
        <w:rPr>
          <w:rFonts w:ascii="Arial" w:hAnsi="Arial" w:cs="Arial"/>
          <w:sz w:val="20"/>
          <w:szCs w:val="20"/>
        </w:rPr>
        <w:t>The appellant was then retried before a judge and jury.</w:t>
      </w:r>
      <w:r>
        <w:rPr>
          <w:rFonts w:ascii="Arial" w:hAnsi="Arial" w:cs="Arial"/>
          <w:sz w:val="20"/>
          <w:szCs w:val="20"/>
        </w:rPr>
        <w:t xml:space="preserve"> </w:t>
      </w:r>
      <w:r w:rsidRPr="00585686">
        <w:rPr>
          <w:rFonts w:ascii="Arial" w:hAnsi="Arial" w:cs="Arial"/>
          <w:sz w:val="20"/>
          <w:szCs w:val="20"/>
        </w:rPr>
        <w:t xml:space="preserve"> He was convicted again and sentenced to life imprisonment. He appealed against that conviction on two grounds:</w:t>
      </w:r>
    </w:p>
    <w:p w14:paraId="715E4DAE" w14:textId="7288CBFE" w:rsidR="00585686" w:rsidRPr="00585686" w:rsidRDefault="00585686" w:rsidP="00AF0E6C">
      <w:pPr>
        <w:ind w:left="454" w:hanging="454"/>
        <w:jc w:val="both"/>
        <w:rPr>
          <w:rFonts w:ascii="Arial" w:hAnsi="Arial" w:cs="Arial"/>
          <w:sz w:val="20"/>
          <w:szCs w:val="20"/>
        </w:rPr>
      </w:pPr>
      <w:r w:rsidRPr="00585686">
        <w:rPr>
          <w:rFonts w:ascii="Arial" w:hAnsi="Arial" w:cs="Arial"/>
          <w:sz w:val="20"/>
          <w:szCs w:val="20"/>
        </w:rPr>
        <w:t>(1)</w:t>
      </w:r>
      <w:r>
        <w:rPr>
          <w:rFonts w:ascii="Arial" w:hAnsi="Arial" w:cs="Arial"/>
          <w:sz w:val="20"/>
          <w:szCs w:val="20"/>
        </w:rPr>
        <w:tab/>
      </w:r>
      <w:r w:rsidRPr="00585686">
        <w:rPr>
          <w:rFonts w:ascii="Arial" w:hAnsi="Arial" w:cs="Arial"/>
          <w:sz w:val="20"/>
          <w:szCs w:val="20"/>
        </w:rPr>
        <w:t>that the verdict was unreasonable; and</w:t>
      </w:r>
    </w:p>
    <w:p w14:paraId="49D708BE" w14:textId="7BE221A2" w:rsidR="00585686" w:rsidRPr="00585686" w:rsidRDefault="00585686" w:rsidP="00AF0E6C">
      <w:pPr>
        <w:ind w:left="454" w:hanging="454"/>
        <w:jc w:val="both"/>
        <w:rPr>
          <w:rFonts w:ascii="Arial" w:hAnsi="Arial" w:cs="Arial"/>
          <w:sz w:val="20"/>
          <w:szCs w:val="20"/>
        </w:rPr>
      </w:pPr>
      <w:r w:rsidRPr="00585686">
        <w:rPr>
          <w:rFonts w:ascii="Arial" w:hAnsi="Arial" w:cs="Arial"/>
          <w:sz w:val="20"/>
          <w:szCs w:val="20"/>
        </w:rPr>
        <w:lastRenderedPageBreak/>
        <w:t>(2)</w:t>
      </w:r>
      <w:r>
        <w:rPr>
          <w:rFonts w:ascii="Arial" w:hAnsi="Arial" w:cs="Arial"/>
          <w:sz w:val="20"/>
          <w:szCs w:val="20"/>
        </w:rPr>
        <w:tab/>
      </w:r>
      <w:r w:rsidRPr="00585686">
        <w:rPr>
          <w:rFonts w:ascii="Arial" w:hAnsi="Arial" w:cs="Arial"/>
          <w:sz w:val="20"/>
          <w:szCs w:val="20"/>
        </w:rPr>
        <w:t>that an important aspect of the expert evidence given by Dr Ong, a forensic pathologist, expressing his opinion that the victim’s knife injury was more likely to have been inflicted by another person than to have been self-inflicted was inadmissible.</w:t>
      </w:r>
    </w:p>
    <w:p w14:paraId="314841E2" w14:textId="77777777" w:rsidR="006747D4" w:rsidRPr="00585686" w:rsidRDefault="006747D4" w:rsidP="006747D4">
      <w:pPr>
        <w:spacing w:before="120"/>
        <w:jc w:val="both"/>
        <w:rPr>
          <w:rFonts w:ascii="Arial" w:hAnsi="Arial" w:cs="Arial"/>
          <w:sz w:val="20"/>
          <w:szCs w:val="20"/>
        </w:rPr>
      </w:pPr>
      <w:r w:rsidRPr="00585686">
        <w:rPr>
          <w:rFonts w:ascii="Arial" w:hAnsi="Arial" w:cs="Arial"/>
          <w:sz w:val="20"/>
          <w:szCs w:val="20"/>
        </w:rPr>
        <w:t>The Court of Appeal of the Supreme Court of Queensland dismissed the appeal. The appellant, by special leave, appealed to the High Court on the same two grounds.</w:t>
      </w:r>
      <w:r>
        <w:rPr>
          <w:rFonts w:ascii="Arial" w:hAnsi="Arial" w:cs="Arial"/>
          <w:sz w:val="20"/>
          <w:szCs w:val="20"/>
        </w:rPr>
        <w:t xml:space="preserve"> </w:t>
      </w:r>
      <w:r w:rsidRPr="00585686">
        <w:rPr>
          <w:rFonts w:ascii="Arial" w:hAnsi="Arial" w:cs="Arial"/>
          <w:sz w:val="20"/>
          <w:szCs w:val="20"/>
        </w:rPr>
        <w:t xml:space="preserve"> By a majority of 3:2 the High Court dismissed the appeal.</w:t>
      </w:r>
      <w:r>
        <w:rPr>
          <w:rFonts w:ascii="Arial" w:hAnsi="Arial" w:cs="Arial"/>
          <w:sz w:val="20"/>
          <w:szCs w:val="20"/>
        </w:rPr>
        <w:t xml:space="preserve"> </w:t>
      </w:r>
      <w:r w:rsidRPr="00585686">
        <w:rPr>
          <w:rFonts w:ascii="Arial" w:hAnsi="Arial" w:cs="Arial"/>
          <w:sz w:val="20"/>
          <w:szCs w:val="20"/>
        </w:rPr>
        <w:t xml:space="preserve"> The primary majority judgment was that of </w:t>
      </w:r>
      <w:proofErr w:type="spellStart"/>
      <w:r w:rsidRPr="00585686">
        <w:rPr>
          <w:rFonts w:ascii="Arial" w:hAnsi="Arial" w:cs="Arial"/>
          <w:sz w:val="20"/>
          <w:szCs w:val="20"/>
        </w:rPr>
        <w:t>Jagot</w:t>
      </w:r>
      <w:proofErr w:type="spellEnd"/>
      <w:r w:rsidRPr="00585686">
        <w:rPr>
          <w:rFonts w:ascii="Arial" w:hAnsi="Arial" w:cs="Arial"/>
          <w:sz w:val="20"/>
          <w:szCs w:val="20"/>
        </w:rPr>
        <w:t xml:space="preserve"> J.</w:t>
      </w:r>
      <w:r>
        <w:rPr>
          <w:rFonts w:ascii="Arial" w:hAnsi="Arial" w:cs="Arial"/>
          <w:sz w:val="20"/>
          <w:szCs w:val="20"/>
        </w:rPr>
        <w:t xml:space="preserve"> </w:t>
      </w:r>
      <w:r w:rsidRPr="00585686">
        <w:rPr>
          <w:rFonts w:ascii="Arial" w:hAnsi="Arial" w:cs="Arial"/>
          <w:sz w:val="20"/>
          <w:szCs w:val="20"/>
        </w:rPr>
        <w:t xml:space="preserve"> The secondary majority judgment was that of </w:t>
      </w:r>
      <w:proofErr w:type="spellStart"/>
      <w:r w:rsidRPr="00585686">
        <w:rPr>
          <w:rFonts w:ascii="Arial" w:hAnsi="Arial" w:cs="Arial"/>
          <w:sz w:val="20"/>
          <w:szCs w:val="20"/>
        </w:rPr>
        <w:t>Kiefel</w:t>
      </w:r>
      <w:proofErr w:type="spellEnd"/>
      <w:r w:rsidRPr="00585686">
        <w:rPr>
          <w:rFonts w:ascii="Arial" w:hAnsi="Arial" w:cs="Arial"/>
          <w:sz w:val="20"/>
          <w:szCs w:val="20"/>
        </w:rPr>
        <w:t xml:space="preserve"> CJ</w:t>
      </w:r>
      <w:r>
        <w:rPr>
          <w:rFonts w:ascii="Arial" w:hAnsi="Arial" w:cs="Arial"/>
          <w:sz w:val="20"/>
          <w:szCs w:val="20"/>
        </w:rPr>
        <w:t xml:space="preserve"> &amp; </w:t>
      </w:r>
      <w:proofErr w:type="spellStart"/>
      <w:r w:rsidRPr="00585686">
        <w:rPr>
          <w:rFonts w:ascii="Arial" w:hAnsi="Arial" w:cs="Arial"/>
          <w:sz w:val="20"/>
          <w:szCs w:val="20"/>
        </w:rPr>
        <w:t>Gageler</w:t>
      </w:r>
      <w:proofErr w:type="spellEnd"/>
      <w:r w:rsidRPr="00585686">
        <w:rPr>
          <w:rFonts w:ascii="Arial" w:hAnsi="Arial" w:cs="Arial"/>
          <w:sz w:val="20"/>
          <w:szCs w:val="20"/>
        </w:rPr>
        <w:t xml:space="preserve"> J. The dissenting judgment was that of Gordon &amp; Edelman JJ.</w:t>
      </w:r>
    </w:p>
    <w:p w14:paraId="6F3AF36C" w14:textId="491A0555" w:rsidR="0048027E" w:rsidRDefault="006747D4" w:rsidP="0048027E">
      <w:pPr>
        <w:spacing w:before="120"/>
        <w:jc w:val="both"/>
        <w:rPr>
          <w:rFonts w:ascii="Arial" w:hAnsi="Arial" w:cs="Arial"/>
          <w:sz w:val="20"/>
          <w:szCs w:val="20"/>
        </w:rPr>
      </w:pPr>
      <w:r>
        <w:rPr>
          <w:rFonts w:ascii="Arial" w:hAnsi="Arial" w:cs="Arial"/>
          <w:sz w:val="20"/>
          <w:szCs w:val="20"/>
        </w:rPr>
        <w:t xml:space="preserve">In relation to ground (2), </w:t>
      </w:r>
      <w:proofErr w:type="spellStart"/>
      <w:r w:rsidR="0048027E">
        <w:rPr>
          <w:rFonts w:ascii="Arial" w:hAnsi="Arial" w:cs="Arial"/>
          <w:sz w:val="20"/>
          <w:szCs w:val="20"/>
        </w:rPr>
        <w:t>Jagot</w:t>
      </w:r>
      <w:proofErr w:type="spellEnd"/>
      <w:r w:rsidR="0048027E">
        <w:rPr>
          <w:rFonts w:ascii="Arial" w:hAnsi="Arial" w:cs="Arial"/>
          <w:sz w:val="20"/>
          <w:szCs w:val="20"/>
        </w:rPr>
        <w:t xml:space="preserve"> J noted at [422]</w:t>
      </w:r>
      <w:r w:rsidR="007F4A62">
        <w:rPr>
          <w:rFonts w:ascii="Arial" w:hAnsi="Arial" w:cs="Arial"/>
          <w:sz w:val="20"/>
          <w:szCs w:val="20"/>
        </w:rPr>
        <w:t>-[423]:</w:t>
      </w:r>
    </w:p>
    <w:p w14:paraId="1F437B42" w14:textId="75DF7194" w:rsidR="0048027E" w:rsidRDefault="007F4A62" w:rsidP="00722F42">
      <w:pPr>
        <w:spacing w:before="60"/>
        <w:ind w:left="567" w:right="567"/>
        <w:jc w:val="both"/>
        <w:rPr>
          <w:rFonts w:ascii="Arial" w:hAnsi="Arial" w:cs="Arial"/>
          <w:sz w:val="20"/>
          <w:szCs w:val="20"/>
        </w:rPr>
      </w:pPr>
      <w:r>
        <w:rPr>
          <w:rFonts w:ascii="Arial" w:hAnsi="Arial" w:cs="Arial"/>
          <w:sz w:val="20"/>
          <w:szCs w:val="20"/>
        </w:rPr>
        <w:t xml:space="preserve">[422] </w:t>
      </w:r>
      <w:r w:rsidR="0048027E">
        <w:rPr>
          <w:rFonts w:ascii="Arial" w:hAnsi="Arial" w:cs="Arial"/>
          <w:sz w:val="20"/>
          <w:szCs w:val="20"/>
        </w:rPr>
        <w:t>“</w:t>
      </w:r>
      <w:r w:rsidR="00722F42">
        <w:rPr>
          <w:rFonts w:ascii="Arial" w:hAnsi="Arial" w:cs="Arial"/>
          <w:sz w:val="20"/>
          <w:szCs w:val="20"/>
        </w:rPr>
        <w:t>…t</w:t>
      </w:r>
      <w:r w:rsidR="0048027E">
        <w:rPr>
          <w:rFonts w:ascii="Arial" w:hAnsi="Arial" w:cs="Arial"/>
          <w:sz w:val="20"/>
          <w:szCs w:val="20"/>
        </w:rPr>
        <w:t>he appellant accepted that</w:t>
      </w:r>
      <w:r w:rsidR="0048027E" w:rsidRPr="00CF288F">
        <w:rPr>
          <w:rFonts w:ascii="Arial" w:hAnsi="Arial" w:cs="Arial"/>
          <w:sz w:val="20"/>
          <w:szCs w:val="20"/>
        </w:rPr>
        <w:t xml:space="preserve"> the question whether wounds are self-inflicted or not is capable of being the subject of expert evidence, if the evidence is based on the witness's training, study, or experience</w:t>
      </w:r>
      <w:r w:rsidR="00722F42">
        <w:rPr>
          <w:rFonts w:ascii="Arial" w:hAnsi="Arial" w:cs="Arial"/>
          <w:sz w:val="20"/>
          <w:szCs w:val="20"/>
        </w:rPr>
        <w:t xml:space="preserve">: </w:t>
      </w:r>
      <w:proofErr w:type="spellStart"/>
      <w:r w:rsidR="00722F42" w:rsidRPr="00722F42">
        <w:rPr>
          <w:rFonts w:ascii="Arial" w:hAnsi="Arial" w:cs="Arial"/>
          <w:i/>
          <w:iCs/>
          <w:sz w:val="20"/>
          <w:szCs w:val="20"/>
        </w:rPr>
        <w:t>Velevski</w:t>
      </w:r>
      <w:proofErr w:type="spellEnd"/>
      <w:r w:rsidR="00722F42" w:rsidRPr="00722F42">
        <w:rPr>
          <w:rFonts w:ascii="Arial" w:hAnsi="Arial" w:cs="Arial"/>
          <w:i/>
          <w:iCs/>
          <w:sz w:val="20"/>
          <w:szCs w:val="20"/>
        </w:rPr>
        <w:t xml:space="preserve"> v The Queen</w:t>
      </w:r>
      <w:r w:rsidR="00722F42">
        <w:rPr>
          <w:rFonts w:ascii="Arial" w:hAnsi="Arial" w:cs="Arial"/>
          <w:sz w:val="20"/>
          <w:szCs w:val="20"/>
        </w:rPr>
        <w:t xml:space="preserve"> (2002) 76 ALJR 402 at 427 [156]; 187 ALR 233 at 268.  There was no </w:t>
      </w:r>
      <w:r w:rsidR="0048027E">
        <w:rPr>
          <w:rFonts w:ascii="Arial" w:hAnsi="Arial" w:cs="Arial"/>
          <w:sz w:val="20"/>
          <w:szCs w:val="20"/>
        </w:rPr>
        <w:t xml:space="preserve">question that </w:t>
      </w:r>
      <w:r w:rsidR="0048027E" w:rsidRPr="00CF288F">
        <w:rPr>
          <w:rFonts w:ascii="Arial" w:hAnsi="Arial" w:cs="Arial"/>
          <w:sz w:val="20"/>
          <w:szCs w:val="20"/>
        </w:rPr>
        <w:t>Dr Ong was an expert in a recognised field of expertise, forensic pathology, by reason of which he could provide the jury with an expert opinion (if</w:t>
      </w:r>
      <w:r w:rsidR="00722F42">
        <w:rPr>
          <w:rFonts w:ascii="Arial" w:hAnsi="Arial" w:cs="Arial"/>
          <w:sz w:val="20"/>
          <w:szCs w:val="20"/>
        </w:rPr>
        <w:t xml:space="preserve"> </w:t>
      </w:r>
      <w:r w:rsidR="0048027E" w:rsidRPr="00CF288F">
        <w:rPr>
          <w:rFonts w:ascii="Arial" w:hAnsi="Arial" w:cs="Arial"/>
          <w:sz w:val="20"/>
          <w:szCs w:val="20"/>
        </w:rPr>
        <w:t>based on that expertise), which the jury could not itself reach unassisted, about the more likely cause of the deceased's fatal stabbing wounds being infliction by another person rather than by the deceased herself</w:t>
      </w:r>
      <w:r w:rsidR="00722F42">
        <w:rPr>
          <w:rFonts w:ascii="Arial" w:hAnsi="Arial" w:cs="Arial"/>
          <w:sz w:val="20"/>
          <w:szCs w:val="20"/>
        </w:rPr>
        <w:t xml:space="preserve">: </w:t>
      </w:r>
      <w:r w:rsidR="00722F42" w:rsidRPr="00722F42">
        <w:rPr>
          <w:rFonts w:ascii="Arial" w:hAnsi="Arial" w:cs="Arial"/>
          <w:i/>
          <w:iCs/>
          <w:sz w:val="20"/>
          <w:szCs w:val="20"/>
        </w:rPr>
        <w:t>Clark v Ryan</w:t>
      </w:r>
      <w:r w:rsidR="00722F42">
        <w:rPr>
          <w:rFonts w:ascii="Arial" w:hAnsi="Arial" w:cs="Arial"/>
          <w:sz w:val="20"/>
          <w:szCs w:val="20"/>
        </w:rPr>
        <w:t xml:space="preserve"> (1960) 103 CLR 486 at 491; </w:t>
      </w:r>
      <w:r w:rsidR="00722F42" w:rsidRPr="00722F42">
        <w:rPr>
          <w:rFonts w:ascii="Arial" w:hAnsi="Arial" w:cs="Arial"/>
          <w:i/>
          <w:iCs/>
          <w:sz w:val="20"/>
          <w:szCs w:val="20"/>
        </w:rPr>
        <w:t>R v Bonython</w:t>
      </w:r>
      <w:r w:rsidR="00722F42">
        <w:rPr>
          <w:rFonts w:ascii="Arial" w:hAnsi="Arial" w:cs="Arial"/>
          <w:sz w:val="20"/>
          <w:szCs w:val="20"/>
        </w:rPr>
        <w:t xml:space="preserve"> (1984) 38 SASR 45 at 46-47.  </w:t>
      </w:r>
      <w:r w:rsidR="0048027E" w:rsidRPr="00CF288F">
        <w:rPr>
          <w:rFonts w:ascii="Arial" w:hAnsi="Arial" w:cs="Arial"/>
          <w:sz w:val="20"/>
          <w:szCs w:val="20"/>
        </w:rPr>
        <w:t>The appellant submitted, however, that the evidence exposed that the impugned evidence of Dr Ong was inadmissible under the applicable common law principles, as he was giving his opinion as to the likelihood of the deceased acting in a particular way, which was not an opinion based on his expertise as a forensic pathologist.</w:t>
      </w:r>
      <w:r w:rsidR="00722F42">
        <w:rPr>
          <w:rFonts w:ascii="Arial" w:hAnsi="Arial" w:cs="Arial"/>
          <w:sz w:val="20"/>
          <w:szCs w:val="20"/>
        </w:rPr>
        <w:t>”</w:t>
      </w:r>
    </w:p>
    <w:p w14:paraId="18153FB1" w14:textId="0FFF6E75" w:rsidR="007F4A62" w:rsidRDefault="007F4A62" w:rsidP="006747D4">
      <w:pPr>
        <w:spacing w:before="60"/>
        <w:ind w:left="567" w:right="567"/>
        <w:jc w:val="both"/>
        <w:rPr>
          <w:rFonts w:ascii="Arial" w:hAnsi="Arial" w:cs="Arial"/>
          <w:sz w:val="20"/>
          <w:szCs w:val="20"/>
        </w:rPr>
      </w:pPr>
      <w:r>
        <w:rPr>
          <w:rFonts w:ascii="Arial" w:hAnsi="Arial" w:cs="Arial"/>
          <w:sz w:val="20"/>
          <w:szCs w:val="20"/>
        </w:rPr>
        <w:t xml:space="preserve">[423] </w:t>
      </w:r>
      <w:r w:rsidRPr="00CF288F">
        <w:rPr>
          <w:rFonts w:ascii="Arial" w:hAnsi="Arial" w:cs="Arial"/>
          <w:sz w:val="20"/>
          <w:szCs w:val="20"/>
        </w:rPr>
        <w:t xml:space="preserve">As a result of the pre-trial hearing, the trial judge held that </w:t>
      </w:r>
      <w:r>
        <w:rPr>
          <w:rFonts w:ascii="Arial" w:hAnsi="Arial" w:cs="Arial"/>
          <w:sz w:val="20"/>
          <w:szCs w:val="20"/>
        </w:rPr>
        <w:t>‘</w:t>
      </w:r>
      <w:r w:rsidRPr="00CF288F">
        <w:rPr>
          <w:rFonts w:ascii="Arial" w:hAnsi="Arial" w:cs="Arial"/>
          <w:sz w:val="20"/>
          <w:szCs w:val="20"/>
        </w:rPr>
        <w:t>Dr Ong has laid a sufficient foundation for the evidence he has given based on his training, study and experience</w:t>
      </w:r>
      <w:r>
        <w:rPr>
          <w:rFonts w:ascii="Arial" w:hAnsi="Arial" w:cs="Arial"/>
          <w:sz w:val="20"/>
          <w:szCs w:val="20"/>
        </w:rPr>
        <w:t>’</w:t>
      </w:r>
      <w:r w:rsidRPr="00CF288F">
        <w:rPr>
          <w:rFonts w:ascii="Arial" w:hAnsi="Arial" w:cs="Arial"/>
          <w:sz w:val="20"/>
          <w:szCs w:val="20"/>
        </w:rPr>
        <w:t>, with the consequence that the application to exclude his evidence</w:t>
      </w:r>
      <w:r w:rsidR="006747D4">
        <w:rPr>
          <w:rFonts w:ascii="Arial" w:hAnsi="Arial" w:cs="Arial"/>
          <w:sz w:val="20"/>
          <w:szCs w:val="20"/>
        </w:rPr>
        <w:t>,</w:t>
      </w:r>
      <w:r w:rsidRPr="00CF288F">
        <w:rPr>
          <w:rFonts w:ascii="Arial" w:hAnsi="Arial" w:cs="Arial"/>
          <w:sz w:val="20"/>
          <w:szCs w:val="20"/>
        </w:rPr>
        <w:t xml:space="preserve"> that the deceased's wounds were more likely inflicted by another person than self-inflicted by the deceased, was refused. Accordingly, Dr Ong was able to, and did, give this evidence during the trial. The Court of Appeal dismissed the appeal on the ground of inadmissibility of this part of Dr Ong's evidence on the basis that it was </w:t>
      </w:r>
      <w:r w:rsidR="00284820">
        <w:rPr>
          <w:rFonts w:ascii="Arial" w:hAnsi="Arial" w:cs="Arial"/>
          <w:sz w:val="20"/>
          <w:szCs w:val="20"/>
        </w:rPr>
        <w:t>‘</w:t>
      </w:r>
      <w:r w:rsidRPr="00CF288F">
        <w:rPr>
          <w:rFonts w:ascii="Arial" w:hAnsi="Arial" w:cs="Arial"/>
          <w:sz w:val="20"/>
          <w:szCs w:val="20"/>
        </w:rPr>
        <w:t>not a fair reading of Dr Ong's evidence at trial to submit that the impugned answer was the expression of a personal opinion not based on his medical expertise in respect of stab wounds</w:t>
      </w:r>
      <w:r w:rsidR="00284820">
        <w:rPr>
          <w:rFonts w:ascii="Arial" w:hAnsi="Arial" w:cs="Arial"/>
          <w:sz w:val="20"/>
          <w:szCs w:val="20"/>
        </w:rPr>
        <w:t>’</w:t>
      </w:r>
      <w:r w:rsidRPr="00CF288F">
        <w:rPr>
          <w:rFonts w:ascii="Arial" w:hAnsi="Arial" w:cs="Arial"/>
          <w:sz w:val="20"/>
          <w:szCs w:val="20"/>
        </w:rPr>
        <w:t>.</w:t>
      </w:r>
    </w:p>
    <w:p w14:paraId="503744A7" w14:textId="43A983BD" w:rsidR="00585686" w:rsidRDefault="00AC6BFB" w:rsidP="00AF0E6C">
      <w:pPr>
        <w:spacing w:before="120"/>
        <w:jc w:val="both"/>
        <w:rPr>
          <w:rFonts w:ascii="Arial" w:hAnsi="Arial" w:cs="Arial"/>
          <w:sz w:val="20"/>
        </w:rPr>
      </w:pPr>
      <w:r>
        <w:rPr>
          <w:rFonts w:ascii="Arial" w:hAnsi="Arial" w:cs="Arial"/>
          <w:sz w:val="20"/>
        </w:rPr>
        <w:t xml:space="preserve">Speaking about the admissibility of opinion evidence, </w:t>
      </w:r>
      <w:proofErr w:type="spellStart"/>
      <w:r w:rsidR="00585686">
        <w:rPr>
          <w:rFonts w:ascii="Arial" w:hAnsi="Arial" w:cs="Arial"/>
          <w:sz w:val="20"/>
        </w:rPr>
        <w:t>Kiefel</w:t>
      </w:r>
      <w:proofErr w:type="spellEnd"/>
      <w:r w:rsidR="00585686">
        <w:rPr>
          <w:rFonts w:ascii="Arial" w:hAnsi="Arial" w:cs="Arial"/>
          <w:sz w:val="20"/>
        </w:rPr>
        <w:t xml:space="preserve"> CJ &amp; </w:t>
      </w:r>
      <w:proofErr w:type="spellStart"/>
      <w:r w:rsidR="00585686">
        <w:rPr>
          <w:rFonts w:ascii="Arial" w:hAnsi="Arial" w:cs="Arial"/>
          <w:sz w:val="20"/>
        </w:rPr>
        <w:t>Gageler</w:t>
      </w:r>
      <w:proofErr w:type="spellEnd"/>
      <w:r w:rsidR="00585686">
        <w:rPr>
          <w:rFonts w:ascii="Arial" w:hAnsi="Arial" w:cs="Arial"/>
          <w:sz w:val="20"/>
        </w:rPr>
        <w:t xml:space="preserve"> J said</w:t>
      </w:r>
      <w:r>
        <w:rPr>
          <w:rFonts w:ascii="Arial" w:hAnsi="Arial" w:cs="Arial"/>
          <w:sz w:val="20"/>
        </w:rPr>
        <w:t xml:space="preserve"> at [4]-[</w:t>
      </w:r>
      <w:r w:rsidR="007F4A62">
        <w:rPr>
          <w:rFonts w:ascii="Arial" w:hAnsi="Arial" w:cs="Arial"/>
          <w:sz w:val="20"/>
        </w:rPr>
        <w:t>19</w:t>
      </w:r>
      <w:r>
        <w:rPr>
          <w:rFonts w:ascii="Arial" w:hAnsi="Arial" w:cs="Arial"/>
          <w:sz w:val="20"/>
        </w:rPr>
        <w:t>]</w:t>
      </w:r>
      <w:r w:rsidR="003A6B6B">
        <w:rPr>
          <w:rFonts w:ascii="Arial" w:hAnsi="Arial" w:cs="Arial"/>
          <w:sz w:val="20"/>
        </w:rPr>
        <w:t xml:space="preserve"> &amp; [26]</w:t>
      </w:r>
      <w:r>
        <w:rPr>
          <w:rFonts w:ascii="Arial" w:hAnsi="Arial" w:cs="Arial"/>
          <w:sz w:val="20"/>
        </w:rPr>
        <w:t xml:space="preserve"> [emphasis added]</w:t>
      </w:r>
      <w:r w:rsidR="00585686">
        <w:rPr>
          <w:rFonts w:ascii="Arial" w:hAnsi="Arial" w:cs="Arial"/>
          <w:sz w:val="20"/>
        </w:rPr>
        <w:t>:</w:t>
      </w:r>
    </w:p>
    <w:p w14:paraId="31828B88" w14:textId="6AD184B5" w:rsidR="00585686" w:rsidRDefault="00585686" w:rsidP="00AF0E6C">
      <w:pPr>
        <w:spacing w:before="60"/>
        <w:ind w:left="567" w:right="567"/>
        <w:jc w:val="both"/>
        <w:rPr>
          <w:rFonts w:ascii="Arial" w:hAnsi="Arial" w:cs="Arial"/>
          <w:sz w:val="20"/>
          <w:szCs w:val="20"/>
        </w:rPr>
      </w:pPr>
      <w:r>
        <w:rPr>
          <w:rFonts w:ascii="Arial" w:hAnsi="Arial" w:cs="Arial"/>
          <w:sz w:val="20"/>
          <w:szCs w:val="20"/>
        </w:rPr>
        <w:t>[4] “</w:t>
      </w:r>
      <w:r w:rsidR="005C1DBA" w:rsidRPr="005C1DBA">
        <w:rPr>
          <w:rFonts w:ascii="Arial" w:hAnsi="Arial" w:cs="Arial"/>
          <w:sz w:val="20"/>
          <w:szCs w:val="20"/>
        </w:rPr>
        <w:t>We write to elaborate on the common law principles which bore on the admissibility of Dr Ong's opinion.</w:t>
      </w:r>
    </w:p>
    <w:p w14:paraId="00AC7B85" w14:textId="77777777" w:rsidR="00585686" w:rsidRDefault="00585686" w:rsidP="00AF0E6C">
      <w:pPr>
        <w:spacing w:before="60"/>
        <w:ind w:left="567" w:right="567"/>
        <w:jc w:val="both"/>
        <w:rPr>
          <w:rFonts w:ascii="Arial" w:hAnsi="Arial" w:cs="Arial"/>
          <w:sz w:val="20"/>
          <w:szCs w:val="20"/>
        </w:rPr>
      </w:pPr>
      <w:r>
        <w:rPr>
          <w:rFonts w:ascii="Arial" w:hAnsi="Arial" w:cs="Arial"/>
          <w:sz w:val="20"/>
          <w:szCs w:val="20"/>
        </w:rPr>
        <w:t xml:space="preserve">[5] </w:t>
      </w:r>
      <w:r w:rsidR="005C1DBA" w:rsidRPr="005C1DBA">
        <w:rPr>
          <w:rFonts w:ascii="Arial" w:hAnsi="Arial" w:cs="Arial"/>
          <w:sz w:val="20"/>
          <w:szCs w:val="20"/>
        </w:rPr>
        <w:t>Expert evidence need not be opinion evidence. Evidence given by an expert sometimes involves nothing more than imparting expert knowledge and sometimes involves nothing more than giving a technical description of events and processes in which the expert was involved. Much of Dr Ong's evidence at the trial was evidence of the latter kind. It was evidence of what he did and saw in his capacity as a forensic pathologist when first he attended the scene of Mrs Boyce's death and when later he conducted her autopsy</w:t>
      </w:r>
    </w:p>
    <w:p w14:paraId="7619A1A2" w14:textId="77777777" w:rsidR="00AF0E6C" w:rsidRDefault="00585686" w:rsidP="00AF0E6C">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6</w:t>
      </w:r>
      <w:r>
        <w:rPr>
          <w:rFonts w:ascii="Arial" w:hAnsi="Arial" w:cs="Arial"/>
          <w:sz w:val="20"/>
          <w:szCs w:val="20"/>
        </w:rPr>
        <w:t>]</w:t>
      </w:r>
      <w:r w:rsidR="005C1DBA" w:rsidRPr="005C1DBA">
        <w:rPr>
          <w:rFonts w:ascii="Arial" w:hAnsi="Arial" w:cs="Arial"/>
          <w:sz w:val="20"/>
          <w:szCs w:val="20"/>
        </w:rPr>
        <w:t xml:space="preserve"> Subject to limited exceptions, however, opinion evidence can only be expert evidence. The reason lies in the nature of an opinion and in the nature of the curial process. An</w:t>
      </w:r>
      <w:r>
        <w:rPr>
          <w:rFonts w:ascii="Arial" w:hAnsi="Arial" w:cs="Arial"/>
          <w:sz w:val="20"/>
          <w:szCs w:val="20"/>
        </w:rPr>
        <w:t> </w:t>
      </w:r>
      <w:r w:rsidR="005C1DBA" w:rsidRPr="005C1DBA">
        <w:rPr>
          <w:rFonts w:ascii="Arial" w:hAnsi="Arial" w:cs="Arial"/>
          <w:sz w:val="20"/>
          <w:szCs w:val="20"/>
        </w:rPr>
        <w:t>opinion is an inference drawn from observed and communicable data</w:t>
      </w:r>
      <w:r>
        <w:rPr>
          <w:rFonts w:ascii="Arial" w:hAnsi="Arial" w:cs="Arial"/>
          <w:sz w:val="20"/>
          <w:szCs w:val="20"/>
        </w:rPr>
        <w:t xml:space="preserve">: </w:t>
      </w:r>
      <w:proofErr w:type="spellStart"/>
      <w:r w:rsidRPr="00585686">
        <w:rPr>
          <w:rFonts w:ascii="Arial" w:hAnsi="Arial" w:cs="Arial"/>
          <w:i/>
          <w:iCs/>
          <w:sz w:val="20"/>
          <w:szCs w:val="20"/>
        </w:rPr>
        <w:t>Honeysett</w:t>
      </w:r>
      <w:proofErr w:type="spellEnd"/>
      <w:r w:rsidRPr="00585686">
        <w:rPr>
          <w:rFonts w:ascii="Arial" w:hAnsi="Arial" w:cs="Arial"/>
          <w:i/>
          <w:iCs/>
          <w:sz w:val="20"/>
          <w:szCs w:val="20"/>
        </w:rPr>
        <w:t xml:space="preserve"> v The Queen</w:t>
      </w:r>
      <w:r w:rsidRPr="005C1DBA">
        <w:rPr>
          <w:rFonts w:ascii="Arial" w:hAnsi="Arial" w:cs="Arial"/>
          <w:sz w:val="20"/>
          <w:szCs w:val="20"/>
        </w:rPr>
        <w:t xml:space="preserve"> (2014) 253 CLR 122 at 130-131 [21].</w:t>
      </w:r>
      <w:r w:rsidR="00AF0E6C">
        <w:rPr>
          <w:rFonts w:ascii="Arial" w:hAnsi="Arial" w:cs="Arial"/>
          <w:sz w:val="20"/>
          <w:szCs w:val="20"/>
        </w:rPr>
        <w:t xml:space="preserve">  </w:t>
      </w:r>
      <w:r w:rsidR="005C1DBA" w:rsidRPr="005C1DBA">
        <w:rPr>
          <w:rFonts w:ascii="Arial" w:hAnsi="Arial" w:cs="Arial"/>
          <w:sz w:val="20"/>
          <w:szCs w:val="20"/>
        </w:rPr>
        <w:t>Within the curial process, data that has been observed is communicated to a court through the adducing of evidence. Drawing inferences from that evidence to make findings of fact is the function of the tribunal of fact. The tribunal of fact, whether a judge or a jury, can be expected to perform that fact</w:t>
      </w:r>
      <w:r w:rsidR="00AF0E6C">
        <w:rPr>
          <w:rFonts w:ascii="Arial" w:hAnsi="Arial" w:cs="Arial"/>
          <w:sz w:val="20"/>
          <w:szCs w:val="20"/>
        </w:rPr>
        <w:noBreakHyphen/>
      </w:r>
      <w:r w:rsidR="005C1DBA" w:rsidRPr="005C1DBA">
        <w:rPr>
          <w:rFonts w:ascii="Arial" w:hAnsi="Arial" w:cs="Arial"/>
          <w:sz w:val="20"/>
          <w:szCs w:val="20"/>
        </w:rPr>
        <w:t>finding function forming their own opinion as to the inferences to be drawn from the evidence based on their own common knowledge and experience. Another person cannot usurp the factfinding function of the tribunal of fact, and an opinion of another person based on nothing more than the common knowledge and experience of that person cannot assist the tribunal of fact in performing that function</w:t>
      </w:r>
      <w:r w:rsidR="00AF0E6C">
        <w:rPr>
          <w:rFonts w:ascii="Arial" w:hAnsi="Arial" w:cs="Arial"/>
          <w:sz w:val="20"/>
          <w:szCs w:val="20"/>
        </w:rPr>
        <w:t xml:space="preserve">: </w:t>
      </w:r>
      <w:r w:rsidR="00AF0E6C" w:rsidRPr="00AF0E6C">
        <w:rPr>
          <w:rFonts w:ascii="Arial" w:hAnsi="Arial" w:cs="Arial"/>
          <w:i/>
          <w:iCs/>
          <w:sz w:val="20"/>
          <w:szCs w:val="20"/>
        </w:rPr>
        <w:t>Smith v The Queen</w:t>
      </w:r>
      <w:r w:rsidR="00AF0E6C" w:rsidRPr="005C1DBA">
        <w:rPr>
          <w:rFonts w:ascii="Arial" w:hAnsi="Arial" w:cs="Arial"/>
          <w:sz w:val="20"/>
          <w:szCs w:val="20"/>
        </w:rPr>
        <w:t xml:space="preserve"> (2001) 206 CLR 650 at 655 [11]</w:t>
      </w:r>
      <w:r w:rsidR="005C1DBA" w:rsidRPr="005C1DBA">
        <w:rPr>
          <w:rFonts w:ascii="Arial" w:hAnsi="Arial" w:cs="Arial"/>
          <w:sz w:val="20"/>
          <w:szCs w:val="20"/>
        </w:rPr>
        <w:t>. The tribunal of fact might at most be assisted in the performance of the function by being apprised of the opinion of another person – an expert – based on that person's specialised knowledge or experience. The probative value of evidence of an opinion that is based on specialised knowledge or experience then lies in the extent, if any, to which the opinion has the potential to assist the tribunal of fact in the process of drawing the requisite inferences for itself.</w:t>
      </w:r>
    </w:p>
    <w:p w14:paraId="41644105" w14:textId="2E156455" w:rsidR="00AF0E6C" w:rsidRDefault="00AF0E6C" w:rsidP="00AF0E6C">
      <w:pPr>
        <w:spacing w:before="60"/>
        <w:ind w:left="567" w:right="567"/>
        <w:jc w:val="both"/>
        <w:rPr>
          <w:rFonts w:ascii="Arial" w:hAnsi="Arial" w:cs="Arial"/>
          <w:sz w:val="20"/>
          <w:szCs w:val="20"/>
        </w:rPr>
      </w:pPr>
      <w:r>
        <w:rPr>
          <w:rFonts w:ascii="Arial" w:hAnsi="Arial" w:cs="Arial"/>
          <w:sz w:val="20"/>
          <w:szCs w:val="20"/>
        </w:rPr>
        <w:lastRenderedPageBreak/>
        <w:t>[</w:t>
      </w:r>
      <w:r w:rsidR="005C1DBA" w:rsidRPr="005C1DBA">
        <w:rPr>
          <w:rFonts w:ascii="Arial" w:hAnsi="Arial" w:cs="Arial"/>
          <w:sz w:val="20"/>
          <w:szCs w:val="20"/>
        </w:rPr>
        <w:t>7</w:t>
      </w:r>
      <w:r>
        <w:rPr>
          <w:rFonts w:ascii="Arial" w:hAnsi="Arial" w:cs="Arial"/>
          <w:sz w:val="20"/>
          <w:szCs w:val="20"/>
        </w:rPr>
        <w:t>]</w:t>
      </w:r>
      <w:r w:rsidR="005C1DBA" w:rsidRPr="005C1DBA">
        <w:rPr>
          <w:rFonts w:ascii="Arial" w:hAnsi="Arial" w:cs="Arial"/>
          <w:sz w:val="20"/>
          <w:szCs w:val="20"/>
        </w:rPr>
        <w:t xml:space="preserve"> That common law conception of the opinion of an expert having probative value only if and to the extent that the opinion can assist the tribunal of fact in forming its own opinion as to inferences to be drawn from evidence was the starting point and the dominant theme of the influential analysis in </w:t>
      </w:r>
      <w:r w:rsidR="005C1DBA" w:rsidRPr="00AF0E6C">
        <w:rPr>
          <w:rFonts w:ascii="Arial" w:hAnsi="Arial" w:cs="Arial"/>
          <w:i/>
          <w:iCs/>
          <w:sz w:val="20"/>
          <w:szCs w:val="20"/>
        </w:rPr>
        <w:t xml:space="preserve">Makita (Australia) Pty Ltd v </w:t>
      </w:r>
      <w:proofErr w:type="spellStart"/>
      <w:r w:rsidR="005C1DBA" w:rsidRPr="00AF0E6C">
        <w:rPr>
          <w:rFonts w:ascii="Arial" w:hAnsi="Arial" w:cs="Arial"/>
          <w:i/>
          <w:iCs/>
          <w:sz w:val="20"/>
          <w:szCs w:val="20"/>
        </w:rPr>
        <w:t>Sprowles</w:t>
      </w:r>
      <w:proofErr w:type="spellEnd"/>
      <w:r>
        <w:rPr>
          <w:rFonts w:ascii="Arial" w:hAnsi="Arial" w:cs="Arial"/>
          <w:sz w:val="20"/>
          <w:szCs w:val="20"/>
        </w:rPr>
        <w:t xml:space="preserve">: </w:t>
      </w:r>
      <w:r w:rsidRPr="005C1DBA">
        <w:rPr>
          <w:rFonts w:ascii="Arial" w:hAnsi="Arial" w:cs="Arial"/>
          <w:sz w:val="20"/>
          <w:szCs w:val="20"/>
        </w:rPr>
        <w:t>(2001) 52 NSWLR 705 at 729-745 [59]-[86].</w:t>
      </w:r>
      <w:r w:rsidR="005C1DBA" w:rsidRPr="005C1DBA">
        <w:rPr>
          <w:rFonts w:ascii="Arial" w:hAnsi="Arial" w:cs="Arial"/>
          <w:sz w:val="20"/>
          <w:szCs w:val="20"/>
        </w:rPr>
        <w:t xml:space="preserve"> The role of expert witnesses was explained at the commencement of that analysis in the following terms</w:t>
      </w:r>
      <w:r>
        <w:rPr>
          <w:rFonts w:ascii="Arial" w:hAnsi="Arial" w:cs="Arial"/>
          <w:sz w:val="20"/>
          <w:szCs w:val="20"/>
        </w:rPr>
        <w:t xml:space="preserve"> [citing] </w:t>
      </w:r>
      <w:r w:rsidRPr="00AF0E6C">
        <w:rPr>
          <w:rFonts w:ascii="Arial" w:hAnsi="Arial" w:cs="Arial"/>
          <w:i/>
          <w:iCs/>
          <w:sz w:val="20"/>
          <w:szCs w:val="20"/>
        </w:rPr>
        <w:t>Davie v Magistrates of Edinburgh</w:t>
      </w:r>
      <w:r w:rsidRPr="005C1DBA">
        <w:rPr>
          <w:rFonts w:ascii="Arial" w:hAnsi="Arial" w:cs="Arial"/>
          <w:sz w:val="20"/>
          <w:szCs w:val="20"/>
        </w:rPr>
        <w:t xml:space="preserve"> 1953 SC 34 at 40</w:t>
      </w:r>
      <w:r w:rsidR="006747D4">
        <w:rPr>
          <w:rFonts w:ascii="Arial" w:hAnsi="Arial" w:cs="Arial"/>
          <w:sz w:val="20"/>
          <w:szCs w:val="20"/>
        </w:rPr>
        <w:t xml:space="preserve">; </w:t>
      </w:r>
      <w:r w:rsidRPr="005C1DBA">
        <w:rPr>
          <w:rFonts w:ascii="Arial" w:hAnsi="Arial" w:cs="Arial"/>
          <w:sz w:val="20"/>
          <w:szCs w:val="20"/>
        </w:rPr>
        <w:t>Cross on Evidence, 13th Aust ed (2021) at 1143-1144 [29075] and the cases there noted</w:t>
      </w:r>
      <w:r>
        <w:rPr>
          <w:rFonts w:ascii="Arial" w:hAnsi="Arial" w:cs="Arial"/>
          <w:sz w:val="20"/>
          <w:szCs w:val="20"/>
        </w:rPr>
        <w:t>:</w:t>
      </w:r>
    </w:p>
    <w:p w14:paraId="4F69723A" w14:textId="2BE27390" w:rsidR="00AF0E6C" w:rsidRDefault="00AF0E6C" w:rsidP="00AF0E6C">
      <w:pPr>
        <w:spacing w:before="60"/>
        <w:ind w:left="1021" w:right="1021"/>
        <w:jc w:val="both"/>
        <w:rPr>
          <w:rFonts w:ascii="Arial" w:hAnsi="Arial" w:cs="Arial"/>
          <w:sz w:val="20"/>
          <w:szCs w:val="20"/>
        </w:rPr>
      </w:pPr>
      <w:r>
        <w:rPr>
          <w:rFonts w:ascii="Arial" w:hAnsi="Arial" w:cs="Arial"/>
          <w:sz w:val="18"/>
          <w:szCs w:val="18"/>
        </w:rPr>
        <w:t>‘</w:t>
      </w:r>
      <w:r w:rsidRPr="00AF0E6C">
        <w:rPr>
          <w:rFonts w:ascii="Arial" w:hAnsi="Arial" w:cs="Arial"/>
          <w:sz w:val="18"/>
          <w:szCs w:val="18"/>
        </w:rPr>
        <w:t>Their duty is to furnish the Judge or jury with the necessary scientific criteria for testing the accuracy of their conclusions, so as to enable the Judge or jury to form their own independent judgment by the application of these criteria to the facts proved in evidence. The scientific opinion evidence, if intelligible, convincing and tested, becomes a factor (and often an important factor) for consideration along with the whole other evidence in the case, but the decision is for the Judge or jury.</w:t>
      </w:r>
      <w:r>
        <w:rPr>
          <w:rFonts w:ascii="Arial" w:hAnsi="Arial" w:cs="Arial"/>
          <w:sz w:val="18"/>
          <w:szCs w:val="18"/>
        </w:rPr>
        <w:t>’</w:t>
      </w:r>
    </w:p>
    <w:p w14:paraId="100987ED" w14:textId="2EF165DD" w:rsidR="00AF0E6C" w:rsidRDefault="00AF0E6C" w:rsidP="002B1B43">
      <w:pPr>
        <w:spacing w:before="60"/>
        <w:ind w:left="567" w:right="567"/>
        <w:jc w:val="both"/>
        <w:rPr>
          <w:rFonts w:ascii="Arial" w:hAnsi="Arial" w:cs="Arial"/>
          <w:sz w:val="20"/>
          <w:szCs w:val="20"/>
        </w:rPr>
      </w:pPr>
      <w:r>
        <w:rPr>
          <w:rFonts w:ascii="Arial" w:hAnsi="Arial" w:cs="Arial"/>
          <w:sz w:val="20"/>
          <w:szCs w:val="20"/>
        </w:rPr>
        <w:t xml:space="preserve">[8] </w:t>
      </w:r>
      <w:r w:rsidRPr="005C1DBA">
        <w:rPr>
          <w:rFonts w:ascii="Arial" w:hAnsi="Arial" w:cs="Arial"/>
          <w:sz w:val="20"/>
          <w:szCs w:val="20"/>
        </w:rPr>
        <w:t xml:space="preserve">The traditional approach of the common law to the admissibility of evidence of the opinion of an expert has been consistent with that conception of the probative value of evidence of the opinion of an expert lying in the extent, if at all, to which the opinion might assist the tribunal of fact to draw inferences from other evidence that has been adduced. The approach has been simultaneously to accept that </w:t>
      </w:r>
      <w:r>
        <w:rPr>
          <w:rFonts w:ascii="Arial" w:hAnsi="Arial" w:cs="Arial"/>
          <w:sz w:val="20"/>
          <w:szCs w:val="20"/>
        </w:rPr>
        <w:t>‘</w:t>
      </w:r>
      <w:r w:rsidRPr="005C1DBA">
        <w:rPr>
          <w:rFonts w:ascii="Arial" w:hAnsi="Arial" w:cs="Arial"/>
          <w:sz w:val="20"/>
          <w:szCs w:val="20"/>
        </w:rPr>
        <w:t>the opinion of witnesses possessing peculiar skill is admissible whenever the subject-matter of inquiry is such that inexperienced persons are unlikely to prove capable of forming a correct judgment upon it without such assistance</w:t>
      </w:r>
      <w:r>
        <w:rPr>
          <w:rFonts w:ascii="Arial" w:hAnsi="Arial" w:cs="Arial"/>
          <w:sz w:val="20"/>
          <w:szCs w:val="20"/>
        </w:rPr>
        <w:t>’</w:t>
      </w:r>
      <w:r w:rsidRPr="005C1DBA">
        <w:rPr>
          <w:rFonts w:ascii="Arial" w:hAnsi="Arial" w:cs="Arial"/>
          <w:sz w:val="20"/>
          <w:szCs w:val="20"/>
        </w:rPr>
        <w:t xml:space="preserve"> and to deny that </w:t>
      </w:r>
      <w:r>
        <w:rPr>
          <w:rFonts w:ascii="Arial" w:hAnsi="Arial" w:cs="Arial"/>
          <w:sz w:val="20"/>
          <w:szCs w:val="20"/>
        </w:rPr>
        <w:t>‘</w:t>
      </w:r>
      <w:r w:rsidRPr="005C1DBA">
        <w:rPr>
          <w:rFonts w:ascii="Arial" w:hAnsi="Arial" w:cs="Arial"/>
          <w:sz w:val="20"/>
          <w:szCs w:val="20"/>
        </w:rPr>
        <w:t>the opinions of witnesses can be received when the inquiry is into a subject-matter, the nature of which is not such as to require any peculiar habits or study in order to qualify a man to understand it</w:t>
      </w:r>
      <w:r>
        <w:rPr>
          <w:rFonts w:ascii="Arial" w:hAnsi="Arial" w:cs="Arial"/>
          <w:sz w:val="20"/>
          <w:szCs w:val="20"/>
        </w:rPr>
        <w:t xml:space="preserve">’: </w:t>
      </w:r>
      <w:r w:rsidRPr="005C1DBA">
        <w:rPr>
          <w:rFonts w:ascii="Arial" w:hAnsi="Arial" w:cs="Arial"/>
          <w:sz w:val="20"/>
          <w:szCs w:val="20"/>
        </w:rPr>
        <w:t xml:space="preserve">Smith's Leading Cases, 7th ed (1876), vol 1 at 577, quoted and applied in </w:t>
      </w:r>
      <w:r w:rsidRPr="00AF0E6C">
        <w:rPr>
          <w:rFonts w:ascii="Arial" w:hAnsi="Arial" w:cs="Arial"/>
          <w:i/>
          <w:iCs/>
          <w:sz w:val="20"/>
          <w:szCs w:val="20"/>
        </w:rPr>
        <w:t>Clark v Ryan</w:t>
      </w:r>
      <w:r w:rsidRPr="005C1DBA">
        <w:rPr>
          <w:rFonts w:ascii="Arial" w:hAnsi="Arial" w:cs="Arial"/>
          <w:sz w:val="20"/>
          <w:szCs w:val="20"/>
        </w:rPr>
        <w:t xml:space="preserve"> (1960) 103 CLR 486 at 491 and </w:t>
      </w:r>
      <w:r w:rsidRPr="00AF0E6C">
        <w:rPr>
          <w:rFonts w:ascii="Arial" w:hAnsi="Arial" w:cs="Arial"/>
          <w:i/>
          <w:iCs/>
          <w:sz w:val="20"/>
          <w:szCs w:val="20"/>
        </w:rPr>
        <w:t>Burger King Corporation v Registrar of Trade Marks</w:t>
      </w:r>
      <w:r w:rsidRPr="005C1DBA">
        <w:rPr>
          <w:rFonts w:ascii="Arial" w:hAnsi="Arial" w:cs="Arial"/>
          <w:sz w:val="20"/>
          <w:szCs w:val="20"/>
        </w:rPr>
        <w:t xml:space="preserve"> (1973) 128 CLR 417 at 421.</w:t>
      </w:r>
    </w:p>
    <w:p w14:paraId="6C366F76" w14:textId="77649A76" w:rsidR="00AF0E6C" w:rsidRDefault="00AF0E6C" w:rsidP="00AC6BFB">
      <w:pPr>
        <w:spacing w:before="60"/>
        <w:ind w:left="567" w:right="567"/>
        <w:jc w:val="both"/>
        <w:rPr>
          <w:rFonts w:ascii="Arial" w:hAnsi="Arial" w:cs="Arial"/>
          <w:sz w:val="20"/>
          <w:szCs w:val="20"/>
        </w:rPr>
      </w:pPr>
      <w:r>
        <w:rPr>
          <w:rFonts w:ascii="Arial" w:hAnsi="Arial" w:cs="Arial"/>
          <w:sz w:val="20"/>
          <w:szCs w:val="20"/>
        </w:rPr>
        <w:t xml:space="preserve">[9] </w:t>
      </w:r>
      <w:r w:rsidR="005C1DBA" w:rsidRPr="005C1DBA">
        <w:rPr>
          <w:rFonts w:ascii="Arial" w:hAnsi="Arial" w:cs="Arial"/>
          <w:sz w:val="20"/>
          <w:szCs w:val="20"/>
        </w:rPr>
        <w:t>The traditional approach has come under strain as developments in specialised knowledge, especially in fields of behavioural science</w:t>
      </w:r>
      <w:r>
        <w:rPr>
          <w:rFonts w:ascii="Arial" w:hAnsi="Arial" w:cs="Arial"/>
          <w:sz w:val="20"/>
          <w:szCs w:val="20"/>
        </w:rPr>
        <w:t xml:space="preserve"> {</w:t>
      </w:r>
      <w:proofErr w:type="spellStart"/>
      <w:r w:rsidR="00AC6BFB" w:rsidRPr="005C1DBA">
        <w:rPr>
          <w:rFonts w:ascii="Arial" w:hAnsi="Arial" w:cs="Arial"/>
          <w:sz w:val="20"/>
          <w:szCs w:val="20"/>
        </w:rPr>
        <w:t>eg</w:t>
      </w:r>
      <w:proofErr w:type="spellEnd"/>
      <w:r w:rsidR="00AC6BFB" w:rsidRPr="005C1DBA">
        <w:rPr>
          <w:rFonts w:ascii="Arial" w:hAnsi="Arial" w:cs="Arial"/>
          <w:sz w:val="20"/>
          <w:szCs w:val="20"/>
        </w:rPr>
        <w:t xml:space="preserve"> </w:t>
      </w:r>
      <w:r w:rsidR="00AC6BFB" w:rsidRPr="00AC6BFB">
        <w:rPr>
          <w:rFonts w:ascii="Arial" w:hAnsi="Arial" w:cs="Arial"/>
          <w:i/>
          <w:iCs/>
          <w:sz w:val="20"/>
          <w:szCs w:val="20"/>
        </w:rPr>
        <w:t>Murphy v The Queen</w:t>
      </w:r>
      <w:r w:rsidR="00AC6BFB" w:rsidRPr="005C1DBA">
        <w:rPr>
          <w:rFonts w:ascii="Arial" w:hAnsi="Arial" w:cs="Arial"/>
          <w:sz w:val="20"/>
          <w:szCs w:val="20"/>
        </w:rPr>
        <w:t xml:space="preserve"> (1989) 167 CLR 94 at 111, 122, 130-131; </w:t>
      </w:r>
      <w:r w:rsidR="00AC6BFB" w:rsidRPr="00AC6BFB">
        <w:rPr>
          <w:rFonts w:ascii="Arial" w:hAnsi="Arial" w:cs="Arial"/>
          <w:i/>
          <w:iCs/>
          <w:sz w:val="20"/>
          <w:szCs w:val="20"/>
        </w:rPr>
        <w:t>Farrell v The Queen</w:t>
      </w:r>
      <w:r w:rsidR="00AC6BFB" w:rsidRPr="005C1DBA">
        <w:rPr>
          <w:rFonts w:ascii="Arial" w:hAnsi="Arial" w:cs="Arial"/>
          <w:sz w:val="20"/>
          <w:szCs w:val="20"/>
        </w:rPr>
        <w:t xml:space="preserve"> (1998) 194 CLR 286 at 292-293 [10]-[13], 299-301 [27]-[31], 320-322 [91]- [93]</w:t>
      </w:r>
      <w:r w:rsidR="00AC6BFB">
        <w:rPr>
          <w:rFonts w:ascii="Arial" w:hAnsi="Arial" w:cs="Arial"/>
          <w:sz w:val="20"/>
          <w:szCs w:val="20"/>
        </w:rPr>
        <w:t xml:space="preserve">} and </w:t>
      </w:r>
      <w:r w:rsidR="005C1DBA" w:rsidRPr="005C1DBA">
        <w:rPr>
          <w:rFonts w:ascii="Arial" w:hAnsi="Arial" w:cs="Arial"/>
          <w:sz w:val="20"/>
          <w:szCs w:val="20"/>
        </w:rPr>
        <w:t>forensic science</w:t>
      </w:r>
      <w:r w:rsidR="00AC6BFB">
        <w:rPr>
          <w:rFonts w:ascii="Arial" w:hAnsi="Arial" w:cs="Arial"/>
          <w:sz w:val="20"/>
          <w:szCs w:val="20"/>
        </w:rPr>
        <w:t xml:space="preserve"> {</w:t>
      </w:r>
      <w:proofErr w:type="spellStart"/>
      <w:r w:rsidR="00AC6BFB" w:rsidRPr="005C1DBA">
        <w:rPr>
          <w:rFonts w:ascii="Arial" w:hAnsi="Arial" w:cs="Arial"/>
          <w:sz w:val="20"/>
          <w:szCs w:val="20"/>
        </w:rPr>
        <w:t>eg</w:t>
      </w:r>
      <w:proofErr w:type="spellEnd"/>
      <w:r w:rsidR="00AC6BFB" w:rsidRPr="005C1DBA">
        <w:rPr>
          <w:rFonts w:ascii="Arial" w:hAnsi="Arial" w:cs="Arial"/>
          <w:sz w:val="20"/>
          <w:szCs w:val="20"/>
        </w:rPr>
        <w:t xml:space="preserve"> </w:t>
      </w:r>
      <w:proofErr w:type="spellStart"/>
      <w:r w:rsidR="00AC6BFB" w:rsidRPr="00AC6BFB">
        <w:rPr>
          <w:rFonts w:ascii="Arial" w:hAnsi="Arial" w:cs="Arial"/>
          <w:i/>
          <w:iCs/>
          <w:sz w:val="20"/>
          <w:szCs w:val="20"/>
        </w:rPr>
        <w:t>Velevski</w:t>
      </w:r>
      <w:proofErr w:type="spellEnd"/>
      <w:r w:rsidR="00AC6BFB" w:rsidRPr="00AC6BFB">
        <w:rPr>
          <w:rFonts w:ascii="Arial" w:hAnsi="Arial" w:cs="Arial"/>
          <w:i/>
          <w:iCs/>
          <w:sz w:val="20"/>
          <w:szCs w:val="20"/>
        </w:rPr>
        <w:t xml:space="preserve"> v The Queen</w:t>
      </w:r>
      <w:r w:rsidR="00AC6BFB" w:rsidRPr="005C1DBA">
        <w:rPr>
          <w:rFonts w:ascii="Arial" w:hAnsi="Arial" w:cs="Arial"/>
          <w:sz w:val="20"/>
          <w:szCs w:val="20"/>
        </w:rPr>
        <w:t xml:space="preserve"> (2002) 76 ALJR 402 at 427 [156]; 187 ALR 233 at 268</w:t>
      </w:r>
      <w:r w:rsidR="00AC6BFB">
        <w:rPr>
          <w:rFonts w:ascii="Arial" w:hAnsi="Arial" w:cs="Arial"/>
          <w:sz w:val="20"/>
          <w:szCs w:val="20"/>
        </w:rPr>
        <w:t>}</w:t>
      </w:r>
      <w:r w:rsidR="005C1DBA" w:rsidRPr="005C1DBA">
        <w:rPr>
          <w:rFonts w:ascii="Arial" w:hAnsi="Arial" w:cs="Arial"/>
          <w:sz w:val="20"/>
          <w:szCs w:val="20"/>
        </w:rPr>
        <w:t xml:space="preserve">, have narrowed the subject-matters in respect of which it might continue to be asserted categorically and with confidence that common knowledge and experience provide so firm a foundation upon which to engage in fact-finding that the opinion of an expert could be of no assistance. This Court has emphasised that </w:t>
      </w:r>
      <w:r w:rsidR="00AC6BFB">
        <w:rPr>
          <w:rFonts w:ascii="Arial" w:hAnsi="Arial" w:cs="Arial"/>
          <w:sz w:val="20"/>
          <w:szCs w:val="20"/>
        </w:rPr>
        <w:t>‘</w:t>
      </w:r>
      <w:r w:rsidR="005C1DBA" w:rsidRPr="005C1DBA">
        <w:rPr>
          <w:rFonts w:ascii="Arial" w:hAnsi="Arial" w:cs="Arial"/>
          <w:sz w:val="20"/>
          <w:szCs w:val="20"/>
        </w:rPr>
        <w:t>it does not follow that, because a lay witness can describe events and behaviour, expert evidence is unavailable to explain those events and that behaviour</w:t>
      </w:r>
      <w:r w:rsidR="00AC6BFB">
        <w:rPr>
          <w:rFonts w:ascii="Arial" w:hAnsi="Arial" w:cs="Arial"/>
          <w:sz w:val="20"/>
          <w:szCs w:val="20"/>
        </w:rPr>
        <w:t xml:space="preserve">’: </w:t>
      </w:r>
      <w:r w:rsidR="00AC6BFB" w:rsidRPr="00AC6BFB">
        <w:rPr>
          <w:rFonts w:ascii="Arial" w:hAnsi="Arial" w:cs="Arial"/>
          <w:i/>
          <w:iCs/>
          <w:sz w:val="20"/>
          <w:szCs w:val="20"/>
        </w:rPr>
        <w:t>Murphy v The Queen</w:t>
      </w:r>
      <w:r w:rsidR="00AC6BFB" w:rsidRPr="005C1DBA">
        <w:rPr>
          <w:rFonts w:ascii="Arial" w:hAnsi="Arial" w:cs="Arial"/>
          <w:sz w:val="20"/>
          <w:szCs w:val="20"/>
        </w:rPr>
        <w:t xml:space="preserve"> (1989) 167 CLR 94 at 112.</w:t>
      </w:r>
      <w:r w:rsidR="00AC6BFB">
        <w:rPr>
          <w:rFonts w:ascii="Arial" w:hAnsi="Arial" w:cs="Arial"/>
          <w:sz w:val="20"/>
          <w:szCs w:val="20"/>
        </w:rPr>
        <w:t xml:space="preserve">  </w:t>
      </w:r>
      <w:r w:rsidR="005C1DBA" w:rsidRPr="005C1DBA">
        <w:rPr>
          <w:rFonts w:ascii="Arial" w:hAnsi="Arial" w:cs="Arial"/>
          <w:sz w:val="20"/>
          <w:szCs w:val="20"/>
        </w:rPr>
        <w:t>Nor does it follow that evidence of the opinion of an expert is unavailable to assist the tribunal of fact merely because the tribunal of fact, whether a judge or a jury, could be expected in the absence of that expert evidence to work out their own explanation for events and behaviour making use of nothing more than the common knowledge and experience that can be attributed to them.</w:t>
      </w:r>
    </w:p>
    <w:p w14:paraId="68EFEE8C" w14:textId="17B4C4A4" w:rsidR="00AC6BFB" w:rsidRPr="00484192" w:rsidRDefault="00AF0E6C" w:rsidP="00AF0E6C">
      <w:pPr>
        <w:spacing w:before="60"/>
        <w:ind w:left="567" w:right="567"/>
        <w:jc w:val="both"/>
        <w:rPr>
          <w:rFonts w:ascii="Arial" w:hAnsi="Arial" w:cs="Arial"/>
          <w:b/>
          <w:bCs/>
          <w:sz w:val="20"/>
          <w:szCs w:val="20"/>
        </w:rPr>
      </w:pPr>
      <w:r w:rsidRPr="00484192">
        <w:rPr>
          <w:rFonts w:ascii="Arial" w:hAnsi="Arial" w:cs="Arial"/>
          <w:b/>
          <w:bCs/>
          <w:sz w:val="20"/>
          <w:szCs w:val="20"/>
        </w:rPr>
        <w:t>[</w:t>
      </w:r>
      <w:r w:rsidR="005C1DBA" w:rsidRPr="00484192">
        <w:rPr>
          <w:rFonts w:ascii="Arial" w:hAnsi="Arial" w:cs="Arial"/>
          <w:b/>
          <w:bCs/>
          <w:sz w:val="20"/>
          <w:szCs w:val="20"/>
        </w:rPr>
        <w:t>10</w:t>
      </w:r>
      <w:r w:rsidRPr="00484192">
        <w:rPr>
          <w:rFonts w:ascii="Arial" w:hAnsi="Arial" w:cs="Arial"/>
          <w:b/>
          <w:bCs/>
          <w:sz w:val="20"/>
          <w:szCs w:val="20"/>
        </w:rPr>
        <w:t>]</w:t>
      </w:r>
      <w:r w:rsidR="005C1DBA" w:rsidRPr="00484192">
        <w:rPr>
          <w:rFonts w:ascii="Arial" w:hAnsi="Arial" w:cs="Arial"/>
          <w:b/>
          <w:bCs/>
          <w:sz w:val="20"/>
          <w:szCs w:val="20"/>
        </w:rPr>
        <w:t xml:space="preserve"> Nonetheless, it remains a condition of the admissibility of evidence of the opinion of an expert at common law that the opinion be demonstrated to be based on specialised knowledge or experience of the expert that is beyond the common knowledge and experience attributable to the tribunal of fact. Only if that condition is satisfied can the opinion of the expert assist the tribunal of fact to form the requisite opinion of its own as to the inferences to be drawn from the evidence to make findings about disputed facts should the tribunal of fact be persuaded to accept and act upon the opinion</w:t>
      </w:r>
      <w:r w:rsidR="00AC6BFB" w:rsidRPr="00484192">
        <w:rPr>
          <w:rFonts w:ascii="Arial" w:hAnsi="Arial" w:cs="Arial"/>
          <w:b/>
          <w:bCs/>
          <w:sz w:val="20"/>
          <w:szCs w:val="20"/>
        </w:rPr>
        <w:t xml:space="preserve">: </w:t>
      </w:r>
      <w:proofErr w:type="spellStart"/>
      <w:r w:rsidR="00AC6BFB" w:rsidRPr="00484192">
        <w:rPr>
          <w:rFonts w:ascii="Arial" w:hAnsi="Arial" w:cs="Arial"/>
          <w:b/>
          <w:bCs/>
          <w:i/>
          <w:iCs/>
          <w:sz w:val="20"/>
          <w:szCs w:val="20"/>
        </w:rPr>
        <w:t>Velevski</w:t>
      </w:r>
      <w:proofErr w:type="spellEnd"/>
      <w:r w:rsidR="00AC6BFB" w:rsidRPr="00484192">
        <w:rPr>
          <w:rFonts w:ascii="Arial" w:hAnsi="Arial" w:cs="Arial"/>
          <w:b/>
          <w:bCs/>
          <w:i/>
          <w:iCs/>
          <w:sz w:val="20"/>
          <w:szCs w:val="20"/>
        </w:rPr>
        <w:t xml:space="preserve"> v The Queen</w:t>
      </w:r>
      <w:r w:rsidR="00AC6BFB" w:rsidRPr="00484192">
        <w:rPr>
          <w:rFonts w:ascii="Arial" w:hAnsi="Arial" w:cs="Arial"/>
          <w:b/>
          <w:bCs/>
          <w:sz w:val="20"/>
          <w:szCs w:val="20"/>
        </w:rPr>
        <w:t xml:space="preserve"> (2002) 76 ALJR 402 at 432-433 [177]-[182]; 187 ALR 233 at 274-275.</w:t>
      </w:r>
    </w:p>
    <w:p w14:paraId="2A9F4551" w14:textId="2EC22071" w:rsidR="00AC6BFB" w:rsidRDefault="00AC6BFB" w:rsidP="00AC6BFB">
      <w:pPr>
        <w:spacing w:before="60"/>
        <w:ind w:left="567" w:right="567"/>
        <w:jc w:val="both"/>
        <w:rPr>
          <w:rFonts w:ascii="Arial" w:hAnsi="Arial" w:cs="Arial"/>
          <w:sz w:val="20"/>
          <w:szCs w:val="20"/>
        </w:rPr>
      </w:pPr>
      <w:r w:rsidRPr="00AC6BFB">
        <w:rPr>
          <w:rFonts w:ascii="Arial" w:hAnsi="Arial" w:cs="Arial"/>
          <w:b/>
          <w:bCs/>
          <w:sz w:val="20"/>
          <w:szCs w:val="20"/>
        </w:rPr>
        <w:t xml:space="preserve">[11] </w:t>
      </w:r>
      <w:r w:rsidR="005C1DBA" w:rsidRPr="00AC6BFB">
        <w:rPr>
          <w:rFonts w:ascii="Arial" w:hAnsi="Arial" w:cs="Arial"/>
          <w:b/>
          <w:bCs/>
          <w:sz w:val="20"/>
          <w:szCs w:val="20"/>
        </w:rPr>
        <w:t xml:space="preserve">The parties were therefore correct in choosing to present their arguments on the appeal on the common understanding that the principles stated in </w:t>
      </w:r>
      <w:r w:rsidR="005C1DBA" w:rsidRPr="00AC6BFB">
        <w:rPr>
          <w:rFonts w:ascii="Arial" w:hAnsi="Arial" w:cs="Arial"/>
          <w:b/>
          <w:bCs/>
          <w:i/>
          <w:iCs/>
          <w:sz w:val="20"/>
          <w:szCs w:val="20"/>
        </w:rPr>
        <w:t>Makita</w:t>
      </w:r>
      <w:r w:rsidRPr="00AC6BFB">
        <w:rPr>
          <w:rFonts w:ascii="Arial" w:hAnsi="Arial" w:cs="Arial"/>
          <w:b/>
          <w:bCs/>
          <w:sz w:val="20"/>
          <w:szCs w:val="20"/>
        </w:rPr>
        <w:t xml:space="preserve"> (2001) 52 NSWLR 705 at 743-744 [85]</w:t>
      </w:r>
      <w:r w:rsidR="005C1DBA" w:rsidRPr="00AC6BFB">
        <w:rPr>
          <w:rFonts w:ascii="Arial" w:hAnsi="Arial" w:cs="Arial"/>
          <w:b/>
          <w:bCs/>
          <w:sz w:val="20"/>
          <w:szCs w:val="20"/>
        </w:rPr>
        <w:t xml:space="preserve">, and acknowledged and applied in </w:t>
      </w:r>
      <w:proofErr w:type="spellStart"/>
      <w:r w:rsidR="005C1DBA" w:rsidRPr="00AC6BFB">
        <w:rPr>
          <w:rFonts w:ascii="Arial" w:hAnsi="Arial" w:cs="Arial"/>
          <w:b/>
          <w:bCs/>
          <w:i/>
          <w:iCs/>
          <w:sz w:val="20"/>
          <w:szCs w:val="20"/>
        </w:rPr>
        <w:t>Dasreef</w:t>
      </w:r>
      <w:proofErr w:type="spellEnd"/>
      <w:r w:rsidR="005C1DBA" w:rsidRPr="00AC6BFB">
        <w:rPr>
          <w:rFonts w:ascii="Arial" w:hAnsi="Arial" w:cs="Arial"/>
          <w:b/>
          <w:bCs/>
          <w:i/>
          <w:iCs/>
          <w:sz w:val="20"/>
          <w:szCs w:val="20"/>
        </w:rPr>
        <w:t xml:space="preserve"> Pty Ltd v </w:t>
      </w:r>
      <w:proofErr w:type="spellStart"/>
      <w:r w:rsidR="005C1DBA" w:rsidRPr="00AC6BFB">
        <w:rPr>
          <w:rFonts w:ascii="Arial" w:hAnsi="Arial" w:cs="Arial"/>
          <w:b/>
          <w:bCs/>
          <w:i/>
          <w:iCs/>
          <w:sz w:val="20"/>
          <w:szCs w:val="20"/>
        </w:rPr>
        <w:t>Hawchar</w:t>
      </w:r>
      <w:proofErr w:type="spellEnd"/>
      <w:r w:rsidR="005C1DBA" w:rsidRPr="00AC6BFB">
        <w:rPr>
          <w:rFonts w:ascii="Arial" w:hAnsi="Arial" w:cs="Arial"/>
          <w:b/>
          <w:bCs/>
          <w:sz w:val="20"/>
          <w:szCs w:val="20"/>
        </w:rPr>
        <w:t xml:space="preserve"> </w:t>
      </w:r>
      <w:r w:rsidRPr="00AC6BFB">
        <w:rPr>
          <w:rFonts w:ascii="Arial" w:hAnsi="Arial" w:cs="Arial"/>
          <w:b/>
          <w:bCs/>
          <w:sz w:val="20"/>
          <w:szCs w:val="20"/>
        </w:rPr>
        <w:t xml:space="preserve">(2011) 243 CLR 588 at 604 [37] </w:t>
      </w:r>
      <w:r w:rsidR="005C1DBA" w:rsidRPr="00AC6BFB">
        <w:rPr>
          <w:rFonts w:ascii="Arial" w:hAnsi="Arial" w:cs="Arial"/>
          <w:b/>
          <w:bCs/>
          <w:sz w:val="20"/>
          <w:szCs w:val="20"/>
        </w:rPr>
        <w:t>in the context of considering the admissibility of the opinion of an expert under the uniform evidence legislation, apply equally to the determination of the admissibility of an expert opinion at common law. Those principles require that, in order to satisfy the condition of admissibility that the opinion of an expert be demonstrated to be based on specialised knowledge or experience, the inference drawn by the expert which constitutes the opinion be supported by reasoning on the part of the expert sufficient to demonstrate that the opinion is the product of the application of the specialised knowledge of the expert to facts which the expert has observed or assumed.</w:t>
      </w:r>
    </w:p>
    <w:p w14:paraId="1E4A774D" w14:textId="7DEAB705" w:rsidR="00AC6BFB" w:rsidRDefault="00AC6BFB" w:rsidP="00AC6BFB">
      <w:pPr>
        <w:spacing w:before="60"/>
        <w:ind w:left="567" w:right="567"/>
        <w:jc w:val="both"/>
        <w:rPr>
          <w:rFonts w:ascii="Arial" w:hAnsi="Arial" w:cs="Arial"/>
          <w:sz w:val="20"/>
          <w:szCs w:val="20"/>
        </w:rPr>
      </w:pPr>
      <w:r>
        <w:rPr>
          <w:rFonts w:ascii="Arial" w:hAnsi="Arial" w:cs="Arial"/>
          <w:sz w:val="20"/>
          <w:szCs w:val="20"/>
        </w:rPr>
        <w:lastRenderedPageBreak/>
        <w:t>[</w:t>
      </w:r>
      <w:r w:rsidR="005C1DBA" w:rsidRPr="005C1DBA">
        <w:rPr>
          <w:rFonts w:ascii="Arial" w:hAnsi="Arial" w:cs="Arial"/>
          <w:sz w:val="20"/>
          <w:szCs w:val="20"/>
        </w:rPr>
        <w:t>12</w:t>
      </w:r>
      <w:r>
        <w:rPr>
          <w:rFonts w:ascii="Arial" w:hAnsi="Arial" w:cs="Arial"/>
          <w:sz w:val="20"/>
          <w:szCs w:val="20"/>
        </w:rPr>
        <w:t>]</w:t>
      </w:r>
      <w:r w:rsidR="005C1DBA" w:rsidRPr="005C1DBA">
        <w:rPr>
          <w:rFonts w:ascii="Arial" w:hAnsi="Arial" w:cs="Arial"/>
          <w:sz w:val="20"/>
          <w:szCs w:val="20"/>
        </w:rPr>
        <w:t xml:space="preserve"> The requirement for the opinion to be demonstrated to be the product of the application of the specialised knowledge of the expert is not absolute. In the terminology of the uniform evidence legislation, it is enough that the opinion be demonstrated to be based substantially on that specialised knowledge. Expression of the requirement in terms of substantiality recognises that specialised knowledge cannot be wholly divorced from common or ordinary knowledge and that it is </w:t>
      </w:r>
      <w:r>
        <w:rPr>
          <w:rFonts w:ascii="Arial" w:hAnsi="Arial" w:cs="Arial"/>
          <w:sz w:val="20"/>
          <w:szCs w:val="20"/>
        </w:rPr>
        <w:t>‘</w:t>
      </w:r>
      <w:r w:rsidR="005C1DBA" w:rsidRPr="005C1DBA">
        <w:rPr>
          <w:rFonts w:ascii="Arial" w:hAnsi="Arial" w:cs="Arial"/>
          <w:sz w:val="20"/>
          <w:szCs w:val="20"/>
        </w:rPr>
        <w:t>the added ingredient of specialised knowledge to the expert's body of general knowledge that equips the expert to give his or her opinion</w:t>
      </w:r>
      <w:r>
        <w:rPr>
          <w:rFonts w:ascii="Arial" w:hAnsi="Arial" w:cs="Arial"/>
          <w:sz w:val="20"/>
          <w:szCs w:val="20"/>
        </w:rPr>
        <w:t xml:space="preserve">’: </w:t>
      </w:r>
      <w:proofErr w:type="spellStart"/>
      <w:r w:rsidRPr="00AC6BFB">
        <w:rPr>
          <w:rFonts w:ascii="Arial" w:hAnsi="Arial" w:cs="Arial"/>
          <w:i/>
          <w:iCs/>
          <w:sz w:val="20"/>
          <w:szCs w:val="20"/>
        </w:rPr>
        <w:t>Velevski</w:t>
      </w:r>
      <w:proofErr w:type="spellEnd"/>
      <w:r w:rsidRPr="00AC6BFB">
        <w:rPr>
          <w:rFonts w:ascii="Arial" w:hAnsi="Arial" w:cs="Arial"/>
          <w:i/>
          <w:iCs/>
          <w:sz w:val="20"/>
          <w:szCs w:val="20"/>
        </w:rPr>
        <w:t xml:space="preserve"> v The Queen</w:t>
      </w:r>
      <w:r w:rsidRPr="005C1DBA">
        <w:rPr>
          <w:rFonts w:ascii="Arial" w:hAnsi="Arial" w:cs="Arial"/>
          <w:sz w:val="20"/>
          <w:szCs w:val="20"/>
        </w:rPr>
        <w:t xml:space="preserve"> (2002) 76 ALJR 402 at 427 [158]; 187 ALR 233 at 268.</w:t>
      </w:r>
      <w:r>
        <w:rPr>
          <w:rFonts w:ascii="Arial" w:hAnsi="Arial" w:cs="Arial"/>
          <w:sz w:val="20"/>
          <w:szCs w:val="20"/>
        </w:rPr>
        <w:t xml:space="preserve"> </w:t>
      </w:r>
      <w:r w:rsidR="005C1DBA" w:rsidRPr="005C1DBA">
        <w:rPr>
          <w:rFonts w:ascii="Arial" w:hAnsi="Arial" w:cs="Arial"/>
          <w:sz w:val="20"/>
          <w:szCs w:val="20"/>
        </w:rPr>
        <w:t xml:space="preserve"> The requirement will not be contravened by a process of reasoning on the part of an expert which involves using only those parts of the common or ordinary knowledge of the expert that are necessary for the expert to use in forming his or her opinion through the application of specialised knowledge</w:t>
      </w:r>
      <w:r>
        <w:rPr>
          <w:rFonts w:ascii="Arial" w:hAnsi="Arial" w:cs="Arial"/>
          <w:sz w:val="20"/>
          <w:szCs w:val="20"/>
        </w:rPr>
        <w:t xml:space="preserve">: </w:t>
      </w:r>
      <w:proofErr w:type="spellStart"/>
      <w:r w:rsidRPr="00AC6BFB">
        <w:rPr>
          <w:rFonts w:ascii="Arial" w:hAnsi="Arial" w:cs="Arial"/>
          <w:i/>
          <w:iCs/>
          <w:sz w:val="20"/>
          <w:szCs w:val="20"/>
        </w:rPr>
        <w:t>Velevski</w:t>
      </w:r>
      <w:proofErr w:type="spellEnd"/>
      <w:r w:rsidRPr="00AC6BFB">
        <w:rPr>
          <w:rFonts w:ascii="Arial" w:hAnsi="Arial" w:cs="Arial"/>
          <w:i/>
          <w:iCs/>
          <w:sz w:val="20"/>
          <w:szCs w:val="20"/>
        </w:rPr>
        <w:t xml:space="preserve"> v The Queen</w:t>
      </w:r>
      <w:r w:rsidRPr="005C1DBA">
        <w:rPr>
          <w:rFonts w:ascii="Arial" w:hAnsi="Arial" w:cs="Arial"/>
          <w:sz w:val="20"/>
          <w:szCs w:val="20"/>
        </w:rPr>
        <w:t xml:space="preserve"> (2002) 76 ALJR 402 at 429 [164]; 187 ALR 233 at 270.</w:t>
      </w:r>
    </w:p>
    <w:p w14:paraId="26C366AF" w14:textId="4E1F9B71" w:rsidR="0048027E" w:rsidRDefault="00AC6BFB" w:rsidP="00AC6BFB">
      <w:pPr>
        <w:spacing w:before="60"/>
        <w:ind w:left="567" w:right="567"/>
        <w:jc w:val="both"/>
        <w:rPr>
          <w:rFonts w:ascii="Arial" w:hAnsi="Arial" w:cs="Arial"/>
          <w:sz w:val="20"/>
          <w:szCs w:val="20"/>
        </w:rPr>
      </w:pPr>
      <w:r>
        <w:rPr>
          <w:rFonts w:ascii="Arial" w:hAnsi="Arial" w:cs="Arial"/>
          <w:sz w:val="20"/>
          <w:szCs w:val="20"/>
        </w:rPr>
        <w:t>[13]</w:t>
      </w:r>
      <w:r w:rsidR="005C1DBA" w:rsidRPr="005C1DBA">
        <w:rPr>
          <w:rFonts w:ascii="Arial" w:hAnsi="Arial" w:cs="Arial"/>
          <w:sz w:val="20"/>
          <w:szCs w:val="20"/>
        </w:rPr>
        <w:t xml:space="preserve"> Reasoning sufficient to demonstrate that the opinion formed by an expert is the product of the application of his or her specialised knowledge need not be limited to formal induction or deduction. Speculation, however, is not reasoning</w:t>
      </w:r>
      <w:r>
        <w:rPr>
          <w:rFonts w:ascii="Arial" w:hAnsi="Arial" w:cs="Arial"/>
          <w:sz w:val="20"/>
          <w:szCs w:val="20"/>
        </w:rPr>
        <w:t xml:space="preserve">: </w:t>
      </w:r>
      <w:r w:rsidRPr="00AC6BFB">
        <w:rPr>
          <w:rFonts w:ascii="Arial" w:hAnsi="Arial" w:cs="Arial"/>
          <w:i/>
          <w:iCs/>
          <w:sz w:val="20"/>
          <w:szCs w:val="20"/>
        </w:rPr>
        <w:t>HG v The Queen</w:t>
      </w:r>
      <w:r w:rsidRPr="005C1DBA">
        <w:rPr>
          <w:rFonts w:ascii="Arial" w:hAnsi="Arial" w:cs="Arial"/>
          <w:sz w:val="20"/>
          <w:szCs w:val="20"/>
        </w:rPr>
        <w:t xml:space="preserve"> (1999) 197 CLR 414 at 428 [41].</w:t>
      </w:r>
      <w:r>
        <w:rPr>
          <w:rFonts w:ascii="Arial" w:hAnsi="Arial" w:cs="Arial"/>
          <w:sz w:val="20"/>
          <w:szCs w:val="20"/>
        </w:rPr>
        <w:t xml:space="preserve">  </w:t>
      </w:r>
      <w:r w:rsidR="005C1DBA" w:rsidRPr="005C1DBA">
        <w:rPr>
          <w:rFonts w:ascii="Arial" w:hAnsi="Arial" w:cs="Arial"/>
          <w:sz w:val="20"/>
          <w:szCs w:val="20"/>
        </w:rPr>
        <w:t>Nor is intuition. Writing extra-</w:t>
      </w:r>
      <w:proofErr w:type="spellStart"/>
      <w:r w:rsidR="005C1DBA" w:rsidRPr="005C1DBA">
        <w:rPr>
          <w:rFonts w:ascii="Arial" w:hAnsi="Arial" w:cs="Arial"/>
          <w:sz w:val="20"/>
          <w:szCs w:val="20"/>
        </w:rPr>
        <w:t>curially</w:t>
      </w:r>
      <w:proofErr w:type="spellEnd"/>
      <w:r w:rsidR="005C1DBA" w:rsidRPr="005C1DBA">
        <w:rPr>
          <w:rFonts w:ascii="Arial" w:hAnsi="Arial" w:cs="Arial"/>
          <w:sz w:val="20"/>
          <w:szCs w:val="20"/>
        </w:rPr>
        <w:t xml:space="preserve"> 90 years ago, in a passage adopted judicially in </w:t>
      </w:r>
      <w:r w:rsidR="005C1DBA" w:rsidRPr="0048027E">
        <w:rPr>
          <w:rFonts w:ascii="Arial" w:hAnsi="Arial" w:cs="Arial"/>
          <w:i/>
          <w:iCs/>
          <w:sz w:val="20"/>
          <w:szCs w:val="20"/>
        </w:rPr>
        <w:t>Makita</w:t>
      </w:r>
      <w:r w:rsidR="0048027E">
        <w:rPr>
          <w:rFonts w:ascii="Arial" w:hAnsi="Arial" w:cs="Arial"/>
          <w:i/>
          <w:iCs/>
          <w:sz w:val="20"/>
          <w:szCs w:val="20"/>
        </w:rPr>
        <w:t xml:space="preserve"> </w:t>
      </w:r>
      <w:r w:rsidR="0048027E" w:rsidRPr="005C1DBA">
        <w:rPr>
          <w:rFonts w:ascii="Arial" w:hAnsi="Arial" w:cs="Arial"/>
          <w:sz w:val="20"/>
          <w:szCs w:val="20"/>
        </w:rPr>
        <w:t>(2001) 52 NSWLR 705 at 730 [60]</w:t>
      </w:r>
      <w:r w:rsidR="005C1DBA" w:rsidRPr="005C1DBA">
        <w:rPr>
          <w:rFonts w:ascii="Arial" w:hAnsi="Arial" w:cs="Arial"/>
          <w:sz w:val="20"/>
          <w:szCs w:val="20"/>
        </w:rPr>
        <w:t xml:space="preserve"> and many times elsewhere</w:t>
      </w:r>
      <w:r w:rsidR="0048027E">
        <w:rPr>
          <w:rFonts w:ascii="Arial" w:hAnsi="Arial" w:cs="Arial"/>
          <w:sz w:val="20"/>
          <w:szCs w:val="20"/>
        </w:rPr>
        <w:t xml:space="preserve"> {</w:t>
      </w:r>
      <w:proofErr w:type="spellStart"/>
      <w:r w:rsidR="0048027E" w:rsidRPr="005C1DBA">
        <w:rPr>
          <w:rFonts w:ascii="Arial" w:hAnsi="Arial" w:cs="Arial"/>
          <w:sz w:val="20"/>
          <w:szCs w:val="20"/>
        </w:rPr>
        <w:t>eg</w:t>
      </w:r>
      <w:proofErr w:type="spellEnd"/>
      <w:r w:rsidR="0048027E" w:rsidRPr="005C1DBA">
        <w:rPr>
          <w:rFonts w:ascii="Arial" w:hAnsi="Arial" w:cs="Arial"/>
          <w:sz w:val="20"/>
          <w:szCs w:val="20"/>
        </w:rPr>
        <w:t xml:space="preserve"> </w:t>
      </w:r>
      <w:r w:rsidR="0048027E" w:rsidRPr="0048027E">
        <w:rPr>
          <w:rFonts w:ascii="Arial" w:hAnsi="Arial" w:cs="Arial"/>
          <w:i/>
          <w:iCs/>
          <w:sz w:val="20"/>
          <w:szCs w:val="20"/>
        </w:rPr>
        <w:t xml:space="preserve">R v Jenkins; Ex </w:t>
      </w:r>
      <w:proofErr w:type="spellStart"/>
      <w:r w:rsidR="0048027E" w:rsidRPr="0048027E">
        <w:rPr>
          <w:rFonts w:ascii="Arial" w:hAnsi="Arial" w:cs="Arial"/>
          <w:i/>
          <w:iCs/>
          <w:sz w:val="20"/>
          <w:szCs w:val="20"/>
        </w:rPr>
        <w:t>parte</w:t>
      </w:r>
      <w:proofErr w:type="spellEnd"/>
      <w:r w:rsidR="0048027E" w:rsidRPr="0048027E">
        <w:rPr>
          <w:rFonts w:ascii="Arial" w:hAnsi="Arial" w:cs="Arial"/>
          <w:i/>
          <w:iCs/>
          <w:sz w:val="20"/>
          <w:szCs w:val="20"/>
        </w:rPr>
        <w:t xml:space="preserve"> Morrison</w:t>
      </w:r>
      <w:r w:rsidR="0048027E" w:rsidRPr="005C1DBA">
        <w:rPr>
          <w:rFonts w:ascii="Arial" w:hAnsi="Arial" w:cs="Arial"/>
          <w:sz w:val="20"/>
          <w:szCs w:val="20"/>
        </w:rPr>
        <w:t xml:space="preserve"> [1949] VLR 277 at 303, approved in </w:t>
      </w:r>
      <w:r w:rsidR="0048027E" w:rsidRPr="0048027E">
        <w:rPr>
          <w:rFonts w:ascii="Arial" w:hAnsi="Arial" w:cs="Arial"/>
          <w:i/>
          <w:iCs/>
          <w:sz w:val="20"/>
          <w:szCs w:val="20"/>
        </w:rPr>
        <w:t>Morrison v Jenkins</w:t>
      </w:r>
      <w:r w:rsidR="0048027E" w:rsidRPr="005C1DBA">
        <w:rPr>
          <w:rFonts w:ascii="Arial" w:hAnsi="Arial" w:cs="Arial"/>
          <w:sz w:val="20"/>
          <w:szCs w:val="20"/>
        </w:rPr>
        <w:t xml:space="preserve"> (1949) 80 CLR 626 at 637, 641; </w:t>
      </w:r>
      <w:r w:rsidR="0048027E" w:rsidRPr="0048027E">
        <w:rPr>
          <w:rFonts w:ascii="Arial" w:hAnsi="Arial" w:cs="Arial"/>
          <w:i/>
          <w:iCs/>
          <w:sz w:val="20"/>
          <w:szCs w:val="20"/>
        </w:rPr>
        <w:t>R v Juric</w:t>
      </w:r>
      <w:r w:rsidR="0048027E" w:rsidRPr="005C1DBA">
        <w:rPr>
          <w:rFonts w:ascii="Arial" w:hAnsi="Arial" w:cs="Arial"/>
          <w:sz w:val="20"/>
          <w:szCs w:val="20"/>
        </w:rPr>
        <w:t xml:space="preserve"> (2002) 4 VR 411 at 426 [19]; </w:t>
      </w:r>
      <w:r w:rsidR="0048027E" w:rsidRPr="0048027E">
        <w:rPr>
          <w:rFonts w:ascii="Arial" w:hAnsi="Arial" w:cs="Arial"/>
          <w:i/>
          <w:iCs/>
          <w:sz w:val="20"/>
          <w:szCs w:val="20"/>
        </w:rPr>
        <w:t>Samuels v Flavel</w:t>
      </w:r>
      <w:r w:rsidR="0048027E" w:rsidRPr="005C1DBA">
        <w:rPr>
          <w:rFonts w:ascii="Arial" w:hAnsi="Arial" w:cs="Arial"/>
          <w:sz w:val="20"/>
          <w:szCs w:val="20"/>
        </w:rPr>
        <w:t xml:space="preserve"> [1970] SASR 256 at 260; </w:t>
      </w:r>
      <w:proofErr w:type="spellStart"/>
      <w:r w:rsidR="0048027E" w:rsidRPr="0048027E">
        <w:rPr>
          <w:rFonts w:ascii="Arial" w:hAnsi="Arial" w:cs="Arial"/>
          <w:i/>
          <w:iCs/>
          <w:sz w:val="20"/>
          <w:szCs w:val="20"/>
        </w:rPr>
        <w:t>Dasreef</w:t>
      </w:r>
      <w:proofErr w:type="spellEnd"/>
      <w:r w:rsidR="0048027E" w:rsidRPr="0048027E">
        <w:rPr>
          <w:rFonts w:ascii="Arial" w:hAnsi="Arial" w:cs="Arial"/>
          <w:i/>
          <w:iCs/>
          <w:sz w:val="20"/>
          <w:szCs w:val="20"/>
        </w:rPr>
        <w:t xml:space="preserve"> Pty Ltd v </w:t>
      </w:r>
      <w:proofErr w:type="spellStart"/>
      <w:r w:rsidR="0048027E" w:rsidRPr="0048027E">
        <w:rPr>
          <w:rFonts w:ascii="Arial" w:hAnsi="Arial" w:cs="Arial"/>
          <w:i/>
          <w:iCs/>
          <w:sz w:val="20"/>
          <w:szCs w:val="20"/>
        </w:rPr>
        <w:t>Hawchar</w:t>
      </w:r>
      <w:proofErr w:type="spellEnd"/>
      <w:r w:rsidR="0048027E" w:rsidRPr="005C1DBA">
        <w:rPr>
          <w:rFonts w:ascii="Arial" w:hAnsi="Arial" w:cs="Arial"/>
          <w:sz w:val="20"/>
          <w:szCs w:val="20"/>
        </w:rPr>
        <w:t xml:space="preserve"> (2011) 243 CLR 588 at 623 [92]</w:t>
      </w:r>
      <w:r w:rsidR="0048027E">
        <w:rPr>
          <w:rFonts w:ascii="Arial" w:hAnsi="Arial" w:cs="Arial"/>
          <w:sz w:val="20"/>
          <w:szCs w:val="20"/>
        </w:rPr>
        <w:t>},</w:t>
      </w:r>
      <w:r w:rsidR="005C1DBA" w:rsidRPr="005C1DBA">
        <w:rPr>
          <w:rFonts w:ascii="Arial" w:hAnsi="Arial" w:cs="Arial"/>
          <w:sz w:val="20"/>
          <w:szCs w:val="20"/>
        </w:rPr>
        <w:t xml:space="preserve"> Sir Owen Dixon observed that </w:t>
      </w:r>
      <w:r w:rsidR="00722F42">
        <w:rPr>
          <w:rFonts w:ascii="Arial" w:hAnsi="Arial" w:cs="Arial"/>
          <w:sz w:val="20"/>
          <w:szCs w:val="20"/>
        </w:rPr>
        <w:t>‘</w:t>
      </w:r>
      <w:r w:rsidR="005C1DBA" w:rsidRPr="005C1DBA">
        <w:rPr>
          <w:rFonts w:ascii="Arial" w:hAnsi="Arial" w:cs="Arial"/>
          <w:sz w:val="20"/>
          <w:szCs w:val="20"/>
        </w:rPr>
        <w:t>courts cannot be expected to act upon opinions the basis of which is unexplained</w:t>
      </w:r>
      <w:r w:rsidR="00722F42">
        <w:rPr>
          <w:rFonts w:ascii="Arial" w:hAnsi="Arial" w:cs="Arial"/>
          <w:sz w:val="20"/>
          <w:szCs w:val="20"/>
        </w:rPr>
        <w:t xml:space="preserve">’: </w:t>
      </w:r>
      <w:r w:rsidR="00722F42" w:rsidRPr="005C1DBA">
        <w:rPr>
          <w:rFonts w:ascii="Arial" w:hAnsi="Arial" w:cs="Arial"/>
          <w:sz w:val="20"/>
          <w:szCs w:val="20"/>
        </w:rPr>
        <w:t xml:space="preserve">Dixon, "Science and Judicial Proceedings", in </w:t>
      </w:r>
      <w:proofErr w:type="spellStart"/>
      <w:r w:rsidR="00722F42" w:rsidRPr="005C1DBA">
        <w:rPr>
          <w:rFonts w:ascii="Arial" w:hAnsi="Arial" w:cs="Arial"/>
          <w:sz w:val="20"/>
          <w:szCs w:val="20"/>
        </w:rPr>
        <w:t>Crennan</w:t>
      </w:r>
      <w:proofErr w:type="spellEnd"/>
      <w:r w:rsidR="00722F42" w:rsidRPr="005C1DBA">
        <w:rPr>
          <w:rFonts w:ascii="Arial" w:hAnsi="Arial" w:cs="Arial"/>
          <w:sz w:val="20"/>
          <w:szCs w:val="20"/>
        </w:rPr>
        <w:t xml:space="preserve"> and </w:t>
      </w:r>
      <w:proofErr w:type="spellStart"/>
      <w:r w:rsidR="00722F42" w:rsidRPr="005C1DBA">
        <w:rPr>
          <w:rFonts w:ascii="Arial" w:hAnsi="Arial" w:cs="Arial"/>
          <w:sz w:val="20"/>
          <w:szCs w:val="20"/>
        </w:rPr>
        <w:t>Gummow</w:t>
      </w:r>
      <w:proofErr w:type="spellEnd"/>
      <w:r w:rsidR="00722F42" w:rsidRPr="005C1DBA">
        <w:rPr>
          <w:rFonts w:ascii="Arial" w:hAnsi="Arial" w:cs="Arial"/>
          <w:sz w:val="20"/>
          <w:szCs w:val="20"/>
        </w:rPr>
        <w:t xml:space="preserve"> (eds), Jesting Pilate, 3rd ed (2019) 124 at 130.</w:t>
      </w:r>
      <w:r w:rsidR="005C1DBA" w:rsidRPr="005C1DBA">
        <w:rPr>
          <w:rFonts w:ascii="Arial" w:hAnsi="Arial" w:cs="Arial"/>
          <w:sz w:val="20"/>
          <w:szCs w:val="20"/>
        </w:rPr>
        <w:t xml:space="preserve"> He continued: </w:t>
      </w:r>
      <w:r w:rsidR="00722F42">
        <w:rPr>
          <w:rFonts w:ascii="Arial" w:hAnsi="Arial" w:cs="Arial"/>
          <w:sz w:val="20"/>
          <w:szCs w:val="20"/>
        </w:rPr>
        <w:t>‘</w:t>
      </w:r>
      <w:r w:rsidR="005C1DBA" w:rsidRPr="005C1DBA">
        <w:rPr>
          <w:rFonts w:ascii="Arial" w:hAnsi="Arial" w:cs="Arial"/>
          <w:sz w:val="20"/>
          <w:szCs w:val="20"/>
        </w:rPr>
        <w:t>[h]</w:t>
      </w:r>
      <w:proofErr w:type="spellStart"/>
      <w:r w:rsidR="005C1DBA" w:rsidRPr="005C1DBA">
        <w:rPr>
          <w:rFonts w:ascii="Arial" w:hAnsi="Arial" w:cs="Arial"/>
          <w:sz w:val="20"/>
          <w:szCs w:val="20"/>
        </w:rPr>
        <w:t>owever</w:t>
      </w:r>
      <w:proofErr w:type="spellEnd"/>
      <w:r w:rsidR="005C1DBA" w:rsidRPr="005C1DBA">
        <w:rPr>
          <w:rFonts w:ascii="Arial" w:hAnsi="Arial" w:cs="Arial"/>
          <w:sz w:val="20"/>
          <w:szCs w:val="20"/>
        </w:rPr>
        <w:t xml:space="preserve"> valuable intuitive judgment founded upon experience may be in diagnosis and treatment, it requires the justification of reasoned explanation when its conclusions are controverted</w:t>
      </w:r>
      <w:r w:rsidR="00722F42">
        <w:rPr>
          <w:rFonts w:ascii="Arial" w:hAnsi="Arial" w:cs="Arial"/>
          <w:sz w:val="20"/>
          <w:szCs w:val="20"/>
        </w:rPr>
        <w:t xml:space="preserve">’: see also </w:t>
      </w:r>
      <w:proofErr w:type="spellStart"/>
      <w:r w:rsidR="00722F42" w:rsidRPr="00722F42">
        <w:rPr>
          <w:rFonts w:ascii="Arial" w:hAnsi="Arial" w:cs="Arial"/>
          <w:i/>
          <w:iCs/>
          <w:sz w:val="20"/>
          <w:szCs w:val="20"/>
        </w:rPr>
        <w:t>Dasreef</w:t>
      </w:r>
      <w:proofErr w:type="spellEnd"/>
      <w:r w:rsidR="00722F42" w:rsidRPr="00722F42">
        <w:rPr>
          <w:rFonts w:ascii="Arial" w:hAnsi="Arial" w:cs="Arial"/>
          <w:i/>
          <w:iCs/>
          <w:sz w:val="20"/>
          <w:szCs w:val="20"/>
        </w:rPr>
        <w:t xml:space="preserve"> Pty Ltd v </w:t>
      </w:r>
      <w:proofErr w:type="spellStart"/>
      <w:r w:rsidR="00722F42" w:rsidRPr="00722F42">
        <w:rPr>
          <w:rFonts w:ascii="Arial" w:hAnsi="Arial" w:cs="Arial"/>
          <w:i/>
          <w:iCs/>
          <w:sz w:val="20"/>
          <w:szCs w:val="20"/>
        </w:rPr>
        <w:t>Hawchar</w:t>
      </w:r>
      <w:proofErr w:type="spellEnd"/>
      <w:r w:rsidR="00722F42" w:rsidRPr="005C1DBA">
        <w:rPr>
          <w:rFonts w:ascii="Arial" w:hAnsi="Arial" w:cs="Arial"/>
          <w:sz w:val="20"/>
          <w:szCs w:val="20"/>
        </w:rPr>
        <w:t xml:space="preserve"> (2011) 243 CLR 588 at 623 [92].</w:t>
      </w:r>
    </w:p>
    <w:p w14:paraId="1D1CD049" w14:textId="77777777" w:rsidR="00322E63" w:rsidRDefault="0048027E" w:rsidP="00322E63">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14</w:t>
      </w:r>
      <w:r>
        <w:rPr>
          <w:rFonts w:ascii="Arial" w:hAnsi="Arial" w:cs="Arial"/>
          <w:sz w:val="20"/>
          <w:szCs w:val="20"/>
        </w:rPr>
        <w:t>]</w:t>
      </w:r>
      <w:r w:rsidR="005C1DBA" w:rsidRPr="005C1DBA">
        <w:rPr>
          <w:rFonts w:ascii="Arial" w:hAnsi="Arial" w:cs="Arial"/>
          <w:sz w:val="20"/>
          <w:szCs w:val="20"/>
        </w:rPr>
        <w:t xml:space="preserve"> That is not to say that the permissible reasoning of an expert must be confined to matching an observed or assumed pattern of fact to patterns of fact encountered by the expert in the past. To adapt a comment made by the Supreme Court of the United States</w:t>
      </w:r>
      <w:r w:rsidR="00322E63">
        <w:rPr>
          <w:rFonts w:ascii="Arial" w:hAnsi="Arial" w:cs="Arial"/>
          <w:sz w:val="20"/>
          <w:szCs w:val="20"/>
        </w:rPr>
        <w:t xml:space="preserve"> in </w:t>
      </w:r>
      <w:r w:rsidR="00322E63" w:rsidRPr="00322E63">
        <w:rPr>
          <w:rFonts w:ascii="Arial" w:hAnsi="Arial" w:cs="Arial"/>
          <w:i/>
          <w:iCs/>
          <w:sz w:val="20"/>
          <w:szCs w:val="20"/>
        </w:rPr>
        <w:t>General Electric Co v Joiner</w:t>
      </w:r>
      <w:r w:rsidR="00322E63" w:rsidRPr="005C1DBA">
        <w:rPr>
          <w:rFonts w:ascii="Arial" w:hAnsi="Arial" w:cs="Arial"/>
          <w:sz w:val="20"/>
          <w:szCs w:val="20"/>
        </w:rPr>
        <w:t xml:space="preserve"> (1997) 522 US 136 at 146</w:t>
      </w:r>
      <w:r w:rsidR="00322E63">
        <w:rPr>
          <w:rFonts w:ascii="Arial" w:hAnsi="Arial" w:cs="Arial"/>
          <w:sz w:val="20"/>
          <w:szCs w:val="20"/>
        </w:rPr>
        <w:t xml:space="preserve"> </w:t>
      </w:r>
      <w:r w:rsidR="005C1DBA" w:rsidRPr="005C1DBA">
        <w:rPr>
          <w:rFonts w:ascii="Arial" w:hAnsi="Arial" w:cs="Arial"/>
          <w:sz w:val="20"/>
          <w:szCs w:val="20"/>
        </w:rPr>
        <w:t xml:space="preserve">in relation to </w:t>
      </w:r>
      <w:r w:rsidR="00322E63">
        <w:rPr>
          <w:rFonts w:ascii="Arial" w:hAnsi="Arial" w:cs="Arial"/>
          <w:sz w:val="20"/>
          <w:szCs w:val="20"/>
        </w:rPr>
        <w:t>F</w:t>
      </w:r>
      <w:r w:rsidR="005C1DBA" w:rsidRPr="005C1DBA">
        <w:rPr>
          <w:rFonts w:ascii="Arial" w:hAnsi="Arial" w:cs="Arial"/>
          <w:sz w:val="20"/>
          <w:szCs w:val="20"/>
        </w:rPr>
        <w:t xml:space="preserve">ederal rule </w:t>
      </w:r>
      <w:r w:rsidR="00322E63">
        <w:rPr>
          <w:rFonts w:ascii="Arial" w:hAnsi="Arial" w:cs="Arial"/>
          <w:sz w:val="20"/>
          <w:szCs w:val="20"/>
        </w:rPr>
        <w:t xml:space="preserve">702 </w:t>
      </w:r>
      <w:r w:rsidR="005C1DBA" w:rsidRPr="005C1DBA">
        <w:rPr>
          <w:rFonts w:ascii="Arial" w:hAnsi="Arial" w:cs="Arial"/>
          <w:sz w:val="20"/>
          <w:szCs w:val="20"/>
        </w:rPr>
        <w:t>of evidence</w:t>
      </w:r>
      <w:r w:rsidR="00322E63">
        <w:rPr>
          <w:rFonts w:ascii="Arial" w:hAnsi="Arial" w:cs="Arial"/>
          <w:sz w:val="20"/>
          <w:szCs w:val="20"/>
        </w:rPr>
        <w:t xml:space="preserve"> </w:t>
      </w:r>
      <w:r w:rsidR="005C1DBA" w:rsidRPr="005C1DBA">
        <w:rPr>
          <w:rFonts w:ascii="Arial" w:hAnsi="Arial" w:cs="Arial"/>
          <w:sz w:val="20"/>
          <w:szCs w:val="20"/>
        </w:rPr>
        <w:t xml:space="preserve">which there permits expert testimony to be given in the form of an opinion if </w:t>
      </w:r>
      <w:r w:rsidR="00322E63">
        <w:rPr>
          <w:rFonts w:ascii="Arial" w:hAnsi="Arial" w:cs="Arial"/>
          <w:sz w:val="20"/>
          <w:szCs w:val="20"/>
        </w:rPr>
        <w:t>‘</w:t>
      </w:r>
      <w:r w:rsidR="005C1DBA" w:rsidRPr="005C1DBA">
        <w:rPr>
          <w:rFonts w:ascii="Arial" w:hAnsi="Arial" w:cs="Arial"/>
          <w:sz w:val="20"/>
          <w:szCs w:val="20"/>
        </w:rPr>
        <w:t>scientific, technical, or other specialized knowledge will assist the trier of fact to understand the evidence or to determine a fact in issue</w:t>
      </w:r>
      <w:r w:rsidR="00322E63">
        <w:rPr>
          <w:rFonts w:ascii="Arial" w:hAnsi="Arial" w:cs="Arial"/>
          <w:sz w:val="20"/>
          <w:szCs w:val="20"/>
        </w:rPr>
        <w:t>’</w:t>
      </w:r>
      <w:r w:rsidR="005C1DBA" w:rsidRPr="005C1DBA">
        <w:rPr>
          <w:rFonts w:ascii="Arial" w:hAnsi="Arial" w:cs="Arial"/>
          <w:sz w:val="20"/>
          <w:szCs w:val="20"/>
        </w:rPr>
        <w:t>:</w:t>
      </w:r>
    </w:p>
    <w:p w14:paraId="09C1C7AA" w14:textId="77A7911D" w:rsidR="00322E63" w:rsidRPr="00322E63" w:rsidRDefault="00322E63" w:rsidP="00322E63">
      <w:pPr>
        <w:spacing w:before="60"/>
        <w:ind w:left="1021" w:right="1021"/>
        <w:jc w:val="both"/>
        <w:rPr>
          <w:rFonts w:ascii="Arial" w:hAnsi="Arial" w:cs="Arial"/>
          <w:sz w:val="18"/>
          <w:szCs w:val="18"/>
        </w:rPr>
      </w:pPr>
      <w:r>
        <w:rPr>
          <w:rFonts w:ascii="Arial" w:hAnsi="Arial" w:cs="Arial"/>
          <w:sz w:val="20"/>
          <w:szCs w:val="20"/>
        </w:rPr>
        <w:t>‘</w:t>
      </w:r>
      <w:r w:rsidRPr="00322E63">
        <w:rPr>
          <w:rFonts w:ascii="Arial" w:hAnsi="Arial" w:cs="Arial"/>
          <w:sz w:val="18"/>
          <w:szCs w:val="18"/>
        </w:rPr>
        <w:t xml:space="preserve">Trained experts commonly extrapolate from existing data. But nothing ... requires a ... court to admit opinion evidence that is connected to existing data only by the </w:t>
      </w:r>
      <w:r w:rsidRPr="00322E63">
        <w:rPr>
          <w:rFonts w:ascii="Arial" w:hAnsi="Arial" w:cs="Arial"/>
          <w:i/>
          <w:iCs/>
          <w:sz w:val="18"/>
          <w:szCs w:val="18"/>
        </w:rPr>
        <w:t>ipse dixit</w:t>
      </w:r>
      <w:r w:rsidRPr="00322E63">
        <w:rPr>
          <w:rFonts w:ascii="Arial" w:hAnsi="Arial" w:cs="Arial"/>
          <w:sz w:val="18"/>
          <w:szCs w:val="18"/>
        </w:rPr>
        <w:t xml:space="preserve"> of the expert. A court may conclude that there is simply too great an analytical gap between the data and the opinion proffered.</w:t>
      </w:r>
      <w:r>
        <w:rPr>
          <w:rFonts w:ascii="Arial" w:hAnsi="Arial" w:cs="Arial"/>
          <w:sz w:val="18"/>
          <w:szCs w:val="18"/>
        </w:rPr>
        <w:t>’</w:t>
      </w:r>
    </w:p>
    <w:p w14:paraId="1E69BDC5" w14:textId="66083FFC" w:rsidR="00322E63" w:rsidRDefault="0048027E"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15</w:t>
      </w:r>
      <w:r>
        <w:rPr>
          <w:rFonts w:ascii="Arial" w:hAnsi="Arial" w:cs="Arial"/>
          <w:sz w:val="20"/>
          <w:szCs w:val="20"/>
        </w:rPr>
        <w:t>]</w:t>
      </w:r>
      <w:r w:rsidR="005C1DBA" w:rsidRPr="005C1DBA">
        <w:rPr>
          <w:rFonts w:ascii="Arial" w:hAnsi="Arial" w:cs="Arial"/>
          <w:sz w:val="20"/>
          <w:szCs w:val="20"/>
        </w:rPr>
        <w:t xml:space="preserve"> Here, it is important to highlight a distinction touched on but not elaborated upon in </w:t>
      </w:r>
      <w:r w:rsidR="005C1DBA" w:rsidRPr="00322E63">
        <w:rPr>
          <w:rFonts w:ascii="Arial" w:hAnsi="Arial" w:cs="Arial"/>
          <w:i/>
          <w:iCs/>
          <w:sz w:val="20"/>
          <w:szCs w:val="20"/>
        </w:rPr>
        <w:t>Makita</w:t>
      </w:r>
      <w:r w:rsidR="00322E63">
        <w:rPr>
          <w:rFonts w:ascii="Arial" w:hAnsi="Arial" w:cs="Arial"/>
          <w:sz w:val="20"/>
          <w:szCs w:val="20"/>
        </w:rPr>
        <w:t xml:space="preserve"> at [85]-[86]</w:t>
      </w:r>
      <w:r w:rsidR="005C1DBA" w:rsidRPr="005C1DBA">
        <w:rPr>
          <w:rFonts w:ascii="Arial" w:hAnsi="Arial" w:cs="Arial"/>
          <w:sz w:val="20"/>
          <w:szCs w:val="20"/>
        </w:rPr>
        <w:t>. The distinction is between the present question as to whether a process of reasoning engaged in by an expert is sufficient to demonstrate that his or her opinion is the product of the application of specialised knowledge and the question of the extent to which a process of reasoning engaged in by an expert through the application of specialised knowledge is clear and convincing. Both questions can be described as going to the utility or value of the opinion</w:t>
      </w:r>
      <w:r w:rsidR="00484192">
        <w:rPr>
          <w:rFonts w:ascii="Arial" w:hAnsi="Arial" w:cs="Arial"/>
          <w:sz w:val="20"/>
          <w:szCs w:val="20"/>
        </w:rPr>
        <w:t xml:space="preserve">: </w:t>
      </w:r>
      <w:r w:rsidR="00484192" w:rsidRPr="00484192">
        <w:rPr>
          <w:rFonts w:ascii="Arial" w:hAnsi="Arial" w:cs="Arial"/>
          <w:i/>
          <w:iCs/>
          <w:sz w:val="20"/>
          <w:szCs w:val="20"/>
        </w:rPr>
        <w:t xml:space="preserve">Makita (Australia) Pty Ltd v </w:t>
      </w:r>
      <w:proofErr w:type="spellStart"/>
      <w:r w:rsidR="00484192" w:rsidRPr="00484192">
        <w:rPr>
          <w:rFonts w:ascii="Arial" w:hAnsi="Arial" w:cs="Arial"/>
          <w:i/>
          <w:iCs/>
          <w:sz w:val="20"/>
          <w:szCs w:val="20"/>
        </w:rPr>
        <w:t>Sprowles</w:t>
      </w:r>
      <w:proofErr w:type="spellEnd"/>
      <w:r w:rsidR="00484192" w:rsidRPr="005C1DBA">
        <w:rPr>
          <w:rFonts w:ascii="Arial" w:hAnsi="Arial" w:cs="Arial"/>
          <w:sz w:val="20"/>
          <w:szCs w:val="20"/>
        </w:rPr>
        <w:t xml:space="preserve"> (2001) 52 NSWLR 705 at 732 [66], 733 [68]- [69], 735 [72].</w:t>
      </w:r>
    </w:p>
    <w:p w14:paraId="067BE5F5" w14:textId="770BC179" w:rsidR="00322E63" w:rsidRDefault="00322E63"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16</w:t>
      </w:r>
      <w:r>
        <w:rPr>
          <w:rFonts w:ascii="Arial" w:hAnsi="Arial" w:cs="Arial"/>
          <w:sz w:val="20"/>
          <w:szCs w:val="20"/>
        </w:rPr>
        <w:t>]</w:t>
      </w:r>
      <w:r w:rsidR="005C1DBA" w:rsidRPr="005C1DBA">
        <w:rPr>
          <w:rFonts w:ascii="Arial" w:hAnsi="Arial" w:cs="Arial"/>
          <w:sz w:val="20"/>
          <w:szCs w:val="20"/>
        </w:rPr>
        <w:t xml:space="preserve"> However, it is the present question alone that goes inexorably to the </w:t>
      </w:r>
      <w:r>
        <w:rPr>
          <w:rFonts w:ascii="Arial" w:hAnsi="Arial" w:cs="Arial"/>
          <w:sz w:val="20"/>
          <w:szCs w:val="20"/>
        </w:rPr>
        <w:t>‘</w:t>
      </w:r>
      <w:r w:rsidR="005C1DBA" w:rsidRPr="005C1DBA">
        <w:rPr>
          <w:rFonts w:ascii="Arial" w:hAnsi="Arial" w:cs="Arial"/>
          <w:sz w:val="20"/>
          <w:szCs w:val="20"/>
        </w:rPr>
        <w:t>admissibility</w:t>
      </w:r>
      <w:r>
        <w:rPr>
          <w:rFonts w:ascii="Arial" w:hAnsi="Arial" w:cs="Arial"/>
          <w:sz w:val="20"/>
          <w:szCs w:val="20"/>
        </w:rPr>
        <w:t>’</w:t>
      </w:r>
      <w:r w:rsidR="005C1DBA" w:rsidRPr="005C1DBA">
        <w:rPr>
          <w:rFonts w:ascii="Arial" w:hAnsi="Arial" w:cs="Arial"/>
          <w:sz w:val="20"/>
          <w:szCs w:val="20"/>
        </w:rPr>
        <w:t xml:space="preserve"> of the opinion as distinct from its </w:t>
      </w:r>
      <w:r>
        <w:rPr>
          <w:rFonts w:ascii="Arial" w:hAnsi="Arial" w:cs="Arial"/>
          <w:sz w:val="20"/>
          <w:szCs w:val="20"/>
        </w:rPr>
        <w:t>‘</w:t>
      </w:r>
      <w:r w:rsidR="005C1DBA" w:rsidRPr="005C1DBA">
        <w:rPr>
          <w:rFonts w:ascii="Arial" w:hAnsi="Arial" w:cs="Arial"/>
          <w:sz w:val="20"/>
          <w:szCs w:val="20"/>
        </w:rPr>
        <w:t>weight</w:t>
      </w:r>
      <w:r>
        <w:rPr>
          <w:rFonts w:ascii="Arial" w:hAnsi="Arial" w:cs="Arial"/>
          <w:sz w:val="20"/>
          <w:szCs w:val="20"/>
        </w:rPr>
        <w:t>’</w:t>
      </w:r>
      <w:r w:rsidR="00484192">
        <w:rPr>
          <w:rFonts w:ascii="Arial" w:hAnsi="Arial" w:cs="Arial"/>
          <w:sz w:val="20"/>
          <w:szCs w:val="20"/>
        </w:rPr>
        <w:t xml:space="preserve">: </w:t>
      </w:r>
      <w:proofErr w:type="spellStart"/>
      <w:r w:rsidR="00484192" w:rsidRPr="00484192">
        <w:rPr>
          <w:rFonts w:ascii="Arial" w:hAnsi="Arial" w:cs="Arial"/>
          <w:i/>
          <w:iCs/>
          <w:sz w:val="20"/>
          <w:szCs w:val="20"/>
        </w:rPr>
        <w:t>Dasreef</w:t>
      </w:r>
      <w:proofErr w:type="spellEnd"/>
      <w:r w:rsidR="00484192" w:rsidRPr="00484192">
        <w:rPr>
          <w:rFonts w:ascii="Arial" w:hAnsi="Arial" w:cs="Arial"/>
          <w:i/>
          <w:iCs/>
          <w:sz w:val="20"/>
          <w:szCs w:val="20"/>
        </w:rPr>
        <w:t xml:space="preserve"> Pty Ltd v </w:t>
      </w:r>
      <w:proofErr w:type="spellStart"/>
      <w:r w:rsidR="00484192" w:rsidRPr="00484192">
        <w:rPr>
          <w:rFonts w:ascii="Arial" w:hAnsi="Arial" w:cs="Arial"/>
          <w:i/>
          <w:iCs/>
          <w:sz w:val="20"/>
          <w:szCs w:val="20"/>
        </w:rPr>
        <w:t>Hawchar</w:t>
      </w:r>
      <w:proofErr w:type="spellEnd"/>
      <w:r w:rsidR="00484192" w:rsidRPr="005C1DBA">
        <w:rPr>
          <w:rFonts w:ascii="Arial" w:hAnsi="Arial" w:cs="Arial"/>
          <w:sz w:val="20"/>
          <w:szCs w:val="20"/>
        </w:rPr>
        <w:t xml:space="preserve"> (2011) 243 CLR 588 at 605 [42</w:t>
      </w:r>
      <w:r w:rsidR="00484192">
        <w:rPr>
          <w:rFonts w:ascii="Arial" w:hAnsi="Arial" w:cs="Arial"/>
          <w:sz w:val="20"/>
          <w:szCs w:val="20"/>
        </w:rPr>
        <w:t>]</w:t>
      </w:r>
      <w:r w:rsidR="005C1DBA" w:rsidRPr="005C1DBA">
        <w:rPr>
          <w:rFonts w:ascii="Arial" w:hAnsi="Arial" w:cs="Arial"/>
          <w:sz w:val="20"/>
          <w:szCs w:val="20"/>
        </w:rPr>
        <w:t xml:space="preserve">. In addressing the present question of whether the opinion satisfies the condition of admissibility that the opinion be demonstrated to be based on specialised knowledge or experience of the expert, lack of cogency in so much of the reasoning as is found to involve application of specialised knowledge is not to the point: </w:t>
      </w:r>
      <w:r w:rsidR="007F4A62">
        <w:rPr>
          <w:rFonts w:ascii="Arial" w:hAnsi="Arial" w:cs="Arial"/>
          <w:sz w:val="20"/>
          <w:szCs w:val="20"/>
        </w:rPr>
        <w:t>‘</w:t>
      </w:r>
      <w:r w:rsidR="005C1DBA" w:rsidRPr="005C1DBA">
        <w:rPr>
          <w:rFonts w:ascii="Arial" w:hAnsi="Arial" w:cs="Arial"/>
          <w:sz w:val="20"/>
          <w:szCs w:val="20"/>
        </w:rPr>
        <w:t>the giving of correct expert evidence cannot be treated as a qualification necessary for giving expert evidence</w:t>
      </w:r>
      <w:r w:rsidR="007F4A62">
        <w:rPr>
          <w:rFonts w:ascii="Arial" w:hAnsi="Arial" w:cs="Arial"/>
          <w:sz w:val="20"/>
          <w:szCs w:val="20"/>
        </w:rPr>
        <w:t xml:space="preserve">’: </w:t>
      </w:r>
      <w:r w:rsidR="007F4A62" w:rsidRPr="007F4A62">
        <w:rPr>
          <w:rFonts w:ascii="Arial" w:hAnsi="Arial" w:cs="Arial"/>
          <w:i/>
          <w:iCs/>
          <w:sz w:val="20"/>
          <w:szCs w:val="20"/>
        </w:rPr>
        <w:t xml:space="preserve">Commissioner for Government Transport v </w:t>
      </w:r>
      <w:proofErr w:type="spellStart"/>
      <w:r w:rsidR="007F4A62" w:rsidRPr="007F4A62">
        <w:rPr>
          <w:rFonts w:ascii="Arial" w:hAnsi="Arial" w:cs="Arial"/>
          <w:i/>
          <w:iCs/>
          <w:sz w:val="20"/>
          <w:szCs w:val="20"/>
        </w:rPr>
        <w:t>Adamcik</w:t>
      </w:r>
      <w:proofErr w:type="spellEnd"/>
      <w:r w:rsidR="007F4A62" w:rsidRPr="005C1DBA">
        <w:rPr>
          <w:rFonts w:ascii="Arial" w:hAnsi="Arial" w:cs="Arial"/>
          <w:sz w:val="20"/>
          <w:szCs w:val="20"/>
        </w:rPr>
        <w:t xml:space="preserve"> (1961) 106 CLR 292 at 303; </w:t>
      </w:r>
      <w:proofErr w:type="spellStart"/>
      <w:r w:rsidR="007F4A62" w:rsidRPr="007F4A62">
        <w:rPr>
          <w:rFonts w:ascii="Arial" w:hAnsi="Arial" w:cs="Arial"/>
          <w:i/>
          <w:iCs/>
          <w:sz w:val="20"/>
          <w:szCs w:val="20"/>
        </w:rPr>
        <w:t>Dasreef</w:t>
      </w:r>
      <w:proofErr w:type="spellEnd"/>
      <w:r w:rsidR="007F4A62" w:rsidRPr="007F4A62">
        <w:rPr>
          <w:rFonts w:ascii="Arial" w:hAnsi="Arial" w:cs="Arial"/>
          <w:i/>
          <w:iCs/>
          <w:sz w:val="20"/>
          <w:szCs w:val="20"/>
        </w:rPr>
        <w:t xml:space="preserve"> Pty Ltd v </w:t>
      </w:r>
      <w:proofErr w:type="spellStart"/>
      <w:r w:rsidR="007F4A62" w:rsidRPr="007F4A62">
        <w:rPr>
          <w:rFonts w:ascii="Arial" w:hAnsi="Arial" w:cs="Arial"/>
          <w:i/>
          <w:iCs/>
          <w:sz w:val="20"/>
          <w:szCs w:val="20"/>
        </w:rPr>
        <w:t>Hawchar</w:t>
      </w:r>
      <w:proofErr w:type="spellEnd"/>
      <w:r w:rsidR="007F4A62" w:rsidRPr="005C1DBA">
        <w:rPr>
          <w:rFonts w:ascii="Arial" w:hAnsi="Arial" w:cs="Arial"/>
          <w:sz w:val="20"/>
          <w:szCs w:val="20"/>
        </w:rPr>
        <w:t xml:space="preserve"> (2011) 243 CLR 588 at 623 [91].</w:t>
      </w:r>
    </w:p>
    <w:p w14:paraId="1EB39BB8" w14:textId="7075CB83" w:rsidR="007F4A62" w:rsidRDefault="00322E63" w:rsidP="00AC6BFB">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17</w:t>
      </w:r>
      <w:r>
        <w:rPr>
          <w:rFonts w:ascii="Arial" w:hAnsi="Arial" w:cs="Arial"/>
          <w:sz w:val="20"/>
          <w:szCs w:val="20"/>
        </w:rPr>
        <w:t>]</w:t>
      </w:r>
      <w:r w:rsidR="005C1DBA" w:rsidRPr="005C1DBA">
        <w:rPr>
          <w:rFonts w:ascii="Arial" w:hAnsi="Arial" w:cs="Arial"/>
          <w:sz w:val="20"/>
          <w:szCs w:val="20"/>
        </w:rPr>
        <w:t xml:space="preserve"> The latter question – as to the cogency of reasoning involving the application of specialised knowledge – can also go to the admissibility of a resultant opinion. But that is only in so far as the degree of cogency of the reasoning bears on the extent to which the resultant opinion has the potential to assist the tribunal of fact in drawing requisite inferences from the evidence and so bears on the calculus to be undertaken by a court if and when the court is asked or required to consider whether the opinion should be excluded on the distinct ground</w:t>
      </w:r>
      <w:r w:rsidR="007F4A62">
        <w:rPr>
          <w:rFonts w:ascii="Arial" w:hAnsi="Arial" w:cs="Arial"/>
          <w:sz w:val="20"/>
          <w:szCs w:val="20"/>
        </w:rPr>
        <w:t xml:space="preserve"> {s</w:t>
      </w:r>
      <w:r w:rsidR="007F4A62" w:rsidRPr="005C1DBA">
        <w:rPr>
          <w:rFonts w:ascii="Arial" w:hAnsi="Arial" w:cs="Arial"/>
          <w:sz w:val="20"/>
          <w:szCs w:val="20"/>
        </w:rPr>
        <w:t xml:space="preserve">ee </w:t>
      </w:r>
      <w:r w:rsidR="007F4A62" w:rsidRPr="007F4A62">
        <w:rPr>
          <w:rFonts w:ascii="Arial" w:hAnsi="Arial" w:cs="Arial"/>
          <w:i/>
          <w:iCs/>
          <w:sz w:val="20"/>
          <w:szCs w:val="20"/>
        </w:rPr>
        <w:t>Stephens v The Queen</w:t>
      </w:r>
      <w:r w:rsidR="007F4A62" w:rsidRPr="005C1DBA">
        <w:rPr>
          <w:rFonts w:ascii="Arial" w:hAnsi="Arial" w:cs="Arial"/>
          <w:sz w:val="20"/>
          <w:szCs w:val="20"/>
        </w:rPr>
        <w:t xml:space="preserve"> (1985) 156 CLR 664 at 669; </w:t>
      </w:r>
      <w:r w:rsidR="007F4A62" w:rsidRPr="007F4A62">
        <w:rPr>
          <w:rFonts w:ascii="Arial" w:hAnsi="Arial" w:cs="Arial"/>
          <w:i/>
          <w:iCs/>
          <w:sz w:val="20"/>
          <w:szCs w:val="20"/>
        </w:rPr>
        <w:t xml:space="preserve">Festa v </w:t>
      </w:r>
      <w:r w:rsidR="007F4A62" w:rsidRPr="007F4A62">
        <w:rPr>
          <w:rFonts w:ascii="Arial" w:hAnsi="Arial" w:cs="Arial"/>
          <w:i/>
          <w:iCs/>
          <w:sz w:val="20"/>
          <w:szCs w:val="20"/>
        </w:rPr>
        <w:lastRenderedPageBreak/>
        <w:t>The Queen</w:t>
      </w:r>
      <w:r w:rsidR="007F4A62" w:rsidRPr="005C1DBA">
        <w:rPr>
          <w:rFonts w:ascii="Arial" w:hAnsi="Arial" w:cs="Arial"/>
          <w:sz w:val="20"/>
          <w:szCs w:val="20"/>
        </w:rPr>
        <w:t xml:space="preserve"> (2001) 208 CLR 593 at 609-610 [51]</w:t>
      </w:r>
      <w:r w:rsidR="007F4A62">
        <w:rPr>
          <w:rFonts w:ascii="Arial" w:hAnsi="Arial" w:cs="Arial"/>
          <w:sz w:val="20"/>
          <w:szCs w:val="20"/>
        </w:rPr>
        <w:t>; s</w:t>
      </w:r>
      <w:r w:rsidR="007F4A62" w:rsidRPr="005C1DBA">
        <w:rPr>
          <w:rFonts w:ascii="Arial" w:hAnsi="Arial" w:cs="Arial"/>
          <w:sz w:val="20"/>
          <w:szCs w:val="20"/>
        </w:rPr>
        <w:t xml:space="preserve">ee also ss 135 and 137 of the </w:t>
      </w:r>
      <w:r w:rsidR="007F4A62" w:rsidRPr="007F4A62">
        <w:rPr>
          <w:rFonts w:ascii="Arial" w:hAnsi="Arial" w:cs="Arial"/>
          <w:i/>
          <w:iCs/>
          <w:sz w:val="20"/>
          <w:szCs w:val="20"/>
        </w:rPr>
        <w:t>Evidence Act 1995 (NSW)</w:t>
      </w:r>
      <w:r w:rsidR="007F4A62" w:rsidRPr="005C1DBA">
        <w:rPr>
          <w:rFonts w:ascii="Arial" w:hAnsi="Arial" w:cs="Arial"/>
          <w:sz w:val="20"/>
          <w:szCs w:val="20"/>
        </w:rPr>
        <w:t xml:space="preserve"> considered in </w:t>
      </w:r>
      <w:proofErr w:type="spellStart"/>
      <w:r w:rsidR="007F4A62" w:rsidRPr="007F4A62">
        <w:rPr>
          <w:rFonts w:ascii="Arial" w:hAnsi="Arial" w:cs="Arial"/>
          <w:i/>
          <w:iCs/>
          <w:sz w:val="20"/>
          <w:szCs w:val="20"/>
        </w:rPr>
        <w:t>Aytugrul</w:t>
      </w:r>
      <w:proofErr w:type="spellEnd"/>
      <w:r w:rsidR="007F4A62" w:rsidRPr="007F4A62">
        <w:rPr>
          <w:rFonts w:ascii="Arial" w:hAnsi="Arial" w:cs="Arial"/>
          <w:i/>
          <w:iCs/>
          <w:sz w:val="20"/>
          <w:szCs w:val="20"/>
        </w:rPr>
        <w:t xml:space="preserve"> v The Queen</w:t>
      </w:r>
      <w:r w:rsidR="007F4A62" w:rsidRPr="005C1DBA">
        <w:rPr>
          <w:rFonts w:ascii="Arial" w:hAnsi="Arial" w:cs="Arial"/>
          <w:sz w:val="20"/>
          <w:szCs w:val="20"/>
        </w:rPr>
        <w:t xml:space="preserve"> (2012) 247 CLR 170 at 186 [32]</w:t>
      </w:r>
      <w:r w:rsidR="007F4A62">
        <w:rPr>
          <w:rFonts w:ascii="Arial" w:hAnsi="Arial" w:cs="Arial"/>
          <w:sz w:val="20"/>
          <w:szCs w:val="20"/>
        </w:rPr>
        <w:t>}</w:t>
      </w:r>
      <w:r w:rsidR="005C1DBA" w:rsidRPr="005C1DBA">
        <w:rPr>
          <w:rFonts w:ascii="Arial" w:hAnsi="Arial" w:cs="Arial"/>
          <w:sz w:val="20"/>
          <w:szCs w:val="20"/>
        </w:rPr>
        <w:t xml:space="preserve"> that the probative value of the opinion is outweighed by its prejudicial effect. Undertaking that calculus by assessing the probative value of the opinion having regard to the cogency of the reasoning proffered in evidence in support of it involves no departure from the now settled principle that the assessment of the probative value of evidence requires that evidence to be </w:t>
      </w:r>
      <w:r w:rsidR="007F4A62">
        <w:rPr>
          <w:rFonts w:ascii="Arial" w:hAnsi="Arial" w:cs="Arial"/>
          <w:sz w:val="20"/>
          <w:szCs w:val="20"/>
        </w:rPr>
        <w:t>‘</w:t>
      </w:r>
      <w:r w:rsidR="005C1DBA" w:rsidRPr="005C1DBA">
        <w:rPr>
          <w:rFonts w:ascii="Arial" w:hAnsi="Arial" w:cs="Arial"/>
          <w:sz w:val="20"/>
          <w:szCs w:val="20"/>
        </w:rPr>
        <w:t>taken at its highest</w:t>
      </w:r>
      <w:r w:rsidR="007F4A62">
        <w:rPr>
          <w:rFonts w:ascii="Arial" w:hAnsi="Arial" w:cs="Arial"/>
          <w:sz w:val="20"/>
          <w:szCs w:val="20"/>
        </w:rPr>
        <w:t>’</w:t>
      </w:r>
      <w:r w:rsidR="005C1DBA" w:rsidRPr="005C1DBA">
        <w:rPr>
          <w:rFonts w:ascii="Arial" w:hAnsi="Arial" w:cs="Arial"/>
          <w:sz w:val="20"/>
          <w:szCs w:val="20"/>
        </w:rPr>
        <w:t>: taking evidence at its highest involves making no assumption that the evidence in question is convincing</w:t>
      </w:r>
      <w:r w:rsidR="007F4A62">
        <w:rPr>
          <w:rFonts w:ascii="Arial" w:hAnsi="Arial" w:cs="Arial"/>
          <w:sz w:val="20"/>
          <w:szCs w:val="20"/>
        </w:rPr>
        <w:t xml:space="preserve">: see </w:t>
      </w:r>
      <w:r w:rsidR="007F4A62" w:rsidRPr="007F4A62">
        <w:rPr>
          <w:rFonts w:ascii="Arial" w:hAnsi="Arial" w:cs="Arial"/>
          <w:i/>
          <w:iCs/>
          <w:sz w:val="20"/>
          <w:szCs w:val="20"/>
        </w:rPr>
        <w:t>IMM v The Queen</w:t>
      </w:r>
      <w:r w:rsidR="007F4A62" w:rsidRPr="005C1DBA">
        <w:rPr>
          <w:rFonts w:ascii="Arial" w:hAnsi="Arial" w:cs="Arial"/>
          <w:sz w:val="20"/>
          <w:szCs w:val="20"/>
        </w:rPr>
        <w:t xml:space="preserve"> (2016) 257 CLR 300 at 314-315 [50]</w:t>
      </w:r>
      <w:r w:rsidR="005C1DBA" w:rsidRPr="005C1DBA">
        <w:rPr>
          <w:rFonts w:ascii="Arial" w:hAnsi="Arial" w:cs="Arial"/>
          <w:sz w:val="20"/>
          <w:szCs w:val="20"/>
        </w:rPr>
        <w:t>. The prejudicial effect which might in an appropriate case be required to be weighed against the probative value of an expert opinion has properly been recognised to be capable of including a risk that a jury might give the opinion more weight than it deserves by reason of a perception of the status of the expert – the so-called "white coat effect" – or by reason of difficulty in assessing information of a technical nature</w:t>
      </w:r>
      <w:r w:rsidR="007F4A62">
        <w:rPr>
          <w:rFonts w:ascii="Arial" w:hAnsi="Arial" w:cs="Arial"/>
          <w:sz w:val="20"/>
          <w:szCs w:val="20"/>
        </w:rPr>
        <w:t xml:space="preserve">: see </w:t>
      </w:r>
      <w:r w:rsidR="007F4A62" w:rsidRPr="007F4A62">
        <w:rPr>
          <w:rFonts w:ascii="Arial" w:hAnsi="Arial" w:cs="Arial"/>
          <w:i/>
          <w:iCs/>
          <w:sz w:val="20"/>
          <w:szCs w:val="20"/>
        </w:rPr>
        <w:t xml:space="preserve">R v </w:t>
      </w:r>
      <w:proofErr w:type="spellStart"/>
      <w:r w:rsidR="007F4A62" w:rsidRPr="007F4A62">
        <w:rPr>
          <w:rFonts w:ascii="Arial" w:hAnsi="Arial" w:cs="Arial"/>
          <w:i/>
          <w:iCs/>
          <w:sz w:val="20"/>
          <w:szCs w:val="20"/>
        </w:rPr>
        <w:t>Sica</w:t>
      </w:r>
      <w:proofErr w:type="spellEnd"/>
      <w:r w:rsidR="007F4A62">
        <w:rPr>
          <w:rFonts w:ascii="Arial" w:hAnsi="Arial" w:cs="Arial"/>
          <w:sz w:val="20"/>
          <w:szCs w:val="20"/>
        </w:rPr>
        <w:t xml:space="preserve"> [2013] QCA 247 at [130].</w:t>
      </w:r>
    </w:p>
    <w:p w14:paraId="0272D8E0" w14:textId="77777777" w:rsidR="007F4A62" w:rsidRDefault="007F4A62" w:rsidP="007F4A62">
      <w:pPr>
        <w:spacing w:before="60"/>
        <w:ind w:left="567" w:right="567"/>
        <w:jc w:val="both"/>
        <w:rPr>
          <w:rFonts w:ascii="Arial" w:hAnsi="Arial" w:cs="Arial"/>
          <w:sz w:val="20"/>
          <w:szCs w:val="20"/>
        </w:rPr>
      </w:pPr>
      <w:r>
        <w:rPr>
          <w:rFonts w:ascii="Arial" w:hAnsi="Arial" w:cs="Arial"/>
          <w:sz w:val="20"/>
          <w:szCs w:val="20"/>
        </w:rPr>
        <w:t xml:space="preserve">[18] </w:t>
      </w:r>
      <w:r w:rsidR="005C1DBA" w:rsidRPr="005C1DBA">
        <w:rPr>
          <w:rFonts w:ascii="Arial" w:hAnsi="Arial" w:cs="Arial"/>
          <w:sz w:val="20"/>
          <w:szCs w:val="20"/>
        </w:rPr>
        <w:t>The latter question does not arise for consideration in the present appeal. The question is not within the scope of the second ground of appeal. The trial judge was not asked to exclude the opinion of Dr Ong on the ground that its probative value was outweighed by its prejudicial effect. No argument was put to the Court of Appeal or to this Court that failure to exclude the opinion on that ground constituted a miscarriage of justice.</w:t>
      </w:r>
    </w:p>
    <w:p w14:paraId="5A15E83A" w14:textId="592FB1F7" w:rsidR="000F2CE5" w:rsidRDefault="007F4A62" w:rsidP="007F4A62">
      <w:pPr>
        <w:spacing w:before="60"/>
        <w:ind w:left="567" w:right="567"/>
        <w:jc w:val="both"/>
        <w:rPr>
          <w:rFonts w:ascii="Arial" w:hAnsi="Arial" w:cs="Arial"/>
          <w:sz w:val="20"/>
          <w:szCs w:val="20"/>
        </w:rPr>
      </w:pPr>
      <w:r>
        <w:rPr>
          <w:rFonts w:ascii="Arial" w:hAnsi="Arial" w:cs="Arial"/>
          <w:sz w:val="20"/>
          <w:szCs w:val="20"/>
        </w:rPr>
        <w:t>[</w:t>
      </w:r>
      <w:r w:rsidR="005C1DBA" w:rsidRPr="005C1DBA">
        <w:rPr>
          <w:rFonts w:ascii="Arial" w:hAnsi="Arial" w:cs="Arial"/>
          <w:sz w:val="20"/>
          <w:szCs w:val="20"/>
        </w:rPr>
        <w:t>19</w:t>
      </w:r>
      <w:r>
        <w:rPr>
          <w:rFonts w:ascii="Arial" w:hAnsi="Arial" w:cs="Arial"/>
          <w:sz w:val="20"/>
          <w:szCs w:val="20"/>
        </w:rPr>
        <w:t>]</w:t>
      </w:r>
      <w:r w:rsidR="005C1DBA" w:rsidRPr="005C1DBA">
        <w:rPr>
          <w:rFonts w:ascii="Arial" w:hAnsi="Arial" w:cs="Arial"/>
          <w:sz w:val="20"/>
          <w:szCs w:val="20"/>
        </w:rPr>
        <w:t xml:space="preserve"> The question for determination on the second ground of appeal therefore reduces to whether the process of reasoning disclosed by Dr Ong's testimony was sufficient to demonstrate that his opinion that Mrs Boyce's wound was more likely to have been inflicted by another person than to have been self-inflicted was the product of his application of the specialised knowledge of the interpretation of incised injuries which he undoubtedly had to the facts which he recounted as having observed when he attended the scene of Mrs Boyce's death and when later he conducted her autopsy.</w:t>
      </w:r>
      <w:r>
        <w:rPr>
          <w:rFonts w:ascii="Arial" w:hAnsi="Arial" w:cs="Arial"/>
          <w:sz w:val="20"/>
          <w:szCs w:val="20"/>
        </w:rPr>
        <w:t>”</w:t>
      </w:r>
    </w:p>
    <w:p w14:paraId="15CB3570" w14:textId="665AFF74" w:rsidR="003A6B6B" w:rsidRDefault="003A6B6B" w:rsidP="007F4A62">
      <w:pPr>
        <w:spacing w:before="60"/>
        <w:ind w:left="567" w:right="567"/>
        <w:jc w:val="both"/>
        <w:rPr>
          <w:rFonts w:ascii="Arial" w:hAnsi="Arial" w:cs="Arial"/>
          <w:sz w:val="20"/>
          <w:szCs w:val="20"/>
        </w:rPr>
      </w:pPr>
      <w:r>
        <w:rPr>
          <w:rFonts w:ascii="Arial" w:hAnsi="Arial" w:cs="Arial"/>
          <w:sz w:val="20"/>
          <w:szCs w:val="20"/>
        </w:rPr>
        <w:t>…</w:t>
      </w:r>
    </w:p>
    <w:p w14:paraId="0396BDA8" w14:textId="7BFA55FB" w:rsidR="003A6B6B" w:rsidRDefault="003A6B6B" w:rsidP="007F4A62">
      <w:pPr>
        <w:spacing w:before="60"/>
        <w:ind w:left="567" w:right="567"/>
        <w:jc w:val="both"/>
        <w:rPr>
          <w:rFonts w:ascii="Arial" w:hAnsi="Arial" w:cs="Arial"/>
          <w:sz w:val="20"/>
          <w:szCs w:val="20"/>
        </w:rPr>
      </w:pPr>
      <w:r>
        <w:rPr>
          <w:rFonts w:ascii="Arial" w:hAnsi="Arial" w:cs="Arial"/>
          <w:sz w:val="20"/>
          <w:szCs w:val="20"/>
        </w:rPr>
        <w:t>[26] “…we cannot conclude that, in engaging in the process of reasoning which led to the formation of the opinion, Dr Ong did other than draw substantially on his specialised knowledge.  Accordingly, the appeal should be dismissed.”</w:t>
      </w:r>
    </w:p>
    <w:p w14:paraId="11210593" w14:textId="77777777" w:rsidR="00185DB2" w:rsidRPr="00E97289" w:rsidRDefault="00185DB2" w:rsidP="00185DB2">
      <w:pPr>
        <w:spacing w:before="120"/>
        <w:jc w:val="both"/>
        <w:rPr>
          <w:rFonts w:ascii="Arial" w:hAnsi="Arial" w:cs="Arial"/>
          <w:sz w:val="20"/>
          <w:szCs w:val="16"/>
        </w:rPr>
      </w:pPr>
      <w:r>
        <w:rPr>
          <w:rFonts w:ascii="Arial" w:hAnsi="Arial" w:cs="Arial"/>
          <w:sz w:val="20"/>
        </w:rPr>
        <w:t xml:space="preserve">See also the </w:t>
      </w:r>
      <w:r w:rsidRPr="00585686">
        <w:rPr>
          <w:rFonts w:ascii="Arial" w:hAnsi="Arial" w:cs="Arial"/>
          <w:sz w:val="20"/>
          <w:szCs w:val="16"/>
        </w:rPr>
        <w:t xml:space="preserve">dicta of </w:t>
      </w:r>
      <w:proofErr w:type="spellStart"/>
      <w:r w:rsidRPr="00585686">
        <w:rPr>
          <w:rFonts w:ascii="Arial" w:hAnsi="Arial" w:cs="Arial"/>
          <w:sz w:val="20"/>
          <w:szCs w:val="16"/>
        </w:rPr>
        <w:t>Jagot</w:t>
      </w:r>
      <w:proofErr w:type="spellEnd"/>
      <w:r w:rsidRPr="00585686">
        <w:rPr>
          <w:rFonts w:ascii="Arial" w:hAnsi="Arial" w:cs="Arial"/>
          <w:sz w:val="20"/>
          <w:szCs w:val="16"/>
        </w:rPr>
        <w:t xml:space="preserve"> J at [428]-[470]</w:t>
      </w:r>
      <w:r>
        <w:rPr>
          <w:rFonts w:ascii="Arial" w:hAnsi="Arial" w:cs="Arial"/>
          <w:sz w:val="20"/>
          <w:szCs w:val="16"/>
        </w:rPr>
        <w:t xml:space="preserve"> and the dicta of </w:t>
      </w:r>
      <w:r w:rsidRPr="00585686">
        <w:rPr>
          <w:rFonts w:ascii="Arial" w:hAnsi="Arial" w:cs="Arial"/>
          <w:sz w:val="20"/>
          <w:szCs w:val="16"/>
        </w:rPr>
        <w:t>Gordon &amp; Edelman JJ at [221]-[229] on admissibility of expert evidence generally and at [230]-[242] on the admissibility of Dr Ong’s evidence</w:t>
      </w:r>
      <w:r>
        <w:rPr>
          <w:rFonts w:ascii="Arial" w:hAnsi="Arial" w:cs="Arial"/>
          <w:sz w:val="20"/>
          <w:szCs w:val="16"/>
        </w:rPr>
        <w:t>.</w:t>
      </w:r>
    </w:p>
    <w:p w14:paraId="1BA2AF9C" w14:textId="77777777" w:rsidR="000107B6" w:rsidRDefault="000107B6" w:rsidP="000107B6">
      <w:pPr>
        <w:jc w:val="both"/>
        <w:rPr>
          <w:rFonts w:ascii="Arial" w:hAnsi="Arial" w:cs="Arial"/>
          <w:sz w:val="20"/>
          <w:szCs w:val="20"/>
        </w:rPr>
      </w:pPr>
    </w:p>
    <w:p w14:paraId="4B37AC3E" w14:textId="77777777" w:rsidR="000107B6" w:rsidRDefault="000107B6" w:rsidP="000107B6">
      <w:pPr>
        <w:pBdr>
          <w:top w:val="thinThickThinSmallGap" w:sz="24" w:space="1" w:color="auto"/>
        </w:pBdr>
        <w:jc w:val="both"/>
        <w:rPr>
          <w:rFonts w:ascii="Arial" w:hAnsi="Arial" w:cs="Arial"/>
          <w:sz w:val="20"/>
          <w:szCs w:val="20"/>
        </w:rPr>
      </w:pPr>
    </w:p>
    <w:p w14:paraId="49CDB0C5" w14:textId="77777777" w:rsidR="009C5B94" w:rsidRDefault="009C5B94" w:rsidP="009C5B94">
      <w:pPr>
        <w:jc w:val="both"/>
        <w:rPr>
          <w:rFonts w:ascii="Arial" w:hAnsi="Arial" w:cs="Arial"/>
          <w:bCs/>
          <w:sz w:val="20"/>
        </w:rPr>
      </w:pPr>
      <w:r>
        <w:rPr>
          <w:rFonts w:ascii="Arial" w:hAnsi="Arial" w:cs="Arial"/>
          <w:bCs/>
          <w:sz w:val="20"/>
        </w:rPr>
        <w:t>Whether or not a witness is qualified to give opinion evidence is a matter for the judge or magistrate who must determine:</w:t>
      </w:r>
    </w:p>
    <w:p w14:paraId="730357B9"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1.</w:t>
      </w:r>
      <w:r>
        <w:rPr>
          <w:rFonts w:ascii="Arial" w:hAnsi="Arial" w:cs="Arial"/>
          <w:bCs/>
          <w:sz w:val="20"/>
        </w:rPr>
        <w:tab/>
        <w:t>whether the field of knowledge in which the witness professes expertise is a recognized and organized body of knowledge (</w:t>
      </w:r>
      <w:r>
        <w:rPr>
          <w:rFonts w:ascii="Arial" w:hAnsi="Arial" w:cs="Arial"/>
          <w:bCs/>
          <w:i/>
          <w:iCs/>
          <w:sz w:val="20"/>
        </w:rPr>
        <w:t>R v Anderson</w:t>
      </w:r>
      <w:r>
        <w:rPr>
          <w:rFonts w:ascii="Arial" w:hAnsi="Arial" w:cs="Arial"/>
          <w:bCs/>
          <w:sz w:val="20"/>
        </w:rPr>
        <w:t xml:space="preserve"> (2000) 1 VR 1 per </w:t>
      </w:r>
      <w:proofErr w:type="spellStart"/>
      <w:r>
        <w:rPr>
          <w:rFonts w:ascii="Arial" w:hAnsi="Arial" w:cs="Arial"/>
          <w:bCs/>
          <w:sz w:val="20"/>
        </w:rPr>
        <w:t>Winneke</w:t>
      </w:r>
      <w:proofErr w:type="spellEnd"/>
      <w:r>
        <w:rPr>
          <w:rFonts w:ascii="Arial" w:hAnsi="Arial" w:cs="Arial"/>
          <w:bCs/>
          <w:sz w:val="20"/>
        </w:rPr>
        <w:t xml:space="preserve"> P at 22-3) which is outside the ordinary experiences of mankind (see e.g. </w:t>
      </w:r>
      <w:r>
        <w:rPr>
          <w:rFonts w:ascii="Arial" w:hAnsi="Arial" w:cs="Arial"/>
          <w:bCs/>
          <w:i/>
          <w:iCs/>
          <w:sz w:val="20"/>
        </w:rPr>
        <w:t>R v Smith</w:t>
      </w:r>
      <w:r>
        <w:rPr>
          <w:rFonts w:ascii="Arial" w:hAnsi="Arial" w:cs="Arial"/>
          <w:bCs/>
          <w:sz w:val="20"/>
        </w:rPr>
        <w:t xml:space="preserve"> [1987] VR 907 per Vincent J; </w:t>
      </w:r>
      <w:r>
        <w:rPr>
          <w:rFonts w:ascii="Arial" w:hAnsi="Arial" w:cs="Arial"/>
          <w:bCs/>
          <w:i/>
          <w:iCs/>
          <w:sz w:val="20"/>
        </w:rPr>
        <w:t>Murphy v The Queen</w:t>
      </w:r>
      <w:r>
        <w:rPr>
          <w:rFonts w:ascii="Arial" w:hAnsi="Arial" w:cs="Arial"/>
          <w:bCs/>
          <w:sz w:val="20"/>
        </w:rPr>
        <w:t xml:space="preserve"> (1989) 167 CLR 94 per Mason CJ &amp; Toohey J at 110, Deane J at 126 &amp; Dawson J at 130; </w:t>
      </w:r>
      <w:r>
        <w:rPr>
          <w:rFonts w:ascii="Arial" w:hAnsi="Arial" w:cs="Arial"/>
          <w:bCs/>
          <w:i/>
          <w:iCs/>
          <w:sz w:val="20"/>
        </w:rPr>
        <w:t>R v Perry</w:t>
      </w:r>
      <w:r>
        <w:rPr>
          <w:rFonts w:ascii="Arial" w:hAnsi="Arial" w:cs="Arial"/>
          <w:bCs/>
          <w:sz w:val="20"/>
        </w:rPr>
        <w:t xml:space="preserve"> (1990) 49 A Crim R 243 at 249 per Gleeson CJ, citing </w:t>
      </w:r>
      <w:r>
        <w:rPr>
          <w:rFonts w:ascii="Arial" w:hAnsi="Arial" w:cs="Arial"/>
          <w:bCs/>
          <w:i/>
          <w:iCs/>
          <w:sz w:val="20"/>
        </w:rPr>
        <w:t>Clark v Ryan</w:t>
      </w:r>
      <w:r>
        <w:rPr>
          <w:rFonts w:ascii="Arial" w:hAnsi="Arial" w:cs="Arial"/>
          <w:bCs/>
          <w:sz w:val="20"/>
        </w:rPr>
        <w:t xml:space="preserve"> (1960) 103 CLR 486); and</w:t>
      </w:r>
    </w:p>
    <w:p w14:paraId="6249378F"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2.</w:t>
      </w:r>
      <w:r>
        <w:rPr>
          <w:rFonts w:ascii="Arial" w:hAnsi="Arial" w:cs="Arial"/>
          <w:bCs/>
          <w:sz w:val="20"/>
        </w:rPr>
        <w:tab/>
        <w:t>whether the witness has sufficient expertise in such field as would enable him or her to assist the court (</w:t>
      </w:r>
      <w:r>
        <w:rPr>
          <w:rFonts w:ascii="Arial" w:hAnsi="Arial" w:cs="Arial"/>
          <w:bCs/>
          <w:i/>
          <w:iCs/>
          <w:sz w:val="20"/>
        </w:rPr>
        <w:t>Grace v Southern</w:t>
      </w:r>
      <w:r>
        <w:rPr>
          <w:rFonts w:ascii="Arial" w:hAnsi="Arial" w:cs="Arial"/>
          <w:bCs/>
          <w:sz w:val="20"/>
        </w:rPr>
        <w:t xml:space="preserve"> [1978] VR 75).</w:t>
      </w:r>
    </w:p>
    <w:p w14:paraId="2DE563C2" w14:textId="77777777" w:rsidR="009C5B94" w:rsidRDefault="009C5B94" w:rsidP="009C5B94">
      <w:pPr>
        <w:jc w:val="both"/>
        <w:rPr>
          <w:rFonts w:ascii="Arial" w:hAnsi="Arial" w:cs="Arial"/>
          <w:bCs/>
          <w:sz w:val="20"/>
        </w:rPr>
      </w:pPr>
    </w:p>
    <w:p w14:paraId="5430D826" w14:textId="77777777" w:rsidR="009C5B94" w:rsidRDefault="009C5B94" w:rsidP="009C5B94">
      <w:pPr>
        <w:jc w:val="both"/>
        <w:rPr>
          <w:rFonts w:ascii="Arial" w:hAnsi="Arial" w:cs="Arial"/>
          <w:bCs/>
          <w:sz w:val="20"/>
        </w:rPr>
      </w:pPr>
      <w:r>
        <w:rPr>
          <w:rFonts w:ascii="Arial" w:hAnsi="Arial" w:cs="Arial"/>
          <w:bCs/>
          <w:sz w:val="20"/>
        </w:rPr>
        <w:t xml:space="preserve">In </w:t>
      </w:r>
      <w:proofErr w:type="spellStart"/>
      <w:r w:rsidRPr="00495449">
        <w:rPr>
          <w:rFonts w:ascii="Arial" w:hAnsi="Arial" w:cs="Arial"/>
          <w:i/>
          <w:sz w:val="20"/>
        </w:rPr>
        <w:t>Baulch</w:t>
      </w:r>
      <w:proofErr w:type="spellEnd"/>
      <w:r w:rsidRPr="00495449">
        <w:rPr>
          <w:rFonts w:ascii="Arial" w:hAnsi="Arial" w:cs="Arial"/>
          <w:i/>
          <w:sz w:val="20"/>
        </w:rPr>
        <w:t xml:space="preserve"> v Lyndoch Warrnambool &amp; Anor (Ruling No. 3)</w:t>
      </w:r>
      <w:r>
        <w:rPr>
          <w:rFonts w:ascii="Arial" w:hAnsi="Arial" w:cs="Arial"/>
          <w:sz w:val="20"/>
        </w:rPr>
        <w:t xml:space="preserve"> [2008] VSC 420 at [10]-[14] Forrest J – after citing many of the above cases – summarized the relevant principles as follows:</w:t>
      </w:r>
    </w:p>
    <w:p w14:paraId="70E11F5D" w14:textId="77777777" w:rsidR="009C5B94" w:rsidRDefault="009C5B94" w:rsidP="009C5B94">
      <w:pPr>
        <w:tabs>
          <w:tab w:val="left" w:pos="363"/>
        </w:tabs>
        <w:ind w:left="363" w:hanging="363"/>
        <w:jc w:val="both"/>
        <w:rPr>
          <w:rFonts w:ascii="Arial" w:hAnsi="Arial" w:cs="Arial"/>
          <w:bCs/>
          <w:sz w:val="20"/>
        </w:rPr>
      </w:pPr>
      <w:r w:rsidRPr="00D541BC">
        <w:rPr>
          <w:rFonts w:ascii="Arial" w:hAnsi="Arial" w:cs="Arial"/>
          <w:bCs/>
          <w:sz w:val="20"/>
        </w:rPr>
        <w:t>(a</w:t>
      </w:r>
      <w:r>
        <w:rPr>
          <w:rFonts w:ascii="Arial" w:hAnsi="Arial" w:cs="Arial"/>
          <w:bCs/>
          <w:sz w:val="20"/>
        </w:rPr>
        <w:t>)</w:t>
      </w:r>
      <w:r>
        <w:rPr>
          <w:rFonts w:ascii="Arial" w:hAnsi="Arial" w:cs="Arial"/>
          <w:bCs/>
          <w:sz w:val="20"/>
        </w:rPr>
        <w:tab/>
        <w:t>a party wishing to call an expert witness must clearly identify the field of specialized knowledge in respect of which it is said the witness can proffer an opinion;</w:t>
      </w:r>
    </w:p>
    <w:p w14:paraId="077D32C4"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(b)</w:t>
      </w:r>
      <w:r>
        <w:rPr>
          <w:rFonts w:ascii="Arial" w:hAnsi="Arial" w:cs="Arial"/>
          <w:bCs/>
          <w:sz w:val="20"/>
        </w:rPr>
        <w:tab/>
        <w:t>a party must then identify the expertise of the witness in that field; it must be demonstrates that by reason of specialized training, study or experience the witness is truly an expert in that area;</w:t>
      </w:r>
    </w:p>
    <w:p w14:paraId="691145F8"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(c)</w:t>
      </w:r>
      <w:r>
        <w:rPr>
          <w:rFonts w:ascii="Arial" w:hAnsi="Arial" w:cs="Arial"/>
          <w:bCs/>
          <w:sz w:val="20"/>
        </w:rPr>
        <w:tab/>
        <w:t>the opinion expressed by the witness must be either wholly or substantially based on that specialist knowledge and not on the everyday knowledge of the common person;</w:t>
      </w:r>
    </w:p>
    <w:p w14:paraId="56B620D8"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(d)</w:t>
      </w:r>
      <w:r>
        <w:rPr>
          <w:rFonts w:ascii="Arial" w:hAnsi="Arial" w:cs="Arial"/>
          <w:bCs/>
          <w:sz w:val="20"/>
        </w:rPr>
        <w:tab/>
        <w:t>the opinion must be based on clearly identified facts; and</w:t>
      </w:r>
    </w:p>
    <w:p w14:paraId="2416F1EF" w14:textId="77777777" w:rsidR="009C5B94" w:rsidRDefault="009C5B94" w:rsidP="009C5B94">
      <w:pPr>
        <w:tabs>
          <w:tab w:val="left" w:pos="363"/>
        </w:tabs>
        <w:ind w:left="363" w:hanging="363"/>
        <w:jc w:val="both"/>
        <w:rPr>
          <w:rFonts w:ascii="Arial" w:hAnsi="Arial" w:cs="Arial"/>
          <w:bCs/>
          <w:sz w:val="20"/>
        </w:rPr>
      </w:pPr>
      <w:r>
        <w:rPr>
          <w:rFonts w:ascii="Arial" w:hAnsi="Arial" w:cs="Arial"/>
          <w:bCs/>
          <w:sz w:val="20"/>
        </w:rPr>
        <w:t>(e)</w:t>
      </w:r>
      <w:r>
        <w:rPr>
          <w:rFonts w:ascii="Arial" w:hAnsi="Arial" w:cs="Arial"/>
          <w:bCs/>
          <w:sz w:val="20"/>
        </w:rPr>
        <w:tab/>
        <w:t>the onus rests on the party calling the witness to satisfied the above criteria.</w:t>
      </w:r>
    </w:p>
    <w:p w14:paraId="1F4C3425" w14:textId="77777777" w:rsidR="009C5B94" w:rsidRDefault="009C5B94" w:rsidP="009C5B94">
      <w:pPr>
        <w:jc w:val="both"/>
        <w:rPr>
          <w:rFonts w:ascii="Arial" w:hAnsi="Arial" w:cs="Arial"/>
          <w:bCs/>
          <w:sz w:val="20"/>
        </w:rPr>
      </w:pPr>
    </w:p>
    <w:p w14:paraId="49792C82" w14:textId="77777777" w:rsidR="009C5B94" w:rsidRDefault="009C5B94" w:rsidP="009C5B94">
      <w:pPr>
        <w:jc w:val="both"/>
        <w:rPr>
          <w:rFonts w:ascii="Arial" w:hAnsi="Arial" w:cs="Arial"/>
          <w:bCs/>
          <w:sz w:val="20"/>
        </w:rPr>
      </w:pPr>
      <w:r>
        <w:rPr>
          <w:rFonts w:ascii="Arial" w:hAnsi="Arial" w:cs="Arial"/>
          <w:bCs/>
          <w:sz w:val="20"/>
        </w:rPr>
        <w:t xml:space="preserve">In </w:t>
      </w:r>
      <w:r>
        <w:rPr>
          <w:rFonts w:ascii="Arial" w:hAnsi="Arial" w:cs="Arial"/>
          <w:bCs/>
          <w:i/>
          <w:iCs/>
          <w:sz w:val="20"/>
        </w:rPr>
        <w:t xml:space="preserve">Re W and W: (Abuse allegations; Expert evidence) </w:t>
      </w:r>
      <w:r>
        <w:rPr>
          <w:rFonts w:ascii="Arial" w:hAnsi="Arial" w:cs="Arial"/>
          <w:bCs/>
          <w:sz w:val="20"/>
        </w:rPr>
        <w:t xml:space="preserve">[2001] </w:t>
      </w:r>
      <w:proofErr w:type="spellStart"/>
      <w:r>
        <w:rPr>
          <w:rFonts w:ascii="Arial" w:hAnsi="Arial" w:cs="Arial"/>
          <w:bCs/>
          <w:sz w:val="20"/>
        </w:rPr>
        <w:t>FamCA</w:t>
      </w:r>
      <w:proofErr w:type="spellEnd"/>
      <w:r>
        <w:rPr>
          <w:rFonts w:ascii="Arial" w:hAnsi="Arial" w:cs="Arial"/>
          <w:bCs/>
          <w:sz w:val="20"/>
        </w:rPr>
        <w:t xml:space="preserve"> 216 at [145]-[193] the Full Court of the Family Court of Australia:</w:t>
      </w:r>
    </w:p>
    <w:p w14:paraId="48AD527D" w14:textId="77777777" w:rsidR="009C5B94" w:rsidRDefault="009C5B94">
      <w:pPr>
        <w:numPr>
          <w:ilvl w:val="0"/>
          <w:numId w:val="112"/>
        </w:numPr>
        <w:jc w:val="both"/>
        <w:rPr>
          <w:rFonts w:ascii="Arial" w:hAnsi="Arial" w:cs="Arial"/>
          <w:bCs/>
          <w:sz w:val="20"/>
        </w:rPr>
      </w:pPr>
      <w:r>
        <w:rPr>
          <w:rFonts w:ascii="Arial" w:hAnsi="Arial" w:cs="Arial"/>
          <w:bCs/>
          <w:sz w:val="20"/>
        </w:rPr>
        <w:t xml:space="preserve">was very critical of a professional witness who "saw neither of the parties and none of the children and yet arrived at damaging conclusions about one of the parties, who happened to be on the </w:t>
      </w:r>
      <w:r>
        <w:rPr>
          <w:rFonts w:ascii="Arial" w:hAnsi="Arial" w:cs="Arial"/>
          <w:bCs/>
          <w:sz w:val="20"/>
        </w:rPr>
        <w:lastRenderedPageBreak/>
        <w:t xml:space="preserve">opposite side to the party who commissioned him" (at [156]) and who had "stepped out of the role of an expert witness and assumed the role of advocate" (at [190]); </w:t>
      </w:r>
    </w:p>
    <w:p w14:paraId="3C426864" w14:textId="77777777" w:rsidR="009C5B94" w:rsidRDefault="009C5B94">
      <w:pPr>
        <w:numPr>
          <w:ilvl w:val="0"/>
          <w:numId w:val="112"/>
        </w:numPr>
        <w:jc w:val="both"/>
        <w:rPr>
          <w:rFonts w:ascii="Arial" w:hAnsi="Arial" w:cs="Arial"/>
          <w:bCs/>
          <w:sz w:val="20"/>
        </w:rPr>
      </w:pPr>
      <w:r>
        <w:rPr>
          <w:rFonts w:ascii="Arial" w:hAnsi="Arial" w:cs="Arial"/>
          <w:bCs/>
          <w:sz w:val="20"/>
        </w:rPr>
        <w:t>recommended significant reforms in the area of expert evidence (at [192]-[193]).</w:t>
      </w:r>
    </w:p>
    <w:p w14:paraId="5AAB9C25" w14:textId="77777777" w:rsidR="009C5B94" w:rsidRDefault="009C5B94" w:rsidP="009C5B94">
      <w:pPr>
        <w:jc w:val="both"/>
        <w:rPr>
          <w:rFonts w:ascii="Arial" w:hAnsi="Arial" w:cs="Arial"/>
          <w:bCs/>
          <w:sz w:val="20"/>
        </w:rPr>
      </w:pPr>
    </w:p>
    <w:p w14:paraId="04920CCA" w14:textId="77777777" w:rsidR="009C5B94" w:rsidRDefault="009C5B94" w:rsidP="009C5B94">
      <w:pPr>
        <w:jc w:val="both"/>
        <w:rPr>
          <w:rFonts w:ascii="Arial" w:hAnsi="Arial" w:cs="Arial"/>
          <w:bCs/>
          <w:sz w:val="20"/>
        </w:rPr>
      </w:pPr>
      <w:r>
        <w:rPr>
          <w:rFonts w:ascii="Arial" w:hAnsi="Arial" w:cs="Arial"/>
          <w:bCs/>
          <w:sz w:val="20"/>
        </w:rPr>
        <w:t>Typical expert witnesses in the Children's Court include paediatricians, nurses, psychiatrists, psychologists, child protection or child welfare workers or persons working in the "helping professions" generally.  From such professional witnesses it is usual for two types of evidence to be adduced:</w:t>
      </w:r>
    </w:p>
    <w:p w14:paraId="72015096" w14:textId="77777777" w:rsidR="009C5B94" w:rsidRDefault="009C5B94">
      <w:pPr>
        <w:numPr>
          <w:ilvl w:val="0"/>
          <w:numId w:val="111"/>
        </w:numPr>
        <w:jc w:val="both"/>
        <w:rPr>
          <w:rFonts w:ascii="Arial" w:hAnsi="Arial" w:cs="Arial"/>
          <w:bCs/>
          <w:sz w:val="20"/>
        </w:rPr>
      </w:pPr>
      <w:r>
        <w:rPr>
          <w:rFonts w:ascii="Arial" w:hAnsi="Arial" w:cs="Arial"/>
          <w:bCs/>
          <w:sz w:val="20"/>
        </w:rPr>
        <w:t>evidence of observed facts;</w:t>
      </w:r>
    </w:p>
    <w:p w14:paraId="377D74F7" w14:textId="77777777" w:rsidR="009C5B94" w:rsidRDefault="009C5B94">
      <w:pPr>
        <w:numPr>
          <w:ilvl w:val="0"/>
          <w:numId w:val="111"/>
        </w:numPr>
        <w:jc w:val="both"/>
        <w:rPr>
          <w:rFonts w:ascii="Arial" w:hAnsi="Arial" w:cs="Arial"/>
          <w:bCs/>
          <w:sz w:val="20"/>
        </w:rPr>
      </w:pPr>
      <w:r>
        <w:rPr>
          <w:rFonts w:ascii="Arial" w:hAnsi="Arial" w:cs="Arial"/>
          <w:bCs/>
          <w:sz w:val="20"/>
        </w:rPr>
        <w:t>evidence in the form of opinion and/or inference.</w:t>
      </w:r>
    </w:p>
    <w:p w14:paraId="62FD05EA" w14:textId="77777777" w:rsidR="009C5B94" w:rsidRDefault="009C5B94" w:rsidP="009C5B94">
      <w:pPr>
        <w:jc w:val="both"/>
        <w:rPr>
          <w:rFonts w:ascii="Arial" w:hAnsi="Arial" w:cs="Arial"/>
          <w:bCs/>
          <w:sz w:val="20"/>
        </w:rPr>
      </w:pPr>
    </w:p>
    <w:p w14:paraId="1FD8C836" w14:textId="77777777" w:rsidR="009C5B94" w:rsidRDefault="009C5B94" w:rsidP="009C5B94">
      <w:pPr>
        <w:jc w:val="both"/>
        <w:rPr>
          <w:rFonts w:ascii="Arial" w:hAnsi="Arial" w:cs="Arial"/>
          <w:sz w:val="20"/>
        </w:rPr>
      </w:pPr>
      <w:r>
        <w:rPr>
          <w:rFonts w:ascii="Arial" w:hAnsi="Arial" w:cs="Arial"/>
          <w:bCs/>
          <w:sz w:val="20"/>
        </w:rPr>
        <w:t xml:space="preserve">Most contested cases in the Family Division of the Court involve the receipt of evidence from one or more "expert witnesses".  Indeed, in </w:t>
      </w:r>
      <w:r>
        <w:rPr>
          <w:rFonts w:ascii="Arial" w:hAnsi="Arial" w:cs="Arial"/>
          <w:i/>
          <w:iCs/>
          <w:sz w:val="20"/>
        </w:rPr>
        <w:t xml:space="preserve">Director-General of Community Services </w:t>
      </w:r>
      <w:smartTag w:uri="urn:schemas-microsoft-com:office:smarttags" w:element="place">
        <w:smartTag w:uri="urn:schemas-microsoft-com:office:smarttags" w:element="State">
          <w:r>
            <w:rPr>
              <w:rFonts w:ascii="Arial" w:hAnsi="Arial" w:cs="Arial"/>
              <w:i/>
              <w:iCs/>
              <w:sz w:val="20"/>
            </w:rPr>
            <w:t>Victoria</w:t>
          </w:r>
        </w:smartTag>
      </w:smartTag>
      <w:r>
        <w:rPr>
          <w:rFonts w:ascii="Arial" w:hAnsi="Arial" w:cs="Arial"/>
          <w:i/>
          <w:iCs/>
          <w:sz w:val="20"/>
        </w:rPr>
        <w:t xml:space="preserve"> v Buckley &amp; Others</w:t>
      </w:r>
      <w:r>
        <w:rPr>
          <w:rFonts w:ascii="Arial" w:hAnsi="Arial" w:cs="Arial"/>
          <w:sz w:val="20"/>
        </w:rPr>
        <w:t xml:space="preserve"> [Supreme Court of Victoria, unreported, </w:t>
      </w:r>
      <w:smartTag w:uri="urn:schemas-microsoft-com:office:smarttags" w:element="date">
        <w:smartTagPr>
          <w:attr w:name="Year" w:val="1992"/>
          <w:attr w:name="Day" w:val="11"/>
          <w:attr w:name="Month" w:val="12"/>
        </w:smartTagPr>
        <w:r>
          <w:rPr>
            <w:rFonts w:ascii="Arial" w:hAnsi="Arial" w:cs="Arial"/>
            <w:sz w:val="20"/>
          </w:rPr>
          <w:t>11/12/1992</w:t>
        </w:r>
      </w:smartTag>
      <w:r>
        <w:rPr>
          <w:rFonts w:ascii="Arial" w:hAnsi="Arial" w:cs="Arial"/>
          <w:sz w:val="20"/>
        </w:rPr>
        <w:t>], O'Bryan J. commented (at p.6) that it would be very difficult for a court to find that a child has suffered significant harm from emotional abuse "in the absence of credible expert evidence".</w:t>
      </w:r>
    </w:p>
    <w:p w14:paraId="5A85902A" w14:textId="77777777" w:rsidR="009C5B94" w:rsidRDefault="009C5B94" w:rsidP="009C5B94">
      <w:pPr>
        <w:jc w:val="both"/>
        <w:rPr>
          <w:rFonts w:ascii="Arial" w:hAnsi="Arial" w:cs="Arial"/>
          <w:sz w:val="20"/>
        </w:rPr>
      </w:pPr>
    </w:p>
    <w:p w14:paraId="50F87F36" w14:textId="77777777" w:rsidR="009C5B94" w:rsidRDefault="009C5B94" w:rsidP="009C5B94">
      <w:pPr>
        <w:jc w:val="both"/>
        <w:rPr>
          <w:rFonts w:ascii="Arial" w:hAnsi="Arial" w:cs="Arial"/>
          <w:sz w:val="20"/>
        </w:rPr>
      </w:pPr>
      <w:r>
        <w:rPr>
          <w:rFonts w:ascii="Arial" w:hAnsi="Arial" w:cs="Arial"/>
          <w:sz w:val="20"/>
        </w:rPr>
        <w:t xml:space="preserve">In </w:t>
      </w:r>
      <w:r w:rsidRPr="0041519A">
        <w:rPr>
          <w:rFonts w:ascii="Arial" w:hAnsi="Arial" w:cs="Arial"/>
          <w:i/>
          <w:sz w:val="20"/>
        </w:rPr>
        <w:t>Re W (Sex Abuse: Standard of Proof)</w:t>
      </w:r>
      <w:r>
        <w:rPr>
          <w:rFonts w:ascii="Arial" w:hAnsi="Arial" w:cs="Arial"/>
          <w:sz w:val="20"/>
        </w:rPr>
        <w:t xml:space="preserve"> [2004] </w:t>
      </w:r>
      <w:proofErr w:type="spellStart"/>
      <w:r>
        <w:rPr>
          <w:rFonts w:ascii="Arial" w:hAnsi="Arial" w:cs="Arial"/>
          <w:sz w:val="20"/>
        </w:rPr>
        <w:t>FamCA</w:t>
      </w:r>
      <w:proofErr w:type="spellEnd"/>
      <w:r>
        <w:rPr>
          <w:rFonts w:ascii="Arial" w:hAnsi="Arial" w:cs="Arial"/>
          <w:sz w:val="20"/>
        </w:rPr>
        <w:t xml:space="preserve"> 768 the trial judge had accepted the evidence of a child psychiatrist who was appointed by him as a Court expert to enquire into and report on:</w:t>
      </w:r>
    </w:p>
    <w:p w14:paraId="6835204B" w14:textId="77777777" w:rsidR="009C5B94" w:rsidRDefault="009C5B94">
      <w:pPr>
        <w:numPr>
          <w:ilvl w:val="0"/>
          <w:numId w:val="111"/>
        </w:numPr>
        <w:jc w:val="both"/>
        <w:rPr>
          <w:rFonts w:ascii="Arial" w:hAnsi="Arial" w:cs="Arial"/>
          <w:bCs/>
          <w:sz w:val="20"/>
        </w:rPr>
      </w:pPr>
      <w:r>
        <w:rPr>
          <w:rFonts w:ascii="Arial" w:hAnsi="Arial" w:cs="Arial"/>
          <w:bCs/>
          <w:sz w:val="20"/>
        </w:rPr>
        <w:t>the nature and quality of the investigation into the allegations of child sexual abuse made in the case;</w:t>
      </w:r>
    </w:p>
    <w:p w14:paraId="5924C9BE" w14:textId="77777777" w:rsidR="009C5B94" w:rsidRDefault="009C5B94">
      <w:pPr>
        <w:numPr>
          <w:ilvl w:val="0"/>
          <w:numId w:val="111"/>
        </w:numPr>
        <w:jc w:val="both"/>
        <w:rPr>
          <w:rFonts w:ascii="Arial" w:hAnsi="Arial" w:cs="Arial"/>
          <w:bCs/>
          <w:sz w:val="20"/>
        </w:rPr>
      </w:pPr>
      <w:r>
        <w:rPr>
          <w:rFonts w:ascii="Arial" w:hAnsi="Arial" w:cs="Arial"/>
          <w:bCs/>
          <w:sz w:val="20"/>
        </w:rPr>
        <w:t>whether and if so, in what ways (if any) the process of investigation may have affected the integrity of the information obtained through the investigation process; and</w:t>
      </w:r>
    </w:p>
    <w:p w14:paraId="735C5876" w14:textId="77777777" w:rsidR="009C5B94" w:rsidRDefault="009C5B94">
      <w:pPr>
        <w:numPr>
          <w:ilvl w:val="0"/>
          <w:numId w:val="111"/>
        </w:numPr>
        <w:jc w:val="both"/>
        <w:rPr>
          <w:rFonts w:ascii="Arial" w:hAnsi="Arial" w:cs="Arial"/>
          <w:bCs/>
          <w:sz w:val="20"/>
        </w:rPr>
      </w:pPr>
      <w:r>
        <w:rPr>
          <w:rFonts w:ascii="Arial" w:hAnsi="Arial" w:cs="Arial"/>
          <w:bCs/>
          <w:sz w:val="20"/>
        </w:rPr>
        <w:t>any consequences arising therefrom.</w:t>
      </w:r>
    </w:p>
    <w:p w14:paraId="38BA89EC" w14:textId="77777777" w:rsidR="009C5B94" w:rsidRDefault="009C5B94" w:rsidP="009C5B94">
      <w:pPr>
        <w:jc w:val="both"/>
        <w:rPr>
          <w:rFonts w:ascii="Arial" w:hAnsi="Arial" w:cs="Arial"/>
          <w:sz w:val="20"/>
        </w:rPr>
      </w:pPr>
      <w:r>
        <w:rPr>
          <w:rFonts w:ascii="Arial" w:hAnsi="Arial" w:cs="Arial"/>
          <w:bCs/>
          <w:sz w:val="20"/>
        </w:rPr>
        <w:t xml:space="preserve">That psychiatrist gave evidence that while he had some criticisms of the procedures followed, it was his view that on the balance of probabilities there was sufficient evidence to have significant concerns that the father had sexually abused his daughter.  However, he had not seen either the parties or the children.  At [37] a </w:t>
      </w:r>
      <w:r>
        <w:rPr>
          <w:rFonts w:ascii="Arial" w:hAnsi="Arial" w:cs="Arial"/>
          <w:sz w:val="20"/>
        </w:rPr>
        <w:t xml:space="preserve">Full Court of the Family Court of Australia, comprising Kay, Holden &amp; </w:t>
      </w:r>
      <w:proofErr w:type="spellStart"/>
      <w:r>
        <w:rPr>
          <w:rFonts w:ascii="Arial" w:hAnsi="Arial" w:cs="Arial"/>
          <w:sz w:val="20"/>
        </w:rPr>
        <w:t>O'Ryan</w:t>
      </w:r>
      <w:proofErr w:type="spellEnd"/>
      <w:r>
        <w:rPr>
          <w:rFonts w:ascii="Arial" w:hAnsi="Arial" w:cs="Arial"/>
          <w:sz w:val="20"/>
        </w:rPr>
        <w:t xml:space="preserve"> JJ, described the trial judge’s reliance on the evidence of the psychiatrist as “particularly troublesome” and at [38]-[40] it concluded that the psychiatrist’s “evidence concerning the probabilities of something untoward having occurred should have been given very little weight” especially as he had not seen the family members:</w:t>
      </w:r>
    </w:p>
    <w:p w14:paraId="674A01AB" w14:textId="77777777" w:rsidR="009C5B94" w:rsidRDefault="009C5B94" w:rsidP="009C5B94">
      <w:pPr>
        <w:spacing w:before="60"/>
        <w:ind w:left="567" w:right="567"/>
        <w:jc w:val="both"/>
        <w:rPr>
          <w:rFonts w:ascii="Arial" w:hAnsi="Arial" w:cs="Arial"/>
          <w:sz w:val="20"/>
        </w:rPr>
      </w:pPr>
      <w:r>
        <w:rPr>
          <w:rFonts w:ascii="Arial" w:hAnsi="Arial" w:cs="Arial"/>
          <w:sz w:val="20"/>
        </w:rPr>
        <w:t xml:space="preserve">[38]  “In </w:t>
      </w:r>
      <w:r w:rsidRPr="000A38F6">
        <w:rPr>
          <w:rFonts w:ascii="Arial" w:hAnsi="Arial" w:cs="Arial"/>
          <w:i/>
          <w:sz w:val="20"/>
        </w:rPr>
        <w:t>Re W Abuse Allegations; Expert Evidence</w:t>
      </w:r>
      <w:r>
        <w:rPr>
          <w:rFonts w:ascii="Arial" w:hAnsi="Arial" w:cs="Arial"/>
          <w:sz w:val="20"/>
        </w:rPr>
        <w:t xml:space="preserve"> (2001) FLC 93-085 Nicholson CJ and </w:t>
      </w:r>
      <w:proofErr w:type="spellStart"/>
      <w:r>
        <w:rPr>
          <w:rFonts w:ascii="Arial" w:hAnsi="Arial" w:cs="Arial"/>
          <w:sz w:val="20"/>
        </w:rPr>
        <w:t>O’Ryan</w:t>
      </w:r>
      <w:proofErr w:type="spellEnd"/>
      <w:r>
        <w:rPr>
          <w:rFonts w:ascii="Arial" w:hAnsi="Arial" w:cs="Arial"/>
          <w:sz w:val="20"/>
        </w:rPr>
        <w:t xml:space="preserve"> J (with whom Kay J agreed on this point) warned of giving weight to expert evidence of a psychiatrist who had not seen the parties nor the children but had reviewed the material.  Their Honours said at [147] ‘…there are grave dangers in reliance upon expert evidence given in such circumstances’.</w:t>
      </w:r>
    </w:p>
    <w:p w14:paraId="1D2EDC48" w14:textId="77777777" w:rsidR="009C5B94" w:rsidRDefault="009C5B94" w:rsidP="009C5B94">
      <w:pPr>
        <w:spacing w:before="60"/>
        <w:ind w:left="567" w:right="567"/>
        <w:jc w:val="both"/>
        <w:rPr>
          <w:rFonts w:ascii="Arial" w:hAnsi="Arial" w:cs="Arial"/>
          <w:sz w:val="20"/>
        </w:rPr>
      </w:pPr>
      <w:r>
        <w:rPr>
          <w:rFonts w:ascii="Arial" w:hAnsi="Arial" w:cs="Arial"/>
          <w:sz w:val="20"/>
        </w:rPr>
        <w:t xml:space="preserve">[39]  Whilst much of their Honours’ rejection of the evidence of the psychiatrist in </w:t>
      </w:r>
      <w:r w:rsidRPr="000A38F6">
        <w:rPr>
          <w:rFonts w:ascii="Arial" w:hAnsi="Arial" w:cs="Arial"/>
          <w:i/>
          <w:sz w:val="20"/>
        </w:rPr>
        <w:t>Re W</w:t>
      </w:r>
      <w:r>
        <w:rPr>
          <w:rFonts w:ascii="Arial" w:hAnsi="Arial" w:cs="Arial"/>
          <w:sz w:val="20"/>
        </w:rPr>
        <w:t xml:space="preserve"> appears to turn on the fact that he was retained by one side and must have brought unconscious bias to his task, in our view the criticism of relying upon an opinion about the ultimate issue from a witness who has not seen the parties nor the children remains just as valid when the witness is called by the court.  If an expert witness still purports to give an opinion as to the ultimate issue then such opinion would be expected to be heavily qualified by the expert having regard to the fact that the expert had not seen the parties nor the children.”</w:t>
      </w:r>
    </w:p>
    <w:p w14:paraId="29C583DC" w14:textId="77777777" w:rsidR="009C5B94" w:rsidRDefault="009C5B94" w:rsidP="009C5B94">
      <w:pPr>
        <w:jc w:val="both"/>
        <w:rPr>
          <w:rFonts w:ascii="Arial" w:hAnsi="Arial" w:cs="Arial"/>
          <w:sz w:val="20"/>
        </w:rPr>
      </w:pPr>
    </w:p>
    <w:p w14:paraId="19605043" w14:textId="77777777" w:rsidR="009C5B94" w:rsidRDefault="009C5B94" w:rsidP="009C5B94">
      <w:pPr>
        <w:jc w:val="both"/>
        <w:rPr>
          <w:rFonts w:ascii="Arial" w:hAnsi="Arial" w:cs="Arial"/>
          <w:sz w:val="20"/>
        </w:rPr>
      </w:pPr>
      <w:r>
        <w:rPr>
          <w:rFonts w:ascii="Arial" w:hAnsi="Arial" w:cs="Arial"/>
          <w:sz w:val="20"/>
        </w:rPr>
        <w:t xml:space="preserve">In </w:t>
      </w:r>
      <w:r>
        <w:rPr>
          <w:rFonts w:ascii="Arial" w:hAnsi="Arial" w:cs="Arial"/>
          <w:i/>
          <w:sz w:val="20"/>
        </w:rPr>
        <w:t>DOHS v Ms B &amp; Mr</w:t>
      </w:r>
      <w:r w:rsidRPr="00C16C56">
        <w:rPr>
          <w:rFonts w:ascii="Arial" w:hAnsi="Arial" w:cs="Arial"/>
          <w:i/>
          <w:sz w:val="20"/>
        </w:rPr>
        <w:t xml:space="preserve"> </w:t>
      </w:r>
      <w:r>
        <w:rPr>
          <w:rFonts w:ascii="Arial" w:hAnsi="Arial" w:cs="Arial"/>
          <w:i/>
          <w:sz w:val="20"/>
        </w:rPr>
        <w:t>G</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1 Power M referred with approval to the above dicta from </w:t>
      </w:r>
      <w:r w:rsidRPr="0041519A">
        <w:rPr>
          <w:rFonts w:ascii="Arial" w:hAnsi="Arial" w:cs="Arial"/>
          <w:i/>
          <w:sz w:val="20"/>
        </w:rPr>
        <w:t>Re W (Sex Abuse: Standard of Proof)</w:t>
      </w:r>
      <w:r>
        <w:rPr>
          <w:rFonts w:ascii="Arial" w:hAnsi="Arial" w:cs="Arial"/>
          <w:sz w:val="20"/>
        </w:rPr>
        <w:t xml:space="preserve"> [2004] </w:t>
      </w:r>
      <w:proofErr w:type="spellStart"/>
      <w:r>
        <w:rPr>
          <w:rFonts w:ascii="Arial" w:hAnsi="Arial" w:cs="Arial"/>
          <w:sz w:val="20"/>
        </w:rPr>
        <w:t>FamCA</w:t>
      </w:r>
      <w:proofErr w:type="spellEnd"/>
      <w:r>
        <w:rPr>
          <w:rFonts w:ascii="Arial" w:hAnsi="Arial" w:cs="Arial"/>
          <w:sz w:val="20"/>
        </w:rPr>
        <w:t xml:space="preserve"> 768 in a section discussing the limitations of the expert evidence adduced in that case.  Several clinical psychologists and an infant psychiatrist had been called to give expert evidence, part of which related to the ultimate issue, namely the frequency, duration and nature </w:t>
      </w:r>
      <w:r w:rsidRPr="004E1436">
        <w:rPr>
          <w:rFonts w:ascii="Arial" w:hAnsi="Arial" w:cs="Arial"/>
          <w:color w:val="000000"/>
          <w:sz w:val="20"/>
        </w:rPr>
        <w:t>of contact between</w:t>
      </w:r>
      <w:r>
        <w:rPr>
          <w:rFonts w:ascii="Arial" w:hAnsi="Arial" w:cs="Arial"/>
          <w:sz w:val="20"/>
        </w:rPr>
        <w:t xml:space="preserve"> the family members.  His Honour considered that “a major limitation of their evidence is that each of their observations involved only part of the overall factual matrix”.  Each of the experts had met and assessed a sub-set of the family members.  None had met and assessed the entire family.  At pp.120-121 His Honour also commented on the weight to be given in any particular case to relevant general research and literature:</w:t>
      </w:r>
    </w:p>
    <w:p w14:paraId="1EF3DCCE" w14:textId="77777777" w:rsidR="009C5B94" w:rsidRDefault="009C5B94" w:rsidP="009C5B94">
      <w:pPr>
        <w:spacing w:before="60"/>
        <w:ind w:left="567" w:right="567"/>
        <w:jc w:val="both"/>
        <w:rPr>
          <w:rFonts w:ascii="Arial" w:hAnsi="Arial" w:cs="Arial"/>
          <w:sz w:val="20"/>
        </w:rPr>
      </w:pPr>
      <w:r>
        <w:rPr>
          <w:rFonts w:ascii="Arial" w:hAnsi="Arial" w:cs="Arial"/>
          <w:sz w:val="20"/>
        </w:rPr>
        <w:t>“</w:t>
      </w:r>
      <w:r w:rsidRPr="00FC3025">
        <w:rPr>
          <w:rFonts w:ascii="Arial" w:hAnsi="Arial" w:cs="Arial"/>
          <w:sz w:val="20"/>
        </w:rPr>
        <w:t>Part o</w:t>
      </w:r>
      <w:r>
        <w:rPr>
          <w:rFonts w:ascii="Arial" w:hAnsi="Arial" w:cs="Arial"/>
          <w:sz w:val="20"/>
        </w:rPr>
        <w:t>f the evidence of Dr M and Dr P</w:t>
      </w:r>
      <w:r w:rsidRPr="00FC3025">
        <w:rPr>
          <w:rFonts w:ascii="Arial" w:hAnsi="Arial" w:cs="Arial"/>
          <w:sz w:val="20"/>
        </w:rPr>
        <w:t xml:space="preserve"> involved a discussion of the research and literature relating to infant development, with particular emphasis on the development of attachment in infants.  I found this evidence particularly interesting and of general assistance to me in my role as a magistrate allocated to the Children’s Court.  But it is important not to over-emphasize its usefulness when applied to any particular case.  The research and the literature do have an important role.  But it is not an independent role.  It provides the framework which enables observations of the behaviour of a particular person or persons to be evaluated and predictions to be made about the likelihood of future patterns of behaviour.  Absent subjective observations of a particular caregiver and/or parent and of a </w:t>
      </w:r>
      <w:r w:rsidRPr="00FC3025">
        <w:rPr>
          <w:rFonts w:ascii="Arial" w:hAnsi="Arial" w:cs="Arial"/>
          <w:sz w:val="20"/>
        </w:rPr>
        <w:lastRenderedPageBreak/>
        <w:t>particular child, preferably over a period of time, the framework – standing alone – is much less useful for it exists in a factual vacuum.  Absent observations or other relevant evidence of the quality of the particular interactions or the characteristics - including the resilience - of the particular individuals, prediction of risk of future harm and analysis of what is in the best interests of the particular child are inevitably much less certain</w:t>
      </w:r>
      <w:r>
        <w:rPr>
          <w:rFonts w:ascii="Arial" w:hAnsi="Arial" w:cs="Arial"/>
          <w:sz w:val="20"/>
        </w:rPr>
        <w:t>…</w:t>
      </w:r>
    </w:p>
    <w:p w14:paraId="0C6A82BC" w14:textId="77777777" w:rsidR="009C5B94" w:rsidRDefault="009C5B94" w:rsidP="009C5B94">
      <w:pPr>
        <w:spacing w:before="120"/>
        <w:ind w:left="567" w:right="567"/>
        <w:jc w:val="both"/>
        <w:rPr>
          <w:rFonts w:ascii="Arial" w:hAnsi="Arial" w:cs="Arial"/>
          <w:sz w:val="20"/>
        </w:rPr>
      </w:pPr>
      <w:r w:rsidRPr="00FC3025">
        <w:rPr>
          <w:rFonts w:ascii="Arial" w:hAnsi="Arial" w:cs="Arial"/>
          <w:sz w:val="20"/>
        </w:rPr>
        <w:t xml:space="preserve">An opinion about appropriate levels of contact between </w:t>
      </w:r>
      <w:r>
        <w:rPr>
          <w:rFonts w:ascii="Arial" w:hAnsi="Arial" w:cs="Arial"/>
          <w:sz w:val="20"/>
        </w:rPr>
        <w:t>[the two older children]</w:t>
      </w:r>
      <w:r w:rsidRPr="00FC3025">
        <w:rPr>
          <w:rFonts w:ascii="Arial" w:hAnsi="Arial" w:cs="Arial"/>
          <w:sz w:val="20"/>
        </w:rPr>
        <w:t xml:space="preserve"> and their mother and siblings based on objective criteria – theoretical criteria </w:t>
      </w:r>
      <w:r>
        <w:rPr>
          <w:rFonts w:ascii="Arial" w:hAnsi="Arial" w:cs="Arial"/>
          <w:sz w:val="20"/>
        </w:rPr>
        <w:t>–</w:t>
      </w:r>
      <w:r w:rsidRPr="00FC3025">
        <w:rPr>
          <w:rFonts w:ascii="Arial" w:hAnsi="Arial" w:cs="Arial"/>
          <w:sz w:val="20"/>
        </w:rPr>
        <w:t xml:space="preserve"> but</w:t>
      </w:r>
      <w:r>
        <w:rPr>
          <w:rFonts w:ascii="Arial" w:hAnsi="Arial" w:cs="Arial"/>
          <w:sz w:val="20"/>
        </w:rPr>
        <w:t xml:space="preserve"> </w:t>
      </w:r>
      <w:r w:rsidRPr="00FC3025">
        <w:rPr>
          <w:rFonts w:ascii="Arial" w:hAnsi="Arial" w:cs="Arial"/>
          <w:sz w:val="20"/>
        </w:rPr>
        <w:t xml:space="preserve">made without knowledge of subjective evidence of the children’s behaviour must be treated with considerable caution.  This conclusion also follows from the </w:t>
      </w:r>
      <w:r w:rsidRPr="005C0020">
        <w:rPr>
          <w:rFonts w:ascii="Arial" w:hAnsi="Arial" w:cs="Arial"/>
          <w:sz w:val="20"/>
        </w:rPr>
        <w:t>CYFA</w:t>
      </w:r>
      <w:r w:rsidRPr="00FC3025">
        <w:rPr>
          <w:rFonts w:ascii="Arial" w:hAnsi="Arial" w:cs="Arial"/>
          <w:sz w:val="20"/>
        </w:rPr>
        <w:t xml:space="preserve"> itself.  Section 10 requires the Court to focus on – and treat as paramount – the best interests of the child, not children generally as a group but on the particular child the subject of each application.</w:t>
      </w:r>
      <w:r>
        <w:rPr>
          <w:rFonts w:ascii="Arial" w:hAnsi="Arial" w:cs="Arial"/>
          <w:sz w:val="20"/>
        </w:rPr>
        <w:t>”</w:t>
      </w:r>
    </w:p>
    <w:p w14:paraId="6D262D1A" w14:textId="76F73A25" w:rsidR="009C5B94" w:rsidRDefault="009C5B94" w:rsidP="009C5B94">
      <w:pPr>
        <w:jc w:val="both"/>
        <w:rPr>
          <w:rFonts w:ascii="Arial" w:hAnsi="Arial" w:cs="Arial"/>
          <w:color w:val="000000"/>
          <w:sz w:val="20"/>
        </w:rPr>
      </w:pPr>
    </w:p>
    <w:p w14:paraId="057E8AB1" w14:textId="3A4EAE61" w:rsidR="00720FCE" w:rsidRDefault="00720FCE" w:rsidP="009C5B94">
      <w:pPr>
        <w:jc w:val="both"/>
        <w:rPr>
          <w:rFonts w:ascii="Arial" w:hAnsi="Arial" w:cs="Arial"/>
          <w:color w:val="000000"/>
          <w:sz w:val="20"/>
        </w:rPr>
      </w:pPr>
      <w:r>
        <w:rPr>
          <w:rFonts w:ascii="Arial" w:hAnsi="Arial" w:cs="Arial"/>
          <w:color w:val="000000"/>
          <w:sz w:val="20"/>
        </w:rPr>
        <w:t xml:space="preserve">The case of </w:t>
      </w:r>
      <w:r w:rsidRPr="00720FCE">
        <w:rPr>
          <w:rFonts w:ascii="Arial" w:hAnsi="Arial" w:cs="Arial"/>
          <w:i/>
          <w:iCs/>
          <w:color w:val="000000"/>
          <w:sz w:val="20"/>
        </w:rPr>
        <w:t>DFFH v ZX</w:t>
      </w:r>
      <w:r>
        <w:rPr>
          <w:rFonts w:ascii="Arial" w:hAnsi="Arial" w:cs="Arial"/>
          <w:color w:val="000000"/>
          <w:sz w:val="20"/>
        </w:rPr>
        <w:t xml:space="preserve"> [2023] </w:t>
      </w:r>
      <w:proofErr w:type="spellStart"/>
      <w:r>
        <w:rPr>
          <w:rFonts w:ascii="Arial" w:hAnsi="Arial" w:cs="Arial"/>
          <w:color w:val="000000"/>
          <w:sz w:val="20"/>
        </w:rPr>
        <w:t>VChC</w:t>
      </w:r>
      <w:proofErr w:type="spellEnd"/>
      <w:r>
        <w:rPr>
          <w:rFonts w:ascii="Arial" w:hAnsi="Arial" w:cs="Arial"/>
          <w:color w:val="000000"/>
          <w:sz w:val="20"/>
        </w:rPr>
        <w:t xml:space="preserve"> </w:t>
      </w:r>
      <w:r w:rsidR="001A7C0E">
        <w:rPr>
          <w:rFonts w:ascii="Arial" w:hAnsi="Arial" w:cs="Arial"/>
          <w:color w:val="000000"/>
          <w:sz w:val="20"/>
        </w:rPr>
        <w:t>3</w:t>
      </w:r>
      <w:r>
        <w:rPr>
          <w:rFonts w:ascii="Arial" w:hAnsi="Arial" w:cs="Arial"/>
          <w:color w:val="000000"/>
          <w:sz w:val="20"/>
        </w:rPr>
        <w:t xml:space="preserve"> involved a protection application taken out in relation to a 9 year old boy ZX.  One of the protective concerns was family violence allegedly perpetrated by the father towards the mother.  In ultimately finding that family violence perpetrated by the father towards the mother was not a current protective concern, Hamilton M discussed the evidence given by a child protection practitioner – witness 3 – and drew a distinction between </w:t>
      </w:r>
      <w:r w:rsidR="0041421A">
        <w:rPr>
          <w:rFonts w:ascii="Arial" w:hAnsi="Arial" w:cs="Arial"/>
          <w:color w:val="000000"/>
          <w:sz w:val="20"/>
        </w:rPr>
        <w:t>evidence</w:t>
      </w:r>
      <w:r>
        <w:rPr>
          <w:rFonts w:ascii="Arial" w:hAnsi="Arial" w:cs="Arial"/>
          <w:color w:val="000000"/>
          <w:sz w:val="20"/>
        </w:rPr>
        <w:t xml:space="preserve"> of an expert witness called to provide </w:t>
      </w:r>
      <w:r w:rsidRPr="00720FCE">
        <w:rPr>
          <w:rFonts w:ascii="Arial" w:hAnsi="Arial" w:cs="Arial"/>
          <w:sz w:val="20"/>
          <w:szCs w:val="20"/>
        </w:rPr>
        <w:t xml:space="preserve">evidence “about the dynamics and characterisation of family violence” as expressly provided for under </w:t>
      </w:r>
      <w:r w:rsidR="0041421A">
        <w:rPr>
          <w:rFonts w:ascii="Arial" w:hAnsi="Arial" w:cs="Arial"/>
          <w:sz w:val="20"/>
          <w:szCs w:val="20"/>
        </w:rPr>
        <w:t>s.7</w:t>
      </w:r>
      <w:r w:rsidR="001A7C0E">
        <w:rPr>
          <w:rFonts w:ascii="Arial" w:hAnsi="Arial" w:cs="Arial"/>
          <w:sz w:val="20"/>
          <w:szCs w:val="20"/>
        </w:rPr>
        <w:t>3</w:t>
      </w:r>
      <w:r w:rsidR="0041421A">
        <w:rPr>
          <w:rFonts w:ascii="Arial" w:hAnsi="Arial" w:cs="Arial"/>
          <w:sz w:val="20"/>
          <w:szCs w:val="20"/>
        </w:rPr>
        <w:t xml:space="preserve"> of </w:t>
      </w:r>
      <w:r w:rsidRPr="00720FCE">
        <w:rPr>
          <w:rFonts w:ascii="Arial" w:hAnsi="Arial" w:cs="Arial"/>
          <w:sz w:val="20"/>
          <w:szCs w:val="20"/>
        </w:rPr>
        <w:t xml:space="preserve">the </w:t>
      </w:r>
      <w:r w:rsidRPr="00720FCE">
        <w:rPr>
          <w:rFonts w:ascii="Arial" w:hAnsi="Arial" w:cs="Arial"/>
          <w:i/>
          <w:iCs/>
          <w:sz w:val="20"/>
          <w:szCs w:val="20"/>
        </w:rPr>
        <w:t>Family Violence Protection Act 2008</w:t>
      </w:r>
      <w:r>
        <w:rPr>
          <w:rFonts w:ascii="Arial" w:hAnsi="Arial" w:cs="Arial"/>
          <w:color w:val="000000"/>
          <w:sz w:val="20"/>
        </w:rPr>
        <w:t xml:space="preserve"> and that </w:t>
      </w:r>
      <w:r w:rsidR="0041421A">
        <w:rPr>
          <w:rFonts w:ascii="Arial" w:hAnsi="Arial" w:cs="Arial"/>
          <w:color w:val="000000"/>
          <w:sz w:val="20"/>
        </w:rPr>
        <w:t>not falling within s.7</w:t>
      </w:r>
      <w:r w:rsidR="001A7C0E">
        <w:rPr>
          <w:rFonts w:ascii="Arial" w:hAnsi="Arial" w:cs="Arial"/>
          <w:color w:val="000000"/>
          <w:sz w:val="20"/>
        </w:rPr>
        <w:t>3</w:t>
      </w:r>
      <w:r w:rsidR="0041421A">
        <w:rPr>
          <w:rFonts w:ascii="Arial" w:hAnsi="Arial" w:cs="Arial"/>
          <w:color w:val="000000"/>
          <w:sz w:val="20"/>
        </w:rPr>
        <w:t xml:space="preserve">.  At </w:t>
      </w:r>
      <w:r w:rsidR="00C3735B">
        <w:rPr>
          <w:rFonts w:ascii="Arial" w:hAnsi="Arial" w:cs="Arial"/>
          <w:color w:val="000000"/>
          <w:sz w:val="20"/>
        </w:rPr>
        <w:t xml:space="preserve">[24] &amp; </w:t>
      </w:r>
      <w:r w:rsidR="0041421A">
        <w:rPr>
          <w:rFonts w:ascii="Arial" w:hAnsi="Arial" w:cs="Arial"/>
          <w:color w:val="000000"/>
          <w:sz w:val="20"/>
        </w:rPr>
        <w:t>[</w:t>
      </w:r>
      <w:r w:rsidR="00C3735B">
        <w:rPr>
          <w:rFonts w:ascii="Arial" w:hAnsi="Arial" w:cs="Arial"/>
          <w:color w:val="000000"/>
          <w:sz w:val="20"/>
        </w:rPr>
        <w:t>31</w:t>
      </w:r>
      <w:r w:rsidR="0041421A">
        <w:rPr>
          <w:rFonts w:ascii="Arial" w:hAnsi="Arial" w:cs="Arial"/>
          <w:color w:val="000000"/>
          <w:sz w:val="20"/>
        </w:rPr>
        <w:t>]</w:t>
      </w:r>
      <w:r w:rsidR="00C3735B">
        <w:rPr>
          <w:rFonts w:ascii="Arial" w:hAnsi="Arial" w:cs="Arial"/>
          <w:color w:val="000000"/>
          <w:sz w:val="20"/>
        </w:rPr>
        <w:noBreakHyphen/>
      </w:r>
      <w:r w:rsidR="0041421A">
        <w:rPr>
          <w:rFonts w:ascii="Arial" w:hAnsi="Arial" w:cs="Arial"/>
          <w:color w:val="000000"/>
          <w:sz w:val="20"/>
        </w:rPr>
        <w:t>[</w:t>
      </w:r>
      <w:r w:rsidR="00C3735B">
        <w:rPr>
          <w:rFonts w:ascii="Arial" w:hAnsi="Arial" w:cs="Arial"/>
          <w:color w:val="000000"/>
          <w:sz w:val="20"/>
        </w:rPr>
        <w:t>43</w:t>
      </w:r>
      <w:r w:rsidR="0041421A">
        <w:rPr>
          <w:rFonts w:ascii="Arial" w:hAnsi="Arial" w:cs="Arial"/>
          <w:color w:val="000000"/>
          <w:sz w:val="20"/>
        </w:rPr>
        <w:t>] her Honour said:</w:t>
      </w:r>
    </w:p>
    <w:p w14:paraId="5F8D01DE" w14:textId="39C3373B" w:rsidR="00C3735B" w:rsidRDefault="00C3735B" w:rsidP="0041421A">
      <w:pPr>
        <w:spacing w:before="60"/>
        <w:ind w:left="567" w:right="567"/>
        <w:jc w:val="both"/>
        <w:rPr>
          <w:rFonts w:ascii="Arial" w:hAnsi="Arial" w:cs="Arial"/>
          <w:sz w:val="20"/>
          <w:szCs w:val="20"/>
        </w:rPr>
      </w:pPr>
      <w:r>
        <w:rPr>
          <w:rFonts w:ascii="Arial" w:hAnsi="Arial" w:cs="Arial"/>
          <w:sz w:val="20"/>
          <w:szCs w:val="20"/>
        </w:rPr>
        <w:t xml:space="preserve">[24] </w:t>
      </w:r>
      <w:r w:rsidR="00917A69">
        <w:rPr>
          <w:rFonts w:ascii="Arial" w:hAnsi="Arial" w:cs="Arial"/>
          <w:sz w:val="20"/>
          <w:szCs w:val="20"/>
        </w:rPr>
        <w:t>“The DFFH’s evidence, both within the tendered reports and in the oral evidence provided by the child protection practitioners was that the risk of exposing ZX to family violence between his parents was a current, ongoing and unaddressed protective concern.</w:t>
      </w:r>
    </w:p>
    <w:p w14:paraId="3C3EFD51" w14:textId="110DDC13" w:rsidR="00C3735B" w:rsidRDefault="00C3735B" w:rsidP="0041421A">
      <w:pPr>
        <w:spacing w:before="60"/>
        <w:ind w:left="567" w:right="567"/>
        <w:jc w:val="both"/>
        <w:rPr>
          <w:rFonts w:ascii="Arial" w:hAnsi="Arial" w:cs="Arial"/>
          <w:sz w:val="20"/>
          <w:szCs w:val="20"/>
        </w:rPr>
      </w:pPr>
      <w:r>
        <w:rPr>
          <w:rFonts w:ascii="Arial" w:hAnsi="Arial" w:cs="Arial"/>
          <w:sz w:val="20"/>
          <w:szCs w:val="20"/>
        </w:rPr>
        <w:t>…</w:t>
      </w:r>
    </w:p>
    <w:p w14:paraId="5D8B0C8A" w14:textId="3975CCAD" w:rsidR="0041421A" w:rsidRDefault="0041421A" w:rsidP="0041421A">
      <w:pPr>
        <w:spacing w:before="60"/>
        <w:ind w:left="567" w:right="567"/>
        <w:jc w:val="both"/>
        <w:rPr>
          <w:rFonts w:ascii="Arial" w:hAnsi="Arial" w:cs="Arial"/>
          <w:sz w:val="20"/>
          <w:szCs w:val="20"/>
        </w:rPr>
      </w:pPr>
      <w:r w:rsidRPr="0041421A">
        <w:rPr>
          <w:rFonts w:ascii="Arial" w:hAnsi="Arial" w:cs="Arial"/>
          <w:sz w:val="20"/>
          <w:szCs w:val="20"/>
        </w:rPr>
        <w:t>[</w:t>
      </w:r>
      <w:r w:rsidR="00C3735B">
        <w:rPr>
          <w:rFonts w:ascii="Arial" w:hAnsi="Arial" w:cs="Arial"/>
          <w:sz w:val="20"/>
          <w:szCs w:val="20"/>
        </w:rPr>
        <w:t>31</w:t>
      </w:r>
      <w:r w:rsidRPr="0041421A">
        <w:rPr>
          <w:rFonts w:ascii="Arial" w:hAnsi="Arial" w:cs="Arial"/>
          <w:sz w:val="20"/>
          <w:szCs w:val="20"/>
        </w:rPr>
        <w:t xml:space="preserve">] Witness 3 explained in her oral evidence that ‘ongoing’ meant ‘it had not been addressed by the father’ and that ‘not addressed’ meant </w:t>
      </w:r>
      <w:r w:rsidR="006C0FB7">
        <w:rPr>
          <w:rFonts w:ascii="Arial" w:hAnsi="Arial" w:cs="Arial"/>
          <w:sz w:val="20"/>
          <w:szCs w:val="20"/>
        </w:rPr>
        <w:t>‘</w:t>
      </w:r>
      <w:r w:rsidRPr="0041421A">
        <w:rPr>
          <w:rFonts w:ascii="Arial" w:hAnsi="Arial" w:cs="Arial"/>
          <w:sz w:val="20"/>
          <w:szCs w:val="20"/>
        </w:rPr>
        <w:t xml:space="preserve">the father has not done a </w:t>
      </w:r>
      <w:proofErr w:type="spellStart"/>
      <w:r w:rsidRPr="0041421A">
        <w:rPr>
          <w:rFonts w:ascii="Arial" w:hAnsi="Arial" w:cs="Arial"/>
          <w:sz w:val="20"/>
          <w:szCs w:val="20"/>
        </w:rPr>
        <w:t>Mens</w:t>
      </w:r>
      <w:proofErr w:type="spellEnd"/>
      <w:r w:rsidRPr="0041421A">
        <w:rPr>
          <w:rFonts w:ascii="Arial" w:hAnsi="Arial" w:cs="Arial"/>
          <w:sz w:val="20"/>
          <w:szCs w:val="20"/>
        </w:rPr>
        <w:t xml:space="preserve"> Behaviour Change Program despite being asked to complete one by the DFFH.</w:t>
      </w:r>
      <w:r w:rsidR="006C0FB7">
        <w:rPr>
          <w:rFonts w:ascii="Arial" w:hAnsi="Arial" w:cs="Arial"/>
          <w:sz w:val="20"/>
          <w:szCs w:val="20"/>
        </w:rPr>
        <w:t>’</w:t>
      </w:r>
      <w:r w:rsidRPr="0041421A">
        <w:rPr>
          <w:rFonts w:ascii="Arial" w:hAnsi="Arial" w:cs="Arial"/>
          <w:sz w:val="20"/>
          <w:szCs w:val="20"/>
        </w:rPr>
        <w:t xml:space="preserve">  [It was not a court ordered condition and the father’s evidence was that he had competed an online anger management course although no evidence of this was produced in this hearing.]</w:t>
      </w:r>
    </w:p>
    <w:p w14:paraId="69575F29" w14:textId="7780D454"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32</w:t>
      </w:r>
      <w:r>
        <w:rPr>
          <w:rFonts w:ascii="Arial" w:hAnsi="Arial" w:cs="Arial"/>
          <w:sz w:val="20"/>
          <w:szCs w:val="20"/>
        </w:rPr>
        <w:t xml:space="preserve">] </w:t>
      </w:r>
      <w:r w:rsidR="00917A69">
        <w:rPr>
          <w:rFonts w:ascii="Arial" w:hAnsi="Arial" w:cs="Arial"/>
          <w:sz w:val="20"/>
          <w:szCs w:val="20"/>
        </w:rPr>
        <w:t>The m</w:t>
      </w:r>
      <w:r w:rsidRPr="00720FCE">
        <w:rPr>
          <w:rFonts w:ascii="Arial" w:hAnsi="Arial" w:cs="Arial"/>
          <w:sz w:val="20"/>
          <w:szCs w:val="20"/>
        </w:rPr>
        <w:t xml:space="preserve">ost recent L17 </w:t>
      </w:r>
      <w:r w:rsidR="00917A69">
        <w:rPr>
          <w:rFonts w:ascii="Arial" w:hAnsi="Arial" w:cs="Arial"/>
          <w:sz w:val="20"/>
          <w:szCs w:val="20"/>
        </w:rPr>
        <w:t xml:space="preserve">dated </w:t>
      </w:r>
      <w:r w:rsidRPr="00720FCE">
        <w:rPr>
          <w:rFonts w:ascii="Arial" w:hAnsi="Arial" w:cs="Arial"/>
          <w:sz w:val="20"/>
          <w:szCs w:val="20"/>
        </w:rPr>
        <w:t xml:space="preserve">22/3/2023 </w:t>
      </w:r>
      <w:r w:rsidR="00917A69">
        <w:rPr>
          <w:rFonts w:ascii="Arial" w:hAnsi="Arial" w:cs="Arial"/>
          <w:sz w:val="20"/>
          <w:szCs w:val="20"/>
        </w:rPr>
        <w:t xml:space="preserve">was </w:t>
      </w:r>
      <w:r w:rsidRPr="00720FCE">
        <w:rPr>
          <w:rFonts w:ascii="Arial" w:hAnsi="Arial" w:cs="Arial"/>
          <w:sz w:val="20"/>
          <w:szCs w:val="20"/>
        </w:rPr>
        <w:t>followed by reports of a verbal argument between the parents while ZX was present during Easter 2023.</w:t>
      </w:r>
    </w:p>
    <w:p w14:paraId="3C71508C" w14:textId="7E072BE0"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33</w:t>
      </w:r>
      <w:r>
        <w:rPr>
          <w:rFonts w:ascii="Arial" w:hAnsi="Arial" w:cs="Arial"/>
          <w:sz w:val="20"/>
          <w:szCs w:val="20"/>
        </w:rPr>
        <w:t xml:space="preserve">] </w:t>
      </w:r>
      <w:r w:rsidRPr="00720FCE">
        <w:rPr>
          <w:rFonts w:ascii="Arial" w:hAnsi="Arial" w:cs="Arial"/>
          <w:sz w:val="20"/>
          <w:szCs w:val="20"/>
        </w:rPr>
        <w:t xml:space="preserve">In her evidence about the Department’s concerns about the family violence, witness 3 gave evidence that she saw family violence through a feminist lens: </w:t>
      </w:r>
      <w:r w:rsidR="006C0FB7">
        <w:rPr>
          <w:rFonts w:ascii="Arial" w:hAnsi="Arial" w:cs="Arial"/>
          <w:sz w:val="20"/>
          <w:szCs w:val="20"/>
        </w:rPr>
        <w:t>‘</w:t>
      </w:r>
      <w:r w:rsidRPr="00720FCE">
        <w:rPr>
          <w:rFonts w:ascii="Arial" w:hAnsi="Arial" w:cs="Arial"/>
          <w:sz w:val="20"/>
          <w:szCs w:val="20"/>
        </w:rPr>
        <w:t>Mr X has a position of power over the mother and therefore the mother’s response can be thought of as family violence because of the coercive control over her</w:t>
      </w:r>
      <w:r w:rsidR="006C0FB7">
        <w:rPr>
          <w:rFonts w:ascii="Arial" w:hAnsi="Arial" w:cs="Arial"/>
          <w:sz w:val="20"/>
          <w:szCs w:val="20"/>
        </w:rPr>
        <w:t>’</w:t>
      </w:r>
      <w:r w:rsidRPr="00720FCE">
        <w:rPr>
          <w:rFonts w:ascii="Arial" w:hAnsi="Arial" w:cs="Arial"/>
          <w:sz w:val="20"/>
          <w:szCs w:val="20"/>
        </w:rPr>
        <w:t xml:space="preserve"> and further </w:t>
      </w:r>
      <w:r w:rsidR="006C0FB7">
        <w:rPr>
          <w:rFonts w:ascii="Arial" w:hAnsi="Arial" w:cs="Arial"/>
          <w:sz w:val="20"/>
          <w:szCs w:val="20"/>
        </w:rPr>
        <w:t>‘</w:t>
      </w:r>
      <w:r w:rsidRPr="00720FCE">
        <w:rPr>
          <w:rFonts w:ascii="Arial" w:hAnsi="Arial" w:cs="Arial"/>
          <w:sz w:val="20"/>
          <w:szCs w:val="20"/>
        </w:rPr>
        <w:t>I consider the mother to be in a vulnerable position due to her stroke and the father used that vulnerability to exert control and coercion over her.</w:t>
      </w:r>
      <w:r w:rsidR="006C0FB7">
        <w:rPr>
          <w:rFonts w:ascii="Arial" w:hAnsi="Arial" w:cs="Arial"/>
          <w:sz w:val="20"/>
          <w:szCs w:val="20"/>
        </w:rPr>
        <w:t>’</w:t>
      </w:r>
      <w:r w:rsidRPr="00720FCE">
        <w:rPr>
          <w:rFonts w:ascii="Arial" w:hAnsi="Arial" w:cs="Arial"/>
          <w:sz w:val="20"/>
          <w:szCs w:val="20"/>
        </w:rPr>
        <w:t xml:space="preserve"> There were no specific examples given of incidents which demonstrate control and coercion other than witness 3 positioning the mother inviting the father to her home as her doing so as a result of the father’s coercive control rather than a decision made of </w:t>
      </w:r>
      <w:r w:rsidR="00917A69">
        <w:rPr>
          <w:rFonts w:ascii="Arial" w:hAnsi="Arial" w:cs="Arial"/>
          <w:sz w:val="20"/>
          <w:szCs w:val="20"/>
        </w:rPr>
        <w:t>the mother’s</w:t>
      </w:r>
      <w:r w:rsidRPr="00720FCE">
        <w:rPr>
          <w:rFonts w:ascii="Arial" w:hAnsi="Arial" w:cs="Arial"/>
          <w:sz w:val="20"/>
          <w:szCs w:val="20"/>
        </w:rPr>
        <w:t xml:space="preserve"> own free will. This is a position disputed by the mother.</w:t>
      </w:r>
    </w:p>
    <w:p w14:paraId="6FFB7FEE" w14:textId="3CED5C5E"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34</w:t>
      </w:r>
      <w:r>
        <w:rPr>
          <w:rFonts w:ascii="Arial" w:hAnsi="Arial" w:cs="Arial"/>
          <w:sz w:val="20"/>
          <w:szCs w:val="20"/>
        </w:rPr>
        <w:t xml:space="preserve">] </w:t>
      </w:r>
      <w:r w:rsidRPr="00720FCE">
        <w:rPr>
          <w:rFonts w:ascii="Arial" w:hAnsi="Arial" w:cs="Arial"/>
          <w:sz w:val="20"/>
          <w:szCs w:val="20"/>
        </w:rPr>
        <w:t>I find witness 3’s view of family violence through a feminist lens – in the absence of direct application to ascertainable incidents observed by witness 3 and/ or corroborated by credible, independent observation – to be an opinion as to the likely occurrence of family violence if certain criteria or circumstances are present.</w:t>
      </w:r>
    </w:p>
    <w:p w14:paraId="3AB23970" w14:textId="74FCB9A2"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35</w:t>
      </w:r>
      <w:r>
        <w:rPr>
          <w:rFonts w:ascii="Arial" w:hAnsi="Arial" w:cs="Arial"/>
          <w:sz w:val="20"/>
          <w:szCs w:val="20"/>
        </w:rPr>
        <w:t xml:space="preserve">] </w:t>
      </w:r>
      <w:r w:rsidRPr="00720FCE">
        <w:rPr>
          <w:rFonts w:ascii="Arial" w:hAnsi="Arial" w:cs="Arial"/>
          <w:sz w:val="20"/>
          <w:szCs w:val="20"/>
        </w:rPr>
        <w:t xml:space="preserve">In other words, it is the type of evidence the court would expect of an expert witness called to provide evidence </w:t>
      </w:r>
      <w:r w:rsidR="006C0FB7">
        <w:rPr>
          <w:rFonts w:ascii="Arial" w:hAnsi="Arial" w:cs="Arial"/>
          <w:sz w:val="20"/>
          <w:szCs w:val="20"/>
        </w:rPr>
        <w:t>‘</w:t>
      </w:r>
      <w:r w:rsidRPr="00720FCE">
        <w:rPr>
          <w:rFonts w:ascii="Arial" w:hAnsi="Arial" w:cs="Arial"/>
          <w:sz w:val="20"/>
          <w:szCs w:val="20"/>
        </w:rPr>
        <w:t>about the dynamics and characterisation of family violence</w:t>
      </w:r>
      <w:r w:rsidR="006C0FB7">
        <w:rPr>
          <w:rFonts w:ascii="Arial" w:hAnsi="Arial" w:cs="Arial"/>
          <w:sz w:val="20"/>
          <w:szCs w:val="20"/>
        </w:rPr>
        <w:t>’</w:t>
      </w:r>
      <w:r w:rsidRPr="00720FCE">
        <w:rPr>
          <w:rFonts w:ascii="Arial" w:hAnsi="Arial" w:cs="Arial"/>
          <w:sz w:val="20"/>
          <w:szCs w:val="20"/>
        </w:rPr>
        <w:t xml:space="preserve">, as is expressly provided for under the </w:t>
      </w:r>
      <w:r w:rsidRPr="00720FCE">
        <w:rPr>
          <w:rFonts w:ascii="Arial" w:hAnsi="Arial" w:cs="Arial"/>
          <w:i/>
          <w:iCs/>
          <w:sz w:val="20"/>
          <w:szCs w:val="20"/>
        </w:rPr>
        <w:t>Family Violence Protection Act 2008</w:t>
      </w:r>
      <w:r w:rsidRPr="00720FCE">
        <w:rPr>
          <w:rFonts w:ascii="Arial" w:hAnsi="Arial" w:cs="Arial"/>
          <w:sz w:val="20"/>
          <w:szCs w:val="20"/>
        </w:rPr>
        <w:t xml:space="preserve"> in relation to proceedings under that Act.</w:t>
      </w:r>
    </w:p>
    <w:p w14:paraId="30D1990D" w14:textId="106F127E" w:rsid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36</w:t>
      </w:r>
      <w:r>
        <w:rPr>
          <w:rFonts w:ascii="Arial" w:hAnsi="Arial" w:cs="Arial"/>
          <w:sz w:val="20"/>
          <w:szCs w:val="20"/>
        </w:rPr>
        <w:t xml:space="preserve">] Section </w:t>
      </w:r>
      <w:r w:rsidRPr="00720FCE">
        <w:rPr>
          <w:rFonts w:ascii="Arial" w:hAnsi="Arial" w:cs="Arial"/>
          <w:sz w:val="20"/>
          <w:szCs w:val="20"/>
        </w:rPr>
        <w:t>7</w:t>
      </w:r>
      <w:r w:rsidR="00917A69">
        <w:rPr>
          <w:rFonts w:ascii="Arial" w:hAnsi="Arial" w:cs="Arial"/>
          <w:sz w:val="20"/>
          <w:szCs w:val="20"/>
        </w:rPr>
        <w:t>3</w:t>
      </w:r>
      <w:r w:rsidRPr="00720FCE">
        <w:rPr>
          <w:rFonts w:ascii="Arial" w:hAnsi="Arial" w:cs="Arial"/>
          <w:sz w:val="20"/>
          <w:szCs w:val="20"/>
        </w:rPr>
        <w:t xml:space="preserve"> of the FVP Act provides </w:t>
      </w:r>
      <w:r w:rsidR="00917A69">
        <w:rPr>
          <w:rFonts w:ascii="Arial" w:hAnsi="Arial" w:cs="Arial"/>
          <w:sz w:val="20"/>
          <w:szCs w:val="20"/>
        </w:rPr>
        <w:t xml:space="preserve">that </w:t>
      </w:r>
      <w:r>
        <w:rPr>
          <w:rFonts w:ascii="Arial" w:hAnsi="Arial" w:cs="Arial"/>
          <w:sz w:val="20"/>
          <w:szCs w:val="20"/>
        </w:rPr>
        <w:t>‘</w:t>
      </w:r>
      <w:r w:rsidRPr="00720FCE">
        <w:rPr>
          <w:rFonts w:ascii="Arial" w:hAnsi="Arial" w:cs="Arial"/>
          <w:sz w:val="20"/>
          <w:szCs w:val="20"/>
        </w:rPr>
        <w:t>an expert witness may include evidence of “the general nature and dynamics of relationships affected by family violence…social , cultural or economic factors that impact on persons who are or have been in a relationship affected by family violence…” and importantly “expert witness means a witness with relevant qualification, training or expertise in family violence.</w:t>
      </w:r>
      <w:r w:rsidR="00917A69">
        <w:rPr>
          <w:rFonts w:ascii="Arial" w:hAnsi="Arial" w:cs="Arial"/>
          <w:sz w:val="20"/>
          <w:szCs w:val="20"/>
        </w:rPr>
        <w:t>’</w:t>
      </w:r>
    </w:p>
    <w:p w14:paraId="21FC0DE0" w14:textId="4DD73954" w:rsidR="0041421A" w:rsidRP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37</w:t>
      </w:r>
      <w:r>
        <w:rPr>
          <w:rFonts w:ascii="Arial" w:hAnsi="Arial" w:cs="Arial"/>
          <w:sz w:val="20"/>
          <w:szCs w:val="20"/>
        </w:rPr>
        <w:t xml:space="preserve">] </w:t>
      </w:r>
      <w:r w:rsidRPr="00720FCE">
        <w:rPr>
          <w:rFonts w:ascii="Arial" w:hAnsi="Arial" w:cs="Arial"/>
          <w:sz w:val="20"/>
          <w:szCs w:val="20"/>
        </w:rPr>
        <w:t xml:space="preserve">Counsel for the DFFH did not present witness 3’s evidence in this context nor did counsel make reference to or attempt to satisfy the recognised foundation enabling a Court to </w:t>
      </w:r>
      <w:r w:rsidRPr="0041421A">
        <w:rPr>
          <w:rFonts w:ascii="Arial" w:hAnsi="Arial" w:cs="Arial"/>
          <w:sz w:val="20"/>
          <w:szCs w:val="20"/>
        </w:rPr>
        <w:t>consider expert evidence. In this regard, I refer to</w:t>
      </w:r>
      <w:r w:rsidRPr="0041421A">
        <w:rPr>
          <w:rFonts w:ascii="Arial" w:hAnsi="Arial" w:cs="Arial"/>
          <w:bCs/>
          <w:sz w:val="20"/>
          <w:szCs w:val="20"/>
        </w:rPr>
        <w:t xml:space="preserve"> </w:t>
      </w:r>
      <w:proofErr w:type="spellStart"/>
      <w:r w:rsidRPr="0041421A">
        <w:rPr>
          <w:rFonts w:ascii="Arial" w:hAnsi="Arial" w:cs="Arial"/>
          <w:i/>
          <w:sz w:val="20"/>
          <w:szCs w:val="20"/>
        </w:rPr>
        <w:t>Baulch</w:t>
      </w:r>
      <w:proofErr w:type="spellEnd"/>
      <w:r w:rsidRPr="0041421A">
        <w:rPr>
          <w:rFonts w:ascii="Arial" w:hAnsi="Arial" w:cs="Arial"/>
          <w:i/>
          <w:sz w:val="20"/>
          <w:szCs w:val="20"/>
        </w:rPr>
        <w:t xml:space="preserve"> v Lyndoch Warrnambool &amp; Anor (Ruling No. 3)</w:t>
      </w:r>
      <w:r w:rsidRPr="0041421A">
        <w:rPr>
          <w:rFonts w:ascii="Arial" w:hAnsi="Arial" w:cs="Arial"/>
          <w:sz w:val="20"/>
          <w:szCs w:val="20"/>
        </w:rPr>
        <w:t xml:space="preserve"> [2008] VSC 420 at [10]-[14] where Forrest J summarized the relevant principles as follows, in part referring to and relying upon </w:t>
      </w:r>
      <w:r w:rsidRPr="0041421A">
        <w:rPr>
          <w:rFonts w:ascii="Arial" w:hAnsi="Arial" w:cs="Arial"/>
          <w:bCs/>
          <w:i/>
          <w:sz w:val="20"/>
          <w:szCs w:val="20"/>
        </w:rPr>
        <w:t xml:space="preserve">Makita Australia Pty Ltd v </w:t>
      </w:r>
      <w:proofErr w:type="spellStart"/>
      <w:r w:rsidRPr="0041421A">
        <w:rPr>
          <w:rFonts w:ascii="Arial" w:hAnsi="Arial" w:cs="Arial"/>
          <w:bCs/>
          <w:i/>
          <w:sz w:val="20"/>
          <w:szCs w:val="20"/>
        </w:rPr>
        <w:t>Sprowles</w:t>
      </w:r>
      <w:proofErr w:type="spellEnd"/>
      <w:r w:rsidRPr="0041421A">
        <w:rPr>
          <w:rFonts w:ascii="Arial" w:hAnsi="Arial" w:cs="Arial"/>
          <w:bCs/>
          <w:sz w:val="20"/>
          <w:szCs w:val="20"/>
        </w:rPr>
        <w:t xml:space="preserve"> (2001) 52 NSWLR 705 at [85] per </w:t>
      </w:r>
      <w:proofErr w:type="spellStart"/>
      <w:r w:rsidRPr="0041421A">
        <w:rPr>
          <w:rFonts w:ascii="Arial" w:hAnsi="Arial" w:cs="Arial"/>
          <w:bCs/>
          <w:sz w:val="20"/>
          <w:szCs w:val="20"/>
        </w:rPr>
        <w:t>Heydon</w:t>
      </w:r>
      <w:proofErr w:type="spellEnd"/>
      <w:r w:rsidRPr="0041421A">
        <w:rPr>
          <w:rFonts w:ascii="Arial" w:hAnsi="Arial" w:cs="Arial"/>
          <w:bCs/>
          <w:sz w:val="20"/>
          <w:szCs w:val="20"/>
        </w:rPr>
        <w:t xml:space="preserve"> JA</w:t>
      </w:r>
      <w:r w:rsidRPr="0041421A">
        <w:rPr>
          <w:rFonts w:ascii="Arial" w:hAnsi="Arial" w:cs="Arial"/>
          <w:sz w:val="20"/>
          <w:szCs w:val="20"/>
        </w:rPr>
        <w:t>:</w:t>
      </w:r>
    </w:p>
    <w:p w14:paraId="5DA8ACB3"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lastRenderedPageBreak/>
        <w:t>(a)</w:t>
      </w:r>
      <w:r w:rsidRPr="0041421A">
        <w:rPr>
          <w:rFonts w:ascii="Arial" w:hAnsi="Arial" w:cs="Arial"/>
          <w:bCs/>
          <w:sz w:val="18"/>
          <w:szCs w:val="18"/>
        </w:rPr>
        <w:tab/>
        <w:t>a party wishing to call an expert witness must clearly identify the field of specialized knowledge in respect of which it is said the witness can proffer an opinion;</w:t>
      </w:r>
    </w:p>
    <w:p w14:paraId="2AF63CE0"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(b)</w:t>
      </w:r>
      <w:r w:rsidRPr="0041421A">
        <w:rPr>
          <w:rFonts w:ascii="Arial" w:hAnsi="Arial" w:cs="Arial"/>
          <w:bCs/>
          <w:sz w:val="18"/>
          <w:szCs w:val="18"/>
        </w:rPr>
        <w:tab/>
        <w:t>a party must then identify the expertise of the witness in that field; it must be demonstrates that by reason of specialized training, study or experience the witness is truly an expert in that area;</w:t>
      </w:r>
    </w:p>
    <w:p w14:paraId="438A1BCA"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(c)</w:t>
      </w:r>
      <w:r w:rsidRPr="0041421A">
        <w:rPr>
          <w:rFonts w:ascii="Arial" w:hAnsi="Arial" w:cs="Arial"/>
          <w:bCs/>
          <w:sz w:val="18"/>
          <w:szCs w:val="18"/>
        </w:rPr>
        <w:tab/>
        <w:t>the opinion expressed by the witness must be either wholly or substantially based on that specialist knowledge and not on the everyday knowledge of the common person;</w:t>
      </w:r>
    </w:p>
    <w:p w14:paraId="2458F9FD" w14:textId="77777777"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(d)</w:t>
      </w:r>
      <w:r w:rsidRPr="0041421A">
        <w:rPr>
          <w:rFonts w:ascii="Arial" w:hAnsi="Arial" w:cs="Arial"/>
          <w:bCs/>
          <w:sz w:val="18"/>
          <w:szCs w:val="18"/>
        </w:rPr>
        <w:tab/>
        <w:t>the opinion must be based on clearly identified facts; and</w:t>
      </w:r>
    </w:p>
    <w:p w14:paraId="047B1E14" w14:textId="51877650" w:rsidR="0041421A" w:rsidRPr="0041421A" w:rsidRDefault="0041421A" w:rsidP="0041421A">
      <w:pPr>
        <w:tabs>
          <w:tab w:val="left" w:pos="363"/>
        </w:tabs>
        <w:ind w:left="1384" w:right="1021" w:hanging="363"/>
        <w:jc w:val="both"/>
        <w:rPr>
          <w:rFonts w:ascii="Arial" w:hAnsi="Arial" w:cs="Arial"/>
          <w:bCs/>
          <w:sz w:val="18"/>
          <w:szCs w:val="18"/>
        </w:rPr>
      </w:pPr>
      <w:r w:rsidRPr="0041421A">
        <w:rPr>
          <w:rFonts w:ascii="Arial" w:hAnsi="Arial" w:cs="Arial"/>
          <w:bCs/>
          <w:sz w:val="18"/>
          <w:szCs w:val="18"/>
        </w:rPr>
        <w:t>(e)</w:t>
      </w:r>
      <w:r w:rsidRPr="0041421A">
        <w:rPr>
          <w:rFonts w:ascii="Arial" w:hAnsi="Arial" w:cs="Arial"/>
          <w:bCs/>
          <w:sz w:val="18"/>
          <w:szCs w:val="18"/>
        </w:rPr>
        <w:tab/>
        <w:t>the onus rests on the party calling the witness to satisf</w:t>
      </w:r>
      <w:r w:rsidR="00917A69">
        <w:rPr>
          <w:rFonts w:ascii="Arial" w:hAnsi="Arial" w:cs="Arial"/>
          <w:bCs/>
          <w:sz w:val="18"/>
          <w:szCs w:val="18"/>
        </w:rPr>
        <w:t>y</w:t>
      </w:r>
      <w:r w:rsidRPr="0041421A">
        <w:rPr>
          <w:rFonts w:ascii="Arial" w:hAnsi="Arial" w:cs="Arial"/>
          <w:bCs/>
          <w:sz w:val="18"/>
          <w:szCs w:val="18"/>
        </w:rPr>
        <w:t xml:space="preserve"> the above criteria.</w:t>
      </w:r>
    </w:p>
    <w:p w14:paraId="0BEB6B4E" w14:textId="18B5A073" w:rsidR="0041421A" w:rsidRPr="0041421A" w:rsidRDefault="0041421A" w:rsidP="0041421A">
      <w:pPr>
        <w:spacing w:before="60"/>
        <w:ind w:left="567" w:right="567"/>
        <w:jc w:val="both"/>
        <w:rPr>
          <w:rFonts w:ascii="Arial" w:hAnsi="Arial" w:cs="Arial"/>
          <w:sz w:val="20"/>
          <w:szCs w:val="20"/>
        </w:rPr>
      </w:pPr>
      <w:r>
        <w:rPr>
          <w:rFonts w:ascii="Arial" w:hAnsi="Arial" w:cs="Arial"/>
          <w:sz w:val="20"/>
          <w:szCs w:val="20"/>
        </w:rPr>
        <w:t>[</w:t>
      </w:r>
      <w:r w:rsidR="00C3735B">
        <w:rPr>
          <w:rFonts w:ascii="Arial" w:hAnsi="Arial" w:cs="Arial"/>
          <w:sz w:val="20"/>
          <w:szCs w:val="20"/>
        </w:rPr>
        <w:t>38</w:t>
      </w:r>
      <w:r>
        <w:rPr>
          <w:rFonts w:ascii="Arial" w:hAnsi="Arial" w:cs="Arial"/>
          <w:sz w:val="20"/>
          <w:szCs w:val="20"/>
        </w:rPr>
        <w:t xml:space="preserve">] </w:t>
      </w:r>
      <w:r w:rsidR="00337356" w:rsidRPr="00720FCE">
        <w:rPr>
          <w:rFonts w:ascii="Arial" w:hAnsi="Arial" w:cs="Arial"/>
          <w:sz w:val="20"/>
          <w:szCs w:val="20"/>
        </w:rPr>
        <w:t xml:space="preserve">Of course, in the Family Division the Court </w:t>
      </w:r>
      <w:r w:rsidR="00917A69">
        <w:rPr>
          <w:rFonts w:ascii="Arial" w:hAnsi="Arial" w:cs="Arial"/>
          <w:sz w:val="20"/>
          <w:szCs w:val="20"/>
        </w:rPr>
        <w:t>‘</w:t>
      </w:r>
      <w:r w:rsidR="00337356" w:rsidRPr="00720FCE">
        <w:rPr>
          <w:rFonts w:ascii="Arial" w:hAnsi="Arial" w:cs="Arial"/>
          <w:sz w:val="20"/>
          <w:szCs w:val="20"/>
        </w:rPr>
        <w:t>may inform itself on a matter in such manner as it thinks fit, despite any rules of evidence to the contrary</w:t>
      </w:r>
      <w:r w:rsidR="00917A69">
        <w:rPr>
          <w:rFonts w:ascii="Arial" w:hAnsi="Arial" w:cs="Arial"/>
          <w:sz w:val="20"/>
          <w:szCs w:val="20"/>
        </w:rPr>
        <w:t>’</w:t>
      </w:r>
      <w:r w:rsidR="00337356" w:rsidRPr="00720FCE">
        <w:rPr>
          <w:rFonts w:ascii="Arial" w:hAnsi="Arial" w:cs="Arial"/>
          <w:sz w:val="20"/>
          <w:szCs w:val="20"/>
        </w:rPr>
        <w:t>:</w:t>
      </w:r>
      <w:r w:rsidR="00337356">
        <w:rPr>
          <w:rFonts w:ascii="Arial" w:hAnsi="Arial" w:cs="Arial"/>
          <w:sz w:val="20"/>
          <w:szCs w:val="20"/>
        </w:rPr>
        <w:t xml:space="preserve"> s.215(1)(d) of the CYFA</w:t>
      </w:r>
      <w:r w:rsidR="00337356" w:rsidRPr="00720FCE">
        <w:rPr>
          <w:rFonts w:ascii="Arial" w:hAnsi="Arial" w:cs="Arial"/>
          <w:sz w:val="20"/>
          <w:szCs w:val="20"/>
        </w:rPr>
        <w:t xml:space="preserve"> .</w:t>
      </w:r>
      <w:r w:rsidR="00337356" w:rsidRPr="00720FCE">
        <w:rPr>
          <w:rFonts w:ascii="Arial" w:hAnsi="Arial" w:cs="Arial"/>
          <w:bCs/>
          <w:sz w:val="20"/>
          <w:szCs w:val="20"/>
        </w:rPr>
        <w:t xml:space="preserve"> However, in </w:t>
      </w:r>
      <w:r w:rsidR="006C0FB7" w:rsidRPr="00917A69">
        <w:rPr>
          <w:rFonts w:ascii="Arial" w:hAnsi="Arial" w:cs="Arial"/>
          <w:bCs/>
          <w:i/>
          <w:iCs/>
          <w:sz w:val="20"/>
          <w:szCs w:val="20"/>
        </w:rPr>
        <w:t>A &amp; B v Director of Family Services</w:t>
      </w:r>
      <w:r w:rsidR="006C0FB7">
        <w:rPr>
          <w:rFonts w:ascii="Arial" w:hAnsi="Arial" w:cs="Arial"/>
          <w:bCs/>
          <w:sz w:val="20"/>
          <w:szCs w:val="20"/>
        </w:rPr>
        <w:t xml:space="preserve"> (1996) 20 Fam LR 549 at 553-4 </w:t>
      </w:r>
      <w:r w:rsidR="00917A69" w:rsidRPr="00720FCE">
        <w:rPr>
          <w:rFonts w:ascii="Arial" w:hAnsi="Arial" w:cs="Arial"/>
          <w:bCs/>
          <w:sz w:val="20"/>
          <w:szCs w:val="20"/>
        </w:rPr>
        <w:t>Higgins J</w:t>
      </w:r>
      <w:r w:rsidR="00917A69">
        <w:rPr>
          <w:rFonts w:ascii="Arial" w:hAnsi="Arial" w:cs="Arial"/>
          <w:bCs/>
          <w:sz w:val="20"/>
          <w:szCs w:val="20"/>
        </w:rPr>
        <w:t xml:space="preserve"> </w:t>
      </w:r>
      <w:r w:rsidR="006C0FB7">
        <w:rPr>
          <w:rFonts w:ascii="Arial" w:hAnsi="Arial" w:cs="Arial"/>
          <w:bCs/>
          <w:sz w:val="20"/>
          <w:szCs w:val="20"/>
        </w:rPr>
        <w:t xml:space="preserve">in </w:t>
      </w:r>
      <w:r w:rsidR="00337356" w:rsidRPr="00720FCE">
        <w:rPr>
          <w:rFonts w:ascii="Arial" w:hAnsi="Arial" w:cs="Arial"/>
          <w:bCs/>
          <w:sz w:val="20"/>
          <w:szCs w:val="20"/>
        </w:rPr>
        <w:t>the Supreme Court of the A.C.T. explained the proper operation of such a provision as follows</w:t>
      </w:r>
      <w:r w:rsidR="00337356">
        <w:rPr>
          <w:rFonts w:ascii="Arial" w:hAnsi="Arial" w:cs="Arial"/>
          <w:bCs/>
          <w:sz w:val="20"/>
        </w:rPr>
        <w:t>:</w:t>
      </w:r>
    </w:p>
    <w:p w14:paraId="623BFA43" w14:textId="6D285C69" w:rsidR="00337356" w:rsidRPr="0041421A" w:rsidRDefault="006C0FB7" w:rsidP="00337356">
      <w:pPr>
        <w:spacing w:before="60"/>
        <w:ind w:left="1021" w:right="1021"/>
        <w:jc w:val="both"/>
        <w:rPr>
          <w:rFonts w:ascii="Arial" w:hAnsi="Arial" w:cs="Arial"/>
          <w:bCs/>
          <w:sz w:val="18"/>
          <w:szCs w:val="18"/>
        </w:rPr>
      </w:pPr>
      <w:r>
        <w:rPr>
          <w:rFonts w:ascii="Arial" w:hAnsi="Arial" w:cs="Arial"/>
          <w:bCs/>
          <w:sz w:val="18"/>
          <w:szCs w:val="18"/>
        </w:rPr>
        <w:t>‘</w:t>
      </w:r>
      <w:r w:rsidR="00337356" w:rsidRPr="00337356">
        <w:rPr>
          <w:rFonts w:ascii="Arial" w:hAnsi="Arial" w:cs="Arial"/>
          <w:bCs/>
          <w:sz w:val="18"/>
          <w:szCs w:val="18"/>
        </w:rPr>
        <w:t>[I]t should be recognised that such provisions do not render the rules of evidence irrelevant…</w:t>
      </w:r>
    </w:p>
    <w:p w14:paraId="552B6F1B" w14:textId="096DBA0F" w:rsidR="00C3735B" w:rsidRPr="0041421A" w:rsidRDefault="00720FCE" w:rsidP="00C3735B">
      <w:pPr>
        <w:spacing w:before="60"/>
        <w:ind w:left="1021" w:right="1021"/>
        <w:jc w:val="both"/>
        <w:rPr>
          <w:rFonts w:ascii="Arial" w:hAnsi="Arial" w:cs="Arial"/>
          <w:bCs/>
          <w:sz w:val="18"/>
          <w:szCs w:val="18"/>
        </w:rPr>
      </w:pPr>
      <w:r w:rsidRPr="00337356">
        <w:rPr>
          <w:rFonts w:ascii="Arial" w:hAnsi="Arial" w:cs="Arial"/>
          <w:bCs/>
          <w:sz w:val="18"/>
          <w:szCs w:val="18"/>
        </w:rPr>
        <w:t xml:space="preserve">The proper approach to the application of the rules of evidence in the face of such a provision was considered by Lockhart J in </w:t>
      </w:r>
      <w:r w:rsidRPr="00337356">
        <w:rPr>
          <w:rFonts w:ascii="Arial" w:hAnsi="Arial" w:cs="Arial"/>
          <w:bCs/>
          <w:i/>
          <w:iCs/>
          <w:sz w:val="18"/>
          <w:szCs w:val="18"/>
        </w:rPr>
        <w:t xml:space="preserve">Pearce v Button </w:t>
      </w:r>
      <w:r w:rsidRPr="00337356">
        <w:rPr>
          <w:rFonts w:ascii="Arial" w:hAnsi="Arial" w:cs="Arial"/>
          <w:sz w:val="18"/>
          <w:szCs w:val="18"/>
        </w:rPr>
        <w:t>(1985) 65 ALR 83 at 97; 8</w:t>
      </w:r>
      <w:r w:rsidR="008345B0">
        <w:rPr>
          <w:rFonts w:ascii="Arial" w:hAnsi="Arial" w:cs="Arial"/>
          <w:sz w:val="18"/>
          <w:szCs w:val="18"/>
        </w:rPr>
        <w:t> </w:t>
      </w:r>
      <w:r w:rsidRPr="00337356">
        <w:rPr>
          <w:rFonts w:ascii="Arial" w:hAnsi="Arial" w:cs="Arial"/>
          <w:sz w:val="18"/>
          <w:szCs w:val="18"/>
        </w:rPr>
        <w:t>FCR 408 at 422. “</w:t>
      </w:r>
      <w:r w:rsidRPr="00337356">
        <w:rPr>
          <w:rFonts w:ascii="Arial" w:hAnsi="Arial" w:cs="Arial"/>
          <w:bCs/>
          <w:sz w:val="18"/>
          <w:szCs w:val="18"/>
        </w:rPr>
        <w:t>…a judge should be slow to invoke it [a power to dispense with compliance with rules of evidence] where there is a real dispute about matters which go to the heart of the case.</w:t>
      </w:r>
      <w:r w:rsidR="008345B0">
        <w:rPr>
          <w:rFonts w:ascii="Arial" w:hAnsi="Arial" w:cs="Arial"/>
          <w:bCs/>
          <w:sz w:val="18"/>
          <w:szCs w:val="18"/>
        </w:rPr>
        <w:t>”’</w:t>
      </w:r>
    </w:p>
    <w:p w14:paraId="5E2668CA" w14:textId="7D47855F" w:rsidR="00720FCE" w:rsidRPr="00337356" w:rsidRDefault="008345B0" w:rsidP="008345B0">
      <w:pPr>
        <w:spacing w:before="60"/>
        <w:ind w:left="567" w:right="567"/>
        <w:jc w:val="both"/>
        <w:rPr>
          <w:rFonts w:ascii="Arial" w:hAnsi="Arial" w:cs="Arial"/>
          <w:bCs/>
          <w:sz w:val="18"/>
          <w:szCs w:val="18"/>
        </w:rPr>
      </w:pPr>
      <w:r>
        <w:rPr>
          <w:rFonts w:ascii="Arial" w:hAnsi="Arial" w:cs="Arial"/>
          <w:bCs/>
          <w:sz w:val="18"/>
          <w:szCs w:val="18"/>
        </w:rPr>
        <w:t xml:space="preserve">[39] </w:t>
      </w:r>
      <w:r w:rsidRPr="008345B0">
        <w:rPr>
          <w:rFonts w:ascii="Arial" w:hAnsi="Arial" w:cs="Arial"/>
          <w:bCs/>
          <w:sz w:val="20"/>
          <w:szCs w:val="20"/>
        </w:rPr>
        <w:t xml:space="preserve">This approach was confirmed by Bell J in </w:t>
      </w:r>
      <w:r w:rsidRPr="008345B0">
        <w:rPr>
          <w:rFonts w:ascii="Arial" w:hAnsi="Arial" w:cs="Arial"/>
          <w:bCs/>
          <w:i/>
          <w:sz w:val="20"/>
          <w:szCs w:val="20"/>
        </w:rPr>
        <w:t>DOHS v Sanding</w:t>
      </w:r>
      <w:r w:rsidRPr="008345B0">
        <w:rPr>
          <w:rFonts w:ascii="Arial" w:hAnsi="Arial" w:cs="Arial"/>
          <w:bCs/>
          <w:sz w:val="20"/>
          <w:szCs w:val="20"/>
        </w:rPr>
        <w:t xml:space="preserve"> [2011] VSC 42; (2011) 36 VR 221 where His Honour said at [64]: ‘</w:t>
      </w:r>
      <w:r w:rsidRPr="008345B0">
        <w:rPr>
          <w:rFonts w:ascii="Arial" w:hAnsi="Arial" w:cs="Arial"/>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p>
    <w:p w14:paraId="028EFE61" w14:textId="4748BDBF" w:rsidR="00720FCE" w:rsidRDefault="008345B0" w:rsidP="008345B0">
      <w:pPr>
        <w:spacing w:before="60"/>
        <w:ind w:left="567" w:right="567"/>
        <w:jc w:val="both"/>
        <w:rPr>
          <w:rFonts w:ascii="Arial" w:hAnsi="Arial" w:cs="Arial"/>
          <w:sz w:val="20"/>
        </w:rPr>
      </w:pPr>
      <w:r>
        <w:rPr>
          <w:rFonts w:ascii="Arial" w:hAnsi="Arial" w:cs="Arial"/>
          <w:bCs/>
          <w:sz w:val="20"/>
          <w:szCs w:val="20"/>
        </w:rPr>
        <w:t xml:space="preserve">[40] </w:t>
      </w:r>
      <w:r w:rsidRPr="00720FCE">
        <w:rPr>
          <w:rFonts w:ascii="Arial" w:hAnsi="Arial" w:cs="Arial"/>
          <w:sz w:val="20"/>
        </w:rPr>
        <w:t xml:space="preserve">The DFFH position on the father’s family violence towards the mother in the presence of the child is one of the </w:t>
      </w:r>
      <w:r>
        <w:rPr>
          <w:rFonts w:ascii="Arial" w:hAnsi="Arial" w:cs="Arial"/>
          <w:sz w:val="20"/>
        </w:rPr>
        <w:t>two</w:t>
      </w:r>
      <w:r w:rsidRPr="00720FCE">
        <w:rPr>
          <w:rFonts w:ascii="Arial" w:hAnsi="Arial" w:cs="Arial"/>
          <w:sz w:val="20"/>
        </w:rPr>
        <w:t xml:space="preserve"> central protective issues which are in dispute and which, on the DFFH case, has prevented and should continue to prevent the father spending time with the mother and child as a family, even to the extent that he ought not be permitted to facilitate contact between the child and the mother by providing transport, let alone providing co-parenting support in the mother’s home while ZX is in her care.</w:t>
      </w:r>
    </w:p>
    <w:p w14:paraId="4EA269AD" w14:textId="048A81D8" w:rsidR="008345B0" w:rsidRPr="00720FCE" w:rsidRDefault="008345B0" w:rsidP="00F73ED3">
      <w:pPr>
        <w:spacing w:before="60"/>
        <w:ind w:left="567" w:right="567"/>
        <w:jc w:val="both"/>
        <w:rPr>
          <w:rFonts w:ascii="Arial" w:hAnsi="Arial" w:cs="Arial"/>
          <w:bCs/>
          <w:sz w:val="20"/>
          <w:szCs w:val="20"/>
        </w:rPr>
      </w:pPr>
      <w:r>
        <w:rPr>
          <w:rFonts w:ascii="Arial" w:hAnsi="Arial" w:cs="Arial"/>
          <w:bCs/>
          <w:sz w:val="20"/>
          <w:szCs w:val="20"/>
        </w:rPr>
        <w:t xml:space="preserve">[41] </w:t>
      </w:r>
      <w:r w:rsidRPr="00720FCE">
        <w:rPr>
          <w:rFonts w:ascii="Arial" w:hAnsi="Arial" w:cs="Arial"/>
          <w:sz w:val="20"/>
        </w:rPr>
        <w:t xml:space="preserve">I find it is a real dispute which goes to the heart of the case and is of importance to the outcome of the proceedings and accordingly, I disregard witness 3’s evidence where it diverges into what I consider to be opinion evidence </w:t>
      </w:r>
      <w:r w:rsidRPr="00F73ED3">
        <w:rPr>
          <w:rFonts w:ascii="Arial" w:hAnsi="Arial" w:cs="Arial"/>
          <w:sz w:val="20"/>
        </w:rPr>
        <w:t>excluded by</w:t>
      </w:r>
      <w:r w:rsidRPr="00720FCE">
        <w:rPr>
          <w:rFonts w:ascii="Arial" w:hAnsi="Arial" w:cs="Arial"/>
          <w:sz w:val="20"/>
        </w:rPr>
        <w:t xml:space="preserve"> s.76 of the </w:t>
      </w:r>
      <w:r w:rsidRPr="00720FCE">
        <w:rPr>
          <w:rFonts w:ascii="Arial" w:hAnsi="Arial" w:cs="Arial"/>
          <w:i/>
          <w:iCs/>
          <w:sz w:val="20"/>
        </w:rPr>
        <w:t>Evidence Act 2008</w:t>
      </w:r>
      <w:r>
        <w:rPr>
          <w:rFonts w:ascii="Arial" w:hAnsi="Arial" w:cs="Arial"/>
          <w:sz w:val="20"/>
        </w:rPr>
        <w:t>:</w:t>
      </w:r>
    </w:p>
    <w:p w14:paraId="092E983F" w14:textId="5E4CC5A6" w:rsidR="00F73ED3" w:rsidRPr="00F73ED3" w:rsidRDefault="00F73ED3" w:rsidP="00F73ED3">
      <w:pPr>
        <w:pStyle w:val="ListParagraph"/>
        <w:spacing w:before="60"/>
        <w:ind w:left="1021" w:right="1021"/>
        <w:jc w:val="both"/>
        <w:rPr>
          <w:rFonts w:ascii="Arial" w:hAnsi="Arial" w:cs="Arial"/>
          <w:bCs/>
          <w:sz w:val="18"/>
          <w:szCs w:val="18"/>
        </w:rPr>
      </w:pPr>
      <w:r>
        <w:rPr>
          <w:rFonts w:ascii="Arial" w:hAnsi="Arial" w:cs="Arial"/>
          <w:bCs/>
          <w:sz w:val="18"/>
          <w:szCs w:val="18"/>
        </w:rPr>
        <w:t>‘</w:t>
      </w:r>
      <w:r w:rsidRPr="00F73ED3">
        <w:rPr>
          <w:rFonts w:ascii="Arial" w:hAnsi="Arial" w:cs="Arial"/>
          <w:sz w:val="18"/>
          <w:szCs w:val="18"/>
        </w:rPr>
        <w:t>The opinion rule- Evidence of an opinion is not admissible to prove the existence of a fact about the existence of which the opinion was expressed.</w:t>
      </w:r>
      <w:r>
        <w:rPr>
          <w:rFonts w:ascii="Arial" w:hAnsi="Arial" w:cs="Arial"/>
          <w:sz w:val="18"/>
          <w:szCs w:val="18"/>
        </w:rPr>
        <w:t>’</w:t>
      </w:r>
    </w:p>
    <w:p w14:paraId="75EBFF2C" w14:textId="77777777" w:rsidR="006F15A6" w:rsidRPr="006F15A6" w:rsidRDefault="006F15A6" w:rsidP="006F15A6">
      <w:pPr>
        <w:pStyle w:val="ListParagraph"/>
        <w:spacing w:before="60"/>
        <w:ind w:left="567" w:right="567"/>
        <w:contextualSpacing/>
        <w:jc w:val="both"/>
        <w:rPr>
          <w:rFonts w:ascii="Arial" w:hAnsi="Arial" w:cs="Arial"/>
          <w:bCs/>
          <w:sz w:val="6"/>
          <w:szCs w:val="6"/>
        </w:rPr>
      </w:pPr>
    </w:p>
    <w:p w14:paraId="42C17F6B" w14:textId="502D5393" w:rsidR="00720FCE" w:rsidRDefault="008345B0" w:rsidP="006F15A6">
      <w:pPr>
        <w:pStyle w:val="ListParagraph"/>
        <w:spacing w:before="60"/>
        <w:ind w:left="567" w:right="567"/>
        <w:contextualSpacing/>
        <w:jc w:val="both"/>
        <w:rPr>
          <w:rFonts w:ascii="Arial" w:hAnsi="Arial" w:cs="Arial"/>
          <w:sz w:val="20"/>
        </w:rPr>
      </w:pPr>
      <w:r>
        <w:rPr>
          <w:rFonts w:ascii="Arial" w:hAnsi="Arial" w:cs="Arial"/>
          <w:bCs/>
          <w:sz w:val="20"/>
        </w:rPr>
        <w:t>[4</w:t>
      </w:r>
      <w:r w:rsidR="006F15A6">
        <w:rPr>
          <w:rFonts w:ascii="Arial" w:hAnsi="Arial" w:cs="Arial"/>
          <w:bCs/>
          <w:sz w:val="20"/>
        </w:rPr>
        <w:t>2</w:t>
      </w:r>
      <w:r>
        <w:rPr>
          <w:rFonts w:ascii="Arial" w:hAnsi="Arial" w:cs="Arial"/>
          <w:bCs/>
          <w:sz w:val="20"/>
        </w:rPr>
        <w:t xml:space="preserve">] </w:t>
      </w:r>
      <w:r w:rsidR="006F15A6" w:rsidRPr="00720FCE">
        <w:rPr>
          <w:rFonts w:ascii="Arial" w:hAnsi="Arial" w:cs="Arial"/>
          <w:sz w:val="20"/>
        </w:rPr>
        <w:t>The mother has suffered a series of strokes and the medical evidence, and I might say common sense, indicates she has had periods of being slower to complete tasks, reduced physical prowess and it really goes without saying that she needs and, I am sure, appreciates the support the father provides around the home and his apparent availability and willingness to provide same.</w:t>
      </w:r>
    </w:p>
    <w:p w14:paraId="14E69D66" w14:textId="77777777" w:rsidR="006F15A6" w:rsidRPr="006F15A6" w:rsidRDefault="006F15A6" w:rsidP="006F15A6">
      <w:pPr>
        <w:pStyle w:val="ListParagraph"/>
        <w:spacing w:before="60"/>
        <w:ind w:left="567" w:right="567"/>
        <w:contextualSpacing/>
        <w:jc w:val="both"/>
        <w:rPr>
          <w:rFonts w:ascii="Arial" w:hAnsi="Arial" w:cs="Arial"/>
          <w:sz w:val="6"/>
          <w:szCs w:val="6"/>
        </w:rPr>
      </w:pPr>
    </w:p>
    <w:p w14:paraId="0627FFDC" w14:textId="7B36FB42" w:rsidR="006F15A6" w:rsidRPr="008345B0" w:rsidRDefault="006F15A6" w:rsidP="006F15A6">
      <w:pPr>
        <w:pStyle w:val="ListParagraph"/>
        <w:spacing w:before="60"/>
        <w:ind w:left="567" w:right="567"/>
        <w:contextualSpacing/>
        <w:jc w:val="both"/>
        <w:rPr>
          <w:rFonts w:ascii="Arial" w:hAnsi="Arial" w:cs="Arial"/>
          <w:bCs/>
          <w:sz w:val="20"/>
        </w:rPr>
      </w:pPr>
      <w:r>
        <w:rPr>
          <w:rFonts w:ascii="Arial" w:hAnsi="Arial" w:cs="Arial"/>
          <w:sz w:val="20"/>
        </w:rPr>
        <w:t xml:space="preserve">[43] </w:t>
      </w:r>
      <w:r w:rsidRPr="00720FCE">
        <w:rPr>
          <w:rFonts w:ascii="Arial" w:hAnsi="Arial" w:cs="Arial"/>
          <w:sz w:val="20"/>
        </w:rPr>
        <w:t xml:space="preserve">On the basis of the evidence, provided largely by the DFFH, I find the father has spent time with the mother on multiple occasions, including spending extended periods of time with the mother in her home and I presume he is providing her with any required supports and would continue to do so if ZX were placed into her care. In the absence of any further reported incidents of family violence since April 2023 and in the context of the father spending significant amounts of time with the mother, I do not find family violence perpetrated by the father towards the mother to be a current protective concern and I find the risk of future family violence perpetrated by the father is mitigated by an order mandating him to complete a </w:t>
      </w:r>
      <w:proofErr w:type="spellStart"/>
      <w:r w:rsidRPr="00720FCE">
        <w:rPr>
          <w:rFonts w:ascii="Arial" w:hAnsi="Arial" w:cs="Arial"/>
          <w:sz w:val="20"/>
        </w:rPr>
        <w:t>Mens</w:t>
      </w:r>
      <w:proofErr w:type="spellEnd"/>
      <w:r w:rsidRPr="00720FCE">
        <w:rPr>
          <w:rFonts w:ascii="Arial" w:hAnsi="Arial" w:cs="Arial"/>
          <w:sz w:val="20"/>
        </w:rPr>
        <w:t xml:space="preserve"> Behaviour Change Program and to provide a certification of completion over the course of the order I have made.</w:t>
      </w:r>
      <w:r>
        <w:rPr>
          <w:rFonts w:ascii="Arial" w:hAnsi="Arial" w:cs="Arial"/>
          <w:sz w:val="20"/>
        </w:rPr>
        <w:t>”</w:t>
      </w:r>
    </w:p>
    <w:p w14:paraId="539085FC" w14:textId="77777777" w:rsidR="00720FCE" w:rsidRDefault="00720FCE" w:rsidP="009C5B94">
      <w:pPr>
        <w:jc w:val="both"/>
        <w:rPr>
          <w:rFonts w:ascii="Arial" w:hAnsi="Arial" w:cs="Arial"/>
          <w:color w:val="000000"/>
          <w:sz w:val="20"/>
        </w:rPr>
      </w:pPr>
    </w:p>
    <w:p w14:paraId="6C9D313C" w14:textId="77777777" w:rsidR="009C5B94" w:rsidRDefault="009C5B94" w:rsidP="009C5B94">
      <w:pPr>
        <w:jc w:val="both"/>
        <w:rPr>
          <w:rFonts w:ascii="Arial" w:hAnsi="Arial" w:cs="Arial"/>
          <w:sz w:val="20"/>
          <w:szCs w:val="20"/>
        </w:rPr>
      </w:pPr>
      <w:r w:rsidRPr="00C702E3">
        <w:rPr>
          <w:rFonts w:ascii="Arial" w:hAnsi="Arial" w:cs="Arial"/>
          <w:i/>
          <w:iCs/>
          <w:color w:val="000000"/>
          <w:sz w:val="20"/>
        </w:rPr>
        <w:t>R v Duong</w:t>
      </w:r>
      <w:r>
        <w:rPr>
          <w:rFonts w:ascii="Arial" w:hAnsi="Arial" w:cs="Arial"/>
          <w:color w:val="000000"/>
          <w:sz w:val="20"/>
        </w:rPr>
        <w:t xml:space="preserve"> [2022] VSC 816 involved a judge-along trial in which Jane Dixon J dismissed a charge of dangerous driving causing death pursuant to </w:t>
      </w:r>
      <w:r w:rsidRPr="002C7020">
        <w:rPr>
          <w:rFonts w:ascii="Arial" w:hAnsi="Arial" w:cs="Arial"/>
          <w:sz w:val="20"/>
          <w:szCs w:val="20"/>
        </w:rPr>
        <w:t xml:space="preserve">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In dicta which is equally relevant to proceedings in the Family Division of the Children’s Court her Honour described the basis on which she was required to assess the evidence of the various expert witnesses who gave evidence at the trial.  At [28]-[30] her Honour said:</w:t>
      </w:r>
    </w:p>
    <w:p w14:paraId="6576AF20" w14:textId="77777777" w:rsidR="009C5B94" w:rsidRDefault="009C5B94" w:rsidP="009C5B94">
      <w:pPr>
        <w:spacing w:before="60"/>
        <w:ind w:left="567" w:right="567"/>
        <w:jc w:val="both"/>
        <w:rPr>
          <w:rFonts w:ascii="Arial" w:hAnsi="Arial" w:cs="Arial"/>
          <w:sz w:val="20"/>
          <w:szCs w:val="20"/>
        </w:rPr>
      </w:pPr>
      <w:r>
        <w:rPr>
          <w:rFonts w:ascii="Arial" w:hAnsi="Arial" w:cs="Arial"/>
          <w:sz w:val="20"/>
        </w:rPr>
        <w:t>[28] “</w:t>
      </w:r>
      <w:r w:rsidRPr="0048529E">
        <w:rPr>
          <w:rFonts w:ascii="Arial" w:hAnsi="Arial" w:cs="Arial"/>
          <w:sz w:val="20"/>
          <w:szCs w:val="20"/>
        </w:rPr>
        <w:t>Regarding unchallenged expert evidence, as the trier of the facts I am not required to accept an expert</w:t>
      </w:r>
      <w:r w:rsidRPr="0048529E">
        <w:rPr>
          <w:rFonts w:ascii="Arial" w:eastAsia="Book Antiqua" w:hAnsi="Arial" w:cs="Arial"/>
          <w:sz w:val="20"/>
          <w:szCs w:val="20"/>
        </w:rPr>
        <w:t>’</w:t>
      </w:r>
      <w:r w:rsidRPr="0048529E">
        <w:rPr>
          <w:rFonts w:ascii="Arial" w:hAnsi="Arial" w:cs="Arial"/>
          <w:sz w:val="20"/>
          <w:szCs w:val="20"/>
        </w:rPr>
        <w:t>s opinion, even where it was not challenged by the opposing party. Although the experts called are experts in their stated fields, like any other evidence their opinions are pieces of evidence which I am entitled to accept or reject.</w:t>
      </w:r>
    </w:p>
    <w:p w14:paraId="152940DC" w14:textId="77777777" w:rsidR="009C5B94" w:rsidRDefault="009C5B94" w:rsidP="009C5B94">
      <w:pPr>
        <w:spacing w:before="60"/>
        <w:ind w:left="567" w:right="567"/>
        <w:jc w:val="both"/>
        <w:rPr>
          <w:rFonts w:ascii="Arial" w:hAnsi="Arial" w:cs="Arial"/>
          <w:sz w:val="20"/>
          <w:szCs w:val="20"/>
        </w:rPr>
      </w:pPr>
      <w:r>
        <w:rPr>
          <w:rFonts w:ascii="Arial" w:hAnsi="Arial" w:cs="Arial"/>
          <w:sz w:val="20"/>
          <w:szCs w:val="20"/>
        </w:rPr>
        <w:lastRenderedPageBreak/>
        <w:t xml:space="preserve">[29] </w:t>
      </w:r>
      <w:r w:rsidRPr="0048529E">
        <w:rPr>
          <w:rFonts w:ascii="Arial" w:hAnsi="Arial" w:cs="Arial"/>
          <w:sz w:val="20"/>
          <w:szCs w:val="20"/>
        </w:rPr>
        <w:t xml:space="preserve">When assessing </w:t>
      </w:r>
      <w:r w:rsidRPr="0048529E">
        <w:rPr>
          <w:rFonts w:ascii="Arial" w:eastAsia="Book Antiqua" w:hAnsi="Arial" w:cs="Arial"/>
          <w:sz w:val="20"/>
          <w:szCs w:val="20"/>
        </w:rPr>
        <w:t>each expert’s</w:t>
      </w:r>
      <w:r w:rsidRPr="0048529E">
        <w:rPr>
          <w:rFonts w:ascii="Arial" w:hAnsi="Arial" w:cs="Arial"/>
          <w:sz w:val="20"/>
          <w:szCs w:val="20"/>
        </w:rPr>
        <w:t xml:space="preserve"> opinion, I am obliged to consider factors such as how well-qualified the expert is; whether the expert strayed outside their area of expertise, or just gave evidence of their understanding of certain factual matters (rather than applying expert knowledge to the subject at hand). I must also consider the overall objectivity of any expert witness called by either party.</w:t>
      </w:r>
    </w:p>
    <w:p w14:paraId="6AA9F06A" w14:textId="77777777" w:rsidR="009C5B94" w:rsidRDefault="009C5B94" w:rsidP="009C5B94">
      <w:pPr>
        <w:spacing w:before="60"/>
        <w:ind w:left="567" w:right="567"/>
        <w:jc w:val="both"/>
        <w:rPr>
          <w:rFonts w:ascii="Arial" w:hAnsi="Arial" w:cs="Arial"/>
          <w:sz w:val="20"/>
        </w:rPr>
      </w:pPr>
      <w:r>
        <w:rPr>
          <w:rFonts w:ascii="Arial" w:hAnsi="Arial" w:cs="Arial"/>
          <w:sz w:val="20"/>
          <w:szCs w:val="20"/>
        </w:rPr>
        <w:t xml:space="preserve">[30] </w:t>
      </w:r>
      <w:r w:rsidRPr="0048529E">
        <w:rPr>
          <w:rFonts w:ascii="Arial" w:hAnsi="Arial" w:cs="Arial"/>
          <w:sz w:val="20"/>
          <w:szCs w:val="20"/>
        </w:rPr>
        <w:t xml:space="preserve">Subject to these kinds of considerations, however, I am required to have good reason for not accepting unchallenged expert evidence. Where there is unanimous agreement amongst expert witnesses, I may only reject their evidence for the following reasons: if the facts underlying the opinion are not present; if the process of reasoning that led to the opinion is unsound; or if there is some other factor casting doubt on the validity of the opinion: </w:t>
      </w:r>
      <w:r w:rsidRPr="0048529E">
        <w:rPr>
          <w:rFonts w:ascii="Arial" w:eastAsia="Book Antiqua" w:hAnsi="Arial" w:cs="Arial"/>
          <w:i/>
          <w:sz w:val="20"/>
          <w:szCs w:val="20"/>
        </w:rPr>
        <w:t xml:space="preserve">Taylor v The Queen </w:t>
      </w:r>
      <w:r w:rsidRPr="0048529E">
        <w:rPr>
          <w:rFonts w:ascii="Arial" w:hAnsi="Arial" w:cs="Arial"/>
          <w:sz w:val="20"/>
          <w:szCs w:val="20"/>
        </w:rPr>
        <w:t>(1978) 45 FLR 343;</w:t>
      </w:r>
      <w:r w:rsidRPr="0048529E">
        <w:rPr>
          <w:rFonts w:ascii="Arial" w:eastAsia="Book Antiqua" w:hAnsi="Arial" w:cs="Arial"/>
          <w:i/>
          <w:sz w:val="20"/>
          <w:szCs w:val="20"/>
        </w:rPr>
        <w:t xml:space="preserve"> R v </w:t>
      </w:r>
      <w:proofErr w:type="spellStart"/>
      <w:r w:rsidRPr="0048529E">
        <w:rPr>
          <w:rFonts w:ascii="Arial" w:eastAsia="Book Antiqua" w:hAnsi="Arial" w:cs="Arial"/>
          <w:i/>
          <w:sz w:val="20"/>
          <w:szCs w:val="20"/>
        </w:rPr>
        <w:t>Kotzmann</w:t>
      </w:r>
      <w:proofErr w:type="spellEnd"/>
      <w:r w:rsidRPr="0048529E">
        <w:rPr>
          <w:rFonts w:ascii="Arial" w:eastAsia="Book Antiqua" w:hAnsi="Arial" w:cs="Arial"/>
          <w:i/>
          <w:sz w:val="20"/>
          <w:szCs w:val="20"/>
        </w:rPr>
        <w:t xml:space="preserve"> </w:t>
      </w:r>
      <w:r w:rsidRPr="0048529E">
        <w:rPr>
          <w:rFonts w:ascii="Arial" w:hAnsi="Arial" w:cs="Arial"/>
          <w:sz w:val="20"/>
          <w:szCs w:val="20"/>
        </w:rPr>
        <w:t xml:space="preserve">[1999] 2 VR 123; </w:t>
      </w:r>
      <w:r w:rsidRPr="0048529E">
        <w:rPr>
          <w:rFonts w:ascii="Arial" w:eastAsia="Book Antiqua" w:hAnsi="Arial" w:cs="Arial"/>
          <w:i/>
          <w:sz w:val="20"/>
          <w:szCs w:val="20"/>
        </w:rPr>
        <w:t xml:space="preserve">R v </w:t>
      </w:r>
      <w:proofErr w:type="spellStart"/>
      <w:r w:rsidRPr="0048529E">
        <w:rPr>
          <w:rFonts w:ascii="Arial" w:eastAsia="Book Antiqua" w:hAnsi="Arial" w:cs="Arial"/>
          <w:i/>
          <w:sz w:val="20"/>
          <w:szCs w:val="20"/>
        </w:rPr>
        <w:t>Hilder</w:t>
      </w:r>
      <w:proofErr w:type="spellEnd"/>
      <w:r w:rsidRPr="0048529E">
        <w:rPr>
          <w:rFonts w:ascii="Arial" w:eastAsia="Book Antiqua" w:hAnsi="Arial" w:cs="Arial"/>
          <w:i/>
          <w:sz w:val="20"/>
          <w:szCs w:val="20"/>
        </w:rPr>
        <w:t xml:space="preserve"> </w:t>
      </w:r>
      <w:r w:rsidRPr="0048529E">
        <w:rPr>
          <w:rFonts w:ascii="Arial" w:hAnsi="Arial" w:cs="Arial"/>
          <w:sz w:val="20"/>
          <w:szCs w:val="20"/>
        </w:rPr>
        <w:t xml:space="preserve">(1997) 97 A Crim R 70; </w:t>
      </w:r>
      <w:r w:rsidRPr="0048529E">
        <w:rPr>
          <w:rFonts w:ascii="Arial" w:eastAsia="Book Antiqua" w:hAnsi="Arial" w:cs="Arial"/>
          <w:i/>
          <w:sz w:val="20"/>
          <w:szCs w:val="20"/>
        </w:rPr>
        <w:t xml:space="preserve">R v </w:t>
      </w:r>
      <w:proofErr w:type="spellStart"/>
      <w:r w:rsidRPr="0048529E">
        <w:rPr>
          <w:rFonts w:ascii="Arial" w:eastAsia="Book Antiqua" w:hAnsi="Arial" w:cs="Arial"/>
          <w:i/>
          <w:sz w:val="20"/>
          <w:szCs w:val="20"/>
        </w:rPr>
        <w:t>Klamo</w:t>
      </w:r>
      <w:proofErr w:type="spellEnd"/>
      <w:r w:rsidRPr="0048529E">
        <w:rPr>
          <w:rFonts w:ascii="Arial" w:hAnsi="Arial" w:cs="Arial"/>
          <w:sz w:val="20"/>
          <w:szCs w:val="20"/>
        </w:rPr>
        <w:t xml:space="preserve"> (2008) 18 VR 644; </w:t>
      </w:r>
      <w:r w:rsidRPr="0048529E">
        <w:rPr>
          <w:rFonts w:ascii="Arial" w:eastAsia="Book Antiqua" w:hAnsi="Arial" w:cs="Arial"/>
          <w:i/>
          <w:sz w:val="20"/>
          <w:szCs w:val="20"/>
        </w:rPr>
        <w:t xml:space="preserve">R v Matheson </w:t>
      </w:r>
      <w:r w:rsidRPr="0048529E">
        <w:rPr>
          <w:rFonts w:ascii="Arial" w:hAnsi="Arial" w:cs="Arial"/>
          <w:sz w:val="20"/>
          <w:szCs w:val="20"/>
        </w:rPr>
        <w:t xml:space="preserve">[1958] 1 WLR 474. Where the evidence of competing expert opinions is in conflict, I am entitled to prefer the evidence of one expert over another, based on my assessment of the expert opinion I consider most persuasive: </w:t>
      </w:r>
      <w:proofErr w:type="spellStart"/>
      <w:r w:rsidRPr="0048529E">
        <w:rPr>
          <w:rFonts w:ascii="Arial" w:eastAsia="Book Antiqua" w:hAnsi="Arial" w:cs="Arial"/>
          <w:i/>
          <w:sz w:val="20"/>
          <w:szCs w:val="20"/>
        </w:rPr>
        <w:t>Velevski</w:t>
      </w:r>
      <w:proofErr w:type="spellEnd"/>
      <w:r w:rsidRPr="0048529E">
        <w:rPr>
          <w:rFonts w:ascii="Arial" w:eastAsia="Book Antiqua" w:hAnsi="Arial" w:cs="Arial"/>
          <w:i/>
          <w:sz w:val="20"/>
          <w:szCs w:val="20"/>
        </w:rPr>
        <w:t xml:space="preserve"> v R</w:t>
      </w:r>
      <w:r w:rsidRPr="0048529E">
        <w:rPr>
          <w:rFonts w:ascii="Arial" w:hAnsi="Arial" w:cs="Arial"/>
          <w:sz w:val="20"/>
          <w:szCs w:val="20"/>
        </w:rPr>
        <w:t xml:space="preserve"> (2002) 76 ALJR 402.</w:t>
      </w:r>
      <w:r>
        <w:rPr>
          <w:rFonts w:ascii="Arial" w:hAnsi="Arial" w:cs="Arial"/>
          <w:sz w:val="20"/>
          <w:szCs w:val="20"/>
        </w:rPr>
        <w:t>”</w:t>
      </w:r>
    </w:p>
    <w:p w14:paraId="3D76597C" w14:textId="77777777" w:rsidR="009C5B94" w:rsidRDefault="009C5B94" w:rsidP="005C1DBA">
      <w:pPr>
        <w:jc w:val="both"/>
        <w:rPr>
          <w:rFonts w:ascii="Arial" w:hAnsi="Arial" w:cs="Arial"/>
          <w:sz w:val="20"/>
        </w:rPr>
      </w:pPr>
      <w:bookmarkStart w:id="576" w:name="_4.8.6_Attendance_of"/>
      <w:bookmarkStart w:id="577" w:name="B486"/>
      <w:bookmarkEnd w:id="576"/>
      <w:bookmarkEnd w:id="577"/>
    </w:p>
    <w:p w14:paraId="6C4A5896" w14:textId="2F317807" w:rsidR="0022246F" w:rsidRPr="009F25D4" w:rsidRDefault="0019386A" w:rsidP="0022246F">
      <w:pPr>
        <w:pStyle w:val="Heading3"/>
        <w:keepNext/>
        <w:spacing w:line="240" w:lineRule="auto"/>
        <w:rPr>
          <w:rFonts w:ascii="Arial" w:hAnsi="Arial" w:cs="Arial"/>
          <w:b/>
          <w:bCs/>
          <w:color w:val="000000"/>
          <w:sz w:val="20"/>
        </w:rPr>
      </w:pPr>
      <w:bookmarkStart w:id="578" w:name="_3.5.3.6_Other_cases"/>
      <w:bookmarkStart w:id="579" w:name="B3536"/>
      <w:bookmarkStart w:id="580" w:name="_3.5.3.5_Illegally_or"/>
      <w:bookmarkStart w:id="581" w:name="B3535"/>
      <w:bookmarkEnd w:id="578"/>
      <w:bookmarkEnd w:id="579"/>
      <w:bookmarkEnd w:id="580"/>
      <w:bookmarkEnd w:id="581"/>
      <w:r w:rsidRPr="008C3BC8">
        <w:rPr>
          <w:rFonts w:ascii="Arial" w:hAnsi="Arial" w:cs="Arial"/>
          <w:b/>
          <w:bCs/>
          <w:color w:val="000000"/>
          <w:sz w:val="20"/>
        </w:rPr>
        <w:t>3.5.</w:t>
      </w:r>
      <w:r>
        <w:rPr>
          <w:rFonts w:ascii="Arial" w:hAnsi="Arial" w:cs="Arial"/>
          <w:b/>
          <w:bCs/>
          <w:color w:val="000000"/>
          <w:sz w:val="20"/>
        </w:rPr>
        <w:t>3.</w:t>
      </w:r>
      <w:r w:rsidR="000F2CE5">
        <w:rPr>
          <w:rFonts w:ascii="Arial" w:hAnsi="Arial" w:cs="Arial"/>
          <w:b/>
          <w:bCs/>
          <w:color w:val="000000"/>
          <w:sz w:val="20"/>
        </w:rPr>
        <w:t>6</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2B1B43">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24DDCAF" w:rsidR="0086178A" w:rsidRPr="00FD0640" w:rsidRDefault="00E9533E" w:rsidP="0086178A">
      <w:pPr>
        <w:ind w:left="1134" w:right="567"/>
        <w:jc w:val="both"/>
        <w:rPr>
          <w:rFonts w:ascii="Arial" w:hAnsi="Arial" w:cs="Arial"/>
          <w:color w:val="000000"/>
          <w:sz w:val="20"/>
        </w:rPr>
      </w:pPr>
      <w:r>
        <w:rPr>
          <w:rFonts w:ascii="Arial" w:hAnsi="Arial" w:cs="Arial"/>
          <w:color w:val="000000"/>
          <w:sz w:val="20"/>
        </w:rPr>
        <w:t>i</w:t>
      </w:r>
      <w:r w:rsidR="0086178A" w:rsidRPr="00FD0640">
        <w:rPr>
          <w:rFonts w:ascii="Arial" w:hAnsi="Arial" w:cs="Arial"/>
          <w:color w:val="000000"/>
          <w:sz w:val="20"/>
        </w:rPr>
        <w:t>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A51A86">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t>
      </w:r>
      <w:r>
        <w:rPr>
          <w:rFonts w:ascii="Arial" w:hAnsi="Arial" w:cs="Arial"/>
          <w:color w:val="000000"/>
          <w:sz w:val="20"/>
        </w:rPr>
        <w:lastRenderedPageBreak/>
        <w:t xml:space="preserve">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FC57FC">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w:t>
      </w:r>
      <w:r w:rsidRPr="007B42D6">
        <w:rPr>
          <w:rFonts w:ascii="Arial" w:hAnsi="Arial" w:cs="Arial"/>
          <w:sz w:val="20"/>
          <w:szCs w:val="20"/>
        </w:rPr>
        <w:lastRenderedPageBreak/>
        <w:t>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60C11541" w:rsidR="00523E9C" w:rsidRDefault="00523E9C" w:rsidP="00523E9C">
      <w:pPr>
        <w:jc w:val="both"/>
        <w:rPr>
          <w:rFonts w:ascii="Arial" w:hAnsi="Arial" w:cs="Arial"/>
          <w:sz w:val="20"/>
        </w:rPr>
      </w:pPr>
    </w:p>
    <w:p w14:paraId="052876B4" w14:textId="045FCFE9" w:rsidR="00023DF2" w:rsidRDefault="00434FF4" w:rsidP="00523E9C">
      <w:pPr>
        <w:jc w:val="both"/>
        <w:rPr>
          <w:rFonts w:ascii="Arial" w:hAnsi="Arial" w:cs="Arial"/>
          <w:color w:val="000000"/>
          <w:sz w:val="20"/>
        </w:rPr>
      </w:pPr>
      <w:bookmarkStart w:id="582" w:name="_Hlk130306205"/>
      <w:r>
        <w:rPr>
          <w:rFonts w:ascii="Arial" w:hAnsi="Arial" w:cs="Arial"/>
          <w:sz w:val="20"/>
        </w:rPr>
        <w:t xml:space="preserve">In </w:t>
      </w:r>
      <w:r w:rsidRPr="002457C1">
        <w:rPr>
          <w:rFonts w:ascii="Arial" w:hAnsi="Arial" w:cs="Arial"/>
          <w:i/>
          <w:iCs/>
          <w:color w:val="000000"/>
          <w:sz w:val="20"/>
        </w:rPr>
        <w:t>Peter Johns</w:t>
      </w:r>
      <w:r w:rsidR="00290658">
        <w:rPr>
          <w:rFonts w:ascii="Arial" w:hAnsi="Arial" w:cs="Arial"/>
          <w:i/>
          <w:iCs/>
          <w:color w:val="000000"/>
          <w:sz w:val="20"/>
        </w:rPr>
        <w:t>t</w:t>
      </w:r>
      <w:r w:rsidRPr="002457C1">
        <w:rPr>
          <w:rFonts w:ascii="Arial" w:hAnsi="Arial" w:cs="Arial"/>
          <w:i/>
          <w:iCs/>
          <w:color w:val="000000"/>
          <w:sz w:val="20"/>
        </w:rPr>
        <w:t>on (a</w:t>
      </w:r>
      <w:r>
        <w:rPr>
          <w:rFonts w:ascii="Arial" w:hAnsi="Arial" w:cs="Arial"/>
          <w:i/>
          <w:iCs/>
          <w:color w:val="000000"/>
          <w:sz w:val="20"/>
        </w:rPr>
        <w:t> </w:t>
      </w:r>
      <w:r w:rsidRPr="002457C1">
        <w:rPr>
          <w:rFonts w:ascii="Arial" w:hAnsi="Arial" w:cs="Arial"/>
          <w:i/>
          <w:iCs/>
          <w:color w:val="000000"/>
          <w:sz w:val="20"/>
        </w:rPr>
        <w:t>pseudonym)</w:t>
      </w:r>
      <w:r>
        <w:rPr>
          <w:rFonts w:ascii="Arial" w:hAnsi="Arial" w:cs="Arial"/>
          <w:i/>
          <w:iCs/>
          <w:color w:val="000000"/>
          <w:sz w:val="20"/>
        </w:rPr>
        <w:t xml:space="preserve"> v The King</w:t>
      </w:r>
      <w:r>
        <w:rPr>
          <w:rFonts w:ascii="Arial" w:hAnsi="Arial" w:cs="Arial"/>
          <w:color w:val="000000"/>
          <w:sz w:val="20"/>
        </w:rPr>
        <w:t xml:space="preserve"> [2023] VSCA 49 </w:t>
      </w:r>
      <w:r w:rsidR="001C0801">
        <w:rPr>
          <w:rFonts w:ascii="Arial" w:hAnsi="Arial" w:cs="Arial"/>
          <w:color w:val="000000"/>
          <w:sz w:val="20"/>
        </w:rPr>
        <w:t>on Christmas Day 2020</w:t>
      </w:r>
      <w:r w:rsidR="00023DF2">
        <w:rPr>
          <w:rFonts w:ascii="Arial" w:hAnsi="Arial" w:cs="Arial"/>
          <w:color w:val="000000"/>
          <w:sz w:val="20"/>
        </w:rPr>
        <w:t xml:space="preserve"> </w:t>
      </w:r>
      <w:r w:rsidR="001C0801">
        <w:rPr>
          <w:rFonts w:ascii="Arial" w:hAnsi="Arial" w:cs="Arial"/>
          <w:color w:val="000000"/>
          <w:sz w:val="20"/>
        </w:rPr>
        <w:t xml:space="preserve">– pursuant to a warrant </w:t>
      </w:r>
      <w:r w:rsidR="006B6807">
        <w:rPr>
          <w:rFonts w:ascii="Arial" w:hAnsi="Arial" w:cs="Arial"/>
          <w:color w:val="000000"/>
          <w:sz w:val="20"/>
        </w:rPr>
        <w:t xml:space="preserve">believed to have been issued by the Children’s Court under s.598(1) CYFA </w:t>
      </w:r>
      <w:r w:rsidR="001C0801">
        <w:rPr>
          <w:rFonts w:ascii="Arial" w:hAnsi="Arial" w:cs="Arial"/>
          <w:color w:val="000000"/>
          <w:sz w:val="20"/>
        </w:rPr>
        <w:t>to search for a 17</w:t>
      </w:r>
      <w:r w:rsidR="00023DF2">
        <w:rPr>
          <w:rFonts w:ascii="Arial" w:hAnsi="Arial" w:cs="Arial"/>
          <w:color w:val="000000"/>
          <w:sz w:val="20"/>
        </w:rPr>
        <w:t> </w:t>
      </w:r>
      <w:r w:rsidR="001C0801">
        <w:rPr>
          <w:rFonts w:ascii="Arial" w:hAnsi="Arial" w:cs="Arial"/>
          <w:color w:val="000000"/>
          <w:sz w:val="20"/>
        </w:rPr>
        <w:t xml:space="preserve">year old female </w:t>
      </w:r>
      <w:r w:rsidR="006B6807">
        <w:rPr>
          <w:rFonts w:ascii="Arial" w:hAnsi="Arial" w:cs="Arial"/>
          <w:color w:val="000000"/>
          <w:sz w:val="20"/>
        </w:rPr>
        <w:t xml:space="preserve">CM </w:t>
      </w:r>
      <w:r w:rsidR="001C0801">
        <w:rPr>
          <w:rFonts w:ascii="Arial" w:hAnsi="Arial" w:cs="Arial"/>
          <w:color w:val="000000"/>
          <w:sz w:val="20"/>
        </w:rPr>
        <w:t xml:space="preserve">in the care of the State of Victoria – </w:t>
      </w:r>
      <w:r w:rsidR="00023DF2">
        <w:rPr>
          <w:rFonts w:ascii="Arial" w:hAnsi="Arial" w:cs="Arial"/>
          <w:color w:val="000000"/>
          <w:sz w:val="20"/>
        </w:rPr>
        <w:t xml:space="preserve">six police members (including 2 sergeants) </w:t>
      </w:r>
      <w:r w:rsidR="001C0801">
        <w:rPr>
          <w:rFonts w:ascii="Arial" w:hAnsi="Arial" w:cs="Arial"/>
          <w:color w:val="000000"/>
          <w:sz w:val="20"/>
        </w:rPr>
        <w:t xml:space="preserve">had entered and searched </w:t>
      </w:r>
      <w:r w:rsidR="006B6807">
        <w:rPr>
          <w:rFonts w:ascii="Arial" w:hAnsi="Arial" w:cs="Arial"/>
          <w:color w:val="000000"/>
          <w:sz w:val="20"/>
        </w:rPr>
        <w:t>CM’s</w:t>
      </w:r>
      <w:r w:rsidR="001C0801">
        <w:rPr>
          <w:rFonts w:ascii="Arial" w:hAnsi="Arial" w:cs="Arial"/>
          <w:color w:val="000000"/>
          <w:sz w:val="20"/>
        </w:rPr>
        <w:t xml:space="preserve"> father’s house where it was suspected that </w:t>
      </w:r>
      <w:r w:rsidR="006B6807">
        <w:rPr>
          <w:rFonts w:ascii="Arial" w:hAnsi="Arial" w:cs="Arial"/>
          <w:color w:val="000000"/>
          <w:sz w:val="20"/>
        </w:rPr>
        <w:t>CM</w:t>
      </w:r>
      <w:r w:rsidR="001C0801">
        <w:rPr>
          <w:rFonts w:ascii="Arial" w:hAnsi="Arial" w:cs="Arial"/>
          <w:color w:val="000000"/>
          <w:sz w:val="20"/>
        </w:rPr>
        <w:t xml:space="preserve"> may be located.  </w:t>
      </w:r>
      <w:r w:rsidR="00023DF2">
        <w:rPr>
          <w:rFonts w:ascii="Arial" w:hAnsi="Arial" w:cs="Arial"/>
          <w:color w:val="000000"/>
          <w:sz w:val="20"/>
        </w:rPr>
        <w:t xml:space="preserve">For some time after it became clear that CM was not at the house, the officers continued to conduct an intensive search of the house.  In the course of their search, several items </w:t>
      </w:r>
      <w:r w:rsidR="00CE497B">
        <w:rPr>
          <w:rFonts w:ascii="Arial" w:hAnsi="Arial" w:cs="Arial"/>
          <w:color w:val="000000"/>
          <w:sz w:val="20"/>
        </w:rPr>
        <w:t xml:space="preserve">– in particular a video depicting a male engaged in sexual intercourse with an unconscious female and iPhone text messages evidencing drug trafficking – </w:t>
      </w:r>
      <w:r w:rsidR="00023DF2">
        <w:rPr>
          <w:rFonts w:ascii="Arial" w:hAnsi="Arial" w:cs="Arial"/>
          <w:color w:val="000000"/>
          <w:sz w:val="20"/>
        </w:rPr>
        <w:t>were identified by police officers.  This in turn led to a s.465 warrant to search for property being executed on 21 April 2021.</w:t>
      </w:r>
    </w:p>
    <w:p w14:paraId="6A737DC3" w14:textId="0BE5D896" w:rsidR="00EC69C7" w:rsidRDefault="001C0801" w:rsidP="00CE497B">
      <w:pPr>
        <w:spacing w:before="120"/>
        <w:jc w:val="both"/>
        <w:rPr>
          <w:rFonts w:ascii="Arial" w:hAnsi="Arial" w:cs="Arial"/>
          <w:color w:val="000000"/>
          <w:sz w:val="20"/>
        </w:rPr>
      </w:pPr>
      <w:r>
        <w:rPr>
          <w:rFonts w:ascii="Arial" w:hAnsi="Arial" w:cs="Arial"/>
          <w:color w:val="000000"/>
          <w:sz w:val="20"/>
        </w:rPr>
        <w:t xml:space="preserve">Both the trial </w:t>
      </w:r>
      <w:r w:rsidR="006B6807">
        <w:rPr>
          <w:rFonts w:ascii="Arial" w:hAnsi="Arial" w:cs="Arial"/>
          <w:color w:val="000000"/>
          <w:sz w:val="20"/>
        </w:rPr>
        <w:t xml:space="preserve">judge and the Court of Appeal held that the Christmas Day search was </w:t>
      </w:r>
      <w:r w:rsidR="00874A4F">
        <w:rPr>
          <w:rFonts w:ascii="Arial" w:hAnsi="Arial" w:cs="Arial"/>
          <w:color w:val="000000"/>
          <w:sz w:val="20"/>
        </w:rPr>
        <w:t xml:space="preserve">in part </w:t>
      </w:r>
      <w:r w:rsidR="006B6807">
        <w:rPr>
          <w:rFonts w:ascii="Arial" w:hAnsi="Arial" w:cs="Arial"/>
          <w:color w:val="000000"/>
          <w:sz w:val="20"/>
        </w:rPr>
        <w:t xml:space="preserve">unlawful, although they differed </w:t>
      </w:r>
      <w:r w:rsidR="00EB727C">
        <w:rPr>
          <w:rFonts w:ascii="Arial" w:hAnsi="Arial" w:cs="Arial"/>
          <w:color w:val="000000"/>
          <w:sz w:val="20"/>
        </w:rPr>
        <w:t xml:space="preserve">substantially </w:t>
      </w:r>
      <w:r w:rsidR="006B6807">
        <w:rPr>
          <w:rFonts w:ascii="Arial" w:hAnsi="Arial" w:cs="Arial"/>
          <w:color w:val="000000"/>
          <w:sz w:val="20"/>
        </w:rPr>
        <w:t xml:space="preserve">as to the extent.  </w:t>
      </w:r>
      <w:r w:rsidR="00EC69C7">
        <w:rPr>
          <w:rFonts w:ascii="Arial" w:hAnsi="Arial" w:cs="Arial"/>
          <w:color w:val="000000"/>
          <w:sz w:val="20"/>
        </w:rPr>
        <w:t xml:space="preserve">The trial judge </w:t>
      </w:r>
      <w:r w:rsidR="00EB727C">
        <w:rPr>
          <w:rFonts w:ascii="Arial" w:hAnsi="Arial" w:cs="Arial"/>
          <w:color w:val="000000"/>
          <w:sz w:val="20"/>
        </w:rPr>
        <w:t xml:space="preserve">had </w:t>
      </w:r>
      <w:r w:rsidR="00EC69C7">
        <w:rPr>
          <w:rFonts w:ascii="Arial" w:hAnsi="Arial" w:cs="Arial"/>
          <w:color w:val="000000"/>
          <w:sz w:val="20"/>
        </w:rPr>
        <w:t xml:space="preserve">held in </w:t>
      </w:r>
      <w:r w:rsidR="00941E07">
        <w:rPr>
          <w:rFonts w:ascii="Arial" w:hAnsi="Arial" w:cs="Arial"/>
          <w:color w:val="000000"/>
          <w:sz w:val="20"/>
        </w:rPr>
        <w:t>[2022] VCC 1083 at [44]-[45]:</w:t>
      </w:r>
    </w:p>
    <w:p w14:paraId="04BFB797" w14:textId="1D1818EC" w:rsidR="00941E07" w:rsidRPr="00023DF2" w:rsidRDefault="00874A4F" w:rsidP="00941E07">
      <w:pPr>
        <w:spacing w:before="60"/>
        <w:ind w:left="567" w:right="567"/>
        <w:jc w:val="both"/>
        <w:rPr>
          <w:rFonts w:ascii="Arial" w:hAnsi="Arial" w:cs="Arial"/>
          <w:sz w:val="20"/>
          <w:szCs w:val="16"/>
        </w:rPr>
      </w:pPr>
      <w:r>
        <w:rPr>
          <w:rFonts w:ascii="Arial" w:hAnsi="Arial" w:cs="Arial"/>
          <w:sz w:val="20"/>
        </w:rPr>
        <w:t xml:space="preserve">[44] </w:t>
      </w:r>
      <w:r w:rsidR="00941E07" w:rsidRPr="00941E07">
        <w:rPr>
          <w:rFonts w:ascii="Arial" w:hAnsi="Arial" w:cs="Arial"/>
          <w:sz w:val="20"/>
        </w:rPr>
        <w:t>“</w:t>
      </w:r>
      <w:r w:rsidR="00941E07" w:rsidRPr="00941E07">
        <w:rPr>
          <w:rFonts w:ascii="Arial" w:hAnsi="Arial" w:cs="Arial"/>
          <w:sz w:val="20"/>
          <w:szCs w:val="16"/>
        </w:rPr>
        <w:t xml:space="preserve">The purpose for which a safe custody warrant is issued is to locate and return a child (believed or found to be in need of protection) into emergency care or a place nominated by the Secretary. </w:t>
      </w:r>
      <w:r w:rsidR="00941E07" w:rsidRPr="00023DF2">
        <w:rPr>
          <w:rFonts w:ascii="Arial" w:hAnsi="Arial" w:cs="Arial"/>
          <w:sz w:val="20"/>
          <w:szCs w:val="16"/>
        </w:rPr>
        <w:t>Given its purpose, the authority conferred on police to enter and search premises under such a warrant should not be construed narrowly. For instance, the authority given to police may well extend to searches of electronic devices found at the premises, where there are reasonable grounds for suspecting that such a search may elicit information regarding the child’s whereabouts.</w:t>
      </w:r>
    </w:p>
    <w:p w14:paraId="529AC0F1" w14:textId="3750A24A" w:rsidR="00941E07" w:rsidRPr="00941E07" w:rsidRDefault="00874A4F" w:rsidP="00874A4F">
      <w:pPr>
        <w:spacing w:before="60"/>
        <w:ind w:left="567" w:right="567"/>
        <w:jc w:val="both"/>
        <w:rPr>
          <w:rFonts w:ascii="Arial" w:hAnsi="Arial" w:cs="Arial"/>
          <w:sz w:val="20"/>
        </w:rPr>
      </w:pPr>
      <w:r>
        <w:rPr>
          <w:rFonts w:ascii="Arial" w:hAnsi="Arial" w:cs="Arial"/>
          <w:sz w:val="20"/>
          <w:szCs w:val="16"/>
        </w:rPr>
        <w:t xml:space="preserve">[45] </w:t>
      </w:r>
      <w:r w:rsidR="00941E07" w:rsidRPr="00941E07">
        <w:rPr>
          <w:rFonts w:ascii="Arial" w:hAnsi="Arial" w:cs="Arial"/>
          <w:sz w:val="20"/>
          <w:szCs w:val="16"/>
        </w:rPr>
        <w:t xml:space="preserve">Here however, the search conducted by F/C </w:t>
      </w:r>
      <w:r w:rsidR="00941E07">
        <w:rPr>
          <w:rFonts w:ascii="Arial" w:hAnsi="Arial" w:cs="Arial"/>
          <w:sz w:val="20"/>
          <w:szCs w:val="16"/>
        </w:rPr>
        <w:t>[M]</w:t>
      </w:r>
      <w:r w:rsidR="00941E07" w:rsidRPr="00941E07">
        <w:rPr>
          <w:rFonts w:ascii="Arial" w:hAnsi="Arial" w:cs="Arial"/>
          <w:sz w:val="20"/>
          <w:szCs w:val="16"/>
        </w:rPr>
        <w:t xml:space="preserve"> continued for approximately 30</w:t>
      </w:r>
      <w:r>
        <w:rPr>
          <w:rFonts w:ascii="Arial" w:hAnsi="Arial" w:cs="Arial"/>
          <w:sz w:val="20"/>
          <w:szCs w:val="16"/>
        </w:rPr>
        <w:t> </w:t>
      </w:r>
      <w:r w:rsidR="00941E07" w:rsidRPr="00941E07">
        <w:rPr>
          <w:rFonts w:ascii="Arial" w:hAnsi="Arial" w:cs="Arial"/>
          <w:sz w:val="20"/>
          <w:szCs w:val="16"/>
        </w:rPr>
        <w:t xml:space="preserve">minutes after police became aware that </w:t>
      </w:r>
      <w:r w:rsidR="00941E07">
        <w:rPr>
          <w:rFonts w:ascii="Arial" w:hAnsi="Arial" w:cs="Arial"/>
          <w:sz w:val="20"/>
          <w:szCs w:val="16"/>
        </w:rPr>
        <w:t>[CM]</w:t>
      </w:r>
      <w:r w:rsidR="00941E07" w:rsidRPr="00941E07">
        <w:rPr>
          <w:rFonts w:ascii="Arial" w:hAnsi="Arial" w:cs="Arial"/>
          <w:sz w:val="20"/>
          <w:szCs w:val="16"/>
        </w:rPr>
        <w:t xml:space="preserve"> was </w:t>
      </w:r>
      <w:r w:rsidR="00941E07">
        <w:rPr>
          <w:rFonts w:ascii="Arial" w:hAnsi="Arial" w:cs="Arial"/>
          <w:sz w:val="20"/>
          <w:szCs w:val="16"/>
        </w:rPr>
        <w:t>‘</w:t>
      </w:r>
      <w:r w:rsidR="00941E07" w:rsidRPr="00941E07">
        <w:rPr>
          <w:rFonts w:ascii="Arial" w:hAnsi="Arial" w:cs="Arial"/>
          <w:sz w:val="20"/>
          <w:szCs w:val="16"/>
        </w:rPr>
        <w:t>long gone</w:t>
      </w:r>
      <w:r w:rsidR="00941E07">
        <w:rPr>
          <w:rFonts w:ascii="Arial" w:hAnsi="Arial" w:cs="Arial"/>
          <w:sz w:val="20"/>
          <w:szCs w:val="16"/>
        </w:rPr>
        <w:t>’</w:t>
      </w:r>
      <w:r w:rsidR="00941E07" w:rsidRPr="00941E07">
        <w:rPr>
          <w:rFonts w:ascii="Arial" w:hAnsi="Arial" w:cs="Arial"/>
          <w:sz w:val="20"/>
          <w:szCs w:val="16"/>
        </w:rPr>
        <w:t xml:space="preserve"> and on a train. From that point in time, I find that F/C </w:t>
      </w:r>
      <w:r w:rsidR="00941E07">
        <w:rPr>
          <w:rFonts w:ascii="Arial" w:hAnsi="Arial" w:cs="Arial"/>
          <w:sz w:val="20"/>
          <w:szCs w:val="16"/>
        </w:rPr>
        <w:t>[</w:t>
      </w:r>
      <w:r w:rsidR="00941E07" w:rsidRPr="00941E07">
        <w:rPr>
          <w:rFonts w:ascii="Arial" w:hAnsi="Arial" w:cs="Arial"/>
          <w:sz w:val="20"/>
          <w:szCs w:val="16"/>
        </w:rPr>
        <w:t>M</w:t>
      </w:r>
      <w:r w:rsidR="00941E07">
        <w:rPr>
          <w:rFonts w:ascii="Arial" w:hAnsi="Arial" w:cs="Arial"/>
          <w:sz w:val="20"/>
          <w:szCs w:val="16"/>
        </w:rPr>
        <w:t>]</w:t>
      </w:r>
      <w:r w:rsidR="00941E07" w:rsidRPr="00941E07">
        <w:rPr>
          <w:rFonts w:ascii="Arial" w:hAnsi="Arial" w:cs="Arial"/>
          <w:sz w:val="20"/>
          <w:szCs w:val="16"/>
        </w:rPr>
        <w:t xml:space="preserve"> continued his search of the property for the purpose of investigating whether a crime had been committed, albeit with respect to </w:t>
      </w:r>
      <w:r w:rsidR="00941E07">
        <w:rPr>
          <w:rFonts w:ascii="Arial" w:hAnsi="Arial" w:cs="Arial"/>
          <w:sz w:val="20"/>
          <w:szCs w:val="16"/>
        </w:rPr>
        <w:t>[CM]</w:t>
      </w:r>
      <w:r w:rsidR="00941E07" w:rsidRPr="00941E07">
        <w:rPr>
          <w:rFonts w:ascii="Arial" w:hAnsi="Arial" w:cs="Arial"/>
          <w:sz w:val="20"/>
          <w:szCs w:val="16"/>
        </w:rPr>
        <w:t xml:space="preserve">. He did so without authority. The safe custody warrant did not authorise a search for this purpose. F/C </w:t>
      </w:r>
      <w:r w:rsidR="00941E07">
        <w:rPr>
          <w:rFonts w:ascii="Arial" w:hAnsi="Arial" w:cs="Arial"/>
          <w:sz w:val="20"/>
          <w:szCs w:val="16"/>
        </w:rPr>
        <w:t>[</w:t>
      </w:r>
      <w:r w:rsidR="00941E07" w:rsidRPr="00941E07">
        <w:rPr>
          <w:rFonts w:ascii="Arial" w:hAnsi="Arial" w:cs="Arial"/>
          <w:sz w:val="20"/>
          <w:szCs w:val="16"/>
        </w:rPr>
        <w:t>M’s</w:t>
      </w:r>
      <w:r w:rsidR="00941E07">
        <w:rPr>
          <w:rFonts w:ascii="Arial" w:hAnsi="Arial" w:cs="Arial"/>
          <w:sz w:val="20"/>
          <w:szCs w:val="16"/>
        </w:rPr>
        <w:t>]</w:t>
      </w:r>
      <w:r w:rsidR="00941E07" w:rsidRPr="00941E07">
        <w:rPr>
          <w:rFonts w:ascii="Arial" w:hAnsi="Arial" w:cs="Arial"/>
          <w:sz w:val="20"/>
          <w:szCs w:val="16"/>
        </w:rPr>
        <w:t xml:space="preserve"> search of the property, without a s 465 warrant having been sought and obtained, was in contravention of Australian law, in that it exceeded the authority of the safe custody warrant, and was improper.</w:t>
      </w:r>
      <w:r w:rsidR="00941E07">
        <w:rPr>
          <w:rFonts w:ascii="Arial" w:hAnsi="Arial" w:cs="Arial"/>
          <w:sz w:val="20"/>
          <w:szCs w:val="16"/>
        </w:rPr>
        <w:t>”</w:t>
      </w:r>
    </w:p>
    <w:p w14:paraId="566A2D58" w14:textId="6A8E71C1" w:rsidR="00EC69C7" w:rsidRPr="00941E07" w:rsidRDefault="00941E07" w:rsidP="001C0801">
      <w:pPr>
        <w:spacing w:before="120"/>
        <w:jc w:val="both"/>
        <w:rPr>
          <w:rFonts w:ascii="Arial" w:hAnsi="Arial" w:cs="Arial"/>
          <w:color w:val="000000"/>
          <w:sz w:val="20"/>
        </w:rPr>
      </w:pPr>
      <w:r>
        <w:rPr>
          <w:rFonts w:ascii="Arial" w:hAnsi="Arial" w:cs="Arial"/>
          <w:color w:val="000000"/>
          <w:sz w:val="20"/>
        </w:rPr>
        <w:t>By contrast the Court of Appeal held at [5] that the search was unlawful “once it was clear that CM was not on the premises”</w:t>
      </w:r>
      <w:r w:rsidR="00A32EDE">
        <w:rPr>
          <w:rFonts w:ascii="Arial" w:hAnsi="Arial" w:cs="Arial"/>
          <w:color w:val="000000"/>
          <w:sz w:val="20"/>
        </w:rPr>
        <w:t>.</w:t>
      </w:r>
      <w:r w:rsidR="00EB727C">
        <w:rPr>
          <w:rFonts w:ascii="Arial" w:hAnsi="Arial" w:cs="Arial"/>
          <w:color w:val="000000"/>
          <w:sz w:val="20"/>
        </w:rPr>
        <w:t xml:space="preserve">  They elaborated</w:t>
      </w:r>
      <w:r>
        <w:rPr>
          <w:rFonts w:ascii="Arial" w:hAnsi="Arial" w:cs="Arial"/>
          <w:color w:val="000000"/>
          <w:sz w:val="20"/>
        </w:rPr>
        <w:t xml:space="preserve"> </w:t>
      </w:r>
      <w:r w:rsidR="00EB727C">
        <w:rPr>
          <w:rFonts w:ascii="Arial" w:hAnsi="Arial" w:cs="Arial"/>
          <w:color w:val="000000"/>
          <w:sz w:val="20"/>
        </w:rPr>
        <w:t xml:space="preserve">on this </w:t>
      </w:r>
      <w:r w:rsidR="00874A4F">
        <w:rPr>
          <w:rFonts w:ascii="Arial" w:hAnsi="Arial" w:cs="Arial"/>
          <w:color w:val="000000"/>
          <w:sz w:val="20"/>
        </w:rPr>
        <w:t>at</w:t>
      </w:r>
      <w:r>
        <w:rPr>
          <w:rFonts w:ascii="Arial" w:hAnsi="Arial" w:cs="Arial"/>
          <w:color w:val="000000"/>
          <w:sz w:val="20"/>
        </w:rPr>
        <w:t xml:space="preserve"> </w:t>
      </w:r>
      <w:r w:rsidR="00EB727C">
        <w:rPr>
          <w:rFonts w:ascii="Arial" w:hAnsi="Arial" w:cs="Arial"/>
          <w:color w:val="000000"/>
          <w:sz w:val="20"/>
        </w:rPr>
        <w:t xml:space="preserve">[122]-[123] &amp; </w:t>
      </w:r>
      <w:r>
        <w:rPr>
          <w:rFonts w:ascii="Arial" w:hAnsi="Arial" w:cs="Arial"/>
          <w:color w:val="000000"/>
          <w:sz w:val="20"/>
        </w:rPr>
        <w:t>[201]</w:t>
      </w:r>
      <w:r w:rsidR="00874A4F">
        <w:rPr>
          <w:rFonts w:ascii="Arial" w:hAnsi="Arial" w:cs="Arial"/>
          <w:color w:val="000000"/>
          <w:sz w:val="20"/>
        </w:rPr>
        <w:t xml:space="preserve"> as follows:</w:t>
      </w:r>
    </w:p>
    <w:p w14:paraId="51ABBA0E" w14:textId="776D2C52" w:rsidR="00EB727C" w:rsidRDefault="00EB727C" w:rsidP="00874A4F">
      <w:pPr>
        <w:pStyle w:val="CCVNumberLevel1"/>
        <w:numPr>
          <w:ilvl w:val="0"/>
          <w:numId w:val="0"/>
        </w:numPr>
        <w:spacing w:before="60" w:after="0" w:line="240" w:lineRule="auto"/>
        <w:ind w:left="567" w:right="567"/>
        <w:rPr>
          <w:sz w:val="20"/>
          <w:szCs w:val="16"/>
        </w:rPr>
      </w:pPr>
      <w:r>
        <w:rPr>
          <w:sz w:val="20"/>
          <w:szCs w:val="16"/>
        </w:rPr>
        <w:t>[122] “</w:t>
      </w:r>
      <w:r w:rsidRPr="00EB727C">
        <w:rPr>
          <w:rFonts w:cs="Arial"/>
          <w:sz w:val="20"/>
        </w:rPr>
        <w:t xml:space="preserve">There is nothing in the terms of a warrant that would permit a search for information as to the whereabouts of CM. The warrant solely covers the recovery of CM and not an unlimited search of premises whatever the purpose. Because of the invasive nature of a warrant — permitting what would otherwise be unlawful in terms of entry onto any premises where the police suspect a child to be present — it should be given no greater scope than that which its express terms permit. There is no basis for the implication of wider powers of search of a property. An interpretation which conforms with the terms of the safe custody warrant is necessary given that the warrant can be executed anywhere and at any time in the search for a missing child based on the suspicion of the relevant police officer.  </w:t>
      </w:r>
    </w:p>
    <w:p w14:paraId="58210DB4" w14:textId="4DA12A0F" w:rsidR="00EB727C" w:rsidRDefault="00EB727C" w:rsidP="00874A4F">
      <w:pPr>
        <w:pStyle w:val="CCVNumberLevel1"/>
        <w:numPr>
          <w:ilvl w:val="0"/>
          <w:numId w:val="0"/>
        </w:numPr>
        <w:spacing w:before="60" w:after="0" w:line="240" w:lineRule="auto"/>
        <w:ind w:left="567" w:right="567"/>
        <w:rPr>
          <w:sz w:val="20"/>
          <w:szCs w:val="16"/>
        </w:rPr>
      </w:pPr>
      <w:r>
        <w:rPr>
          <w:sz w:val="20"/>
          <w:szCs w:val="16"/>
        </w:rPr>
        <w:t xml:space="preserve">[123] </w:t>
      </w:r>
      <w:r w:rsidRPr="00EB727C">
        <w:rPr>
          <w:rFonts w:cs="Arial"/>
          <w:sz w:val="20"/>
        </w:rPr>
        <w:t>In summary, there was no power (either express or implied) to permit a search of the house (or of the electronic devices within it) to elicit information regarding CM’s whereabouts — if indeed that was ever the purpose of the search, which we doubt.</w:t>
      </w:r>
      <w:r>
        <w:rPr>
          <w:rFonts w:cs="Arial"/>
          <w:sz w:val="20"/>
        </w:rPr>
        <w:t>”</w:t>
      </w:r>
    </w:p>
    <w:p w14:paraId="22F2085F" w14:textId="440D952F" w:rsidR="00874A4F" w:rsidRPr="00874A4F" w:rsidRDefault="006D47B2" w:rsidP="00874A4F">
      <w:pPr>
        <w:pStyle w:val="CCVNumberLevel1"/>
        <w:numPr>
          <w:ilvl w:val="0"/>
          <w:numId w:val="0"/>
        </w:numPr>
        <w:spacing w:before="60" w:after="0" w:line="240" w:lineRule="auto"/>
        <w:ind w:left="567" w:right="567"/>
        <w:rPr>
          <w:sz w:val="20"/>
          <w:szCs w:val="16"/>
        </w:rPr>
      </w:pPr>
      <w:r>
        <w:rPr>
          <w:sz w:val="20"/>
          <w:szCs w:val="16"/>
        </w:rPr>
        <w:t xml:space="preserve">[201] </w:t>
      </w:r>
      <w:r w:rsidR="00874A4F">
        <w:rPr>
          <w:sz w:val="20"/>
          <w:szCs w:val="16"/>
        </w:rPr>
        <w:t>“</w:t>
      </w:r>
      <w:r w:rsidR="00874A4F" w:rsidRPr="00EC69C7">
        <w:rPr>
          <w:rFonts w:cs="Arial"/>
          <w:sz w:val="20"/>
        </w:rPr>
        <w:t>No part of the search after five minutes was directed to ascertain the whereabouts of CM, but rather it appears to have been a forensic exercise directed to eliciting evidence of general criminality without any proper basis for the police officers being on the premises. The house search video is compelling in relation to the invasiveness and duration of the search.</w:t>
      </w:r>
      <w:r w:rsidR="00874A4F">
        <w:rPr>
          <w:rFonts w:cs="Arial"/>
          <w:sz w:val="20"/>
        </w:rPr>
        <w:t>”</w:t>
      </w:r>
    </w:p>
    <w:bookmarkEnd w:id="582"/>
    <w:p w14:paraId="2C92DE6F" w14:textId="656FCEEB" w:rsidR="00434FF4" w:rsidRDefault="00874A4F" w:rsidP="001C0801">
      <w:pPr>
        <w:spacing w:before="120"/>
        <w:jc w:val="both"/>
        <w:rPr>
          <w:rFonts w:ascii="Arial" w:hAnsi="Arial" w:cs="Arial"/>
          <w:color w:val="000000"/>
          <w:sz w:val="20"/>
        </w:rPr>
      </w:pPr>
      <w:r>
        <w:rPr>
          <w:rFonts w:ascii="Arial" w:hAnsi="Arial" w:cs="Arial"/>
          <w:color w:val="000000"/>
          <w:sz w:val="20"/>
        </w:rPr>
        <w:lastRenderedPageBreak/>
        <w:t xml:space="preserve">The trial judge and the Court of Appeal also differed on the </w:t>
      </w:r>
      <w:r w:rsidR="00A84CF5">
        <w:rPr>
          <w:rFonts w:ascii="Arial" w:hAnsi="Arial" w:cs="Arial"/>
          <w:color w:val="000000"/>
          <w:sz w:val="20"/>
        </w:rPr>
        <w:t xml:space="preserve">outcome of the </w:t>
      </w:r>
      <w:r>
        <w:rPr>
          <w:rFonts w:ascii="Arial" w:hAnsi="Arial" w:cs="Arial"/>
          <w:color w:val="000000"/>
          <w:sz w:val="20"/>
        </w:rPr>
        <w:t xml:space="preserve">balancing exercise under s.138 </w:t>
      </w:r>
      <w:r w:rsidRPr="00FD0640">
        <w:rPr>
          <w:rFonts w:ascii="Arial" w:hAnsi="Arial" w:cs="Arial"/>
          <w:color w:val="000000"/>
          <w:sz w:val="20"/>
        </w:rPr>
        <w:t xml:space="preserve">of the </w:t>
      </w:r>
      <w:r w:rsidRPr="0058675C">
        <w:rPr>
          <w:rFonts w:ascii="Arial" w:hAnsi="Arial" w:cs="Arial"/>
          <w:i/>
          <w:iCs/>
          <w:color w:val="000000"/>
          <w:sz w:val="20"/>
        </w:rPr>
        <w:t>Evidence Act 2008</w:t>
      </w:r>
      <w:r>
        <w:rPr>
          <w:rFonts w:ascii="Arial" w:hAnsi="Arial" w:cs="Arial"/>
          <w:color w:val="000000"/>
          <w:sz w:val="20"/>
        </w:rPr>
        <w:t xml:space="preserve">.  </w:t>
      </w:r>
      <w:r w:rsidR="006B6807">
        <w:rPr>
          <w:rFonts w:ascii="Arial" w:hAnsi="Arial" w:cs="Arial"/>
          <w:color w:val="000000"/>
          <w:sz w:val="20"/>
        </w:rPr>
        <w:t xml:space="preserve">The trial judge </w:t>
      </w:r>
      <w:r>
        <w:rPr>
          <w:rFonts w:ascii="Arial" w:hAnsi="Arial" w:cs="Arial"/>
          <w:color w:val="000000"/>
          <w:sz w:val="20"/>
        </w:rPr>
        <w:t>– conceding that there is “a difficult tension in the competing public interest considerations in this case</w:t>
      </w:r>
      <w:r w:rsidR="008D2B51">
        <w:rPr>
          <w:rFonts w:ascii="Arial" w:hAnsi="Arial" w:cs="Arial"/>
          <w:color w:val="000000"/>
          <w:sz w:val="20"/>
        </w:rPr>
        <w:t>”</w:t>
      </w:r>
      <w:r>
        <w:rPr>
          <w:rFonts w:ascii="Arial" w:hAnsi="Arial" w:cs="Arial"/>
          <w:color w:val="000000"/>
          <w:sz w:val="20"/>
        </w:rPr>
        <w:t xml:space="preserve"> – </w:t>
      </w:r>
      <w:r w:rsidR="006B6807">
        <w:rPr>
          <w:rFonts w:ascii="Arial" w:hAnsi="Arial" w:cs="Arial"/>
          <w:color w:val="000000"/>
          <w:sz w:val="20"/>
        </w:rPr>
        <w:t>h</w:t>
      </w:r>
      <w:r>
        <w:rPr>
          <w:rFonts w:ascii="Arial" w:hAnsi="Arial" w:cs="Arial"/>
          <w:color w:val="000000"/>
          <w:sz w:val="20"/>
        </w:rPr>
        <w:t>ad held the evidence admissible for the reasons she set out at [77]-[86] including</w:t>
      </w:r>
      <w:r w:rsidR="008D2B51">
        <w:rPr>
          <w:rFonts w:ascii="Arial" w:hAnsi="Arial" w:cs="Arial"/>
          <w:color w:val="000000"/>
          <w:sz w:val="20"/>
        </w:rPr>
        <w:t>:</w:t>
      </w:r>
    </w:p>
    <w:p w14:paraId="17F9E927" w14:textId="50E3C4A4" w:rsidR="008D2B51" w:rsidRPr="008D2B51" w:rsidRDefault="008D2B51">
      <w:pPr>
        <w:pStyle w:val="CCVNumberLevel1"/>
        <w:numPr>
          <w:ilvl w:val="0"/>
          <w:numId w:val="98"/>
        </w:numPr>
        <w:spacing w:after="0" w:line="240" w:lineRule="auto"/>
        <w:ind w:left="357" w:hanging="357"/>
        <w:rPr>
          <w:rFonts w:cs="Arial"/>
          <w:sz w:val="20"/>
          <w:szCs w:val="16"/>
        </w:rPr>
      </w:pPr>
      <w:r w:rsidRPr="008D2B51">
        <w:rPr>
          <w:rFonts w:cs="Arial"/>
          <w:sz w:val="20"/>
          <w:szCs w:val="16"/>
        </w:rPr>
        <w:t>the video evidence is distinctly probative and of significant weight in relation to the prosecution case that the complainant was raped whilst unconscious</w:t>
      </w:r>
      <w:r w:rsidR="00BB6B41">
        <w:rPr>
          <w:rFonts w:cs="Arial"/>
          <w:sz w:val="20"/>
          <w:szCs w:val="16"/>
        </w:rPr>
        <w:t xml:space="preserve"> and if it was ruled </w:t>
      </w:r>
      <w:r w:rsidRPr="008D2B51">
        <w:rPr>
          <w:rFonts w:cs="Arial"/>
          <w:sz w:val="20"/>
          <w:szCs w:val="16"/>
        </w:rPr>
        <w:t>inadmissible, the</w:t>
      </w:r>
      <w:r w:rsidR="00BB6B41">
        <w:rPr>
          <w:rFonts w:cs="Arial"/>
          <w:sz w:val="20"/>
          <w:szCs w:val="16"/>
        </w:rPr>
        <w:t xml:space="preserve"> rape</w:t>
      </w:r>
      <w:r w:rsidRPr="008D2B51">
        <w:rPr>
          <w:rFonts w:cs="Arial"/>
          <w:sz w:val="20"/>
          <w:szCs w:val="16"/>
        </w:rPr>
        <w:t xml:space="preserve"> charges could not proceed</w:t>
      </w:r>
      <w:r w:rsidR="00BB6B41">
        <w:rPr>
          <w:rFonts w:cs="Arial"/>
          <w:sz w:val="20"/>
          <w:szCs w:val="16"/>
        </w:rPr>
        <w:t>;</w:t>
      </w:r>
    </w:p>
    <w:p w14:paraId="30140AD7" w14:textId="5121DC87" w:rsidR="008D2B51" w:rsidRPr="00BB6B41" w:rsidRDefault="00BB6B41">
      <w:pPr>
        <w:pStyle w:val="ListParagraph"/>
        <w:numPr>
          <w:ilvl w:val="0"/>
          <w:numId w:val="98"/>
        </w:numPr>
        <w:ind w:left="357" w:hanging="357"/>
        <w:jc w:val="both"/>
        <w:rPr>
          <w:rFonts w:ascii="Arial" w:hAnsi="Arial" w:cs="Arial"/>
          <w:color w:val="000000"/>
          <w:sz w:val="20"/>
        </w:rPr>
      </w:pPr>
      <w:r>
        <w:rPr>
          <w:rFonts w:ascii="Arial" w:hAnsi="Arial" w:cs="Arial"/>
          <w:sz w:val="20"/>
          <w:szCs w:val="16"/>
        </w:rPr>
        <w:t>t</w:t>
      </w:r>
      <w:r w:rsidR="008D2B51" w:rsidRPr="008D2B51">
        <w:rPr>
          <w:rFonts w:ascii="Arial" w:hAnsi="Arial" w:cs="Arial"/>
          <w:sz w:val="20"/>
          <w:szCs w:val="16"/>
        </w:rPr>
        <w:t>he evidence of the text messages which found the drug trafficking charge are of similar centrality to the prosecution case</w:t>
      </w:r>
      <w:r>
        <w:rPr>
          <w:rFonts w:ascii="Arial" w:hAnsi="Arial" w:cs="Arial"/>
          <w:sz w:val="20"/>
          <w:szCs w:val="16"/>
        </w:rPr>
        <w:t>;</w:t>
      </w:r>
    </w:p>
    <w:p w14:paraId="1B15F964" w14:textId="6743FB1F" w:rsidR="00BB6B41" w:rsidRPr="00BB6B41" w:rsidRDefault="00BB6B41">
      <w:pPr>
        <w:pStyle w:val="ListParagraph"/>
        <w:numPr>
          <w:ilvl w:val="0"/>
          <w:numId w:val="98"/>
        </w:numPr>
        <w:ind w:left="357" w:hanging="357"/>
        <w:jc w:val="both"/>
        <w:rPr>
          <w:rFonts w:ascii="Arial" w:hAnsi="Arial" w:cs="Arial"/>
          <w:color w:val="000000"/>
          <w:sz w:val="16"/>
          <w:szCs w:val="16"/>
        </w:rPr>
      </w:pPr>
      <w:r w:rsidRPr="00BB6B41">
        <w:rPr>
          <w:rFonts w:ascii="Arial" w:hAnsi="Arial" w:cs="Arial"/>
          <w:sz w:val="20"/>
          <w:szCs w:val="16"/>
        </w:rPr>
        <w:t xml:space="preserve">there is a high public interest in the apprehension, prosecution and conviction of those allegedly engaged in </w:t>
      </w:r>
      <w:r>
        <w:rPr>
          <w:rFonts w:ascii="Arial" w:hAnsi="Arial" w:cs="Arial"/>
          <w:sz w:val="20"/>
          <w:szCs w:val="16"/>
        </w:rPr>
        <w:t xml:space="preserve">such </w:t>
      </w:r>
      <w:r w:rsidRPr="00BB6B41">
        <w:rPr>
          <w:rFonts w:ascii="Arial" w:hAnsi="Arial" w:cs="Arial"/>
          <w:sz w:val="20"/>
          <w:szCs w:val="16"/>
        </w:rPr>
        <w:t>extremely serious criminal conduct</w:t>
      </w:r>
      <w:r>
        <w:rPr>
          <w:rFonts w:ascii="Arial" w:hAnsi="Arial" w:cs="Arial"/>
          <w:sz w:val="20"/>
          <w:szCs w:val="16"/>
        </w:rPr>
        <w:t>.</w:t>
      </w:r>
    </w:p>
    <w:p w14:paraId="5657CBA1" w14:textId="34514BBD" w:rsidR="006B6807" w:rsidRDefault="003C2346" w:rsidP="001C0801">
      <w:pPr>
        <w:spacing w:before="120"/>
        <w:jc w:val="both"/>
        <w:rPr>
          <w:rFonts w:ascii="Arial" w:hAnsi="Arial" w:cs="Arial"/>
          <w:color w:val="000000"/>
          <w:sz w:val="20"/>
        </w:rPr>
      </w:pPr>
      <w:r>
        <w:rPr>
          <w:rFonts w:ascii="Arial" w:hAnsi="Arial" w:cs="Arial"/>
          <w:color w:val="000000"/>
          <w:sz w:val="20"/>
        </w:rPr>
        <w:t xml:space="preserve">In allowing the appeal and </w:t>
      </w:r>
      <w:bookmarkStart w:id="583" w:name="_Hlk130308460"/>
      <w:r>
        <w:rPr>
          <w:rFonts w:ascii="Arial" w:hAnsi="Arial" w:cs="Arial"/>
          <w:color w:val="000000"/>
          <w:sz w:val="20"/>
        </w:rPr>
        <w:t>holding that all items seized pursuant to the execution of the April 2021 warrant were not to be admitted into evidence in the applicant’s trial, the Court of Appeal said at [198]</w:t>
      </w:r>
      <w:r w:rsidR="006D47B2">
        <w:rPr>
          <w:rFonts w:ascii="Arial" w:hAnsi="Arial" w:cs="Arial"/>
          <w:color w:val="000000"/>
          <w:sz w:val="20"/>
        </w:rPr>
        <w:noBreakHyphen/>
      </w:r>
      <w:r>
        <w:rPr>
          <w:rFonts w:ascii="Arial" w:hAnsi="Arial" w:cs="Arial"/>
          <w:color w:val="000000"/>
          <w:sz w:val="20"/>
        </w:rPr>
        <w:t>[204]:</w:t>
      </w:r>
    </w:p>
    <w:p w14:paraId="6050F30D" w14:textId="77777777" w:rsidR="003C2346" w:rsidRDefault="003C2346" w:rsidP="003C2346">
      <w:pPr>
        <w:pStyle w:val="CCVNumberLevel1"/>
        <w:numPr>
          <w:ilvl w:val="0"/>
          <w:numId w:val="0"/>
        </w:numPr>
        <w:spacing w:before="60" w:after="0" w:line="240" w:lineRule="auto"/>
        <w:ind w:left="567" w:right="567"/>
        <w:rPr>
          <w:rFonts w:cs="Arial"/>
          <w:sz w:val="20"/>
        </w:rPr>
      </w:pPr>
      <w:r>
        <w:rPr>
          <w:sz w:val="20"/>
          <w:szCs w:val="16"/>
        </w:rPr>
        <w:t>[198] “</w:t>
      </w:r>
      <w:r w:rsidRPr="00EC69C7">
        <w:rPr>
          <w:rFonts w:cs="Arial"/>
          <w:sz w:val="20"/>
        </w:rPr>
        <w:t>Returning to the synthesis, the prosecution has not discharged the burden imposed by s 138. Specifically, the prosecution has not demonstrated that the desirability of admitting this unlawfully obtained evidence outweighs the undesirability of admitting it into evidence.</w:t>
      </w:r>
    </w:p>
    <w:bookmarkEnd w:id="583"/>
    <w:p w14:paraId="5B732C16" w14:textId="4237AFCB" w:rsidR="003C2346" w:rsidRDefault="003C2346" w:rsidP="003C2346">
      <w:pPr>
        <w:pStyle w:val="CCVNumberLevel1"/>
        <w:numPr>
          <w:ilvl w:val="0"/>
          <w:numId w:val="0"/>
        </w:numPr>
        <w:spacing w:before="60" w:after="0" w:line="240" w:lineRule="auto"/>
        <w:ind w:left="567" w:right="567"/>
        <w:rPr>
          <w:rFonts w:cs="Arial"/>
          <w:sz w:val="20"/>
        </w:rPr>
      </w:pPr>
      <w:r>
        <w:rPr>
          <w:sz w:val="20"/>
          <w:szCs w:val="16"/>
        </w:rPr>
        <w:t xml:space="preserve">[199] </w:t>
      </w:r>
      <w:r w:rsidRPr="00EC69C7">
        <w:rPr>
          <w:rFonts w:cs="Arial"/>
          <w:sz w:val="20"/>
        </w:rPr>
        <w:t>We accept that in many cases the importance of the evidence and the seriousness of the charges will mean that it is more desirable to admit the evidence despite an impropriety or unlawfulness, as the judge held in this case.</w:t>
      </w:r>
    </w:p>
    <w:p w14:paraId="6BF6C06A" w14:textId="40D94F3C"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 xml:space="preserve">[200] </w:t>
      </w:r>
      <w:r w:rsidRPr="00EC69C7">
        <w:rPr>
          <w:rFonts w:cs="Arial"/>
          <w:sz w:val="20"/>
        </w:rPr>
        <w:t>However, this is not such a case. Whilst the iMac video and the iPhone text messages are critical to the prosecution of very serious charges, the impropriety and contravention of the law by two senior police officers and their junior officer is stark and deliberate</w:t>
      </w:r>
      <w:r>
        <w:rPr>
          <w:rFonts w:cs="Arial"/>
          <w:sz w:val="20"/>
        </w:rPr>
        <w:t>…</w:t>
      </w:r>
    </w:p>
    <w:p w14:paraId="13C526B8" w14:textId="77777777"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 xml:space="preserve">[202] </w:t>
      </w:r>
      <w:r w:rsidRPr="00EC69C7">
        <w:rPr>
          <w:rFonts w:cs="Arial"/>
          <w:sz w:val="20"/>
        </w:rPr>
        <w:t>The applicant’s right to privacy was seriously violated over a lengthy period of time and with no apparent consideration given to the illegality of the search and the breach of that right.</w:t>
      </w:r>
    </w:p>
    <w:p w14:paraId="4F0481EF" w14:textId="77777777" w:rsidR="003C2346" w:rsidRDefault="003C2346" w:rsidP="003C2346">
      <w:pPr>
        <w:pStyle w:val="CCVNumberLevel1"/>
        <w:numPr>
          <w:ilvl w:val="0"/>
          <w:numId w:val="0"/>
        </w:numPr>
        <w:spacing w:before="60" w:after="0" w:line="240" w:lineRule="auto"/>
        <w:ind w:left="567" w:right="567"/>
        <w:rPr>
          <w:rFonts w:cs="Arial"/>
          <w:sz w:val="20"/>
        </w:rPr>
      </w:pPr>
      <w:r>
        <w:rPr>
          <w:rFonts w:cs="Arial"/>
          <w:sz w:val="20"/>
        </w:rPr>
        <w:t>[</w:t>
      </w:r>
      <w:r w:rsidRPr="00EC69C7">
        <w:rPr>
          <w:rFonts w:cs="Arial"/>
          <w:sz w:val="20"/>
        </w:rPr>
        <w:t>203</w:t>
      </w:r>
      <w:r>
        <w:rPr>
          <w:rFonts w:cs="Arial"/>
          <w:sz w:val="20"/>
        </w:rPr>
        <w:t>]</w:t>
      </w:r>
      <w:r w:rsidRPr="00EC69C7">
        <w:rPr>
          <w:rFonts w:cs="Arial"/>
          <w:sz w:val="20"/>
        </w:rPr>
        <w:t xml:space="preserve"> It is of real significance that no disciplinary action has been taken against any of the officers and that the prosecution now endeavours to persuade the Court to give its imprimatur to this significant impropriety. Whilst it is not determinative to the outcome of this application, we decline to give judicial imprimatur to a search carried out by sworn officers with such astonishing disregard for both the law and the rights of the applicant.</w:t>
      </w:r>
    </w:p>
    <w:p w14:paraId="6BC179C6" w14:textId="298FC232" w:rsidR="003C2346" w:rsidRPr="00874A4F" w:rsidRDefault="003C2346" w:rsidP="003C2346">
      <w:pPr>
        <w:pStyle w:val="CCVNumberLevel1"/>
        <w:numPr>
          <w:ilvl w:val="0"/>
          <w:numId w:val="0"/>
        </w:numPr>
        <w:spacing w:before="60" w:after="0" w:line="240" w:lineRule="auto"/>
        <w:ind w:left="567" w:right="567"/>
        <w:rPr>
          <w:sz w:val="20"/>
          <w:szCs w:val="16"/>
        </w:rPr>
      </w:pPr>
      <w:r>
        <w:rPr>
          <w:rFonts w:cs="Arial"/>
          <w:sz w:val="20"/>
        </w:rPr>
        <w:t>[</w:t>
      </w:r>
      <w:r w:rsidRPr="00EC69C7">
        <w:rPr>
          <w:rFonts w:cs="Arial"/>
          <w:sz w:val="20"/>
        </w:rPr>
        <w:t>204</w:t>
      </w:r>
      <w:r>
        <w:rPr>
          <w:rFonts w:cs="Arial"/>
          <w:sz w:val="20"/>
        </w:rPr>
        <w:t>]</w:t>
      </w:r>
      <w:r w:rsidRPr="00EC69C7">
        <w:rPr>
          <w:rFonts w:cs="Arial"/>
          <w:sz w:val="20"/>
        </w:rPr>
        <w:t xml:space="preserve"> In our view, and notwithstanding the public interest in pursuing these serious charges, we are not satisfied that that public interest prevails when balanced against the public interest in deterring police illegality, protecting individual rights and maintaining juridical legitimacy.</w:t>
      </w:r>
      <w:r>
        <w:rPr>
          <w:rFonts w:cs="Arial"/>
          <w:sz w:val="20"/>
        </w:rPr>
        <w:t>”</w:t>
      </w:r>
    </w:p>
    <w:p w14:paraId="53678462" w14:textId="27D88C0E" w:rsidR="00434FF4" w:rsidRDefault="00434FF4" w:rsidP="00523E9C">
      <w:pPr>
        <w:jc w:val="both"/>
        <w:rPr>
          <w:rFonts w:ascii="Arial" w:hAnsi="Arial" w:cs="Arial"/>
          <w:sz w:val="20"/>
        </w:rPr>
      </w:pPr>
    </w:p>
    <w:p w14:paraId="3981C99B" w14:textId="57E6567A" w:rsidR="005174D6" w:rsidRDefault="005174D6" w:rsidP="00523E9C">
      <w:pPr>
        <w:jc w:val="both"/>
        <w:rPr>
          <w:rFonts w:ascii="Arial" w:hAnsi="Arial" w:cs="Arial"/>
          <w:sz w:val="20"/>
        </w:rPr>
      </w:pPr>
      <w:r>
        <w:rPr>
          <w:rFonts w:ascii="Arial" w:hAnsi="Arial" w:cs="Arial"/>
          <w:sz w:val="20"/>
        </w:rPr>
        <w:t xml:space="preserve">See also </w:t>
      </w:r>
      <w:r w:rsidRPr="005174D6">
        <w:rPr>
          <w:rFonts w:ascii="Arial" w:hAnsi="Arial" w:cs="Arial"/>
          <w:i/>
          <w:iCs/>
          <w:sz w:val="20"/>
        </w:rPr>
        <w:t>Jackson Elliot (a pseudonym) v The King</w:t>
      </w:r>
      <w:r>
        <w:rPr>
          <w:rFonts w:ascii="Arial" w:hAnsi="Arial" w:cs="Arial"/>
          <w:sz w:val="20"/>
        </w:rPr>
        <w:t xml:space="preserve"> [2023] VSCA 48 at [30]-[32]</w:t>
      </w:r>
      <w:r w:rsidR="006A5C83">
        <w:rPr>
          <w:rFonts w:ascii="Arial" w:hAnsi="Arial" w:cs="Arial"/>
          <w:sz w:val="20"/>
        </w:rPr>
        <w:t xml:space="preserve">; </w:t>
      </w:r>
      <w:r w:rsidR="006A5C83" w:rsidRPr="006A5C83">
        <w:rPr>
          <w:rFonts w:ascii="Arial" w:hAnsi="Arial" w:cs="Arial"/>
          <w:i/>
          <w:iCs/>
          <w:sz w:val="20"/>
        </w:rPr>
        <w:t>Duran (a pseudonym) v The King</w:t>
      </w:r>
      <w:r w:rsidR="006A5C83">
        <w:rPr>
          <w:rFonts w:ascii="Arial" w:hAnsi="Arial" w:cs="Arial"/>
          <w:sz w:val="20"/>
        </w:rPr>
        <w:t xml:space="preserve"> [2023] VSCA 314 at [27]-[35]</w:t>
      </w:r>
      <w:r w:rsidR="00A225D2">
        <w:rPr>
          <w:rFonts w:ascii="Arial" w:hAnsi="Arial" w:cs="Arial"/>
          <w:sz w:val="20"/>
        </w:rPr>
        <w:t>;</w:t>
      </w:r>
      <w:r w:rsidR="00A225D2" w:rsidRPr="00A225D2">
        <w:rPr>
          <w:rFonts w:ascii="Arial" w:hAnsi="Arial" w:cs="Arial"/>
          <w:i/>
          <w:iCs/>
          <w:sz w:val="20"/>
          <w:szCs w:val="20"/>
        </w:rPr>
        <w:t xml:space="preserve"> </w:t>
      </w:r>
      <w:r w:rsidR="00A225D2" w:rsidRPr="005D297C">
        <w:rPr>
          <w:rFonts w:ascii="Arial" w:hAnsi="Arial" w:cs="Arial"/>
          <w:i/>
          <w:iCs/>
          <w:sz w:val="20"/>
          <w:szCs w:val="20"/>
        </w:rPr>
        <w:t>CDPP v Carrick (a pseudonym)</w:t>
      </w:r>
      <w:r w:rsidR="00A225D2" w:rsidRPr="005D297C">
        <w:rPr>
          <w:rFonts w:ascii="Arial" w:hAnsi="Arial" w:cs="Arial"/>
          <w:sz w:val="20"/>
          <w:szCs w:val="20"/>
        </w:rPr>
        <w:t xml:space="preserve"> [2023] </w:t>
      </w:r>
      <w:proofErr w:type="spellStart"/>
      <w:r w:rsidR="00A225D2" w:rsidRPr="005D297C">
        <w:rPr>
          <w:rFonts w:ascii="Arial" w:hAnsi="Arial" w:cs="Arial"/>
          <w:sz w:val="20"/>
          <w:szCs w:val="20"/>
        </w:rPr>
        <w:t>VChC</w:t>
      </w:r>
      <w:proofErr w:type="spellEnd"/>
      <w:r w:rsidR="00A225D2" w:rsidRPr="005D297C">
        <w:rPr>
          <w:rFonts w:ascii="Arial" w:hAnsi="Arial" w:cs="Arial"/>
          <w:sz w:val="20"/>
          <w:szCs w:val="20"/>
        </w:rPr>
        <w:t xml:space="preserve"> 2</w:t>
      </w:r>
      <w:r w:rsidR="00A225D2">
        <w:rPr>
          <w:rFonts w:ascii="Arial" w:hAnsi="Arial" w:cs="Arial"/>
          <w:sz w:val="20"/>
          <w:szCs w:val="20"/>
        </w:rPr>
        <w:t xml:space="preserve"> at [85]-[89]</w:t>
      </w:r>
      <w:r>
        <w:rPr>
          <w:rFonts w:ascii="Arial" w:hAnsi="Arial" w:cs="Arial"/>
          <w:sz w:val="20"/>
        </w:rPr>
        <w:t>.</w:t>
      </w:r>
    </w:p>
    <w:p w14:paraId="40D09FB8" w14:textId="77777777" w:rsidR="005174D6" w:rsidRDefault="005174D6" w:rsidP="00523E9C">
      <w:pPr>
        <w:jc w:val="both"/>
        <w:rPr>
          <w:rFonts w:ascii="Arial" w:hAnsi="Arial" w:cs="Arial"/>
          <w:sz w:val="20"/>
        </w:rPr>
      </w:pPr>
    </w:p>
    <w:p w14:paraId="25E885C6" w14:textId="18C47D50"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w:t>
      </w:r>
      <w:r w:rsidRPr="003967DB">
        <w:rPr>
          <w:rFonts w:ascii="Arial" w:hAnsi="Arial" w:cs="Arial"/>
          <w:b/>
          <w:bCs/>
          <w:sz w:val="20"/>
          <w:shd w:val="clear" w:color="auto" w:fill="C5E0B3"/>
        </w:rPr>
        <w:t>sections 8.2.10 &amp; 8.2.11</w:t>
      </w:r>
      <w:r>
        <w:rPr>
          <w:rFonts w:ascii="Arial" w:hAnsi="Arial" w:cs="Arial"/>
          <w:sz w:val="20"/>
        </w:rPr>
        <w:t xml:space="preserve"> which are primarily related to the admissibility of records of interview in which police have failed to comply with the statutory pre-requisites in ss.464A</w:t>
      </w:r>
      <w:r w:rsidR="009B4431">
        <w:rPr>
          <w:rFonts w:ascii="Arial" w:hAnsi="Arial" w:cs="Arial"/>
          <w:sz w:val="20"/>
        </w:rPr>
        <w:noBreakHyphen/>
      </w:r>
      <w:r>
        <w:rPr>
          <w:rFonts w:ascii="Arial" w:hAnsi="Arial" w:cs="Arial"/>
          <w:sz w:val="20"/>
        </w:rPr>
        <w:t xml:space="preserve">H of the </w:t>
      </w:r>
      <w:r w:rsidRPr="0058675C">
        <w:rPr>
          <w:rFonts w:ascii="Arial" w:hAnsi="Arial" w:cs="Arial"/>
          <w:i/>
          <w:iCs/>
          <w:sz w:val="20"/>
        </w:rPr>
        <w:t>Crimes Act 1958</w:t>
      </w:r>
      <w:r>
        <w:rPr>
          <w:rFonts w:ascii="Arial" w:hAnsi="Arial" w:cs="Arial"/>
          <w:sz w:val="20"/>
        </w:rPr>
        <w:t>.</w:t>
      </w:r>
    </w:p>
    <w:p w14:paraId="6460C95B" w14:textId="079D3EF7" w:rsidR="00523E9C" w:rsidRDefault="00523E9C" w:rsidP="0019386A">
      <w:pPr>
        <w:jc w:val="both"/>
        <w:rPr>
          <w:rFonts w:ascii="Arial" w:hAnsi="Arial" w:cs="Arial"/>
          <w:sz w:val="20"/>
        </w:rPr>
      </w:pPr>
    </w:p>
    <w:p w14:paraId="2A21612D" w14:textId="55031C6A" w:rsidR="00F41C6E" w:rsidRPr="009F25D4" w:rsidRDefault="00F41C6E" w:rsidP="00F41C6E">
      <w:pPr>
        <w:pStyle w:val="Heading3"/>
        <w:keepNext/>
        <w:spacing w:line="240" w:lineRule="auto"/>
        <w:rPr>
          <w:rFonts w:ascii="Arial" w:hAnsi="Arial" w:cs="Arial"/>
          <w:b/>
          <w:bCs/>
          <w:color w:val="000000"/>
          <w:sz w:val="20"/>
        </w:rPr>
      </w:pPr>
      <w:bookmarkStart w:id="584" w:name="_3.5.3.6_Admissibility_of"/>
      <w:bookmarkEnd w:id="584"/>
      <w:r w:rsidRPr="008C3BC8">
        <w:rPr>
          <w:rFonts w:ascii="Arial" w:hAnsi="Arial" w:cs="Arial"/>
          <w:b/>
          <w:bCs/>
          <w:color w:val="000000"/>
          <w:sz w:val="20"/>
        </w:rPr>
        <w:t>3.5.</w:t>
      </w:r>
      <w:r>
        <w:rPr>
          <w:rFonts w:ascii="Arial" w:hAnsi="Arial" w:cs="Arial"/>
          <w:b/>
          <w:bCs/>
          <w:color w:val="000000"/>
          <w:sz w:val="20"/>
        </w:rPr>
        <w:t>3.</w:t>
      </w:r>
      <w:r w:rsidR="000F2CE5">
        <w:rPr>
          <w:rFonts w:ascii="Arial" w:hAnsi="Arial" w:cs="Arial"/>
          <w:b/>
          <w:bCs/>
          <w:color w:val="000000"/>
          <w:sz w:val="20"/>
        </w:rPr>
        <w:t>7</w:t>
      </w:r>
      <w:r>
        <w:rPr>
          <w:rFonts w:ascii="Arial" w:hAnsi="Arial" w:cs="Arial"/>
          <w:b/>
          <w:bCs/>
          <w:color w:val="000000"/>
          <w:sz w:val="20"/>
        </w:rPr>
        <w:tab/>
        <w:t>A</w:t>
      </w:r>
      <w:r>
        <w:rPr>
          <w:rFonts w:ascii="Arial" w:hAnsi="Arial" w:cs="Arial"/>
          <w:b/>
          <w:color w:val="000000"/>
          <w:sz w:val="20"/>
        </w:rPr>
        <w:t>dmissibility of tendency evidence</w:t>
      </w:r>
      <w:r w:rsidR="00C41908">
        <w:rPr>
          <w:rFonts w:ascii="Arial" w:hAnsi="Arial" w:cs="Arial"/>
          <w:b/>
          <w:color w:val="000000"/>
          <w:sz w:val="20"/>
        </w:rPr>
        <w:t xml:space="preserve"> and coincidence evidence</w:t>
      </w:r>
    </w:p>
    <w:p w14:paraId="368550FD" w14:textId="67715B01" w:rsidR="00106472" w:rsidRDefault="00A51A86" w:rsidP="00A51A86">
      <w:pPr>
        <w:spacing w:before="120"/>
        <w:jc w:val="both"/>
        <w:rPr>
          <w:rFonts w:ascii="Arial" w:hAnsi="Arial" w:cs="Arial"/>
          <w:sz w:val="20"/>
        </w:rPr>
      </w:pPr>
      <w:r>
        <w:rPr>
          <w:rFonts w:ascii="Arial" w:hAnsi="Arial" w:cs="Arial"/>
          <w:sz w:val="20"/>
        </w:rPr>
        <w:t xml:space="preserve">Section 97 of the </w:t>
      </w:r>
      <w:r w:rsidRPr="00A51A86">
        <w:rPr>
          <w:rFonts w:ascii="Arial" w:hAnsi="Arial" w:cs="Arial"/>
          <w:i/>
          <w:iCs/>
          <w:sz w:val="20"/>
        </w:rPr>
        <w:t>Evidence Act 2008</w:t>
      </w:r>
      <w:r>
        <w:rPr>
          <w:rFonts w:ascii="Arial" w:hAnsi="Arial" w:cs="Arial"/>
          <w:sz w:val="20"/>
        </w:rPr>
        <w:t xml:space="preserve"> </w:t>
      </w:r>
      <w:r w:rsidR="00C41908">
        <w:rPr>
          <w:rFonts w:ascii="Arial" w:hAnsi="Arial" w:cs="Arial"/>
          <w:sz w:val="20"/>
        </w:rPr>
        <w:t>– under the heading “</w:t>
      </w:r>
      <w:r w:rsidR="00C41908" w:rsidRPr="00C41908">
        <w:rPr>
          <w:rFonts w:ascii="Arial" w:hAnsi="Arial" w:cs="Arial"/>
          <w:b/>
          <w:bCs/>
          <w:sz w:val="20"/>
        </w:rPr>
        <w:t xml:space="preserve">The </w:t>
      </w:r>
      <w:r w:rsidR="00C41908">
        <w:rPr>
          <w:rFonts w:ascii="Arial" w:hAnsi="Arial" w:cs="Arial"/>
          <w:b/>
          <w:bCs/>
          <w:sz w:val="20"/>
        </w:rPr>
        <w:t>t</w:t>
      </w:r>
      <w:r w:rsidR="00C41908" w:rsidRPr="00C41908">
        <w:rPr>
          <w:rFonts w:ascii="Arial" w:hAnsi="Arial" w:cs="Arial"/>
          <w:b/>
          <w:bCs/>
          <w:sz w:val="20"/>
        </w:rPr>
        <w:t xml:space="preserve">endency </w:t>
      </w:r>
      <w:r w:rsidR="00C41908">
        <w:rPr>
          <w:rFonts w:ascii="Arial" w:hAnsi="Arial" w:cs="Arial"/>
          <w:b/>
          <w:bCs/>
          <w:sz w:val="20"/>
        </w:rPr>
        <w:t>r</w:t>
      </w:r>
      <w:r w:rsidR="00C41908" w:rsidRPr="00C41908">
        <w:rPr>
          <w:rFonts w:ascii="Arial" w:hAnsi="Arial" w:cs="Arial"/>
          <w:b/>
          <w:bCs/>
          <w:sz w:val="20"/>
        </w:rPr>
        <w:t>ule</w:t>
      </w:r>
      <w:r w:rsidR="00C41908">
        <w:rPr>
          <w:rFonts w:ascii="Arial" w:hAnsi="Arial" w:cs="Arial"/>
          <w:sz w:val="20"/>
        </w:rPr>
        <w:t xml:space="preserve">” </w:t>
      </w:r>
      <w:r>
        <w:rPr>
          <w:rFonts w:ascii="Arial" w:hAnsi="Arial" w:cs="Arial"/>
          <w:sz w:val="20"/>
        </w:rPr>
        <w:t>provides:</w:t>
      </w:r>
    </w:p>
    <w:p w14:paraId="792F18FE" w14:textId="337CCAFE" w:rsidR="00A51A86" w:rsidRPr="00FD0640" w:rsidRDefault="00A51A86" w:rsidP="005D4DC5">
      <w:pPr>
        <w:spacing w:before="120"/>
        <w:ind w:left="1021" w:right="567" w:hanging="454"/>
        <w:jc w:val="both"/>
        <w:rPr>
          <w:rFonts w:ascii="Arial" w:hAnsi="Arial" w:cs="Arial"/>
          <w:color w:val="000000"/>
          <w:sz w:val="20"/>
        </w:rPr>
      </w:pPr>
      <w:r>
        <w:rPr>
          <w:rFonts w:ascii="Arial" w:hAnsi="Arial" w:cs="Arial"/>
          <w:color w:val="000000"/>
          <w:sz w:val="20"/>
        </w:rPr>
        <w:t>“</w:t>
      </w:r>
      <w:r w:rsidRPr="00F85775">
        <w:rPr>
          <w:rFonts w:ascii="Arial" w:hAnsi="Arial" w:cs="Arial"/>
          <w:sz w:val="20"/>
          <w:szCs w:val="20"/>
        </w:rPr>
        <w:t>(1)</w:t>
      </w:r>
      <w:r>
        <w:rPr>
          <w:rFonts w:ascii="Arial" w:hAnsi="Arial" w:cs="Arial"/>
          <w:sz w:val="20"/>
          <w:szCs w:val="20"/>
        </w:rPr>
        <w:tab/>
      </w:r>
      <w:r w:rsidRPr="00F85775">
        <w:rPr>
          <w:rFonts w:ascii="Arial" w:hAnsi="Arial" w:cs="Arial"/>
          <w:sz w:val="20"/>
          <w:szCs w:val="20"/>
        </w:rPr>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2B2F5A74" w14:textId="1F5281AE" w:rsidR="00A51A86" w:rsidRDefault="00A51A86">
      <w:pPr>
        <w:pStyle w:val="ListParagraph"/>
        <w:numPr>
          <w:ilvl w:val="0"/>
          <w:numId w:val="99"/>
        </w:numPr>
        <w:ind w:left="1588" w:right="1021" w:hanging="567"/>
        <w:jc w:val="both"/>
        <w:rPr>
          <w:rFonts w:ascii="Arial" w:hAnsi="Arial" w:cs="Arial"/>
          <w:sz w:val="20"/>
        </w:rPr>
      </w:pPr>
      <w:r w:rsidRPr="00A51A86">
        <w:rPr>
          <w:rFonts w:ascii="Arial" w:hAnsi="Arial" w:cs="Arial"/>
          <w:sz w:val="20"/>
        </w:rPr>
        <w:t>the party seeking to adduce the evidence gave reasonable notice in writing to each other party of the party's intention to adduce the evidence; and</w:t>
      </w:r>
    </w:p>
    <w:p w14:paraId="3B45C255" w14:textId="6E08970B" w:rsidR="00A51A86" w:rsidRPr="00A51A86" w:rsidRDefault="00A51A86">
      <w:pPr>
        <w:pStyle w:val="ListParagraph"/>
        <w:numPr>
          <w:ilvl w:val="0"/>
          <w:numId w:val="99"/>
        </w:numPr>
        <w:ind w:left="1588" w:right="1021" w:hanging="567"/>
        <w:jc w:val="both"/>
        <w:rPr>
          <w:rFonts w:ascii="Arial" w:hAnsi="Arial" w:cs="Arial"/>
          <w:sz w:val="20"/>
        </w:rPr>
      </w:pPr>
      <w:r w:rsidRPr="00F85775">
        <w:rPr>
          <w:rFonts w:ascii="Arial" w:hAnsi="Arial" w:cs="Arial"/>
          <w:sz w:val="20"/>
        </w:rPr>
        <w:t>the court thinks that the evidence will, either by itself or having regard to other evidence adduced or to be adduced by the party seeking to adduce the evidence, have significant probative value.</w:t>
      </w:r>
    </w:p>
    <w:p w14:paraId="02636E32" w14:textId="3F09B56D" w:rsidR="00C41908" w:rsidRPr="00FD0640" w:rsidRDefault="00C41908" w:rsidP="00742FD8">
      <w:pPr>
        <w:spacing w:before="120"/>
        <w:ind w:left="1021" w:right="567"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Subsection (1)(a) does not apply if</w:t>
      </w:r>
      <w:r w:rsidRPr="00F85775">
        <w:rPr>
          <w:rFonts w:ascii="Arial" w:hAnsi="Arial" w:cs="Arial"/>
          <w:sz w:val="20"/>
          <w:szCs w:val="20"/>
        </w:rPr>
        <w:t>—</w:t>
      </w:r>
    </w:p>
    <w:p w14:paraId="02296354" w14:textId="7999FAA0" w:rsidR="00C41908" w:rsidRDefault="00C41908">
      <w:pPr>
        <w:pStyle w:val="ListParagraph"/>
        <w:numPr>
          <w:ilvl w:val="0"/>
          <w:numId w:val="100"/>
        </w:numPr>
        <w:ind w:left="1378" w:right="1021" w:hanging="357"/>
        <w:jc w:val="both"/>
        <w:rPr>
          <w:rFonts w:ascii="Arial" w:hAnsi="Arial" w:cs="Arial"/>
          <w:sz w:val="20"/>
        </w:rPr>
      </w:pPr>
      <w:r>
        <w:rPr>
          <w:rFonts w:ascii="Arial" w:hAnsi="Arial" w:cs="Arial"/>
          <w:sz w:val="20"/>
        </w:rPr>
        <w:t>the evidence is adduced in accordance with any directions made by the court under section 100; or</w:t>
      </w:r>
    </w:p>
    <w:p w14:paraId="2330C609" w14:textId="6C19957F" w:rsidR="00C41908" w:rsidRDefault="00C41908">
      <w:pPr>
        <w:pStyle w:val="ListParagraph"/>
        <w:numPr>
          <w:ilvl w:val="0"/>
          <w:numId w:val="100"/>
        </w:numPr>
        <w:ind w:left="1378" w:right="1021" w:hanging="357"/>
        <w:jc w:val="both"/>
        <w:rPr>
          <w:rFonts w:ascii="Arial" w:hAnsi="Arial" w:cs="Arial"/>
          <w:sz w:val="20"/>
        </w:rPr>
      </w:pPr>
      <w:r>
        <w:rPr>
          <w:rFonts w:ascii="Arial" w:hAnsi="Arial" w:cs="Arial"/>
          <w:sz w:val="20"/>
        </w:rPr>
        <w:lastRenderedPageBreak/>
        <w:t>the evidence is adduced to explain or contradict tendency evidence adduced by another part</w:t>
      </w:r>
      <w:r w:rsidR="005D4DC5">
        <w:rPr>
          <w:rFonts w:ascii="Arial" w:hAnsi="Arial" w:cs="Arial"/>
          <w:sz w:val="20"/>
        </w:rPr>
        <w:t>y</w:t>
      </w:r>
      <w:r>
        <w:rPr>
          <w:rFonts w:ascii="Arial" w:hAnsi="Arial" w:cs="Arial"/>
          <w:sz w:val="20"/>
        </w:rPr>
        <w:t>.</w:t>
      </w:r>
    </w:p>
    <w:p w14:paraId="76C032E5" w14:textId="77777777" w:rsidR="00C41908" w:rsidRPr="00C41908" w:rsidRDefault="00C41908" w:rsidP="00C41908">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466D76D3" w14:textId="7F12026B" w:rsidR="00C41908" w:rsidRPr="00C41908" w:rsidRDefault="00C41908" w:rsidP="00C41908">
      <w:pPr>
        <w:pStyle w:val="DraftSectionNote"/>
        <w:tabs>
          <w:tab w:val="right" w:pos="1304"/>
        </w:tabs>
        <w:ind w:left="567" w:right="567"/>
        <w:jc w:val="both"/>
        <w:rPr>
          <w:rFonts w:ascii="Arial" w:hAnsi="Arial" w:cs="Arial"/>
          <w:sz w:val="18"/>
          <w:szCs w:val="18"/>
        </w:rPr>
      </w:pPr>
      <w:r w:rsidRPr="00C41908">
        <w:rPr>
          <w:rFonts w:ascii="Arial" w:hAnsi="Arial" w:cs="Arial"/>
          <w:sz w:val="18"/>
          <w:szCs w:val="18"/>
        </w:rPr>
        <w:t>The tendency rule is subject to specific exceptions concerning character of and expert opinion about an accused</w:t>
      </w:r>
      <w:r w:rsidRPr="00C41908" w:rsidDel="00D03791">
        <w:rPr>
          <w:rFonts w:ascii="Arial" w:hAnsi="Arial" w:cs="Arial"/>
          <w:sz w:val="18"/>
          <w:szCs w:val="18"/>
        </w:rPr>
        <w:t xml:space="preserve"> </w:t>
      </w:r>
      <w:r w:rsidRPr="00C41908">
        <w:rPr>
          <w:rFonts w:ascii="Arial" w:hAnsi="Arial" w:cs="Arial"/>
          <w:sz w:val="18"/>
          <w:szCs w:val="18"/>
        </w:rPr>
        <w:t>(sections</w:t>
      </w:r>
      <w:r>
        <w:rPr>
          <w:rFonts w:ascii="Arial" w:hAnsi="Arial" w:cs="Arial"/>
          <w:sz w:val="18"/>
          <w:szCs w:val="18"/>
        </w:rPr>
        <w:t xml:space="preserve"> </w:t>
      </w:r>
      <w:r w:rsidRPr="00C41908">
        <w:rPr>
          <w:rFonts w:ascii="Arial" w:hAnsi="Arial" w:cs="Arial"/>
          <w:sz w:val="18"/>
          <w:szCs w:val="18"/>
        </w:rPr>
        <w:t xml:space="preserve">110 </w:t>
      </w:r>
      <w:r>
        <w:rPr>
          <w:rFonts w:ascii="Arial" w:hAnsi="Arial" w:cs="Arial"/>
          <w:sz w:val="18"/>
          <w:szCs w:val="18"/>
        </w:rPr>
        <w:t xml:space="preserve">and </w:t>
      </w:r>
      <w:r w:rsidRPr="00C41908">
        <w:rPr>
          <w:rFonts w:ascii="Arial" w:hAnsi="Arial" w:cs="Arial"/>
          <w:sz w:val="18"/>
          <w:szCs w:val="18"/>
        </w:rPr>
        <w:t>111). Other provisions of this Act, or of other laws, may operate as further exceptions.</w:t>
      </w:r>
    </w:p>
    <w:p w14:paraId="40AA068E" w14:textId="77777777" w:rsidR="00C41908" w:rsidRDefault="00C41908" w:rsidP="00C41908">
      <w:pPr>
        <w:jc w:val="both"/>
        <w:rPr>
          <w:rFonts w:ascii="Arial" w:hAnsi="Arial" w:cs="Arial"/>
          <w:sz w:val="20"/>
        </w:rPr>
      </w:pPr>
    </w:p>
    <w:p w14:paraId="269C5B92" w14:textId="2A15C74F" w:rsidR="00C41908" w:rsidRDefault="00C41908" w:rsidP="00C41908">
      <w:pPr>
        <w:jc w:val="both"/>
        <w:rPr>
          <w:rFonts w:ascii="Arial" w:hAnsi="Arial" w:cs="Arial"/>
          <w:sz w:val="20"/>
        </w:rPr>
      </w:pPr>
      <w:r>
        <w:rPr>
          <w:rFonts w:ascii="Arial" w:hAnsi="Arial" w:cs="Arial"/>
          <w:sz w:val="20"/>
        </w:rPr>
        <w:t xml:space="preserve">Section 98 of the </w:t>
      </w:r>
      <w:r w:rsidRPr="00A51A86">
        <w:rPr>
          <w:rFonts w:ascii="Arial" w:hAnsi="Arial" w:cs="Arial"/>
          <w:i/>
          <w:iCs/>
          <w:sz w:val="20"/>
        </w:rPr>
        <w:t>Evidence Act 2008</w:t>
      </w:r>
      <w:r>
        <w:rPr>
          <w:rFonts w:ascii="Arial" w:hAnsi="Arial" w:cs="Arial"/>
          <w:sz w:val="20"/>
        </w:rPr>
        <w:t xml:space="preserve"> – under the heading “</w:t>
      </w:r>
      <w:r w:rsidRPr="00C41908">
        <w:rPr>
          <w:rFonts w:ascii="Arial" w:hAnsi="Arial" w:cs="Arial"/>
          <w:b/>
          <w:bCs/>
          <w:sz w:val="20"/>
        </w:rPr>
        <w:t xml:space="preserve">The </w:t>
      </w:r>
      <w:r w:rsidR="005D4DC5">
        <w:rPr>
          <w:rFonts w:ascii="Arial" w:hAnsi="Arial" w:cs="Arial"/>
          <w:b/>
          <w:bCs/>
          <w:sz w:val="20"/>
        </w:rPr>
        <w:t>coincidence</w:t>
      </w:r>
      <w:r w:rsidRPr="00C41908">
        <w:rPr>
          <w:rFonts w:ascii="Arial" w:hAnsi="Arial" w:cs="Arial"/>
          <w:b/>
          <w:bCs/>
          <w:sz w:val="20"/>
        </w:rPr>
        <w:t xml:space="preserve"> </w:t>
      </w:r>
      <w:r>
        <w:rPr>
          <w:rFonts w:ascii="Arial" w:hAnsi="Arial" w:cs="Arial"/>
          <w:b/>
          <w:bCs/>
          <w:sz w:val="20"/>
        </w:rPr>
        <w:t>r</w:t>
      </w:r>
      <w:r w:rsidRPr="00C41908">
        <w:rPr>
          <w:rFonts w:ascii="Arial" w:hAnsi="Arial" w:cs="Arial"/>
          <w:b/>
          <w:bCs/>
          <w:sz w:val="20"/>
        </w:rPr>
        <w:t>ule</w:t>
      </w:r>
      <w:r>
        <w:rPr>
          <w:rFonts w:ascii="Arial" w:hAnsi="Arial" w:cs="Arial"/>
          <w:sz w:val="20"/>
        </w:rPr>
        <w:t>” provides:</w:t>
      </w:r>
    </w:p>
    <w:p w14:paraId="5771C29C" w14:textId="233E59B2" w:rsidR="00C41908" w:rsidRPr="00FD0640" w:rsidRDefault="00C41908" w:rsidP="00C41908">
      <w:pPr>
        <w:spacing w:before="120"/>
        <w:ind w:left="1021" w:right="567" w:hanging="454"/>
        <w:jc w:val="both"/>
        <w:rPr>
          <w:rFonts w:ascii="Arial" w:hAnsi="Arial" w:cs="Arial"/>
          <w:color w:val="000000"/>
          <w:sz w:val="20"/>
        </w:rPr>
      </w:pPr>
      <w:r>
        <w:rPr>
          <w:rFonts w:ascii="Arial" w:hAnsi="Arial" w:cs="Arial"/>
          <w:color w:val="000000"/>
          <w:sz w:val="20"/>
        </w:rPr>
        <w:t>“</w:t>
      </w:r>
      <w:r w:rsidRPr="00F85775">
        <w:rPr>
          <w:rFonts w:ascii="Arial" w:hAnsi="Arial" w:cs="Arial"/>
          <w:sz w:val="20"/>
          <w:szCs w:val="20"/>
        </w:rPr>
        <w:t>(1)</w:t>
      </w:r>
      <w:r>
        <w:rPr>
          <w:rFonts w:ascii="Arial" w:hAnsi="Arial" w:cs="Arial"/>
          <w:sz w:val="20"/>
          <w:szCs w:val="20"/>
        </w:rPr>
        <w:tab/>
      </w:r>
      <w:r w:rsidR="005D4DC5" w:rsidRPr="005D4DC5">
        <w:rPr>
          <w:rFonts w:ascii="Arial" w:hAnsi="Arial" w:cs="Arial"/>
          <w:sz w:val="20"/>
          <w:szCs w:val="16"/>
        </w:rPr>
        <w:t>Evidence that 2 or more events occurred is not admissible to prove that a person did a particular act or had a particular state of mind on the basis that, having regard to any similarities in the events or the circumstances in which they occurred, or any similarities in both the events and the circumstances in which they occurred, it is improbable that the events occurred coincidentally unless—</w:t>
      </w:r>
    </w:p>
    <w:p w14:paraId="4243BAF4" w14:textId="701F29BB" w:rsidR="00C41908" w:rsidRDefault="00C41908">
      <w:pPr>
        <w:pStyle w:val="ListParagraph"/>
        <w:numPr>
          <w:ilvl w:val="0"/>
          <w:numId w:val="101"/>
        </w:numPr>
        <w:ind w:left="1588" w:right="1021" w:hanging="567"/>
        <w:jc w:val="both"/>
        <w:rPr>
          <w:rFonts w:ascii="Arial" w:hAnsi="Arial" w:cs="Arial"/>
          <w:sz w:val="20"/>
        </w:rPr>
      </w:pPr>
      <w:r w:rsidRPr="00A51A86">
        <w:rPr>
          <w:rFonts w:ascii="Arial" w:hAnsi="Arial" w:cs="Arial"/>
          <w:sz w:val="20"/>
        </w:rPr>
        <w:t>the party seeking to adduce the evidence gave reasonable notice in writing to each other party of the party's intention to adduce the evidence; and</w:t>
      </w:r>
    </w:p>
    <w:p w14:paraId="6DD73629" w14:textId="77777777" w:rsidR="005D4DC5" w:rsidRPr="00A51A86" w:rsidRDefault="005D4DC5">
      <w:pPr>
        <w:pStyle w:val="ListParagraph"/>
        <w:numPr>
          <w:ilvl w:val="0"/>
          <w:numId w:val="102"/>
        </w:numPr>
        <w:ind w:left="1588" w:right="1021" w:hanging="567"/>
        <w:jc w:val="both"/>
        <w:rPr>
          <w:rFonts w:ascii="Arial" w:hAnsi="Arial" w:cs="Arial"/>
          <w:sz w:val="20"/>
        </w:rPr>
      </w:pPr>
      <w:r w:rsidRPr="00F85775">
        <w:rPr>
          <w:rFonts w:ascii="Arial" w:hAnsi="Arial" w:cs="Arial"/>
          <w:sz w:val="20"/>
        </w:rPr>
        <w:t>the court thinks that the evidence will, either by itself or having regard to other evidence adduced or to be adduced by the party seeking to adduce the evidence, have significant probative value.</w:t>
      </w:r>
    </w:p>
    <w:p w14:paraId="15E064D5" w14:textId="77777777" w:rsidR="005D4DC5" w:rsidRPr="00C41908" w:rsidRDefault="005D4DC5" w:rsidP="005D4DC5">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5C88F15B" w14:textId="348DD75B" w:rsidR="005D4DC5" w:rsidRPr="00C41908" w:rsidRDefault="005D4DC5" w:rsidP="005D4DC5">
      <w:pPr>
        <w:pStyle w:val="DraftSectionNote"/>
        <w:tabs>
          <w:tab w:val="right" w:pos="1304"/>
        </w:tabs>
        <w:ind w:left="567" w:right="567"/>
        <w:jc w:val="both"/>
        <w:rPr>
          <w:rFonts w:ascii="Arial" w:hAnsi="Arial" w:cs="Arial"/>
          <w:sz w:val="18"/>
          <w:szCs w:val="18"/>
        </w:rPr>
      </w:pPr>
      <w:r>
        <w:rPr>
          <w:rFonts w:ascii="Arial" w:hAnsi="Arial" w:cs="Arial"/>
          <w:sz w:val="18"/>
          <w:szCs w:val="18"/>
        </w:rPr>
        <w:t>One of the events referred to in subsection (1) may be an event the occurrence of which is a fact in issue in the proceedings</w:t>
      </w:r>
      <w:r w:rsidRPr="00C41908">
        <w:rPr>
          <w:rFonts w:ascii="Arial" w:hAnsi="Arial" w:cs="Arial"/>
          <w:sz w:val="18"/>
          <w:szCs w:val="18"/>
        </w:rPr>
        <w:t>.</w:t>
      </w:r>
    </w:p>
    <w:p w14:paraId="7445B4DC" w14:textId="77777777" w:rsidR="005D4DC5" w:rsidRPr="00FD0640" w:rsidRDefault="005D4DC5" w:rsidP="005D4DC5">
      <w:pPr>
        <w:spacing w:before="120"/>
        <w:ind w:left="1021" w:right="567"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Subsection (1)(a) does not apply if</w:t>
      </w:r>
      <w:r w:rsidRPr="00F85775">
        <w:rPr>
          <w:rFonts w:ascii="Arial" w:hAnsi="Arial" w:cs="Arial"/>
          <w:sz w:val="20"/>
          <w:szCs w:val="20"/>
        </w:rPr>
        <w:t>—</w:t>
      </w:r>
    </w:p>
    <w:p w14:paraId="31384067" w14:textId="77777777" w:rsidR="005D4DC5" w:rsidRDefault="005D4DC5">
      <w:pPr>
        <w:pStyle w:val="ListParagraph"/>
        <w:numPr>
          <w:ilvl w:val="0"/>
          <w:numId w:val="103"/>
        </w:numPr>
        <w:ind w:left="1378" w:right="1021" w:hanging="357"/>
        <w:jc w:val="both"/>
        <w:rPr>
          <w:rFonts w:ascii="Arial" w:hAnsi="Arial" w:cs="Arial"/>
          <w:sz w:val="20"/>
        </w:rPr>
      </w:pPr>
      <w:r>
        <w:rPr>
          <w:rFonts w:ascii="Arial" w:hAnsi="Arial" w:cs="Arial"/>
          <w:sz w:val="20"/>
        </w:rPr>
        <w:t>the evidence is adduced in accordance with any directions made by the court under section 100; or</w:t>
      </w:r>
    </w:p>
    <w:p w14:paraId="560B7939" w14:textId="4F6B8D53" w:rsidR="005D4DC5" w:rsidRDefault="005D4DC5">
      <w:pPr>
        <w:pStyle w:val="ListParagraph"/>
        <w:numPr>
          <w:ilvl w:val="0"/>
          <w:numId w:val="103"/>
        </w:numPr>
        <w:ind w:left="1378" w:right="1021" w:hanging="357"/>
        <w:jc w:val="both"/>
        <w:rPr>
          <w:rFonts w:ascii="Arial" w:hAnsi="Arial" w:cs="Arial"/>
          <w:sz w:val="20"/>
        </w:rPr>
      </w:pPr>
      <w:r>
        <w:rPr>
          <w:rFonts w:ascii="Arial" w:hAnsi="Arial" w:cs="Arial"/>
          <w:sz w:val="20"/>
        </w:rPr>
        <w:t>the evidence is adduced to explain or contradict coincidence evidence adduced by another party.</w:t>
      </w:r>
    </w:p>
    <w:p w14:paraId="11365654" w14:textId="77777777" w:rsidR="005D4DC5" w:rsidRPr="00C41908" w:rsidRDefault="005D4DC5" w:rsidP="005D4DC5">
      <w:pPr>
        <w:pStyle w:val="DraftSectionNote"/>
        <w:tabs>
          <w:tab w:val="right" w:pos="1304"/>
        </w:tabs>
        <w:ind w:left="567"/>
        <w:rPr>
          <w:rFonts w:ascii="Arial" w:hAnsi="Arial" w:cs="Arial"/>
          <w:b/>
          <w:sz w:val="18"/>
          <w:szCs w:val="18"/>
        </w:rPr>
      </w:pPr>
      <w:r w:rsidRPr="00C41908">
        <w:rPr>
          <w:rFonts w:ascii="Arial" w:hAnsi="Arial" w:cs="Arial"/>
          <w:b/>
          <w:sz w:val="18"/>
          <w:szCs w:val="18"/>
        </w:rPr>
        <w:t>Note</w:t>
      </w:r>
    </w:p>
    <w:p w14:paraId="6C9A8717" w14:textId="3FA6D040" w:rsidR="005D4DC5" w:rsidRPr="00C41908" w:rsidRDefault="005D4DC5" w:rsidP="005D4DC5">
      <w:pPr>
        <w:pStyle w:val="DraftSectionNote"/>
        <w:tabs>
          <w:tab w:val="right" w:pos="1304"/>
        </w:tabs>
        <w:ind w:left="567" w:right="567"/>
        <w:jc w:val="both"/>
        <w:rPr>
          <w:rFonts w:ascii="Arial" w:hAnsi="Arial" w:cs="Arial"/>
          <w:sz w:val="18"/>
          <w:szCs w:val="18"/>
        </w:rPr>
      </w:pPr>
      <w:r>
        <w:rPr>
          <w:rFonts w:ascii="Arial" w:hAnsi="Arial" w:cs="Arial"/>
          <w:sz w:val="18"/>
          <w:szCs w:val="18"/>
        </w:rPr>
        <w:t>Other provisions of this Act, or of other laws, may operate as exceptions to the coincidence rule</w:t>
      </w:r>
      <w:r w:rsidRPr="00C41908">
        <w:rPr>
          <w:rFonts w:ascii="Arial" w:hAnsi="Arial" w:cs="Arial"/>
          <w:sz w:val="18"/>
          <w:szCs w:val="18"/>
        </w:rPr>
        <w:t>.</w:t>
      </w:r>
    </w:p>
    <w:p w14:paraId="7F3D6E7E" w14:textId="5E05848C" w:rsidR="005D4DC5" w:rsidRDefault="005D4DC5" w:rsidP="005D4DC5">
      <w:pPr>
        <w:jc w:val="both"/>
        <w:rPr>
          <w:rFonts w:ascii="Arial" w:hAnsi="Arial" w:cs="Arial"/>
          <w:sz w:val="20"/>
        </w:rPr>
      </w:pPr>
    </w:p>
    <w:p w14:paraId="2C0DD645" w14:textId="63387039" w:rsidR="00C94F3C" w:rsidRDefault="00117D3F" w:rsidP="005D4DC5">
      <w:pPr>
        <w:jc w:val="both"/>
        <w:rPr>
          <w:rFonts w:ascii="Arial" w:hAnsi="Arial" w:cs="Arial"/>
          <w:sz w:val="20"/>
        </w:rPr>
      </w:pPr>
      <w:r>
        <w:rPr>
          <w:rFonts w:ascii="Arial" w:hAnsi="Arial" w:cs="Arial"/>
          <w:sz w:val="20"/>
        </w:rPr>
        <w:t xml:space="preserve">In the interlocutory appeal of </w:t>
      </w:r>
      <w:r w:rsidRPr="00117D3F">
        <w:rPr>
          <w:rFonts w:ascii="Arial" w:hAnsi="Arial" w:cs="Arial"/>
          <w:i/>
          <w:iCs/>
          <w:sz w:val="20"/>
        </w:rPr>
        <w:t>Matthews (a pseudonym) v The King</w:t>
      </w:r>
      <w:r>
        <w:rPr>
          <w:rFonts w:ascii="Arial" w:hAnsi="Arial" w:cs="Arial"/>
          <w:sz w:val="20"/>
        </w:rPr>
        <w:t xml:space="preserve"> [2023] VSCA 229 the applicant is currently facing trial charged with the sexual assault of 3 women and rape of one of the women.  The prosecution gave notice under s.97(1)(a) of the </w:t>
      </w:r>
      <w:r w:rsidRPr="00A51A86">
        <w:rPr>
          <w:rFonts w:ascii="Arial" w:hAnsi="Arial" w:cs="Arial"/>
          <w:i/>
          <w:iCs/>
          <w:sz w:val="20"/>
        </w:rPr>
        <w:t>Evidence Act 2008</w:t>
      </w:r>
      <w:r w:rsidRPr="00117D3F">
        <w:rPr>
          <w:rFonts w:ascii="Arial" w:hAnsi="Arial" w:cs="Arial"/>
          <w:sz w:val="20"/>
        </w:rPr>
        <w:t xml:space="preserve"> that it intended to </w:t>
      </w:r>
      <w:r>
        <w:rPr>
          <w:rFonts w:ascii="Arial" w:hAnsi="Arial" w:cs="Arial"/>
          <w:sz w:val="20"/>
        </w:rPr>
        <w:t>use the evidence of each of the women to prove the tendency of the applicant to have both a particular state of mind (namely a sexual interest in his female clients) and to sexually assault females who were attending him in his capacity as a masseur.</w:t>
      </w:r>
      <w:r w:rsidR="00C94F3C">
        <w:rPr>
          <w:rFonts w:ascii="Arial" w:hAnsi="Arial" w:cs="Arial"/>
          <w:sz w:val="20"/>
        </w:rPr>
        <w:t xml:space="preserve">  For the 7 reasons set out at [5] in the judgment the trial judge held that the evidence as set out in the notice could be led.  The Court of Appeal was satisfied that it was in the interests of justice to grant leave to appeal the interlocutory decision but affirmed the trial judge’s reasoning and decision with which they </w:t>
      </w:r>
      <w:r w:rsidR="002F1043">
        <w:rPr>
          <w:rFonts w:ascii="Arial" w:hAnsi="Arial" w:cs="Arial"/>
          <w:sz w:val="20"/>
        </w:rPr>
        <w:t xml:space="preserve">expressly </w:t>
      </w:r>
      <w:r w:rsidR="00C94F3C">
        <w:rPr>
          <w:rFonts w:ascii="Arial" w:hAnsi="Arial" w:cs="Arial"/>
          <w:sz w:val="20"/>
        </w:rPr>
        <w:t>agreed</w:t>
      </w:r>
      <w:r w:rsidR="002F1043">
        <w:rPr>
          <w:rFonts w:ascii="Arial" w:hAnsi="Arial" w:cs="Arial"/>
          <w:sz w:val="20"/>
        </w:rPr>
        <w:t>: see [9]</w:t>
      </w:r>
      <w:r w:rsidR="00C94F3C">
        <w:rPr>
          <w:rFonts w:ascii="Arial" w:hAnsi="Arial" w:cs="Arial"/>
          <w:sz w:val="20"/>
        </w:rPr>
        <w:t>.</w:t>
      </w:r>
    </w:p>
    <w:p w14:paraId="1A56D30B" w14:textId="51C63679" w:rsidR="00117D3F" w:rsidRDefault="00C94F3C" w:rsidP="00A32FE1">
      <w:pPr>
        <w:spacing w:before="120"/>
        <w:jc w:val="both"/>
        <w:rPr>
          <w:rFonts w:ascii="Arial" w:hAnsi="Arial" w:cs="Arial"/>
          <w:sz w:val="20"/>
        </w:rPr>
      </w:pPr>
      <w:r>
        <w:rPr>
          <w:rFonts w:ascii="Arial" w:hAnsi="Arial" w:cs="Arial"/>
          <w:sz w:val="20"/>
        </w:rPr>
        <w:t xml:space="preserve">At [33]-[36] the Court of Appeal (Kennedy &amp; Macaulay JJA, J Forrest AJA) discussed ss.97 &amp; 101 </w:t>
      </w:r>
      <w:r w:rsidR="001478D7">
        <w:rPr>
          <w:rFonts w:ascii="Arial" w:hAnsi="Arial" w:cs="Arial"/>
          <w:sz w:val="20"/>
        </w:rPr>
        <w:t>in the context of</w:t>
      </w:r>
      <w:r>
        <w:rPr>
          <w:rFonts w:ascii="Arial" w:hAnsi="Arial" w:cs="Arial"/>
          <w:sz w:val="20"/>
        </w:rPr>
        <w:t xml:space="preserve"> the recent case law</w:t>
      </w:r>
      <w:r w:rsidR="00CF211F">
        <w:rPr>
          <w:rFonts w:ascii="Arial" w:hAnsi="Arial" w:cs="Arial"/>
          <w:sz w:val="20"/>
        </w:rPr>
        <w:t xml:space="preserve"> relating to admissibility of tendency evidence</w:t>
      </w:r>
      <w:r>
        <w:rPr>
          <w:rFonts w:ascii="Arial" w:hAnsi="Arial" w:cs="Arial"/>
          <w:sz w:val="20"/>
        </w:rPr>
        <w:t>:</w:t>
      </w:r>
    </w:p>
    <w:p w14:paraId="2ADFD41D" w14:textId="637274D4" w:rsidR="00C94F3C" w:rsidRDefault="00C94F3C" w:rsidP="00C94F3C">
      <w:pPr>
        <w:pStyle w:val="CCVNumberLevel1"/>
        <w:numPr>
          <w:ilvl w:val="0"/>
          <w:numId w:val="0"/>
        </w:numPr>
        <w:spacing w:before="60" w:after="0" w:line="240" w:lineRule="auto"/>
        <w:ind w:left="567" w:right="567"/>
        <w:rPr>
          <w:rFonts w:cs="Arial"/>
          <w:sz w:val="20"/>
        </w:rPr>
      </w:pPr>
      <w:r>
        <w:rPr>
          <w:rFonts w:cs="Arial"/>
          <w:sz w:val="20"/>
        </w:rPr>
        <w:t>[33] “</w:t>
      </w:r>
      <w:r w:rsidR="00643C18" w:rsidRPr="00F85775">
        <w:rPr>
          <w:rFonts w:cs="Arial"/>
          <w:sz w:val="20"/>
        </w:rPr>
        <w:t>In a criminal proceeding, it is not sufficient that the tendency evidence is of significant probative value. Pursuant to s 101 of the Act, the probative value of the evidence must also substantially outweigh any prejudicial effect that it may have on the accused:</w:t>
      </w:r>
    </w:p>
    <w:p w14:paraId="43BDC6CD" w14:textId="25AD611B" w:rsidR="00C94F3C" w:rsidRPr="00643C18" w:rsidRDefault="00643C18" w:rsidP="00643C18">
      <w:pPr>
        <w:spacing w:before="60"/>
        <w:ind w:left="1021" w:right="1021"/>
        <w:jc w:val="both"/>
        <w:rPr>
          <w:rFonts w:ascii="Arial" w:hAnsi="Arial" w:cs="Arial"/>
          <w:b/>
          <w:bCs/>
          <w:sz w:val="20"/>
        </w:rPr>
      </w:pPr>
      <w:r w:rsidRPr="00643C18">
        <w:rPr>
          <w:rFonts w:ascii="Arial" w:hAnsi="Arial" w:cs="Arial"/>
          <w:b/>
          <w:bCs/>
          <w:sz w:val="20"/>
          <w:szCs w:val="20"/>
        </w:rPr>
        <w:t>101 Further restrictions on tendency evidence and coincidence evidence adduced by prosecution</w:t>
      </w:r>
    </w:p>
    <w:p w14:paraId="4158F505" w14:textId="77777777" w:rsidR="00643C18" w:rsidRPr="00643C18" w:rsidRDefault="00F85775">
      <w:pPr>
        <w:pStyle w:val="ListParagraph"/>
        <w:numPr>
          <w:ilvl w:val="0"/>
          <w:numId w:val="104"/>
        </w:numPr>
        <w:spacing w:before="60"/>
        <w:ind w:left="1378" w:right="1021" w:hanging="357"/>
        <w:jc w:val="both"/>
        <w:rPr>
          <w:rFonts w:ascii="Arial" w:hAnsi="Arial" w:cs="Arial"/>
          <w:sz w:val="16"/>
        </w:rPr>
      </w:pPr>
      <w:r w:rsidRPr="00643C18">
        <w:rPr>
          <w:rFonts w:ascii="Arial" w:hAnsi="Arial" w:cs="Arial"/>
          <w:sz w:val="20"/>
        </w:rPr>
        <w:t>This section only applies in a criminal proceeding and so applies in addition to sections 97 and 98.</w:t>
      </w:r>
    </w:p>
    <w:p w14:paraId="6EC9EF9F" w14:textId="7E9BAB3A" w:rsidR="00106472" w:rsidRPr="00643C18" w:rsidRDefault="00F85775">
      <w:pPr>
        <w:pStyle w:val="ListParagraph"/>
        <w:numPr>
          <w:ilvl w:val="0"/>
          <w:numId w:val="104"/>
        </w:numPr>
        <w:spacing w:before="60"/>
        <w:ind w:left="1378" w:right="1021" w:hanging="357"/>
        <w:jc w:val="both"/>
        <w:rPr>
          <w:rFonts w:ascii="Arial" w:hAnsi="Arial" w:cs="Arial"/>
          <w:sz w:val="16"/>
        </w:rPr>
      </w:pPr>
      <w:r w:rsidRPr="00643C18">
        <w:rPr>
          <w:rFonts w:ascii="Arial" w:hAnsi="Arial" w:cs="Arial"/>
          <w:sz w:val="20"/>
        </w:rPr>
        <w:t>Tendency evidence about an accused, or coincidence evidence about an accused, that is adduced by the prosecution cannot be used against the accused unless the probative value of the evidence substantially outweighs any prejudicial effect it may have on the accused.</w:t>
      </w:r>
    </w:p>
    <w:p w14:paraId="0A889F0C" w14:textId="55F9EB20" w:rsidR="00643C18" w:rsidRDefault="00643C18" w:rsidP="00D30F0A">
      <w:pPr>
        <w:pStyle w:val="CCVNumberLevel1"/>
        <w:numPr>
          <w:ilvl w:val="0"/>
          <w:numId w:val="0"/>
        </w:numPr>
        <w:spacing w:before="60" w:after="0" w:line="240" w:lineRule="auto"/>
        <w:ind w:left="567" w:right="567"/>
        <w:rPr>
          <w:sz w:val="20"/>
          <w:szCs w:val="16"/>
        </w:rPr>
      </w:pPr>
      <w:r>
        <w:rPr>
          <w:rFonts w:cs="Arial"/>
          <w:sz w:val="20"/>
        </w:rPr>
        <w:t xml:space="preserve">[34] </w:t>
      </w:r>
      <w:r w:rsidRPr="00643C18">
        <w:rPr>
          <w:sz w:val="20"/>
          <w:szCs w:val="16"/>
        </w:rPr>
        <w:t xml:space="preserve">In </w:t>
      </w:r>
      <w:r w:rsidRPr="00643C18">
        <w:rPr>
          <w:i/>
          <w:iCs/>
          <w:sz w:val="20"/>
          <w:szCs w:val="16"/>
        </w:rPr>
        <w:t>Hughes v The Queen</w:t>
      </w:r>
      <w:r>
        <w:rPr>
          <w:sz w:val="20"/>
          <w:szCs w:val="16"/>
        </w:rPr>
        <w:t xml:space="preserve"> (2017) 263 CLR 3</w:t>
      </w:r>
      <w:r w:rsidR="00E86F6C">
        <w:rPr>
          <w:sz w:val="20"/>
          <w:szCs w:val="16"/>
        </w:rPr>
        <w:t>3</w:t>
      </w:r>
      <w:r>
        <w:rPr>
          <w:sz w:val="20"/>
          <w:szCs w:val="16"/>
        </w:rPr>
        <w:t>8, 35</w:t>
      </w:r>
      <w:r w:rsidR="00E86F6C">
        <w:rPr>
          <w:sz w:val="20"/>
          <w:szCs w:val="16"/>
        </w:rPr>
        <w:t>6-7</w:t>
      </w:r>
      <w:r>
        <w:rPr>
          <w:sz w:val="20"/>
          <w:szCs w:val="16"/>
        </w:rPr>
        <w:t xml:space="preserve"> [</w:t>
      </w:r>
      <w:r w:rsidR="00E86F6C">
        <w:rPr>
          <w:sz w:val="20"/>
          <w:szCs w:val="16"/>
        </w:rPr>
        <w:t>41</w:t>
      </w:r>
      <w:r>
        <w:rPr>
          <w:sz w:val="20"/>
          <w:szCs w:val="16"/>
        </w:rPr>
        <w:t>]</w:t>
      </w:r>
      <w:r w:rsidR="00E86F6C">
        <w:rPr>
          <w:sz w:val="20"/>
          <w:szCs w:val="16"/>
        </w:rPr>
        <w:t>; [2017] HCA 20 –</w:t>
      </w:r>
      <w:r>
        <w:rPr>
          <w:sz w:val="20"/>
          <w:szCs w:val="16"/>
        </w:rPr>
        <w:t xml:space="preserve"> </w:t>
      </w:r>
      <w:r w:rsidR="00E86F6C">
        <w:rPr>
          <w:sz w:val="20"/>
          <w:szCs w:val="16"/>
        </w:rPr>
        <w:t xml:space="preserve">cited in </w:t>
      </w:r>
      <w:r w:rsidR="00E86F6C" w:rsidRPr="00E86F6C">
        <w:rPr>
          <w:i/>
          <w:iCs/>
          <w:sz w:val="20"/>
          <w:szCs w:val="16"/>
        </w:rPr>
        <w:t>Klein (a pseudonym) v The King</w:t>
      </w:r>
      <w:r w:rsidR="00E86F6C">
        <w:rPr>
          <w:sz w:val="20"/>
          <w:szCs w:val="16"/>
        </w:rPr>
        <w:t xml:space="preserve"> [2022] VSCA 249, [85] – </w:t>
      </w:r>
      <w:proofErr w:type="spellStart"/>
      <w:r w:rsidR="00E86F6C">
        <w:rPr>
          <w:sz w:val="20"/>
          <w:szCs w:val="16"/>
        </w:rPr>
        <w:t>Ki</w:t>
      </w:r>
      <w:r w:rsidRPr="00643C18">
        <w:rPr>
          <w:sz w:val="20"/>
          <w:szCs w:val="16"/>
        </w:rPr>
        <w:t>efel</w:t>
      </w:r>
      <w:proofErr w:type="spellEnd"/>
      <w:r w:rsidRPr="00643C18">
        <w:rPr>
          <w:sz w:val="20"/>
          <w:szCs w:val="16"/>
        </w:rPr>
        <w:t xml:space="preserve"> CJ, Bell, Keane and Edelman JJ enunciated the two-step test applied by the judge in determining whether evidence is of ‘significant probative value’:</w:t>
      </w:r>
    </w:p>
    <w:p w14:paraId="5A55BF92" w14:textId="799DCC7F" w:rsidR="00643C18" w:rsidRPr="00643C18" w:rsidRDefault="00643C18" w:rsidP="00643C18">
      <w:pPr>
        <w:pStyle w:val="CCVNumberLevel1"/>
        <w:numPr>
          <w:ilvl w:val="0"/>
          <w:numId w:val="0"/>
        </w:numPr>
        <w:spacing w:before="60" w:after="0" w:line="240" w:lineRule="auto"/>
        <w:ind w:left="1021" w:right="1021"/>
        <w:rPr>
          <w:rFonts w:cs="Arial"/>
          <w:sz w:val="18"/>
          <w:szCs w:val="18"/>
        </w:rPr>
      </w:pPr>
      <w:r w:rsidRPr="00643C18">
        <w:rPr>
          <w:sz w:val="18"/>
          <w:szCs w:val="14"/>
        </w:rPr>
        <w:t xml:space="preserve">The assessment of whether evidence has significant probative value in relation to each count involves consideration of two interrelated but separate matters. The first matter is </w:t>
      </w:r>
      <w:r w:rsidRPr="00643C18">
        <w:rPr>
          <w:sz w:val="18"/>
          <w:szCs w:val="14"/>
        </w:rPr>
        <w:lastRenderedPageBreak/>
        <w:t>the extent to which the evidence supports the tendency. The second matter is the extent to which the tendency makes more likely the facts making up the charged offence … In summary, there is likely to be a high degree of probative value where (i) the evidence, by itself or together with other evidence, strongly supports proof of a tendency, and (ii) the tendency strongly supports the proof of a fact that makes up the offence charged.</w:t>
      </w:r>
    </w:p>
    <w:p w14:paraId="578FB868" w14:textId="2C2A7B0F" w:rsidR="00E86F6C" w:rsidRDefault="00E86F6C" w:rsidP="00E86F6C">
      <w:pPr>
        <w:pStyle w:val="CCVNumberLevel1"/>
        <w:numPr>
          <w:ilvl w:val="0"/>
          <w:numId w:val="0"/>
        </w:numPr>
        <w:spacing w:before="60" w:after="0" w:line="240" w:lineRule="auto"/>
        <w:ind w:left="567" w:right="567"/>
        <w:rPr>
          <w:sz w:val="20"/>
          <w:szCs w:val="16"/>
        </w:rPr>
      </w:pPr>
      <w:r>
        <w:rPr>
          <w:sz w:val="20"/>
          <w:szCs w:val="16"/>
        </w:rPr>
        <w:t xml:space="preserve">See also </w:t>
      </w:r>
      <w:r w:rsidRPr="00643C18">
        <w:rPr>
          <w:sz w:val="20"/>
          <w:szCs w:val="16"/>
        </w:rPr>
        <w:t xml:space="preserve">See also </w:t>
      </w:r>
      <w:r w:rsidRPr="00E86F6C">
        <w:rPr>
          <w:i/>
          <w:iCs/>
          <w:sz w:val="20"/>
          <w:szCs w:val="16"/>
        </w:rPr>
        <w:t>McPhillamy v The Queen</w:t>
      </w:r>
      <w:r w:rsidRPr="00643C18">
        <w:rPr>
          <w:sz w:val="20"/>
          <w:szCs w:val="16"/>
        </w:rPr>
        <w:t xml:space="preserve"> (2018) 361 ALR 13, 19 [26], 20–1 [33]</w:t>
      </w:r>
      <w:r>
        <w:rPr>
          <w:sz w:val="20"/>
          <w:szCs w:val="16"/>
        </w:rPr>
        <w:t>;</w:t>
      </w:r>
      <w:r w:rsidRPr="00643C18">
        <w:rPr>
          <w:sz w:val="20"/>
          <w:szCs w:val="16"/>
        </w:rPr>
        <w:t xml:space="preserve"> [2018] HCA 52; </w:t>
      </w:r>
      <w:r w:rsidRPr="00E86F6C">
        <w:rPr>
          <w:i/>
          <w:iCs/>
          <w:sz w:val="20"/>
          <w:szCs w:val="16"/>
        </w:rPr>
        <w:t>TL v The King</w:t>
      </w:r>
      <w:r w:rsidRPr="00643C18">
        <w:rPr>
          <w:sz w:val="20"/>
          <w:szCs w:val="16"/>
        </w:rPr>
        <w:t xml:space="preserve"> (2022) 405 ALR 578, 585–6 [28]–[29]; [2022] HCA 35.</w:t>
      </w:r>
    </w:p>
    <w:p w14:paraId="3D6C69BB" w14:textId="62AADD43" w:rsidR="00E86F6C" w:rsidRDefault="00E86F6C" w:rsidP="00E86F6C">
      <w:pPr>
        <w:pStyle w:val="CCVNumberLevel1"/>
        <w:numPr>
          <w:ilvl w:val="0"/>
          <w:numId w:val="0"/>
        </w:numPr>
        <w:spacing w:before="60" w:after="0" w:line="240" w:lineRule="auto"/>
        <w:ind w:left="567" w:right="567"/>
        <w:rPr>
          <w:sz w:val="20"/>
          <w:szCs w:val="16"/>
        </w:rPr>
      </w:pPr>
      <w:r>
        <w:rPr>
          <w:sz w:val="20"/>
          <w:szCs w:val="16"/>
        </w:rPr>
        <w:t xml:space="preserve">[35] </w:t>
      </w:r>
      <w:r w:rsidRPr="00643C18">
        <w:rPr>
          <w:sz w:val="20"/>
          <w:szCs w:val="16"/>
        </w:rPr>
        <w:t xml:space="preserve">Recently, in </w:t>
      </w:r>
      <w:r w:rsidRPr="00E86F6C">
        <w:rPr>
          <w:i/>
          <w:iCs/>
          <w:sz w:val="20"/>
          <w:szCs w:val="16"/>
        </w:rPr>
        <w:t>Townsend (a pseudonym) v The King</w:t>
      </w:r>
      <w:r>
        <w:rPr>
          <w:sz w:val="20"/>
          <w:szCs w:val="16"/>
        </w:rPr>
        <w:t xml:space="preserve"> </w:t>
      </w:r>
      <w:r w:rsidRPr="00643C18">
        <w:rPr>
          <w:sz w:val="20"/>
          <w:szCs w:val="16"/>
        </w:rPr>
        <w:t>[2022] VSCA 201</w:t>
      </w:r>
      <w:r w:rsidR="001478D7">
        <w:rPr>
          <w:sz w:val="20"/>
          <w:szCs w:val="16"/>
        </w:rPr>
        <w:t xml:space="preserve"> at [21]</w:t>
      </w:r>
      <w:r w:rsidRPr="00643C18">
        <w:rPr>
          <w:sz w:val="20"/>
          <w:szCs w:val="16"/>
        </w:rPr>
        <w:t>, this Court (Kyrou, Kennedy and Kaye JJA) said of the admissibility of tendency evidence:</w:t>
      </w:r>
    </w:p>
    <w:p w14:paraId="0E2C8255" w14:textId="1A5A2529" w:rsidR="00E86F6C" w:rsidRPr="00643C18" w:rsidRDefault="00E86F6C" w:rsidP="00E86F6C">
      <w:pPr>
        <w:pStyle w:val="CCVNumberLevel1"/>
        <w:numPr>
          <w:ilvl w:val="0"/>
          <w:numId w:val="0"/>
        </w:numPr>
        <w:spacing w:before="60" w:after="0" w:line="240" w:lineRule="auto"/>
        <w:ind w:left="1021" w:right="1021"/>
        <w:rPr>
          <w:rFonts w:cs="Arial"/>
          <w:sz w:val="18"/>
          <w:szCs w:val="18"/>
        </w:rPr>
      </w:pPr>
      <w:r w:rsidRPr="00E86F6C">
        <w:rPr>
          <w:sz w:val="18"/>
          <w:szCs w:val="14"/>
        </w:rPr>
        <w:t>In order to determine whether the evidence, on each of the charges in this case, is admissible as tendency evidence in respect of the other charges, it is necessary to address four fundamental questions, namely:</w:t>
      </w:r>
    </w:p>
    <w:p w14:paraId="59BD3ACA" w14:textId="14D50D37" w:rsidR="00E86F6C" w:rsidRDefault="00643C18">
      <w:pPr>
        <w:pStyle w:val="CCVNumberLevel1"/>
        <w:numPr>
          <w:ilvl w:val="0"/>
          <w:numId w:val="105"/>
        </w:numPr>
        <w:spacing w:before="60" w:after="0" w:line="240" w:lineRule="auto"/>
        <w:ind w:right="1021"/>
        <w:rPr>
          <w:sz w:val="18"/>
          <w:szCs w:val="14"/>
        </w:rPr>
      </w:pPr>
      <w:r w:rsidRPr="00E86F6C">
        <w:rPr>
          <w:sz w:val="18"/>
          <w:szCs w:val="14"/>
        </w:rPr>
        <w:t>Whether the evidence, in respect of a particular charge, supports the particular tendency that is sought to be relied on;</w:t>
      </w:r>
    </w:p>
    <w:p w14:paraId="36848452" w14:textId="53E4093A" w:rsidR="00E86F6C" w:rsidRPr="00E86F6C" w:rsidRDefault="00E86F6C">
      <w:pPr>
        <w:pStyle w:val="CCVNumberLevel1"/>
        <w:numPr>
          <w:ilvl w:val="0"/>
          <w:numId w:val="105"/>
        </w:numPr>
        <w:spacing w:before="60" w:after="0" w:line="240" w:lineRule="auto"/>
        <w:ind w:right="1021"/>
        <w:rPr>
          <w:rFonts w:cs="Arial"/>
          <w:sz w:val="18"/>
          <w:szCs w:val="18"/>
        </w:rPr>
      </w:pPr>
      <w:r w:rsidRPr="00E86F6C">
        <w:rPr>
          <w:sz w:val="18"/>
          <w:szCs w:val="14"/>
        </w:rPr>
        <w:t>Whether that tendency has a probative value in respect of the offence that is the subject of one of the other charges; that is, whether the proposed tendency evidence is capable of rationally affecting the assessment, by the jury, of the probability of a particular fact in issue on one or more of the other charges;</w:t>
      </w:r>
    </w:p>
    <w:p w14:paraId="6E42D095" w14:textId="3925E682" w:rsidR="00E86F6C" w:rsidRPr="001478D7" w:rsidRDefault="001478D7">
      <w:pPr>
        <w:pStyle w:val="CCVNumberLevel1"/>
        <w:numPr>
          <w:ilvl w:val="0"/>
          <w:numId w:val="105"/>
        </w:numPr>
        <w:spacing w:before="60" w:after="0" w:line="240" w:lineRule="auto"/>
        <w:ind w:right="1021"/>
        <w:rPr>
          <w:rFonts w:cs="Arial"/>
          <w:sz w:val="18"/>
          <w:szCs w:val="18"/>
        </w:rPr>
      </w:pPr>
      <w:r w:rsidRPr="00E86F6C">
        <w:rPr>
          <w:sz w:val="18"/>
          <w:szCs w:val="14"/>
        </w:rPr>
        <w:t>Whether, as such, the tendency evidence sought to be relied on has significant probative value in respect of that fact in issue;</w:t>
      </w:r>
    </w:p>
    <w:p w14:paraId="7E08EA41" w14:textId="4A67091A" w:rsidR="001478D7" w:rsidRPr="00643C18" w:rsidRDefault="001478D7">
      <w:pPr>
        <w:pStyle w:val="CCVNumberLevel1"/>
        <w:numPr>
          <w:ilvl w:val="0"/>
          <w:numId w:val="105"/>
        </w:numPr>
        <w:spacing w:before="60" w:after="0" w:line="240" w:lineRule="auto"/>
        <w:ind w:right="1021"/>
        <w:rPr>
          <w:rFonts w:cs="Arial"/>
          <w:sz w:val="18"/>
          <w:szCs w:val="18"/>
        </w:rPr>
      </w:pPr>
      <w:r w:rsidRPr="00E86F6C">
        <w:rPr>
          <w:sz w:val="18"/>
          <w:szCs w:val="14"/>
        </w:rPr>
        <w:t>Whether the probative value of that tendency evidence would substantially outweigh any prejudicial effect it may have on the accused person.</w:t>
      </w:r>
    </w:p>
    <w:p w14:paraId="64C5F5D1" w14:textId="2197312B" w:rsidR="001478D7" w:rsidRDefault="001478D7" w:rsidP="00E86F6C">
      <w:pPr>
        <w:pStyle w:val="CCVNumberLevel1"/>
        <w:numPr>
          <w:ilvl w:val="0"/>
          <w:numId w:val="0"/>
        </w:numPr>
        <w:spacing w:before="60" w:after="0" w:line="240" w:lineRule="auto"/>
        <w:ind w:left="567" w:right="567"/>
        <w:rPr>
          <w:sz w:val="20"/>
          <w:szCs w:val="16"/>
        </w:rPr>
      </w:pPr>
      <w:r>
        <w:rPr>
          <w:sz w:val="18"/>
          <w:szCs w:val="14"/>
        </w:rPr>
        <w:t>[</w:t>
      </w:r>
      <w:r w:rsidR="00643C18" w:rsidRPr="00643C18">
        <w:rPr>
          <w:sz w:val="20"/>
          <w:szCs w:val="16"/>
        </w:rPr>
        <w:t>36</w:t>
      </w:r>
      <w:r>
        <w:rPr>
          <w:sz w:val="20"/>
          <w:szCs w:val="16"/>
        </w:rPr>
        <w:t>]</w:t>
      </w:r>
      <w:r w:rsidR="00643C18" w:rsidRPr="00643C18">
        <w:rPr>
          <w:sz w:val="20"/>
          <w:szCs w:val="16"/>
        </w:rPr>
        <w:t xml:space="preserve"> We should also refer to another recent decision of this Court in </w:t>
      </w:r>
      <w:r w:rsidR="00643C18" w:rsidRPr="001478D7">
        <w:rPr>
          <w:i/>
          <w:iCs/>
          <w:sz w:val="20"/>
          <w:szCs w:val="16"/>
        </w:rPr>
        <w:t>Gustav (a</w:t>
      </w:r>
      <w:r>
        <w:rPr>
          <w:i/>
          <w:iCs/>
          <w:sz w:val="20"/>
          <w:szCs w:val="16"/>
        </w:rPr>
        <w:t> </w:t>
      </w:r>
      <w:r w:rsidR="00643C18" w:rsidRPr="001478D7">
        <w:rPr>
          <w:i/>
          <w:iCs/>
          <w:sz w:val="20"/>
          <w:szCs w:val="16"/>
        </w:rPr>
        <w:t>pseudonym) v The King</w:t>
      </w:r>
      <w:r w:rsidR="00643C18" w:rsidRPr="00643C18">
        <w:rPr>
          <w:sz w:val="20"/>
          <w:szCs w:val="16"/>
        </w:rPr>
        <w:t xml:space="preserve"> </w:t>
      </w:r>
      <w:r>
        <w:rPr>
          <w:sz w:val="20"/>
          <w:szCs w:val="16"/>
        </w:rPr>
        <w:t>[2023] VSCA 141</w:t>
      </w:r>
      <w:r w:rsidR="00643C18" w:rsidRPr="00643C18">
        <w:rPr>
          <w:sz w:val="20"/>
          <w:szCs w:val="16"/>
        </w:rPr>
        <w:t xml:space="preserve"> in which Priest, Niall and Taylor JJA set out </w:t>
      </w:r>
      <w:r w:rsidR="00A32FE1">
        <w:rPr>
          <w:sz w:val="20"/>
          <w:szCs w:val="16"/>
        </w:rPr>
        <w:t xml:space="preserve">at [23]-[24] </w:t>
      </w:r>
      <w:r w:rsidR="00643C18" w:rsidRPr="00643C18">
        <w:rPr>
          <w:sz w:val="20"/>
          <w:szCs w:val="16"/>
        </w:rPr>
        <w:t xml:space="preserve">the critical parts and effect of the decisions of </w:t>
      </w:r>
      <w:r w:rsidR="00643C18" w:rsidRPr="001478D7">
        <w:rPr>
          <w:i/>
          <w:iCs/>
          <w:sz w:val="20"/>
          <w:szCs w:val="16"/>
        </w:rPr>
        <w:t>Hughes</w:t>
      </w:r>
      <w:r w:rsidR="00643C18" w:rsidRPr="00643C18">
        <w:rPr>
          <w:sz w:val="20"/>
          <w:szCs w:val="16"/>
        </w:rPr>
        <w:t xml:space="preserve"> and </w:t>
      </w:r>
      <w:r w:rsidR="00643C18" w:rsidRPr="001478D7">
        <w:rPr>
          <w:i/>
          <w:iCs/>
          <w:sz w:val="20"/>
          <w:szCs w:val="16"/>
        </w:rPr>
        <w:t>Bauer</w:t>
      </w:r>
      <w:r w:rsidR="00643C18" w:rsidRPr="00643C18">
        <w:rPr>
          <w:sz w:val="20"/>
          <w:szCs w:val="16"/>
        </w:rPr>
        <w:t>:</w:t>
      </w:r>
    </w:p>
    <w:p w14:paraId="223CC260" w14:textId="14D5901F" w:rsidR="001478D7" w:rsidRPr="00643C18" w:rsidRDefault="00643C18" w:rsidP="001478D7">
      <w:pPr>
        <w:pStyle w:val="CCVNumberLevel1"/>
        <w:numPr>
          <w:ilvl w:val="0"/>
          <w:numId w:val="0"/>
        </w:numPr>
        <w:spacing w:before="60" w:after="0" w:line="240" w:lineRule="auto"/>
        <w:ind w:left="1021" w:right="1021"/>
        <w:rPr>
          <w:rFonts w:cs="Arial"/>
          <w:sz w:val="18"/>
          <w:szCs w:val="18"/>
        </w:rPr>
      </w:pPr>
      <w:r w:rsidRPr="001478D7">
        <w:rPr>
          <w:sz w:val="18"/>
          <w:szCs w:val="14"/>
        </w:rPr>
        <w:t xml:space="preserve">The High Court has held that, in a case for sexual offences involving a single complainant, proof of the accused’s commission of a sexual offence against the complainant on one occasion makes it more likely that the accused may have committed another, generally similar sexual offence against the complainant on another occasion, so long as they are not too far separated in time. Hence, in </w:t>
      </w:r>
      <w:r w:rsidR="001478D7">
        <w:rPr>
          <w:i/>
          <w:iCs/>
          <w:sz w:val="18"/>
          <w:szCs w:val="14"/>
        </w:rPr>
        <w:t>R v B</w:t>
      </w:r>
      <w:r w:rsidRPr="001478D7">
        <w:rPr>
          <w:i/>
          <w:iCs/>
          <w:sz w:val="18"/>
          <w:szCs w:val="14"/>
        </w:rPr>
        <w:t>auer</w:t>
      </w:r>
      <w:r w:rsidR="001478D7">
        <w:rPr>
          <w:sz w:val="18"/>
          <w:szCs w:val="14"/>
        </w:rPr>
        <w:t xml:space="preserve"> (2018) 266 CLR 56, 83 [50]</w:t>
      </w:r>
      <w:r w:rsidRPr="001478D7">
        <w:rPr>
          <w:sz w:val="18"/>
          <w:szCs w:val="14"/>
        </w:rPr>
        <w:t xml:space="preserve"> the High Court said:</w:t>
      </w:r>
    </w:p>
    <w:p w14:paraId="1A619BCE" w14:textId="2C3E6813" w:rsidR="001478D7" w:rsidRPr="00B82D7C" w:rsidRDefault="00643C18" w:rsidP="00B82D7C">
      <w:pPr>
        <w:pStyle w:val="CCVNumberLevel1"/>
        <w:numPr>
          <w:ilvl w:val="0"/>
          <w:numId w:val="0"/>
        </w:numPr>
        <w:spacing w:before="60" w:after="0" w:line="240" w:lineRule="auto"/>
        <w:ind w:left="1474" w:right="1474"/>
        <w:rPr>
          <w:sz w:val="16"/>
          <w:szCs w:val="12"/>
        </w:rPr>
      </w:pPr>
      <w:r w:rsidRPr="001478D7">
        <w:rPr>
          <w:sz w:val="16"/>
          <w:szCs w:val="12"/>
        </w:rPr>
        <w:t>Since proof of an accused’s commission of a sexual offence against a complainant on one occasion makes it more likely that the accused may have committed another, generally similar sexual offence against the complainant on another occasion, at least where the two are not too far separated in point of time, where an accused is charged with a number of counts of generally similar sexual offences against a single complainant the several counts may ordinarily be joined in a single indictment and so tried together</w:t>
      </w:r>
      <w:r w:rsidR="00B82D7C">
        <w:rPr>
          <w:sz w:val="16"/>
          <w:szCs w:val="12"/>
        </w:rPr>
        <w:t xml:space="preserve">: see </w:t>
      </w:r>
      <w:r w:rsidR="00B82D7C" w:rsidRPr="00B82D7C">
        <w:rPr>
          <w:i/>
          <w:iCs/>
          <w:sz w:val="16"/>
          <w:szCs w:val="12"/>
        </w:rPr>
        <w:t>Criminal Procedure Act 2009</w:t>
      </w:r>
      <w:r w:rsidR="00B82D7C">
        <w:rPr>
          <w:sz w:val="16"/>
          <w:szCs w:val="12"/>
        </w:rPr>
        <w:t xml:space="preserve"> s 194.  </w:t>
      </w:r>
      <w:r w:rsidRPr="001478D7">
        <w:rPr>
          <w:sz w:val="16"/>
          <w:szCs w:val="12"/>
        </w:rPr>
        <w:t>In such cases, evidence of each charged act is admissible as circumstantial evidence in proof of each other charged act and, for the same reason, evidence of each uncharged act is admissible in proof of each charged act</w:t>
      </w:r>
      <w:r w:rsidR="00B82D7C">
        <w:rPr>
          <w:sz w:val="16"/>
          <w:szCs w:val="12"/>
        </w:rPr>
        <w:t>: HML v The Queen (2008) 235 CLR 334, 397-8 [168], 401-2 [181]</w:t>
      </w:r>
      <w:r w:rsidRPr="001478D7">
        <w:rPr>
          <w:sz w:val="16"/>
          <w:szCs w:val="12"/>
        </w:rPr>
        <w:t>.</w:t>
      </w:r>
    </w:p>
    <w:p w14:paraId="28DA81AF" w14:textId="5A5927EF" w:rsidR="00B82D7C" w:rsidRPr="00643C18" w:rsidRDefault="00B82D7C" w:rsidP="00B82D7C">
      <w:pPr>
        <w:pStyle w:val="CCVNumberLevel1"/>
        <w:numPr>
          <w:ilvl w:val="0"/>
          <w:numId w:val="0"/>
        </w:numPr>
        <w:spacing w:before="60" w:after="0" w:line="240" w:lineRule="auto"/>
        <w:ind w:left="1021" w:right="1021"/>
        <w:rPr>
          <w:rFonts w:cs="Arial"/>
          <w:sz w:val="18"/>
          <w:szCs w:val="18"/>
        </w:rPr>
      </w:pPr>
      <w:r w:rsidRPr="00B82D7C">
        <w:rPr>
          <w:sz w:val="18"/>
          <w:szCs w:val="14"/>
        </w:rPr>
        <w:t xml:space="preserve">In </w:t>
      </w:r>
      <w:r w:rsidRPr="00B82D7C">
        <w:rPr>
          <w:i/>
          <w:iCs/>
          <w:sz w:val="18"/>
          <w:szCs w:val="14"/>
        </w:rPr>
        <w:t>Bauer</w:t>
      </w:r>
      <w:r w:rsidRPr="00B82D7C">
        <w:rPr>
          <w:sz w:val="18"/>
          <w:szCs w:val="14"/>
        </w:rPr>
        <w:t xml:space="preserve"> </w:t>
      </w:r>
      <w:r>
        <w:rPr>
          <w:sz w:val="18"/>
          <w:szCs w:val="14"/>
        </w:rPr>
        <w:t xml:space="preserve">at [58]-[60] </w:t>
      </w:r>
      <w:r w:rsidRPr="00B82D7C">
        <w:rPr>
          <w:sz w:val="18"/>
          <w:szCs w:val="14"/>
        </w:rPr>
        <w:t>the Court also made it clear that, in cases involving multiple complainants, where a question arises as to whether evidence that the accused has committed a sexual offence against one complainant is significantly probative of the accused having committed a sexual offence against another, the logic of probability reasoning dictates there must be some feature of or about the offending which links the two together:</w:t>
      </w:r>
    </w:p>
    <w:p w14:paraId="3AAEA632" w14:textId="2C65AC49" w:rsidR="00B82D7C" w:rsidRPr="00A32FE1" w:rsidRDefault="00B82D7C" w:rsidP="00B82D7C">
      <w:pPr>
        <w:pStyle w:val="CCVNumberLevel1"/>
        <w:numPr>
          <w:ilvl w:val="0"/>
          <w:numId w:val="0"/>
        </w:numPr>
        <w:spacing w:before="60" w:after="0" w:line="240" w:lineRule="auto"/>
        <w:ind w:left="1474" w:right="1474"/>
        <w:rPr>
          <w:sz w:val="16"/>
          <w:szCs w:val="16"/>
        </w:rPr>
      </w:pPr>
      <w:r w:rsidRPr="00A32FE1">
        <w:rPr>
          <w:sz w:val="16"/>
          <w:szCs w:val="12"/>
        </w:rPr>
        <w:t xml:space="preserve">In a multiple complainant sexual offences case, where a question arises as to whether evidence that the accused has committed a sexual offence against one complainant is significantly probative of the accused having committed a sexual offence against another complainant, the logic of probability reasoning dictates that, for evidence of the offending against one complainant to be significantly probative of the offending against the other, there must ordinarily be some feature of or about the offending which links the two together. More specifically, absent such a feature of or about the offending, evidence that an accused has committed a sexual offence against the first complainant proves no more about the alleged offence against the second complainant than that the accused has committed a sexual offence against the first complainant. And the mere fact that an accused has </w:t>
      </w:r>
      <w:r w:rsidRPr="00A32FE1">
        <w:rPr>
          <w:sz w:val="16"/>
          <w:szCs w:val="16"/>
        </w:rPr>
        <w:t xml:space="preserve">committed an offence against one complainant is ordinarily not significantly probative of the accused having committed an offence against another complainant: see </w:t>
      </w:r>
      <w:r w:rsidRPr="00A32FE1">
        <w:rPr>
          <w:i/>
          <w:iCs/>
          <w:sz w:val="16"/>
          <w:szCs w:val="16"/>
        </w:rPr>
        <w:t>HML</w:t>
      </w:r>
      <w:r w:rsidRPr="00A32FE1">
        <w:rPr>
          <w:sz w:val="16"/>
          <w:szCs w:val="16"/>
        </w:rPr>
        <w:t xml:space="preserve"> (2008) 235 CLR 334, 354 [11]-[12], 382-3 [105], 370 [59]; </w:t>
      </w:r>
      <w:r w:rsidRPr="00A32FE1">
        <w:rPr>
          <w:i/>
          <w:iCs/>
          <w:sz w:val="16"/>
          <w:szCs w:val="16"/>
        </w:rPr>
        <w:t>GBF v The Queen</w:t>
      </w:r>
      <w:r w:rsidRPr="00A32FE1">
        <w:rPr>
          <w:sz w:val="16"/>
          <w:szCs w:val="16"/>
        </w:rPr>
        <w:t xml:space="preserve"> [2010] VSCA 135 [26]; </w:t>
      </w:r>
      <w:r w:rsidRPr="00A32FE1">
        <w:rPr>
          <w:i/>
          <w:iCs/>
          <w:sz w:val="16"/>
          <w:szCs w:val="16"/>
        </w:rPr>
        <w:t>BBH v The Queen</w:t>
      </w:r>
      <w:r w:rsidRPr="00A32FE1">
        <w:rPr>
          <w:sz w:val="16"/>
          <w:szCs w:val="16"/>
        </w:rPr>
        <w:t xml:space="preserve"> (2012) 245 CLR 499, 525 [70]-[71].  If, however, there is some common feature of or about the offending, it may demonstrate a tendency to act in a particular way proof of which increases the likelihood that the account of the offence under consideration is true.</w:t>
      </w:r>
    </w:p>
    <w:p w14:paraId="08CC5D7A" w14:textId="3D6F1E75" w:rsidR="00B82D7C" w:rsidRPr="00643C18" w:rsidRDefault="00B82D7C" w:rsidP="00B82D7C">
      <w:pPr>
        <w:pStyle w:val="CCVNumberLevel1"/>
        <w:numPr>
          <w:ilvl w:val="0"/>
          <w:numId w:val="0"/>
        </w:numPr>
        <w:spacing w:before="60" w:after="0" w:line="240" w:lineRule="auto"/>
        <w:ind w:left="1021" w:right="1021"/>
        <w:rPr>
          <w:rFonts w:cs="Arial"/>
          <w:sz w:val="18"/>
          <w:szCs w:val="18"/>
        </w:rPr>
      </w:pPr>
      <w:r w:rsidRPr="00B82D7C">
        <w:rPr>
          <w:i/>
          <w:iCs/>
          <w:sz w:val="18"/>
          <w:szCs w:val="14"/>
        </w:rPr>
        <w:t>Hughes</w:t>
      </w:r>
      <w:r w:rsidRPr="00B82D7C">
        <w:rPr>
          <w:sz w:val="18"/>
          <w:szCs w:val="14"/>
        </w:rPr>
        <w:t xml:space="preserve"> illustrates the point. The case involved multiple complainants each alleging that the accused had committed one or more sexual offences against her, where the offences that were alleged to have been committed against some groups of complainants were in significant respects different in kind and circumstance from the sexual offences alleged to have been committed against each other group of complainants</w:t>
      </w:r>
      <w:r>
        <w:rPr>
          <w:sz w:val="18"/>
          <w:szCs w:val="14"/>
        </w:rPr>
        <w:t>: see [44]-[54]</w:t>
      </w:r>
      <w:r w:rsidRPr="00B82D7C">
        <w:rPr>
          <w:sz w:val="18"/>
          <w:szCs w:val="14"/>
        </w:rPr>
        <w:t>.</w:t>
      </w:r>
      <w:r>
        <w:rPr>
          <w:sz w:val="18"/>
          <w:szCs w:val="14"/>
        </w:rPr>
        <w:t xml:space="preserve"> </w:t>
      </w:r>
      <w:r w:rsidRPr="00B82D7C">
        <w:rPr>
          <w:sz w:val="18"/>
          <w:szCs w:val="14"/>
        </w:rPr>
        <w:t xml:space="preserve"> It was </w:t>
      </w:r>
      <w:r w:rsidRPr="00B82D7C">
        <w:rPr>
          <w:sz w:val="18"/>
          <w:szCs w:val="14"/>
        </w:rPr>
        <w:lastRenderedPageBreak/>
        <w:t>not disputed that evidence of each sexual offence alleged to have been committed against a complainant was admissible as tendency evidence in proof of other sexual offences alleged to have been committed against that complainant, even though, in some cases, the nature of the offending differed significantly from one charge to another. The issue was how much if any of each complainant’s evidence of the sexual offences and uncharged acts alleged to have been committed against her was admissible as tendency evidence in proof of the sexual offences alleged to have been committed against the other complainants. And the case was ultimately decided by majority on the basis that, taken as a whole, the evidence of each alleged sexual offence and uncharged act demonstrated a common feature that a man of mature years had a sexual interest in female children under 16 years of age and a tendency to act upon it by committing sexual offences against them opportunistically in circumstances which entailed a high risk of detection. In the view of the majority, such was the significance of that common feature that evidence of each alleged sexual offence and uncharged act had significant probative value in proof of each other charged offence. By contrast, in a single complainant sexual offences case, where a question arises as to whether evidence that the accused has committed one sexual offence against the complainant is significantly probative of the accused having committed another sexual offence against that complainant, there is ordinarily no need of a particular feature of the offending to render evidence of one offence significantly probative of the other.</w:t>
      </w:r>
    </w:p>
    <w:p w14:paraId="1996D195" w14:textId="7680AA63" w:rsidR="00CF211F" w:rsidRDefault="00CF211F" w:rsidP="00CF211F">
      <w:pPr>
        <w:spacing w:before="120"/>
        <w:jc w:val="both"/>
        <w:rPr>
          <w:rFonts w:ascii="Arial" w:hAnsi="Arial" w:cs="Arial"/>
          <w:sz w:val="20"/>
        </w:rPr>
      </w:pPr>
      <w:r>
        <w:rPr>
          <w:rFonts w:ascii="Arial" w:hAnsi="Arial" w:cs="Arial"/>
          <w:sz w:val="20"/>
        </w:rPr>
        <w:t>In rejecting the applicant’s submission that the</w:t>
      </w:r>
      <w:r w:rsidR="007C67E9">
        <w:rPr>
          <w:rFonts w:ascii="Arial" w:hAnsi="Arial" w:cs="Arial"/>
          <w:sz w:val="20"/>
        </w:rPr>
        <w:t xml:space="preserve"> ruling is inconsistent with the decision of the High Court in </w:t>
      </w:r>
      <w:r w:rsidR="007C67E9" w:rsidRPr="007C67E9">
        <w:rPr>
          <w:rFonts w:ascii="Arial" w:hAnsi="Arial" w:cs="Arial"/>
          <w:i/>
          <w:iCs/>
          <w:sz w:val="20"/>
        </w:rPr>
        <w:t>Phillips v The Queen</w:t>
      </w:r>
      <w:r w:rsidR="007C67E9">
        <w:rPr>
          <w:rFonts w:ascii="Arial" w:hAnsi="Arial" w:cs="Arial"/>
          <w:sz w:val="20"/>
        </w:rPr>
        <w:t xml:space="preserve"> (2006) 225 CLR 303; [2006] HCA 4 on the issue of consent, the Court of Appeal said at [50]-[52] &amp; [56]:</w:t>
      </w:r>
    </w:p>
    <w:p w14:paraId="5884C24F" w14:textId="0FC343CC" w:rsidR="007C67E9" w:rsidRDefault="007C67E9" w:rsidP="007C67E9">
      <w:pPr>
        <w:pStyle w:val="CCVNumberLevel1"/>
        <w:numPr>
          <w:ilvl w:val="0"/>
          <w:numId w:val="0"/>
        </w:numPr>
        <w:spacing w:before="60" w:after="0" w:line="240" w:lineRule="auto"/>
        <w:ind w:left="567" w:right="567"/>
        <w:rPr>
          <w:sz w:val="20"/>
          <w:szCs w:val="16"/>
        </w:rPr>
      </w:pPr>
      <w:r>
        <w:rPr>
          <w:sz w:val="20"/>
          <w:szCs w:val="16"/>
        </w:rPr>
        <w:t>[50] “</w:t>
      </w:r>
      <w:r w:rsidRPr="007C67E9">
        <w:rPr>
          <w:sz w:val="20"/>
        </w:rPr>
        <w:t xml:space="preserve">In </w:t>
      </w:r>
      <w:r w:rsidRPr="007C67E9">
        <w:rPr>
          <w:i/>
          <w:iCs/>
          <w:sz w:val="20"/>
        </w:rPr>
        <w:t>Phillips</w:t>
      </w:r>
      <w:r w:rsidRPr="007C67E9">
        <w:rPr>
          <w:sz w:val="20"/>
        </w:rPr>
        <w:t xml:space="preserve">, a joint trial of the accused had been conducted with multiple complainants, each of whom gave evidence that the accused pursued sexual activity with them in circumstances where they did not consent. The High Court (Gleeson CJ, </w:t>
      </w:r>
      <w:proofErr w:type="spellStart"/>
      <w:r w:rsidRPr="007C67E9">
        <w:rPr>
          <w:sz w:val="20"/>
        </w:rPr>
        <w:t>Gummow</w:t>
      </w:r>
      <w:proofErr w:type="spellEnd"/>
      <w:r w:rsidRPr="007C67E9">
        <w:rPr>
          <w:sz w:val="20"/>
        </w:rPr>
        <w:t xml:space="preserve">, Kirby, Hayne and </w:t>
      </w:r>
      <w:proofErr w:type="spellStart"/>
      <w:r w:rsidRPr="007C67E9">
        <w:rPr>
          <w:sz w:val="20"/>
        </w:rPr>
        <w:t>Heydon</w:t>
      </w:r>
      <w:proofErr w:type="spellEnd"/>
      <w:r w:rsidRPr="007C67E9">
        <w:rPr>
          <w:sz w:val="20"/>
        </w:rPr>
        <w:t xml:space="preserve"> JJ), in holding that the evidence of each complainant was not cross-admissible in proof of offending against each other complainant, said this</w:t>
      </w:r>
      <w:r>
        <w:rPr>
          <w:sz w:val="20"/>
        </w:rPr>
        <w:t xml:space="preserve"> at [46]</w:t>
      </w:r>
      <w:r w:rsidRPr="007C67E9">
        <w:rPr>
          <w:sz w:val="20"/>
        </w:rPr>
        <w:t>:</w:t>
      </w:r>
    </w:p>
    <w:p w14:paraId="7E20C34B" w14:textId="2BF8BCD1" w:rsidR="007C67E9" w:rsidRPr="00643C18" w:rsidRDefault="007C67E9" w:rsidP="007C67E9">
      <w:pPr>
        <w:pStyle w:val="CCVNumberLevel1"/>
        <w:numPr>
          <w:ilvl w:val="0"/>
          <w:numId w:val="0"/>
        </w:numPr>
        <w:spacing w:before="60" w:after="0" w:line="240" w:lineRule="auto"/>
        <w:ind w:left="1021" w:right="1021"/>
        <w:rPr>
          <w:rFonts w:cs="Arial"/>
          <w:sz w:val="18"/>
          <w:szCs w:val="18"/>
        </w:rPr>
      </w:pPr>
      <w:r w:rsidRPr="007C67E9">
        <w:rPr>
          <w:sz w:val="18"/>
          <w:szCs w:val="18"/>
        </w:rPr>
        <w:t xml:space="preserve">Normally similar fact evidence is used to assist on issues relating only to the conduct and mental state of an accused. Did the accused do a particular thing? Or did the accused do it with a particular mental state? But where a particular count supported by one complainant’s evidence raises the issue of whether she consented to certain conduct by an accused, the issue relates much more to her mental state than his. The trial judge kept referring to ‘the improbability of similar lies’ on that issue. That is an expression used by Mason CJ, Wilson and </w:t>
      </w:r>
      <w:proofErr w:type="spellStart"/>
      <w:r w:rsidRPr="007C67E9">
        <w:rPr>
          <w:sz w:val="18"/>
          <w:szCs w:val="18"/>
        </w:rPr>
        <w:t>Gaudron</w:t>
      </w:r>
      <w:proofErr w:type="spellEnd"/>
      <w:r w:rsidRPr="007C67E9">
        <w:rPr>
          <w:sz w:val="18"/>
          <w:szCs w:val="18"/>
        </w:rPr>
        <w:t xml:space="preserve"> JJ in </w:t>
      </w:r>
      <w:r w:rsidRPr="007C67E9">
        <w:rPr>
          <w:i/>
          <w:iCs/>
          <w:sz w:val="18"/>
          <w:szCs w:val="18"/>
        </w:rPr>
        <w:t>Hoch v The Queen</w:t>
      </w:r>
      <w:r w:rsidRPr="007C67E9">
        <w:rPr>
          <w:sz w:val="18"/>
          <w:szCs w:val="18"/>
        </w:rPr>
        <w:t>; however, as counsel for the appellant pointed out, they used it not on the question of whether the complainants in that case consented, but on whether the accused behaved towards them as he said he did. To tell the jury that the evidence went to the improbability of each complainant lying or being unreliable about consent was to say that a lack of consent by five complainants tended to establish lack of consent by the sixth.</w:t>
      </w:r>
    </w:p>
    <w:p w14:paraId="61509631" w14:textId="5555E4AB" w:rsidR="001478D7" w:rsidRDefault="007C67E9" w:rsidP="00E86F6C">
      <w:pPr>
        <w:pStyle w:val="CCVNumberLevel1"/>
        <w:numPr>
          <w:ilvl w:val="0"/>
          <w:numId w:val="0"/>
        </w:numPr>
        <w:spacing w:before="60" w:after="0" w:line="240" w:lineRule="auto"/>
        <w:ind w:left="567" w:right="567"/>
        <w:rPr>
          <w:sz w:val="20"/>
        </w:rPr>
      </w:pPr>
      <w:r>
        <w:rPr>
          <w:sz w:val="20"/>
          <w:szCs w:val="16"/>
        </w:rPr>
        <w:t xml:space="preserve">[51] </w:t>
      </w:r>
      <w:r w:rsidRPr="007C67E9">
        <w:rPr>
          <w:sz w:val="20"/>
        </w:rPr>
        <w:t xml:space="preserve">The tendency evidence in this case is not sought to be adduced to prove a lack of consent. The relevant evidence here, as in </w:t>
      </w:r>
      <w:r w:rsidRPr="007C67E9">
        <w:rPr>
          <w:i/>
          <w:iCs/>
          <w:sz w:val="20"/>
        </w:rPr>
        <w:t>Hoch v The Queen</w:t>
      </w:r>
      <w:r>
        <w:rPr>
          <w:sz w:val="20"/>
        </w:rPr>
        <w:t xml:space="preserve"> (1988) 165 CLR 292</w:t>
      </w:r>
      <w:r w:rsidRPr="007C67E9">
        <w:rPr>
          <w:sz w:val="20"/>
        </w:rPr>
        <w:t>, is to be adduced not on</w:t>
      </w:r>
      <w:r w:rsidR="004E60EF">
        <w:rPr>
          <w:sz w:val="20"/>
        </w:rPr>
        <w:t xml:space="preserve"> </w:t>
      </w:r>
      <w:r w:rsidR="004E60EF" w:rsidRPr="007C67E9">
        <w:rPr>
          <w:sz w:val="20"/>
        </w:rPr>
        <w:t>the question of whether the complainants consented but on whether the applicant behaved towards them as they said he did (and he said he did not) while performing a massage.</w:t>
      </w:r>
    </w:p>
    <w:p w14:paraId="5B325381" w14:textId="7359E15E" w:rsidR="004E60EF" w:rsidRDefault="004E60EF" w:rsidP="00E86F6C">
      <w:pPr>
        <w:pStyle w:val="CCVNumberLevel1"/>
        <w:numPr>
          <w:ilvl w:val="0"/>
          <w:numId w:val="0"/>
        </w:numPr>
        <w:spacing w:before="60" w:after="0" w:line="240" w:lineRule="auto"/>
        <w:ind w:left="567" w:right="567"/>
        <w:rPr>
          <w:sz w:val="20"/>
        </w:rPr>
      </w:pPr>
      <w:r>
        <w:rPr>
          <w:sz w:val="20"/>
        </w:rPr>
        <w:t xml:space="preserve">[52] </w:t>
      </w:r>
      <w:r w:rsidRPr="007C67E9">
        <w:rPr>
          <w:sz w:val="20"/>
        </w:rPr>
        <w:t>If there is any risk of the jury considering that this body of evidence goes to the question of consent in each of the individual cases, then that, undoubtedly, will be dealt with by a direction by the trial judge.</w:t>
      </w:r>
    </w:p>
    <w:p w14:paraId="5A27BF1E" w14:textId="53B5653D" w:rsidR="004E60EF" w:rsidRDefault="004E60EF" w:rsidP="00E86F6C">
      <w:pPr>
        <w:pStyle w:val="CCVNumberLevel1"/>
        <w:numPr>
          <w:ilvl w:val="0"/>
          <w:numId w:val="0"/>
        </w:numPr>
        <w:spacing w:before="60" w:after="0" w:line="240" w:lineRule="auto"/>
        <w:ind w:left="567" w:right="567"/>
        <w:rPr>
          <w:sz w:val="20"/>
        </w:rPr>
      </w:pPr>
      <w:r>
        <w:rPr>
          <w:sz w:val="20"/>
        </w:rPr>
        <w:t>…</w:t>
      </w:r>
    </w:p>
    <w:p w14:paraId="70F9A8B4" w14:textId="0C32BB06" w:rsidR="004E60EF" w:rsidRDefault="004E60EF" w:rsidP="00E86F6C">
      <w:pPr>
        <w:pStyle w:val="CCVNumberLevel1"/>
        <w:numPr>
          <w:ilvl w:val="0"/>
          <w:numId w:val="0"/>
        </w:numPr>
        <w:spacing w:before="60" w:after="0" w:line="240" w:lineRule="auto"/>
        <w:ind w:left="567" w:right="567"/>
        <w:rPr>
          <w:sz w:val="20"/>
          <w:szCs w:val="16"/>
        </w:rPr>
      </w:pPr>
      <w:r>
        <w:rPr>
          <w:sz w:val="20"/>
        </w:rPr>
        <w:t xml:space="preserve">[56] </w:t>
      </w:r>
      <w:r w:rsidRPr="007C67E9">
        <w:rPr>
          <w:sz w:val="20"/>
        </w:rPr>
        <w:t>In our view, the judge was correct to admit the tendency evidence. Here, there is a remarkable congruity between each episode as the judge noted. The features of each of the alleged offences were strikingly similar. Each occurred at the applicant’s house with only himself and a vulnerable adult female present in the room, partially clothed, whilst undergoing a massage. Each allegedly involved or commenced with the applicant’s hands on the breast; and concerned him moving his hands beneath a towel; and the three alleged incidents were all reasonably proximate in time. The occurrence of one alleged sexual assault, in that specific way, makes more likely the occurrence of another when it is alleged to have occurred in the same or very similar fashion. The judge was correct to identify these similarities as providing a solid foundation for admitting the evidence of the three complainants under s 97 of the Act.</w:t>
      </w:r>
      <w:r>
        <w:rPr>
          <w:sz w:val="20"/>
        </w:rPr>
        <w:t>”</w:t>
      </w:r>
    </w:p>
    <w:p w14:paraId="56140DA9" w14:textId="6A2C7670" w:rsidR="004E60EF" w:rsidRDefault="004E60EF" w:rsidP="004E60EF">
      <w:pPr>
        <w:spacing w:before="120"/>
        <w:jc w:val="both"/>
        <w:rPr>
          <w:rFonts w:ascii="Arial" w:hAnsi="Arial" w:cs="Arial"/>
          <w:sz w:val="20"/>
        </w:rPr>
      </w:pPr>
      <w:r>
        <w:rPr>
          <w:rFonts w:ascii="Arial" w:hAnsi="Arial" w:cs="Arial"/>
          <w:sz w:val="20"/>
        </w:rPr>
        <w:t>In rejecting the applicant’s submission pursuant to s.101(2) of the Act that the probative value of the evidence does not substantially outweigh its prejudicial effect, the Court of Appeal said at [67]:</w:t>
      </w:r>
    </w:p>
    <w:p w14:paraId="67A7E913" w14:textId="360A40CE" w:rsidR="004E60EF" w:rsidRDefault="004E60EF" w:rsidP="004E60EF">
      <w:pPr>
        <w:pStyle w:val="CCVNumberLevel1"/>
        <w:numPr>
          <w:ilvl w:val="0"/>
          <w:numId w:val="0"/>
        </w:numPr>
        <w:spacing w:before="60" w:after="0" w:line="240" w:lineRule="auto"/>
        <w:ind w:left="567" w:right="567"/>
        <w:rPr>
          <w:sz w:val="20"/>
          <w:szCs w:val="16"/>
        </w:rPr>
      </w:pPr>
      <w:r>
        <w:rPr>
          <w:sz w:val="20"/>
          <w:szCs w:val="16"/>
        </w:rPr>
        <w:lastRenderedPageBreak/>
        <w:t>[67] “We agree with the judge’s characterisation of the probative value of the evidence.  It is clear that this body of evidence is significant in proving each of the charges.  The similarities in the conduct of the applicant, as we have already noted, are striking.  The prejudice occasioned by admitting the evidence (which we accept will occur) can be ameliorated by an appropriate judicial direction</w:t>
      </w:r>
      <w:r w:rsidR="002F1043">
        <w:rPr>
          <w:sz w:val="20"/>
          <w:szCs w:val="16"/>
        </w:rPr>
        <w:t>…</w:t>
      </w:r>
      <w:r>
        <w:rPr>
          <w:sz w:val="20"/>
          <w:szCs w:val="16"/>
        </w:rPr>
        <w:t>”</w:t>
      </w:r>
    </w:p>
    <w:p w14:paraId="36803B33" w14:textId="600B54F1" w:rsidR="00106472" w:rsidRDefault="00106472" w:rsidP="0019386A">
      <w:pPr>
        <w:jc w:val="both"/>
        <w:rPr>
          <w:rFonts w:ascii="Arial" w:hAnsi="Arial" w:cs="Arial"/>
          <w:sz w:val="20"/>
        </w:rPr>
      </w:pPr>
    </w:p>
    <w:p w14:paraId="2DC69491" w14:textId="7E31920C" w:rsidR="00587727" w:rsidRPr="000F2367" w:rsidRDefault="000F2367" w:rsidP="0019386A">
      <w:pPr>
        <w:jc w:val="both"/>
        <w:rPr>
          <w:rFonts w:ascii="Arial" w:hAnsi="Arial" w:cs="Arial"/>
          <w:sz w:val="20"/>
          <w:szCs w:val="20"/>
        </w:rPr>
      </w:pPr>
      <w:r w:rsidRPr="000F2367">
        <w:rPr>
          <w:rFonts w:ascii="Arial" w:hAnsi="Arial" w:cs="Arial"/>
          <w:sz w:val="20"/>
          <w:szCs w:val="20"/>
        </w:rPr>
        <w:t>In</w:t>
      </w:r>
      <w:r w:rsidR="00587727" w:rsidRPr="000F2367">
        <w:rPr>
          <w:rFonts w:ascii="Arial" w:hAnsi="Arial" w:cs="Arial"/>
          <w:sz w:val="20"/>
          <w:szCs w:val="20"/>
        </w:rPr>
        <w:t xml:space="preserve"> </w:t>
      </w:r>
      <w:r w:rsidR="00587727" w:rsidRPr="000F2367">
        <w:rPr>
          <w:rFonts w:ascii="Arial" w:hAnsi="Arial" w:cs="Arial"/>
          <w:i/>
          <w:iCs/>
          <w:sz w:val="20"/>
          <w:szCs w:val="20"/>
        </w:rPr>
        <w:t xml:space="preserve">DPP v </w:t>
      </w:r>
      <w:proofErr w:type="spellStart"/>
      <w:r w:rsidR="00587727" w:rsidRPr="000F2367">
        <w:rPr>
          <w:rFonts w:ascii="Arial" w:hAnsi="Arial" w:cs="Arial"/>
          <w:i/>
          <w:iCs/>
          <w:sz w:val="20"/>
          <w:szCs w:val="20"/>
        </w:rPr>
        <w:t>Roder</w:t>
      </w:r>
      <w:proofErr w:type="spellEnd"/>
      <w:r w:rsidR="00587727" w:rsidRPr="000F2367">
        <w:rPr>
          <w:rFonts w:ascii="Arial" w:hAnsi="Arial" w:cs="Arial"/>
          <w:i/>
          <w:iCs/>
          <w:sz w:val="20"/>
          <w:szCs w:val="20"/>
        </w:rPr>
        <w:t xml:space="preserve"> (a pseudonym)</w:t>
      </w:r>
      <w:r w:rsidR="00587727" w:rsidRPr="000F2367">
        <w:rPr>
          <w:rFonts w:ascii="Arial" w:hAnsi="Arial" w:cs="Arial"/>
          <w:sz w:val="20"/>
          <w:szCs w:val="20"/>
        </w:rPr>
        <w:t xml:space="preserve"> [2023] VSCA 262</w:t>
      </w:r>
      <w:r w:rsidRPr="000F2367">
        <w:rPr>
          <w:rFonts w:ascii="Arial" w:hAnsi="Arial" w:cs="Arial"/>
          <w:sz w:val="20"/>
          <w:szCs w:val="20"/>
        </w:rPr>
        <w:t xml:space="preserve"> the tendency evidence relied on by the prosecution consisted of both charged and uncharged acts</w:t>
      </w:r>
      <w:r w:rsidR="00587727" w:rsidRPr="000F2367">
        <w:rPr>
          <w:rFonts w:ascii="Arial" w:hAnsi="Arial" w:cs="Arial"/>
          <w:sz w:val="20"/>
          <w:szCs w:val="20"/>
        </w:rPr>
        <w:t>.</w:t>
      </w:r>
      <w:r>
        <w:rPr>
          <w:rFonts w:ascii="Arial" w:hAnsi="Arial" w:cs="Arial"/>
          <w:sz w:val="20"/>
          <w:szCs w:val="20"/>
        </w:rPr>
        <w:t xml:space="preserve">  In refusing leave to appeal</w:t>
      </w:r>
      <w:r w:rsidR="00A44886">
        <w:rPr>
          <w:rFonts w:ascii="Arial" w:hAnsi="Arial" w:cs="Arial"/>
          <w:sz w:val="20"/>
          <w:szCs w:val="20"/>
        </w:rPr>
        <w:t>,</w:t>
      </w:r>
      <w:r>
        <w:rPr>
          <w:rFonts w:ascii="Arial" w:hAnsi="Arial" w:cs="Arial"/>
          <w:sz w:val="20"/>
          <w:szCs w:val="20"/>
        </w:rPr>
        <w:t xml:space="preserve"> the Court of Appeal (Priest, Niall &amp; Taylor JJA) sa</w:t>
      </w:r>
      <w:r w:rsidR="00A44886">
        <w:rPr>
          <w:rFonts w:ascii="Arial" w:hAnsi="Arial" w:cs="Arial"/>
          <w:sz w:val="20"/>
          <w:szCs w:val="20"/>
        </w:rPr>
        <w:t>id</w:t>
      </w:r>
      <w:r>
        <w:rPr>
          <w:rFonts w:ascii="Arial" w:hAnsi="Arial" w:cs="Arial"/>
          <w:sz w:val="20"/>
          <w:szCs w:val="20"/>
        </w:rPr>
        <w:t xml:space="preserve"> at [28]-[</w:t>
      </w:r>
      <w:r w:rsidR="00A44886">
        <w:rPr>
          <w:rFonts w:ascii="Arial" w:hAnsi="Arial" w:cs="Arial"/>
          <w:sz w:val="20"/>
          <w:szCs w:val="20"/>
        </w:rPr>
        <w:t>30</w:t>
      </w:r>
      <w:r>
        <w:rPr>
          <w:rFonts w:ascii="Arial" w:hAnsi="Arial" w:cs="Arial"/>
          <w:sz w:val="20"/>
          <w:szCs w:val="20"/>
        </w:rPr>
        <w:t>] &amp; [</w:t>
      </w:r>
      <w:r w:rsidR="00A44886">
        <w:rPr>
          <w:rFonts w:ascii="Arial" w:hAnsi="Arial" w:cs="Arial"/>
          <w:sz w:val="20"/>
          <w:szCs w:val="20"/>
        </w:rPr>
        <w:t>33</w:t>
      </w:r>
      <w:r>
        <w:rPr>
          <w:rFonts w:ascii="Arial" w:hAnsi="Arial" w:cs="Arial"/>
          <w:sz w:val="20"/>
          <w:szCs w:val="20"/>
        </w:rPr>
        <w:t>]-[</w:t>
      </w:r>
      <w:r w:rsidR="00A44886">
        <w:rPr>
          <w:rFonts w:ascii="Arial" w:hAnsi="Arial" w:cs="Arial"/>
          <w:sz w:val="20"/>
          <w:szCs w:val="20"/>
        </w:rPr>
        <w:t>34</w:t>
      </w:r>
      <w:r>
        <w:rPr>
          <w:rFonts w:ascii="Arial" w:hAnsi="Arial" w:cs="Arial"/>
          <w:sz w:val="20"/>
          <w:szCs w:val="20"/>
        </w:rPr>
        <w:t>]:</w:t>
      </w:r>
    </w:p>
    <w:p w14:paraId="207DC341" w14:textId="771FDA34" w:rsidR="000F2367" w:rsidRDefault="000F2367" w:rsidP="000F2367">
      <w:pPr>
        <w:pStyle w:val="CCVNumberLevel1"/>
        <w:numPr>
          <w:ilvl w:val="0"/>
          <w:numId w:val="0"/>
        </w:numPr>
        <w:spacing w:before="60" w:after="0" w:line="240" w:lineRule="auto"/>
        <w:ind w:left="567" w:right="567"/>
        <w:rPr>
          <w:rFonts w:cs="Arial"/>
          <w:sz w:val="20"/>
        </w:rPr>
      </w:pPr>
      <w:r w:rsidRPr="00A44886">
        <w:rPr>
          <w:rFonts w:cs="Arial"/>
          <w:sz w:val="20"/>
        </w:rPr>
        <w:t xml:space="preserve">[28] “We consider it to be plain that the observations from </w:t>
      </w:r>
      <w:r w:rsidR="00A44886" w:rsidRPr="00A44886">
        <w:rPr>
          <w:rFonts w:cs="Arial"/>
          <w:i/>
          <w:iCs/>
          <w:sz w:val="20"/>
        </w:rPr>
        <w:t>R v B</w:t>
      </w:r>
      <w:r w:rsidRPr="00A44886">
        <w:rPr>
          <w:rFonts w:cs="Arial"/>
          <w:i/>
          <w:iCs/>
          <w:sz w:val="20"/>
        </w:rPr>
        <w:t>auer</w:t>
      </w:r>
      <w:r w:rsidRPr="00A44886">
        <w:rPr>
          <w:rFonts w:cs="Arial"/>
          <w:sz w:val="20"/>
        </w:rPr>
        <w:t xml:space="preserve"> </w:t>
      </w:r>
      <w:r w:rsidR="00A44886" w:rsidRPr="00A44886">
        <w:rPr>
          <w:sz w:val="20"/>
        </w:rPr>
        <w:t xml:space="preserve">(2018) 266 CLR 56 </w:t>
      </w:r>
      <w:r w:rsidRPr="00A44886">
        <w:rPr>
          <w:rFonts w:cs="Arial"/>
          <w:sz w:val="20"/>
        </w:rPr>
        <w:t>relied upon by the applicant are limited to the directions ordinarily to be given to a jury in a single complainant sexual offences case in which the prosecution is permitted to</w:t>
      </w:r>
      <w:r w:rsidRPr="000F2367">
        <w:rPr>
          <w:rFonts w:cs="Arial"/>
          <w:sz w:val="20"/>
        </w:rPr>
        <w:t xml:space="preserve"> adduce evidence of uncharged acts as tendency evidence. The observations do not purport to extend to cases in which charged acts are relied upon as tendency evidence.</w:t>
      </w:r>
      <w:r>
        <w:rPr>
          <w:rFonts w:cs="Arial"/>
          <w:sz w:val="20"/>
        </w:rPr>
        <w:t xml:space="preserve">  </w:t>
      </w:r>
      <w:r w:rsidRPr="000F2367">
        <w:rPr>
          <w:rFonts w:cs="Arial"/>
          <w:sz w:val="20"/>
        </w:rPr>
        <w:t xml:space="preserve">Nothing in them provides a mandate for a trial judge to direct the jury that they do not have to find a charged act relied upon by the prosecution to establish a relevant tendency to be proved beyond reasonable doubt. Since the tendency evidence in </w:t>
      </w:r>
      <w:r w:rsidRPr="000F2367">
        <w:rPr>
          <w:rFonts w:cs="Arial"/>
          <w:i/>
          <w:iCs/>
          <w:sz w:val="20"/>
        </w:rPr>
        <w:t>Bauer</w:t>
      </w:r>
      <w:r w:rsidRPr="000F2367">
        <w:rPr>
          <w:rFonts w:cs="Arial"/>
          <w:sz w:val="20"/>
        </w:rPr>
        <w:t xml:space="preserve"> consisted of both charged and uncharged acts, had the Court been of the view that directions on charged acts relied upon to establish tendency evidence were to mirror those to be given when uncharged acts were so relied upon, presumably the Court would have said so.</w:t>
      </w:r>
    </w:p>
    <w:p w14:paraId="077D5D49" w14:textId="0FB5371F" w:rsidR="000F2367" w:rsidRDefault="000F2367" w:rsidP="000F2367">
      <w:pPr>
        <w:pStyle w:val="CCVNumberLevel1"/>
        <w:numPr>
          <w:ilvl w:val="0"/>
          <w:numId w:val="0"/>
        </w:numPr>
        <w:spacing w:before="60" w:after="0" w:line="240" w:lineRule="auto"/>
        <w:ind w:left="567" w:right="567"/>
        <w:rPr>
          <w:rFonts w:cs="Arial"/>
          <w:sz w:val="20"/>
        </w:rPr>
      </w:pPr>
      <w:r>
        <w:rPr>
          <w:sz w:val="20"/>
          <w:szCs w:val="16"/>
        </w:rPr>
        <w:t xml:space="preserve">[29] </w:t>
      </w:r>
      <w:r w:rsidRPr="000F2367">
        <w:rPr>
          <w:rFonts w:cs="Arial"/>
          <w:sz w:val="20"/>
        </w:rPr>
        <w:t xml:space="preserve">In our opinion, the circumstances of the present case are indistinguishable in any relevant sense from those of </w:t>
      </w:r>
      <w:r w:rsidR="00A44886" w:rsidRPr="00A44886">
        <w:rPr>
          <w:i/>
          <w:iCs/>
          <w:sz w:val="20"/>
          <w:szCs w:val="16"/>
        </w:rPr>
        <w:t>Dempsey (a pseudonym) v The Queen</w:t>
      </w:r>
      <w:r w:rsidR="00A44886" w:rsidRPr="00A44886">
        <w:rPr>
          <w:sz w:val="20"/>
          <w:szCs w:val="16"/>
        </w:rPr>
        <w:t xml:space="preserve"> </w:t>
      </w:r>
      <w:r w:rsidR="00A44886" w:rsidRPr="00A44886">
        <w:rPr>
          <w:sz w:val="20"/>
        </w:rPr>
        <w:t>[2019] VSCA 224</w:t>
      </w:r>
      <w:r w:rsidRPr="00A44886">
        <w:rPr>
          <w:rFonts w:cs="Arial"/>
          <w:sz w:val="20"/>
        </w:rPr>
        <w:t>. I</w:t>
      </w:r>
      <w:r w:rsidRPr="000F2367">
        <w:rPr>
          <w:rFonts w:cs="Arial"/>
          <w:sz w:val="20"/>
        </w:rPr>
        <w:t>f</w:t>
      </w:r>
      <w:r w:rsidR="00DA2B1A">
        <w:rPr>
          <w:rFonts w:cs="Arial"/>
          <w:sz w:val="20"/>
        </w:rPr>
        <w:t> </w:t>
      </w:r>
      <w:r w:rsidRPr="000F2367">
        <w:rPr>
          <w:rFonts w:cs="Arial"/>
          <w:sz w:val="20"/>
        </w:rPr>
        <w:t>the judge were to direct the jury that they need not be satisfied beyond reasonable doubt of the existence of any charged act in order to use it for tendency purposes, whilst concomitantly directing that they could not find the respondent guilty of any particular charge unless satisfied that the elements of that charge (including the particular charged act) had been proven beyond reasonable doubt, the criminal standard of proof would doubtlessly be confused, and unacceptably undermined.</w:t>
      </w:r>
    </w:p>
    <w:p w14:paraId="4184DD3F" w14:textId="68C83763" w:rsidR="000F2367" w:rsidRDefault="000F2367" w:rsidP="000F2367">
      <w:pPr>
        <w:pStyle w:val="CCVNumberLevel1"/>
        <w:numPr>
          <w:ilvl w:val="0"/>
          <w:numId w:val="0"/>
        </w:numPr>
        <w:spacing w:before="60" w:after="0" w:line="240" w:lineRule="auto"/>
        <w:ind w:left="567" w:right="567"/>
        <w:rPr>
          <w:rFonts w:cs="Arial"/>
          <w:sz w:val="20"/>
        </w:rPr>
      </w:pPr>
      <w:r>
        <w:rPr>
          <w:rFonts w:cs="Arial"/>
          <w:sz w:val="20"/>
        </w:rPr>
        <w:t xml:space="preserve">[30] </w:t>
      </w:r>
      <w:r w:rsidRPr="000F2367">
        <w:rPr>
          <w:rFonts w:cs="Arial"/>
          <w:sz w:val="20"/>
        </w:rPr>
        <w:t>During oral argument in this Court, in answer to a question from the Court, counsel for the applicant submitted that ‘to the extent that it provides that the judge is entitled to direct the jury that they must be satisfied of tendency evidence beyond reasonable doubt then [</w:t>
      </w:r>
      <w:r w:rsidRPr="00742FD8">
        <w:rPr>
          <w:rFonts w:cs="Arial"/>
          <w:i/>
          <w:iCs/>
          <w:sz w:val="20"/>
        </w:rPr>
        <w:t>Dempsey</w:t>
      </w:r>
      <w:r w:rsidRPr="000F2367">
        <w:rPr>
          <w:rFonts w:cs="Arial"/>
          <w:sz w:val="20"/>
        </w:rPr>
        <w:t>] is not correctly decided’.</w:t>
      </w:r>
    </w:p>
    <w:p w14:paraId="6401B4B1" w14:textId="267D2AE7" w:rsidR="000F2367" w:rsidRDefault="000F2367" w:rsidP="000F2367">
      <w:pPr>
        <w:pStyle w:val="CCVNumberLevel1"/>
        <w:numPr>
          <w:ilvl w:val="0"/>
          <w:numId w:val="0"/>
        </w:numPr>
        <w:spacing w:before="60" w:after="0" w:line="240" w:lineRule="auto"/>
        <w:ind w:left="567" w:right="567"/>
        <w:rPr>
          <w:rFonts w:cs="Arial"/>
          <w:sz w:val="20"/>
        </w:rPr>
      </w:pPr>
      <w:r>
        <w:rPr>
          <w:rFonts w:cs="Arial"/>
          <w:sz w:val="20"/>
        </w:rPr>
        <w:t>…</w:t>
      </w:r>
    </w:p>
    <w:p w14:paraId="627E40D7" w14:textId="036C06F0" w:rsidR="00A44886" w:rsidRDefault="00A44886" w:rsidP="00A44886">
      <w:pPr>
        <w:pStyle w:val="CCVNumberLevel1"/>
        <w:numPr>
          <w:ilvl w:val="0"/>
          <w:numId w:val="0"/>
        </w:numPr>
        <w:spacing w:before="60" w:after="0" w:line="240" w:lineRule="auto"/>
        <w:ind w:left="567" w:right="567"/>
        <w:rPr>
          <w:rFonts w:cs="Arial"/>
          <w:sz w:val="20"/>
        </w:rPr>
      </w:pPr>
      <w:r>
        <w:rPr>
          <w:sz w:val="20"/>
          <w:szCs w:val="16"/>
        </w:rPr>
        <w:t xml:space="preserve">[33] </w:t>
      </w:r>
      <w:r w:rsidR="000F2367" w:rsidRPr="000F2367">
        <w:rPr>
          <w:rFonts w:cs="Arial"/>
          <w:sz w:val="20"/>
        </w:rPr>
        <w:t xml:space="preserve">In our view, </w:t>
      </w:r>
      <w:r w:rsidR="000F2367" w:rsidRPr="00742FD8">
        <w:rPr>
          <w:rFonts w:cs="Arial"/>
          <w:i/>
          <w:iCs/>
          <w:sz w:val="20"/>
        </w:rPr>
        <w:t>Dempsey</w:t>
      </w:r>
      <w:r w:rsidR="000F2367" w:rsidRPr="000F2367">
        <w:rPr>
          <w:rFonts w:cs="Arial"/>
          <w:sz w:val="20"/>
        </w:rPr>
        <w:t xml:space="preserve"> should be followed. Section 61 of the JDA differs from the provision considered in </w:t>
      </w:r>
      <w:proofErr w:type="spellStart"/>
      <w:r w:rsidR="00742FD8" w:rsidRPr="00742FD8">
        <w:rPr>
          <w:i/>
          <w:iCs/>
          <w:sz w:val="20"/>
        </w:rPr>
        <w:t>Rassi</w:t>
      </w:r>
      <w:proofErr w:type="spellEnd"/>
      <w:r w:rsidR="00742FD8" w:rsidRPr="00742FD8">
        <w:rPr>
          <w:i/>
          <w:iCs/>
          <w:sz w:val="20"/>
        </w:rPr>
        <w:t xml:space="preserve"> v R</w:t>
      </w:r>
      <w:r w:rsidR="00742FD8" w:rsidRPr="00742FD8">
        <w:rPr>
          <w:sz w:val="20"/>
        </w:rPr>
        <w:t xml:space="preserve"> [2023] NSWCCA 119 </w:t>
      </w:r>
      <w:r w:rsidRPr="00742FD8">
        <w:rPr>
          <w:rFonts w:cs="Arial"/>
          <w:sz w:val="20"/>
        </w:rPr>
        <w:t xml:space="preserve">at [9] </w:t>
      </w:r>
      <w:r w:rsidR="000F2367" w:rsidRPr="000F2367">
        <w:rPr>
          <w:rFonts w:cs="Arial"/>
          <w:sz w:val="20"/>
        </w:rPr>
        <w:t xml:space="preserve">and the cases that preceded it. By its clear terms, s 61 requires a trial judge to direct the jury that ‘the elements of the offence charged’ must be proved beyond reasonable doubt. In the present case, every sexual act alleged in every charge on the indictment is an element of that charge. A direction that any such element must be proved beyond reasonable doubt — no matter the use sought to be made of the evidence — would not offend s 61 of the </w:t>
      </w:r>
      <w:r w:rsidR="000F2367" w:rsidRPr="00742FD8">
        <w:rPr>
          <w:rFonts w:cs="Arial"/>
          <w:i/>
          <w:iCs/>
          <w:sz w:val="20"/>
        </w:rPr>
        <w:t>J</w:t>
      </w:r>
      <w:r w:rsidR="00742FD8" w:rsidRPr="00742FD8">
        <w:rPr>
          <w:rFonts w:cs="Arial"/>
          <w:i/>
          <w:iCs/>
          <w:sz w:val="20"/>
        </w:rPr>
        <w:t xml:space="preserve">ury </w:t>
      </w:r>
      <w:r w:rsidR="000F2367" w:rsidRPr="00742FD8">
        <w:rPr>
          <w:rFonts w:cs="Arial"/>
          <w:i/>
          <w:iCs/>
          <w:sz w:val="20"/>
        </w:rPr>
        <w:t>D</w:t>
      </w:r>
      <w:r w:rsidR="00742FD8" w:rsidRPr="00742FD8">
        <w:rPr>
          <w:rFonts w:cs="Arial"/>
          <w:i/>
          <w:iCs/>
          <w:sz w:val="20"/>
        </w:rPr>
        <w:t xml:space="preserve">irections </w:t>
      </w:r>
      <w:r w:rsidR="000F2367" w:rsidRPr="00742FD8">
        <w:rPr>
          <w:rFonts w:cs="Arial"/>
          <w:i/>
          <w:iCs/>
          <w:sz w:val="20"/>
        </w:rPr>
        <w:t>A</w:t>
      </w:r>
      <w:r w:rsidR="00742FD8" w:rsidRPr="00742FD8">
        <w:rPr>
          <w:rFonts w:cs="Arial"/>
          <w:i/>
          <w:iCs/>
          <w:sz w:val="20"/>
        </w:rPr>
        <w:t>ct 2015</w:t>
      </w:r>
      <w:r w:rsidR="000F2367" w:rsidRPr="000F2367">
        <w:rPr>
          <w:rFonts w:cs="Arial"/>
          <w:sz w:val="20"/>
        </w:rPr>
        <w:t>. Indeed, such a direction would plainly be in conformity with the section.</w:t>
      </w:r>
    </w:p>
    <w:p w14:paraId="5ED581FD" w14:textId="3D8B7D86" w:rsidR="000F2367" w:rsidRPr="000F2367" w:rsidRDefault="00A44886" w:rsidP="00A44886">
      <w:pPr>
        <w:pStyle w:val="CCVNumberLevel1"/>
        <w:numPr>
          <w:ilvl w:val="0"/>
          <w:numId w:val="0"/>
        </w:numPr>
        <w:spacing w:before="60" w:after="0" w:line="240" w:lineRule="auto"/>
        <w:ind w:left="567" w:right="567"/>
        <w:rPr>
          <w:rFonts w:cs="Arial"/>
          <w:sz w:val="16"/>
          <w:szCs w:val="16"/>
        </w:rPr>
      </w:pPr>
      <w:r>
        <w:rPr>
          <w:rFonts w:cs="Arial"/>
          <w:sz w:val="20"/>
        </w:rPr>
        <w:t>[</w:t>
      </w:r>
      <w:r w:rsidR="000F2367" w:rsidRPr="000F2367">
        <w:rPr>
          <w:rFonts w:cs="Arial"/>
          <w:sz w:val="20"/>
        </w:rPr>
        <w:t>34</w:t>
      </w:r>
      <w:r>
        <w:rPr>
          <w:rFonts w:cs="Arial"/>
          <w:sz w:val="20"/>
        </w:rPr>
        <w:t>]</w:t>
      </w:r>
      <w:r w:rsidR="000F2367" w:rsidRPr="000F2367">
        <w:rPr>
          <w:rFonts w:cs="Arial"/>
          <w:sz w:val="20"/>
        </w:rPr>
        <w:t xml:space="preserve"> </w:t>
      </w:r>
      <w:r>
        <w:rPr>
          <w:rFonts w:cs="Arial"/>
          <w:sz w:val="20"/>
        </w:rPr>
        <w:t xml:space="preserve"> </w:t>
      </w:r>
      <w:r w:rsidR="000F2367" w:rsidRPr="000F2367">
        <w:rPr>
          <w:rFonts w:cs="Arial"/>
          <w:sz w:val="20"/>
        </w:rPr>
        <w:t>For these reasons, we consider that the judge was correct to hold that the jury should be directed that every charged act relied upon by the prosecution as tendency evidence must be proved beyond reasonable doubt before it can be so used. To direct differently would be to risk confusing, and unacceptably undermining, the criminal standard of proof. Indeed, we consider that to direct differently would be an invitation to the jury to indulge in an impermissible circular reasoning process, and to apply a less rigorous standard of proof to the charges on the indictment. We would add that the judge will not need to direct the jury ‘sequentially’, so long as it is made clear that none of the charged conduct may be used by the jury for the purposes of tendency reasoning unless the particular conduct has been proved to the jury’s satisfaction beyond reasonable doubt.</w:t>
      </w:r>
      <w:r>
        <w:rPr>
          <w:rFonts w:cs="Arial"/>
          <w:sz w:val="20"/>
        </w:rPr>
        <w:t>”</w:t>
      </w:r>
    </w:p>
    <w:p w14:paraId="5DB70271" w14:textId="31FD950F" w:rsidR="00A44886" w:rsidRPr="0066245E" w:rsidRDefault="00A44886" w:rsidP="00A44886">
      <w:pPr>
        <w:jc w:val="both"/>
        <w:rPr>
          <w:rFonts w:ascii="Arial" w:hAnsi="Arial" w:cs="Arial"/>
          <w:sz w:val="20"/>
          <w:szCs w:val="20"/>
        </w:rPr>
      </w:pPr>
      <w:bookmarkStart w:id="585" w:name="_3.5.3.8_Conflicting_evidence"/>
      <w:bookmarkStart w:id="586" w:name="_Hlk96415398"/>
      <w:bookmarkEnd w:id="585"/>
    </w:p>
    <w:p w14:paraId="684C320B" w14:textId="48CEBA77" w:rsidR="006B2259" w:rsidRPr="0066245E" w:rsidRDefault="006B2259" w:rsidP="00A44886">
      <w:pPr>
        <w:jc w:val="both"/>
        <w:rPr>
          <w:rFonts w:ascii="Arial" w:hAnsi="Arial" w:cs="Arial"/>
          <w:sz w:val="20"/>
          <w:szCs w:val="20"/>
        </w:rPr>
      </w:pPr>
      <w:r w:rsidRPr="0066245E">
        <w:rPr>
          <w:rFonts w:ascii="Arial" w:hAnsi="Arial" w:cs="Arial"/>
          <w:sz w:val="20"/>
          <w:szCs w:val="20"/>
        </w:rPr>
        <w:t xml:space="preserve">See also </w:t>
      </w:r>
      <w:r w:rsidRPr="0066245E">
        <w:rPr>
          <w:rFonts w:ascii="Arial" w:hAnsi="Arial" w:cs="Arial"/>
          <w:i/>
          <w:iCs/>
          <w:sz w:val="20"/>
          <w:szCs w:val="20"/>
        </w:rPr>
        <w:t>Harlen (a pseudonym) v The King</w:t>
      </w:r>
      <w:r w:rsidRPr="0066245E">
        <w:rPr>
          <w:rFonts w:ascii="Arial" w:hAnsi="Arial" w:cs="Arial"/>
          <w:sz w:val="20"/>
          <w:szCs w:val="20"/>
        </w:rPr>
        <w:t xml:space="preserve"> [2023] VSCA 269 at [61]-[85]</w:t>
      </w:r>
      <w:r w:rsidR="0066245E" w:rsidRPr="0066245E">
        <w:rPr>
          <w:rFonts w:ascii="Arial" w:hAnsi="Arial" w:cs="Arial"/>
          <w:sz w:val="20"/>
          <w:szCs w:val="20"/>
        </w:rPr>
        <w:t xml:space="preserve">; </w:t>
      </w:r>
      <w:r w:rsidR="0066245E" w:rsidRPr="0066245E">
        <w:rPr>
          <w:rFonts w:ascii="Arial" w:hAnsi="Arial" w:cs="Arial"/>
          <w:i/>
          <w:iCs/>
          <w:sz w:val="20"/>
          <w:szCs w:val="20"/>
        </w:rPr>
        <w:t xml:space="preserve">Sharman (a pseudonym) v The King </w:t>
      </w:r>
      <w:r w:rsidR="0066245E" w:rsidRPr="0066245E">
        <w:rPr>
          <w:rFonts w:ascii="Arial" w:hAnsi="Arial" w:cs="Arial"/>
          <w:sz w:val="20"/>
          <w:szCs w:val="20"/>
        </w:rPr>
        <w:t>[2024] VSCA 5 at [67]-[68]</w:t>
      </w:r>
      <w:r w:rsidR="002D42B7">
        <w:rPr>
          <w:rFonts w:ascii="Arial" w:hAnsi="Arial" w:cs="Arial"/>
          <w:sz w:val="20"/>
          <w:szCs w:val="20"/>
        </w:rPr>
        <w:t xml:space="preserve">; </w:t>
      </w:r>
      <w:r w:rsidR="002D42B7" w:rsidRPr="000C29B8">
        <w:rPr>
          <w:rFonts w:ascii="Arial" w:hAnsi="Arial" w:cs="Arial"/>
          <w:i/>
          <w:iCs/>
          <w:color w:val="000000"/>
          <w:sz w:val="20"/>
          <w:szCs w:val="20"/>
        </w:rPr>
        <w:t>Lee v The King</w:t>
      </w:r>
      <w:r w:rsidR="002D42B7" w:rsidRPr="000C29B8">
        <w:rPr>
          <w:rFonts w:ascii="Arial" w:hAnsi="Arial" w:cs="Arial"/>
          <w:color w:val="000000"/>
          <w:sz w:val="20"/>
          <w:szCs w:val="20"/>
        </w:rPr>
        <w:t xml:space="preserve"> [2024] VSCA 10 at [</w:t>
      </w:r>
      <w:r w:rsidR="002D42B7">
        <w:rPr>
          <w:rFonts w:ascii="Arial" w:hAnsi="Arial" w:cs="Arial"/>
          <w:color w:val="000000"/>
          <w:sz w:val="20"/>
          <w:szCs w:val="20"/>
        </w:rPr>
        <w:t>5</w:t>
      </w:r>
      <w:r w:rsidR="002D42B7" w:rsidRPr="000C29B8">
        <w:rPr>
          <w:rFonts w:ascii="Arial" w:hAnsi="Arial" w:cs="Arial"/>
          <w:color w:val="000000"/>
          <w:sz w:val="20"/>
          <w:szCs w:val="20"/>
        </w:rPr>
        <w:t>4]-[</w:t>
      </w:r>
      <w:r w:rsidR="002D42B7">
        <w:rPr>
          <w:rFonts w:ascii="Arial" w:hAnsi="Arial" w:cs="Arial"/>
          <w:color w:val="000000"/>
          <w:sz w:val="20"/>
          <w:szCs w:val="20"/>
        </w:rPr>
        <w:t>61</w:t>
      </w:r>
      <w:r w:rsidR="002D42B7" w:rsidRPr="000C29B8">
        <w:rPr>
          <w:rFonts w:ascii="Arial" w:hAnsi="Arial" w:cs="Arial"/>
          <w:color w:val="000000"/>
          <w:sz w:val="20"/>
          <w:szCs w:val="20"/>
        </w:rPr>
        <w:t>]</w:t>
      </w:r>
      <w:r w:rsidR="00626134">
        <w:rPr>
          <w:rFonts w:ascii="Arial" w:hAnsi="Arial" w:cs="Arial"/>
          <w:color w:val="000000"/>
          <w:sz w:val="20"/>
          <w:szCs w:val="20"/>
        </w:rPr>
        <w:t xml:space="preserve">; </w:t>
      </w:r>
      <w:r w:rsidR="00626134" w:rsidRPr="00626134">
        <w:rPr>
          <w:rFonts w:ascii="Arial" w:hAnsi="Arial" w:cs="Arial"/>
          <w:i/>
          <w:iCs/>
          <w:color w:val="000000"/>
          <w:sz w:val="20"/>
          <w:szCs w:val="20"/>
        </w:rPr>
        <w:t>Rhodes (a pseudonym) v The King</w:t>
      </w:r>
      <w:r w:rsidR="00626134">
        <w:rPr>
          <w:rFonts w:ascii="Arial" w:hAnsi="Arial" w:cs="Arial"/>
          <w:color w:val="000000"/>
          <w:sz w:val="20"/>
          <w:szCs w:val="20"/>
        </w:rPr>
        <w:t xml:space="preserve"> [2024] VSCA 15</w:t>
      </w:r>
      <w:r w:rsidR="008766F1">
        <w:rPr>
          <w:rFonts w:ascii="Arial" w:hAnsi="Arial" w:cs="Arial"/>
          <w:color w:val="000000"/>
          <w:sz w:val="20"/>
          <w:szCs w:val="20"/>
        </w:rPr>
        <w:t xml:space="preserve">; </w:t>
      </w:r>
      <w:r w:rsidR="008766F1" w:rsidRPr="008766F1">
        <w:rPr>
          <w:rFonts w:ascii="Arial" w:hAnsi="Arial" w:cs="Arial"/>
          <w:i/>
          <w:iCs/>
          <w:color w:val="000000"/>
          <w:sz w:val="20"/>
          <w:szCs w:val="20"/>
        </w:rPr>
        <w:t>Gibson (a pseudonym) v The King</w:t>
      </w:r>
      <w:r w:rsidR="008766F1">
        <w:rPr>
          <w:rFonts w:ascii="Arial" w:hAnsi="Arial" w:cs="Arial"/>
          <w:color w:val="000000"/>
          <w:sz w:val="20"/>
          <w:szCs w:val="20"/>
        </w:rPr>
        <w:t xml:space="preserve"> [2024] VSCA 33 at [26]</w:t>
      </w:r>
      <w:r w:rsidR="008766F1">
        <w:rPr>
          <w:rFonts w:ascii="Arial" w:hAnsi="Arial" w:cs="Arial"/>
          <w:color w:val="000000"/>
          <w:sz w:val="20"/>
          <w:szCs w:val="20"/>
        </w:rPr>
        <w:noBreakHyphen/>
        <w:t>[43]</w:t>
      </w:r>
      <w:r w:rsidR="0066245E" w:rsidRPr="0066245E">
        <w:rPr>
          <w:rFonts w:ascii="Arial" w:hAnsi="Arial" w:cs="Arial"/>
          <w:sz w:val="20"/>
          <w:szCs w:val="20"/>
        </w:rPr>
        <w:t>.</w:t>
      </w:r>
    </w:p>
    <w:p w14:paraId="0DAB7301" w14:textId="1B88DB39" w:rsidR="006B2259" w:rsidRPr="00836E86" w:rsidRDefault="006B2259" w:rsidP="00A44886">
      <w:pPr>
        <w:jc w:val="both"/>
        <w:rPr>
          <w:rFonts w:ascii="Arial" w:hAnsi="Arial" w:cs="Arial"/>
          <w:sz w:val="20"/>
        </w:rPr>
      </w:pPr>
    </w:p>
    <w:p w14:paraId="50E57E65" w14:textId="77777777" w:rsidR="00A44886" w:rsidRPr="00836E86" w:rsidRDefault="00A44886" w:rsidP="00A448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0F2EBE43" w14:textId="77777777" w:rsidR="00A44886" w:rsidRPr="00836E86" w:rsidRDefault="00A44886" w:rsidP="00A44886">
      <w:pPr>
        <w:rPr>
          <w:rFonts w:ascii="Arial" w:hAnsi="Arial" w:cs="Arial"/>
          <w:sz w:val="20"/>
        </w:rPr>
      </w:pPr>
    </w:p>
    <w:p w14:paraId="3F1F058C" w14:textId="77777777" w:rsidR="000F2367" w:rsidRDefault="000F2367">
      <w:pPr>
        <w:rPr>
          <w:rFonts w:ascii="Arial" w:hAnsi="Arial" w:cs="Arial"/>
          <w:b/>
          <w:bCs/>
          <w:color w:val="000000"/>
          <w:kern w:val="28"/>
          <w:sz w:val="20"/>
          <w:szCs w:val="20"/>
          <w:lang w:val="en-GB"/>
        </w:rPr>
      </w:pPr>
      <w:r>
        <w:rPr>
          <w:rFonts w:ascii="Arial" w:hAnsi="Arial" w:cs="Arial"/>
          <w:b/>
          <w:bCs/>
          <w:color w:val="000000"/>
          <w:sz w:val="20"/>
        </w:rPr>
        <w:br w:type="page"/>
      </w:r>
    </w:p>
    <w:p w14:paraId="1504CBEC" w14:textId="07E0335C" w:rsidR="00DC56AA" w:rsidRPr="009F25D4" w:rsidRDefault="00DC56AA" w:rsidP="0066351D">
      <w:pPr>
        <w:pStyle w:val="Heading3"/>
        <w:keepNext/>
        <w:widowControl/>
        <w:spacing w:line="240" w:lineRule="auto"/>
        <w:ind w:left="737" w:hanging="737"/>
        <w:rPr>
          <w:rFonts w:ascii="Arial" w:hAnsi="Arial" w:cs="Arial"/>
          <w:b/>
          <w:bCs/>
          <w:color w:val="000000"/>
          <w:sz w:val="20"/>
        </w:rPr>
      </w:pPr>
      <w:r w:rsidRPr="008C3BC8">
        <w:rPr>
          <w:rFonts w:ascii="Arial" w:hAnsi="Arial" w:cs="Arial"/>
          <w:b/>
          <w:bCs/>
          <w:color w:val="000000"/>
          <w:sz w:val="20"/>
        </w:rPr>
        <w:lastRenderedPageBreak/>
        <w:t>3.5.</w:t>
      </w:r>
      <w:r>
        <w:rPr>
          <w:rFonts w:ascii="Arial" w:hAnsi="Arial" w:cs="Arial"/>
          <w:b/>
          <w:bCs/>
          <w:color w:val="000000"/>
          <w:sz w:val="20"/>
        </w:rPr>
        <w:t>3.</w:t>
      </w:r>
      <w:r w:rsidR="00106472">
        <w:rPr>
          <w:rFonts w:ascii="Arial" w:hAnsi="Arial" w:cs="Arial"/>
          <w:b/>
          <w:bCs/>
          <w:color w:val="000000"/>
          <w:sz w:val="20"/>
        </w:rPr>
        <w:t>8</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4E1088C9"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w:t>
      </w:r>
      <w:proofErr w:type="spellStart"/>
      <w:r>
        <w:rPr>
          <w:rFonts w:ascii="Arial" w:hAnsi="Arial" w:cs="Arial"/>
          <w:sz w:val="20"/>
          <w:szCs w:val="20"/>
        </w:rPr>
        <w:t>Inbau</w:t>
      </w:r>
      <w:proofErr w:type="spellEnd"/>
      <w:r>
        <w:rPr>
          <w:rFonts w:ascii="Arial" w:hAnsi="Arial" w:cs="Arial"/>
          <w:sz w:val="20"/>
          <w:szCs w:val="20"/>
        </w:rPr>
        <w:t xml:space="preserve">, </w:t>
      </w:r>
      <w:r w:rsidRPr="008266AA">
        <w:rPr>
          <w:rFonts w:ascii="Arial" w:hAnsi="Arial" w:cs="Arial"/>
          <w:i/>
          <w:iCs/>
          <w:sz w:val="20"/>
          <w:szCs w:val="20"/>
        </w:rPr>
        <w:t>Truth and Deception.  The Polygraph (“Lie Detector”) 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8C5AC2">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proofErr w:type="spellStart"/>
      <w:r w:rsidRPr="002837EB">
        <w:rPr>
          <w:rFonts w:ascii="Arial" w:hAnsi="Arial" w:cs="Arial"/>
          <w:i/>
          <w:iCs/>
          <w:sz w:val="20"/>
          <w:szCs w:val="20"/>
        </w:rPr>
        <w:t>Teper</w:t>
      </w:r>
      <w:proofErr w:type="spellEnd"/>
      <w:r w:rsidRPr="002837EB">
        <w:rPr>
          <w:rFonts w:ascii="Arial" w:hAnsi="Arial" w:cs="Arial"/>
          <w:i/>
          <w:iCs/>
          <w:sz w:val="20"/>
          <w:szCs w:val="20"/>
        </w:rPr>
        <w:t xml:space="preserve">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 xml:space="preserve">nation and cross-examination take place months, if not years, after the incident, thereby blunting emotions associated with the criminal event. Score two against the judge and jury. Because of the </w:t>
      </w:r>
      <w:proofErr w:type="spellStart"/>
      <w:r w:rsidRPr="002837EB">
        <w:rPr>
          <w:rFonts w:ascii="Arial" w:hAnsi="Arial" w:cs="Arial"/>
          <w:sz w:val="18"/>
          <w:szCs w:val="18"/>
        </w:rPr>
        <w:t>long time</w:t>
      </w:r>
      <w:proofErr w:type="spellEnd"/>
      <w:r w:rsidRPr="002837EB">
        <w:rPr>
          <w:rFonts w:ascii="Arial" w:hAnsi="Arial" w:cs="Arial"/>
          <w:sz w:val="18"/>
          <w:szCs w:val="18"/>
        </w:rPr>
        <w:t xml:space="preserv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w:t>
      </w:r>
      <w:r w:rsidRPr="002837EB">
        <w:rPr>
          <w:rFonts w:ascii="Arial" w:hAnsi="Arial" w:cs="Arial"/>
          <w:sz w:val="18"/>
          <w:szCs w:val="18"/>
        </w:rPr>
        <w:lastRenderedPageBreak/>
        <w:t xml:space="preserve">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 xml:space="preserve">117 a fascinating case of a police officer who believed that he could prevent a polygraph lie-detector from working by placing bullets under the </w:t>
      </w:r>
      <w:proofErr w:type="spellStart"/>
      <w:r w:rsidRPr="00413325">
        <w:rPr>
          <w:rFonts w:ascii="Arial" w:hAnsi="Arial" w:cs="Arial"/>
          <w:sz w:val="20"/>
          <w:szCs w:val="20"/>
        </w:rPr>
        <w:t>pneumograph</w:t>
      </w:r>
      <w:proofErr w:type="spellEnd"/>
      <w:r w:rsidRPr="00413325">
        <w:rPr>
          <w:rFonts w:ascii="Arial" w:hAnsi="Arial" w:cs="Arial"/>
          <w:sz w:val="20"/>
          <w:szCs w:val="20"/>
        </w:rPr>
        <w:t xml:space="preserve">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w:t>
      </w:r>
      <w:proofErr w:type="spellStart"/>
      <w:r>
        <w:rPr>
          <w:rFonts w:ascii="Arial" w:hAnsi="Arial" w:cs="Arial"/>
          <w:sz w:val="20"/>
        </w:rPr>
        <w:t>Gummow</w:t>
      </w:r>
      <w:proofErr w:type="spellEnd"/>
      <w:r>
        <w:rPr>
          <w:rFonts w:ascii="Arial" w:hAnsi="Arial" w:cs="Arial"/>
          <w:sz w:val="20"/>
        </w:rPr>
        <w:t xml:space="preserve"> &amp; Kirby JJ said:</w:t>
      </w:r>
    </w:p>
    <w:p w14:paraId="2A9E7968" w14:textId="77777777" w:rsidR="00FB1630" w:rsidRDefault="00FB1630" w:rsidP="00115A9E">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3B618AB1" w14:textId="4136B384" w:rsidR="00590A7D" w:rsidRDefault="00590A7D" w:rsidP="00AF5922">
      <w:pPr>
        <w:jc w:val="both"/>
        <w:rPr>
          <w:rFonts w:ascii="Arial" w:hAnsi="Arial" w:cs="Arial"/>
          <w:sz w:val="20"/>
          <w:szCs w:val="20"/>
        </w:rPr>
      </w:pPr>
    </w:p>
    <w:p w14:paraId="6A91A126" w14:textId="751EF120" w:rsidR="00590A7D" w:rsidRDefault="00590A7D" w:rsidP="00AF5922">
      <w:pPr>
        <w:jc w:val="both"/>
        <w:rPr>
          <w:rFonts w:ascii="Arial" w:hAnsi="Arial" w:cs="Arial"/>
          <w:sz w:val="20"/>
          <w:szCs w:val="20"/>
        </w:rPr>
      </w:pPr>
      <w:r w:rsidRPr="00590A7D">
        <w:rPr>
          <w:rFonts w:ascii="Arial" w:hAnsi="Arial" w:cs="Arial"/>
          <w:sz w:val="20"/>
          <w:szCs w:val="20"/>
        </w:rPr>
        <w:t xml:space="preserve">In </w:t>
      </w:r>
      <w:r w:rsidRPr="00FA2043">
        <w:rPr>
          <w:rFonts w:ascii="Arial" w:hAnsi="Arial" w:cs="Arial"/>
          <w:i/>
          <w:iCs/>
          <w:sz w:val="20"/>
          <w:szCs w:val="20"/>
        </w:rPr>
        <w:t>3</w:t>
      </w:r>
      <w:r>
        <w:rPr>
          <w:rFonts w:ascii="Arial" w:hAnsi="Arial" w:cs="Arial"/>
          <w:i/>
          <w:iCs/>
          <w:sz w:val="20"/>
          <w:szCs w:val="20"/>
        </w:rPr>
        <w:t> </w:t>
      </w:r>
      <w:r w:rsidRPr="00FA2043">
        <w:rPr>
          <w:rFonts w:ascii="Arial" w:hAnsi="Arial" w:cs="Arial"/>
          <w:i/>
          <w:iCs/>
          <w:sz w:val="20"/>
          <w:szCs w:val="20"/>
        </w:rPr>
        <w:t>Apples Childcare Centre Pty Ltd v MMC Pacific International Pty Ltd</w:t>
      </w:r>
      <w:r w:rsidRPr="00FA2043">
        <w:rPr>
          <w:rFonts w:ascii="Arial" w:hAnsi="Arial" w:cs="Arial"/>
          <w:sz w:val="20"/>
          <w:szCs w:val="20"/>
        </w:rPr>
        <w:t xml:space="preserve"> [2023] VSC 21</w:t>
      </w:r>
      <w:r>
        <w:rPr>
          <w:rFonts w:ascii="Arial" w:hAnsi="Arial" w:cs="Arial"/>
          <w:sz w:val="20"/>
          <w:szCs w:val="20"/>
        </w:rPr>
        <w:t xml:space="preserve"> at [143]-[145] M Osborne J said:</w:t>
      </w:r>
    </w:p>
    <w:p w14:paraId="496BBAFB" w14:textId="144C0DA7" w:rsidR="00590A7D" w:rsidRDefault="00590A7D" w:rsidP="00590A7D">
      <w:pPr>
        <w:spacing w:before="80"/>
        <w:ind w:left="567" w:right="567"/>
        <w:jc w:val="both"/>
        <w:rPr>
          <w:rFonts w:ascii="Arial" w:hAnsi="Arial" w:cs="Arial"/>
          <w:color w:val="000000"/>
          <w:sz w:val="20"/>
          <w:szCs w:val="20"/>
        </w:rPr>
      </w:pPr>
      <w:r>
        <w:rPr>
          <w:rFonts w:ascii="Arial" w:hAnsi="Arial" w:cs="Arial"/>
          <w:iCs/>
          <w:sz w:val="20"/>
        </w:rPr>
        <w:t>[143] “</w:t>
      </w:r>
      <w:r w:rsidRPr="00590A7D">
        <w:rPr>
          <w:rFonts w:ascii="Arial" w:hAnsi="Arial" w:cs="Arial"/>
          <w:color w:val="000000"/>
          <w:sz w:val="20"/>
          <w:szCs w:val="20"/>
        </w:rPr>
        <w:t>Even if I were to accept that Lucy’s account of the events on that day could be accurately characterised as clear and vivid, which I do not, for reasons adverted to below, the submission proceeds on the premise that a purported independent actual recollection is a more reliable account of events than a recollection assisted by or arrived at following a consideration of objective surrounding material.</w:t>
      </w:r>
    </w:p>
    <w:p w14:paraId="44F10534" w14:textId="6FCD75DD" w:rsidR="00590A7D" w:rsidRPr="00590A7D" w:rsidRDefault="00590A7D" w:rsidP="00590A7D">
      <w:pPr>
        <w:spacing w:before="80"/>
        <w:ind w:left="567" w:right="567"/>
        <w:jc w:val="both"/>
        <w:rPr>
          <w:rFonts w:ascii="Arial" w:hAnsi="Arial" w:cs="Arial"/>
          <w:color w:val="000000"/>
          <w:sz w:val="20"/>
          <w:szCs w:val="20"/>
        </w:rPr>
      </w:pPr>
      <w:r>
        <w:rPr>
          <w:rFonts w:ascii="Arial" w:hAnsi="Arial" w:cs="Arial"/>
          <w:color w:val="000000"/>
          <w:sz w:val="20"/>
          <w:szCs w:val="20"/>
        </w:rPr>
        <w:t>[144] I</w:t>
      </w:r>
      <w:r w:rsidRPr="00590A7D">
        <w:rPr>
          <w:rFonts w:ascii="Arial" w:hAnsi="Arial" w:cs="Arial"/>
          <w:color w:val="000000"/>
          <w:sz w:val="20"/>
          <w:szCs w:val="20"/>
        </w:rPr>
        <w:t>n my view, such an approach to the consideration of competing evidence is unsafe. The more appropriate course in evaluating competing evidence is ‘to place primary emphasis on the objective factual surrounding material and the inherent commercial probabilities, together with the documentation tendered in evidence’</w:t>
      </w:r>
      <w:r>
        <w:rPr>
          <w:rFonts w:ascii="Arial" w:hAnsi="Arial" w:cs="Arial"/>
          <w:color w:val="000000"/>
          <w:sz w:val="20"/>
          <w:szCs w:val="20"/>
        </w:rPr>
        <w:t xml:space="preserve"> {</w:t>
      </w:r>
      <w:proofErr w:type="spellStart"/>
      <w:r w:rsidRPr="00590A7D">
        <w:rPr>
          <w:rFonts w:ascii="Arial" w:hAnsi="Arial" w:cs="Arial"/>
          <w:i/>
          <w:iCs/>
          <w:color w:val="000000"/>
          <w:sz w:val="20"/>
          <w:szCs w:val="20"/>
        </w:rPr>
        <w:t>Effem</w:t>
      </w:r>
      <w:proofErr w:type="spellEnd"/>
      <w:r w:rsidRPr="00590A7D">
        <w:rPr>
          <w:rFonts w:ascii="Arial" w:hAnsi="Arial" w:cs="Arial"/>
          <w:i/>
          <w:iCs/>
          <w:color w:val="000000"/>
          <w:sz w:val="20"/>
          <w:szCs w:val="20"/>
        </w:rPr>
        <w:t xml:space="preserve"> Foods Pty Ltd v Lake </w:t>
      </w:r>
      <w:proofErr w:type="spellStart"/>
      <w:r w:rsidRPr="00590A7D">
        <w:rPr>
          <w:rFonts w:ascii="Arial" w:hAnsi="Arial" w:cs="Arial"/>
          <w:i/>
          <w:iCs/>
          <w:color w:val="000000"/>
          <w:sz w:val="20"/>
          <w:szCs w:val="20"/>
        </w:rPr>
        <w:t>Cumbeline</w:t>
      </w:r>
      <w:proofErr w:type="spellEnd"/>
      <w:r w:rsidRPr="00590A7D">
        <w:rPr>
          <w:rFonts w:ascii="Arial" w:hAnsi="Arial" w:cs="Arial"/>
          <w:i/>
          <w:iCs/>
          <w:color w:val="000000"/>
          <w:sz w:val="20"/>
          <w:szCs w:val="20"/>
        </w:rPr>
        <w:t xml:space="preserve"> Pty Ltd</w:t>
      </w:r>
      <w:r w:rsidRPr="00590A7D">
        <w:rPr>
          <w:rFonts w:ascii="Arial" w:hAnsi="Arial" w:cs="Arial"/>
          <w:color w:val="000000"/>
          <w:sz w:val="20"/>
          <w:szCs w:val="20"/>
        </w:rPr>
        <w:t xml:space="preserve"> (1999) 161 ALR 599, [15]-[16], upholding the approach of </w:t>
      </w:r>
      <w:proofErr w:type="spellStart"/>
      <w:r w:rsidRPr="00590A7D">
        <w:rPr>
          <w:rFonts w:ascii="Arial" w:hAnsi="Arial" w:cs="Arial"/>
          <w:color w:val="000000"/>
          <w:sz w:val="20"/>
          <w:szCs w:val="20"/>
        </w:rPr>
        <w:t>Tamberlin</w:t>
      </w:r>
      <w:proofErr w:type="spellEnd"/>
      <w:r w:rsidRPr="00590A7D">
        <w:rPr>
          <w:rFonts w:ascii="Arial" w:hAnsi="Arial" w:cs="Arial"/>
          <w:color w:val="000000"/>
          <w:sz w:val="20"/>
          <w:szCs w:val="20"/>
        </w:rPr>
        <w:t xml:space="preserve"> J in the Federal Court of Australia, in </w:t>
      </w:r>
      <w:r w:rsidRPr="00590A7D">
        <w:rPr>
          <w:rFonts w:ascii="Arial" w:hAnsi="Arial" w:cs="Arial"/>
          <w:i/>
          <w:iCs/>
          <w:color w:val="000000"/>
          <w:sz w:val="20"/>
          <w:szCs w:val="20"/>
        </w:rPr>
        <w:t xml:space="preserve">Lake </w:t>
      </w:r>
      <w:proofErr w:type="spellStart"/>
      <w:r w:rsidRPr="00590A7D">
        <w:rPr>
          <w:rFonts w:ascii="Arial" w:hAnsi="Arial" w:cs="Arial"/>
          <w:i/>
          <w:iCs/>
          <w:color w:val="000000"/>
          <w:sz w:val="20"/>
          <w:szCs w:val="20"/>
        </w:rPr>
        <w:t>Cumbeline</w:t>
      </w:r>
      <w:proofErr w:type="spellEnd"/>
      <w:r w:rsidRPr="00590A7D">
        <w:rPr>
          <w:rFonts w:ascii="Arial" w:hAnsi="Arial" w:cs="Arial"/>
          <w:i/>
          <w:iCs/>
          <w:color w:val="000000"/>
          <w:sz w:val="20"/>
          <w:szCs w:val="20"/>
        </w:rPr>
        <w:t xml:space="preserve"> Pty Ltd v </w:t>
      </w:r>
      <w:proofErr w:type="spellStart"/>
      <w:r w:rsidRPr="00590A7D">
        <w:rPr>
          <w:rFonts w:ascii="Arial" w:hAnsi="Arial" w:cs="Arial"/>
          <w:i/>
          <w:iCs/>
          <w:color w:val="000000"/>
          <w:sz w:val="20"/>
          <w:szCs w:val="20"/>
        </w:rPr>
        <w:t>Effem</w:t>
      </w:r>
      <w:proofErr w:type="spellEnd"/>
      <w:r w:rsidRPr="00590A7D">
        <w:rPr>
          <w:rFonts w:ascii="Arial" w:hAnsi="Arial" w:cs="Arial"/>
          <w:i/>
          <w:iCs/>
          <w:color w:val="000000"/>
          <w:sz w:val="20"/>
          <w:szCs w:val="20"/>
        </w:rPr>
        <w:t xml:space="preserve"> Foods Pty Ltd (trading as Uncle Ben’s of Australia) </w:t>
      </w:r>
      <w:r w:rsidRPr="00590A7D">
        <w:rPr>
          <w:rFonts w:ascii="Arial" w:hAnsi="Arial" w:cs="Arial"/>
          <w:color w:val="000000"/>
          <w:sz w:val="20"/>
          <w:szCs w:val="20"/>
        </w:rPr>
        <w:t xml:space="preserve">(Federal Court of Australia, </w:t>
      </w:r>
      <w:proofErr w:type="spellStart"/>
      <w:r w:rsidRPr="00590A7D">
        <w:rPr>
          <w:rFonts w:ascii="Arial" w:hAnsi="Arial" w:cs="Arial"/>
          <w:color w:val="000000"/>
          <w:sz w:val="20"/>
          <w:szCs w:val="20"/>
        </w:rPr>
        <w:t>Tamberlin</w:t>
      </w:r>
      <w:proofErr w:type="spellEnd"/>
      <w:r w:rsidRPr="00590A7D">
        <w:rPr>
          <w:rFonts w:ascii="Arial" w:hAnsi="Arial" w:cs="Arial"/>
          <w:color w:val="000000"/>
          <w:sz w:val="20"/>
          <w:szCs w:val="20"/>
        </w:rPr>
        <w:t xml:space="preserve"> J, 29 June 1995) 122-3</w:t>
      </w:r>
      <w:r>
        <w:rPr>
          <w:rFonts w:ascii="Arial" w:hAnsi="Arial" w:cs="Arial"/>
          <w:color w:val="000000"/>
          <w:sz w:val="20"/>
          <w:szCs w:val="20"/>
        </w:rPr>
        <w:t>)} and make</w:t>
      </w:r>
      <w:r w:rsidRPr="00590A7D">
        <w:rPr>
          <w:rFonts w:ascii="Arial" w:hAnsi="Arial" w:cs="Arial"/>
          <w:color w:val="000000"/>
          <w:sz w:val="20"/>
          <w:szCs w:val="20"/>
        </w:rPr>
        <w:t xml:space="preserve"> ‘inferences drawn from the documentary evidence and known or probable facts’</w:t>
      </w:r>
      <w:r>
        <w:rPr>
          <w:rFonts w:ascii="Arial" w:hAnsi="Arial" w:cs="Arial"/>
          <w:color w:val="000000"/>
          <w:sz w:val="20"/>
          <w:szCs w:val="20"/>
        </w:rPr>
        <w:t xml:space="preserve"> {</w:t>
      </w:r>
      <w:proofErr w:type="spellStart"/>
      <w:r w:rsidRPr="00590A7D">
        <w:rPr>
          <w:rFonts w:ascii="Arial" w:hAnsi="Arial" w:cs="Arial"/>
          <w:i/>
          <w:iCs/>
          <w:color w:val="000000"/>
          <w:sz w:val="20"/>
          <w:szCs w:val="20"/>
        </w:rPr>
        <w:t>Gestmin</w:t>
      </w:r>
      <w:proofErr w:type="spellEnd"/>
      <w:r w:rsidRPr="00590A7D">
        <w:rPr>
          <w:rFonts w:ascii="Arial" w:hAnsi="Arial" w:cs="Arial"/>
          <w:i/>
          <w:iCs/>
          <w:color w:val="000000"/>
          <w:sz w:val="20"/>
          <w:szCs w:val="20"/>
        </w:rPr>
        <w:t xml:space="preserve"> SGPS SA v Credit Suisse (UK) Ltd </w:t>
      </w:r>
      <w:r w:rsidRPr="00590A7D">
        <w:rPr>
          <w:rFonts w:ascii="Arial" w:hAnsi="Arial" w:cs="Arial"/>
          <w:color w:val="000000"/>
          <w:sz w:val="20"/>
          <w:szCs w:val="20"/>
        </w:rPr>
        <w:t>[2013] EWHC 3560 (Comm), [22]</w:t>
      </w:r>
      <w:r>
        <w:rPr>
          <w:rFonts w:ascii="Arial" w:hAnsi="Arial" w:cs="Arial"/>
          <w:color w:val="000000"/>
          <w:sz w:val="20"/>
          <w:szCs w:val="20"/>
        </w:rPr>
        <w:t>; s</w:t>
      </w:r>
      <w:r w:rsidRPr="00590A7D">
        <w:rPr>
          <w:rFonts w:ascii="Arial" w:hAnsi="Arial" w:cs="Arial"/>
          <w:color w:val="000000"/>
          <w:sz w:val="20"/>
          <w:szCs w:val="20"/>
        </w:rPr>
        <w:t>ee also </w:t>
      </w:r>
      <w:r w:rsidRPr="00590A7D">
        <w:rPr>
          <w:rFonts w:ascii="Arial" w:hAnsi="Arial" w:cs="Arial"/>
          <w:i/>
          <w:iCs/>
          <w:color w:val="000000"/>
          <w:sz w:val="20"/>
          <w:szCs w:val="20"/>
        </w:rPr>
        <w:t>Camden v McKenzie</w:t>
      </w:r>
      <w:r w:rsidRPr="00590A7D">
        <w:rPr>
          <w:rFonts w:ascii="Arial" w:hAnsi="Arial" w:cs="Arial"/>
          <w:color w:val="000000"/>
          <w:sz w:val="20"/>
          <w:szCs w:val="20"/>
        </w:rPr>
        <w:t xml:space="preserve"> [2008] 1 </w:t>
      </w:r>
      <w:proofErr w:type="spellStart"/>
      <w:r w:rsidRPr="00590A7D">
        <w:rPr>
          <w:rFonts w:ascii="Arial" w:hAnsi="Arial" w:cs="Arial"/>
          <w:color w:val="000000"/>
          <w:sz w:val="20"/>
          <w:szCs w:val="20"/>
        </w:rPr>
        <w:t>Qd</w:t>
      </w:r>
      <w:proofErr w:type="spellEnd"/>
      <w:r w:rsidRPr="00590A7D">
        <w:rPr>
          <w:rFonts w:ascii="Arial" w:hAnsi="Arial" w:cs="Arial"/>
          <w:color w:val="000000"/>
          <w:sz w:val="20"/>
          <w:szCs w:val="20"/>
        </w:rPr>
        <w:t xml:space="preserve"> R 39, 48 [34] (‘[u]</w:t>
      </w:r>
      <w:proofErr w:type="spellStart"/>
      <w:r w:rsidRPr="00590A7D">
        <w:rPr>
          <w:rFonts w:ascii="Arial" w:hAnsi="Arial" w:cs="Arial"/>
          <w:color w:val="000000"/>
          <w:sz w:val="20"/>
          <w:szCs w:val="20"/>
        </w:rPr>
        <w:t>sually</w:t>
      </w:r>
      <w:proofErr w:type="spellEnd"/>
      <w:r w:rsidRPr="00590A7D">
        <w:rPr>
          <w:rFonts w:ascii="Arial" w:hAnsi="Arial" w:cs="Arial"/>
          <w:color w:val="000000"/>
          <w:sz w:val="20"/>
          <w:szCs w:val="20"/>
        </w:rPr>
        <w:t>, the rational resolution of an issue involving the credibility of witnesses will require reference to, and analysis of, any evidence independent of the parties which is apt to cast light on the probabilities of the situation.’)</w:t>
      </w:r>
      <w:r>
        <w:rPr>
          <w:rFonts w:ascii="Arial" w:hAnsi="Arial" w:cs="Arial"/>
          <w:color w:val="000000"/>
          <w:sz w:val="20"/>
          <w:szCs w:val="20"/>
        </w:rPr>
        <w:t xml:space="preserve">}. </w:t>
      </w:r>
      <w:r w:rsidRPr="00590A7D">
        <w:rPr>
          <w:rFonts w:ascii="Arial" w:hAnsi="Arial" w:cs="Arial"/>
          <w:color w:val="000000"/>
          <w:sz w:val="20"/>
          <w:szCs w:val="20"/>
        </w:rPr>
        <w:t xml:space="preserve"> Such a preference in approach has been stated on many occasions in various judgments of a weighty nature among them that of Lord Goff in </w:t>
      </w:r>
      <w:r w:rsidRPr="00590A7D">
        <w:rPr>
          <w:rFonts w:ascii="Arial" w:hAnsi="Arial" w:cs="Arial"/>
          <w:i/>
          <w:iCs/>
          <w:color w:val="000000"/>
          <w:sz w:val="20"/>
          <w:szCs w:val="20"/>
        </w:rPr>
        <w:t>Grace Shipping Inc v C F Sharp &amp; Co (Malaya) Pte Ltd</w:t>
      </w:r>
      <w:r w:rsidR="005452C5">
        <w:rPr>
          <w:rFonts w:ascii="Arial" w:hAnsi="Arial" w:cs="Arial"/>
          <w:i/>
          <w:iCs/>
          <w:color w:val="000000"/>
          <w:sz w:val="20"/>
          <w:szCs w:val="20"/>
        </w:rPr>
        <w:t xml:space="preserve"> </w:t>
      </w:r>
      <w:r w:rsidR="005452C5">
        <w:rPr>
          <w:rFonts w:ascii="Arial" w:hAnsi="Arial" w:cs="Arial"/>
          <w:color w:val="000000"/>
          <w:sz w:val="20"/>
          <w:szCs w:val="20"/>
        </w:rPr>
        <w:t xml:space="preserve">(1987) 1 Lloyds Rep 207, 215-216 </w:t>
      </w:r>
      <w:r w:rsidRPr="00590A7D">
        <w:rPr>
          <w:rFonts w:ascii="Arial" w:hAnsi="Arial" w:cs="Arial"/>
          <w:color w:val="000000"/>
          <w:sz w:val="20"/>
          <w:szCs w:val="20"/>
        </w:rPr>
        <w:t>where in delivering the judgment of the Privy Council, His Lordship endorsed an earlier passage from the House of Lords in </w:t>
      </w:r>
      <w:proofErr w:type="spellStart"/>
      <w:r w:rsidRPr="00590A7D">
        <w:rPr>
          <w:rFonts w:ascii="Arial" w:hAnsi="Arial" w:cs="Arial"/>
          <w:i/>
          <w:iCs/>
          <w:color w:val="000000"/>
          <w:sz w:val="20"/>
          <w:szCs w:val="20"/>
        </w:rPr>
        <w:t>Armagas</w:t>
      </w:r>
      <w:proofErr w:type="spellEnd"/>
      <w:r w:rsidRPr="00590A7D">
        <w:rPr>
          <w:rFonts w:ascii="Arial" w:hAnsi="Arial" w:cs="Arial"/>
          <w:i/>
          <w:iCs/>
          <w:color w:val="000000"/>
          <w:sz w:val="20"/>
          <w:szCs w:val="20"/>
        </w:rPr>
        <w:t xml:space="preserve"> Ltd v </w:t>
      </w:r>
      <w:proofErr w:type="spellStart"/>
      <w:r w:rsidRPr="00590A7D">
        <w:rPr>
          <w:rFonts w:ascii="Arial" w:hAnsi="Arial" w:cs="Arial"/>
          <w:i/>
          <w:iCs/>
          <w:color w:val="000000"/>
          <w:sz w:val="20"/>
          <w:szCs w:val="20"/>
        </w:rPr>
        <w:t>Mundogas</w:t>
      </w:r>
      <w:proofErr w:type="spellEnd"/>
      <w:r w:rsidRPr="00590A7D">
        <w:rPr>
          <w:rFonts w:ascii="Arial" w:hAnsi="Arial" w:cs="Arial"/>
          <w:i/>
          <w:iCs/>
          <w:color w:val="000000"/>
          <w:sz w:val="20"/>
          <w:szCs w:val="20"/>
        </w:rPr>
        <w:t xml:space="preserve"> SA (the Ocean Frost)</w:t>
      </w:r>
      <w:r w:rsidR="005452C5" w:rsidRPr="005452C5">
        <w:rPr>
          <w:rFonts w:ascii="Arial" w:hAnsi="Arial" w:cs="Arial"/>
          <w:color w:val="000000"/>
          <w:sz w:val="20"/>
          <w:szCs w:val="20"/>
        </w:rPr>
        <w:t xml:space="preserve"> (1985) 1 Lloyds Rep 1, 57</w:t>
      </w:r>
      <w:r w:rsidRPr="00590A7D">
        <w:rPr>
          <w:rFonts w:ascii="Arial" w:hAnsi="Arial" w:cs="Arial"/>
          <w:color w:val="000000"/>
          <w:sz w:val="20"/>
          <w:szCs w:val="20"/>
        </w:rPr>
        <w:t>:</w:t>
      </w:r>
    </w:p>
    <w:p w14:paraId="6D616372"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Speaking from my own experience, I have found it essential in cases of fraud, when considering the credibility of witnesses, always to test their veracity by reference to the objective facts proved independently of their testimony, in particular by reference to the documents in the case, and also to pay particular regard to their motives and to the overall probabilities.  It is frequently very difficult to tell whether a witness is telling the truth or not; and where there is a conflict of evidence such as there was in the present case, reference to the objective facts and documents, to the witness’s motives, and to the overall probabilities, can be of very great assistance to a judge in ascertaining the truth …</w:t>
      </w:r>
    </w:p>
    <w:p w14:paraId="4C30F829"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That observation is, in their Lordships’ opinion, equally apposite in a case where the evidence of the witnesses is likely to be unreliable; and it is to be remembered that in commercial cases, such as the present, there is usually a substantial body of contemporary documentary evidence.</w:t>
      </w:r>
    </w:p>
    <w:p w14:paraId="0738B55C" w14:textId="74F28F21" w:rsidR="005452C5" w:rsidRDefault="005452C5" w:rsidP="005452C5">
      <w:pPr>
        <w:spacing w:before="80"/>
        <w:ind w:left="567" w:right="567"/>
        <w:jc w:val="both"/>
        <w:rPr>
          <w:rFonts w:ascii="Arial" w:hAnsi="Arial" w:cs="Arial"/>
          <w:color w:val="000000"/>
          <w:sz w:val="20"/>
          <w:szCs w:val="20"/>
        </w:rPr>
      </w:pPr>
      <w:r>
        <w:rPr>
          <w:rFonts w:ascii="Arial" w:hAnsi="Arial" w:cs="Arial"/>
          <w:color w:val="000000"/>
          <w:sz w:val="20"/>
          <w:szCs w:val="20"/>
        </w:rPr>
        <w:t xml:space="preserve">[145] </w:t>
      </w:r>
      <w:r w:rsidR="00590A7D" w:rsidRPr="00590A7D">
        <w:rPr>
          <w:rFonts w:ascii="Arial" w:hAnsi="Arial" w:cs="Arial"/>
          <w:color w:val="000000"/>
          <w:sz w:val="20"/>
          <w:szCs w:val="20"/>
        </w:rPr>
        <w:t>Closer to home in</w:t>
      </w:r>
      <w:r w:rsidR="00EE7F79">
        <w:rPr>
          <w:rFonts w:ascii="Arial" w:hAnsi="Arial" w:cs="Arial"/>
          <w:color w:val="000000"/>
          <w:sz w:val="20"/>
          <w:szCs w:val="20"/>
        </w:rPr>
        <w:t xml:space="preserve"> </w:t>
      </w:r>
      <w:r w:rsidR="00590A7D" w:rsidRPr="00EE7F79">
        <w:rPr>
          <w:rFonts w:ascii="Arial" w:hAnsi="Arial" w:cs="Arial"/>
          <w:i/>
          <w:iCs/>
          <w:color w:val="000000"/>
          <w:sz w:val="20"/>
          <w:szCs w:val="20"/>
        </w:rPr>
        <w:t>Fox v Percy</w:t>
      </w:r>
      <w:r w:rsidR="00EE7F79">
        <w:rPr>
          <w:rFonts w:ascii="Arial" w:hAnsi="Arial" w:cs="Arial"/>
          <w:color w:val="000000"/>
          <w:sz w:val="20"/>
          <w:szCs w:val="20"/>
        </w:rPr>
        <w:t xml:space="preserve"> </w:t>
      </w:r>
      <w:r w:rsidR="000B1261">
        <w:rPr>
          <w:rFonts w:ascii="Arial" w:hAnsi="Arial" w:cs="Arial"/>
          <w:color w:val="000000"/>
          <w:sz w:val="20"/>
          <w:szCs w:val="20"/>
        </w:rPr>
        <w:t xml:space="preserve">(2003) 214 CLR 118, 129 [30] </w:t>
      </w:r>
      <w:r w:rsidR="00590A7D" w:rsidRPr="00590A7D">
        <w:rPr>
          <w:rFonts w:ascii="Arial" w:hAnsi="Arial" w:cs="Arial"/>
          <w:color w:val="000000"/>
          <w:sz w:val="20"/>
          <w:szCs w:val="20"/>
        </w:rPr>
        <w:t>the High Court of Australia cautioned against the dangers of drawing conclusions about truthfulness or reliability solely by reference to the appearance of witnesses, reciting an observation of Atkin LJ</w:t>
      </w:r>
      <w:r>
        <w:rPr>
          <w:rFonts w:ascii="Arial" w:hAnsi="Arial" w:cs="Arial"/>
          <w:color w:val="000000"/>
          <w:sz w:val="20"/>
          <w:szCs w:val="20"/>
        </w:rPr>
        <w:t xml:space="preserve"> in </w:t>
      </w:r>
      <w:r w:rsidRPr="00590A7D">
        <w:rPr>
          <w:rFonts w:ascii="Arial" w:hAnsi="Arial" w:cs="Arial"/>
          <w:i/>
          <w:iCs/>
          <w:color w:val="000000"/>
          <w:sz w:val="20"/>
          <w:szCs w:val="20"/>
        </w:rPr>
        <w:t xml:space="preserve">Société </w:t>
      </w:r>
      <w:proofErr w:type="spellStart"/>
      <w:r w:rsidRPr="00590A7D">
        <w:rPr>
          <w:rFonts w:ascii="Arial" w:hAnsi="Arial" w:cs="Arial"/>
          <w:i/>
          <w:iCs/>
          <w:color w:val="000000"/>
          <w:sz w:val="20"/>
          <w:szCs w:val="20"/>
        </w:rPr>
        <w:t>d’Avances</w:t>
      </w:r>
      <w:proofErr w:type="spellEnd"/>
      <w:r w:rsidRPr="00590A7D">
        <w:rPr>
          <w:rFonts w:ascii="Arial" w:hAnsi="Arial" w:cs="Arial"/>
          <w:i/>
          <w:iCs/>
          <w:color w:val="000000"/>
          <w:sz w:val="20"/>
          <w:szCs w:val="20"/>
        </w:rPr>
        <w:t xml:space="preserve"> </w:t>
      </w:r>
      <w:proofErr w:type="spellStart"/>
      <w:r w:rsidRPr="00590A7D">
        <w:rPr>
          <w:rFonts w:ascii="Arial" w:hAnsi="Arial" w:cs="Arial"/>
          <w:i/>
          <w:iCs/>
          <w:color w:val="000000"/>
          <w:sz w:val="20"/>
          <w:szCs w:val="20"/>
        </w:rPr>
        <w:t>Commerciales</w:t>
      </w:r>
      <w:proofErr w:type="spellEnd"/>
      <w:r w:rsidRPr="00590A7D">
        <w:rPr>
          <w:rFonts w:ascii="Arial" w:hAnsi="Arial" w:cs="Arial"/>
          <w:i/>
          <w:iCs/>
          <w:color w:val="000000"/>
          <w:sz w:val="20"/>
          <w:szCs w:val="20"/>
        </w:rPr>
        <w:t xml:space="preserve"> (Société Anonyme </w:t>
      </w:r>
      <w:proofErr w:type="spellStart"/>
      <w:r w:rsidRPr="00590A7D">
        <w:rPr>
          <w:rFonts w:ascii="Arial" w:hAnsi="Arial" w:cs="Arial"/>
          <w:i/>
          <w:iCs/>
          <w:color w:val="000000"/>
          <w:sz w:val="20"/>
          <w:szCs w:val="20"/>
        </w:rPr>
        <w:t>Egyptienne</w:t>
      </w:r>
      <w:proofErr w:type="spellEnd"/>
      <w:r w:rsidRPr="00590A7D">
        <w:rPr>
          <w:rFonts w:ascii="Arial" w:hAnsi="Arial" w:cs="Arial"/>
          <w:i/>
          <w:iCs/>
          <w:color w:val="000000"/>
          <w:sz w:val="20"/>
          <w:szCs w:val="20"/>
        </w:rPr>
        <w:t xml:space="preserve">) v Merchants’ Marine Insurance Co (The </w:t>
      </w:r>
      <w:proofErr w:type="spellStart"/>
      <w:r w:rsidRPr="00590A7D">
        <w:rPr>
          <w:rFonts w:ascii="Arial" w:hAnsi="Arial" w:cs="Arial"/>
          <w:i/>
          <w:iCs/>
          <w:color w:val="000000"/>
          <w:sz w:val="20"/>
          <w:szCs w:val="20"/>
        </w:rPr>
        <w:t>Palitana</w:t>
      </w:r>
      <w:proofErr w:type="spellEnd"/>
      <w:r w:rsidRPr="00590A7D">
        <w:rPr>
          <w:rFonts w:ascii="Arial" w:hAnsi="Arial" w:cs="Arial"/>
          <w:i/>
          <w:iCs/>
          <w:color w:val="000000"/>
          <w:sz w:val="20"/>
          <w:szCs w:val="20"/>
        </w:rPr>
        <w:t>)</w:t>
      </w:r>
      <w:r w:rsidRPr="00590A7D">
        <w:rPr>
          <w:rFonts w:ascii="Arial" w:hAnsi="Arial" w:cs="Arial"/>
          <w:color w:val="000000"/>
          <w:sz w:val="20"/>
          <w:szCs w:val="20"/>
        </w:rPr>
        <w:t> (1924) 20 LI L Rep 140, 152</w:t>
      </w:r>
      <w:r w:rsidR="000B1261">
        <w:rPr>
          <w:rFonts w:ascii="Arial" w:hAnsi="Arial" w:cs="Arial"/>
          <w:color w:val="000000"/>
          <w:sz w:val="20"/>
          <w:szCs w:val="20"/>
        </w:rPr>
        <w:t>:</w:t>
      </w:r>
    </w:p>
    <w:p w14:paraId="6BD7C288" w14:textId="2FB8AF80" w:rsidR="000B1261" w:rsidRPr="000B1261" w:rsidRDefault="000B1261" w:rsidP="000B1261">
      <w:pPr>
        <w:pStyle w:val="NormalWeb"/>
        <w:shd w:val="clear" w:color="auto" w:fill="FFFFFF"/>
        <w:spacing w:before="60" w:beforeAutospacing="0" w:after="0" w:afterAutospacing="0"/>
        <w:ind w:left="1021" w:right="1021"/>
        <w:jc w:val="both"/>
        <w:rPr>
          <w:rFonts w:ascii="Arial" w:hAnsi="Arial" w:cs="Arial"/>
          <w:sz w:val="16"/>
          <w:szCs w:val="16"/>
        </w:rPr>
      </w:pPr>
      <w:r w:rsidRPr="000B1261">
        <w:rPr>
          <w:rFonts w:ascii="Arial" w:hAnsi="Arial" w:cs="Arial"/>
          <w:sz w:val="18"/>
          <w:szCs w:val="18"/>
        </w:rPr>
        <w:lastRenderedPageBreak/>
        <w:t>I think tha</w:t>
      </w:r>
      <w:r w:rsidR="00EE7F79">
        <w:rPr>
          <w:rFonts w:ascii="Arial" w:hAnsi="Arial" w:cs="Arial"/>
          <w:sz w:val="18"/>
          <w:szCs w:val="18"/>
        </w:rPr>
        <w:t>t</w:t>
      </w:r>
      <w:r w:rsidRPr="000B1261">
        <w:rPr>
          <w:rFonts w:ascii="Arial" w:hAnsi="Arial" w:cs="Arial"/>
          <w:sz w:val="18"/>
          <w:szCs w:val="18"/>
        </w:rPr>
        <w:t xml:space="preserve"> an ounce of intrinsic merit or demerit in the evidence, that is to say, the value of the comparison of evidence with known facts, is worth pounds of demeanour.”</w:t>
      </w:r>
    </w:p>
    <w:p w14:paraId="780F7EB2" w14:textId="77777777" w:rsidR="005452C5" w:rsidRDefault="005452C5" w:rsidP="000B2B0E">
      <w:pPr>
        <w:ind w:right="567"/>
        <w:jc w:val="both"/>
        <w:rPr>
          <w:rFonts w:ascii="Arial" w:hAnsi="Arial" w:cs="Arial"/>
          <w:color w:val="000000"/>
          <w:sz w:val="20"/>
          <w:szCs w:val="20"/>
        </w:rPr>
      </w:pPr>
    </w:p>
    <w:p w14:paraId="442674F6" w14:textId="5E8E2F0B" w:rsidR="00115A9E" w:rsidRDefault="00AF5922" w:rsidP="00AF5922">
      <w:pPr>
        <w:jc w:val="both"/>
        <w:rPr>
          <w:rFonts w:ascii="Arial" w:hAnsi="Arial" w:cs="Arial"/>
          <w:sz w:val="20"/>
        </w:rPr>
      </w:pPr>
      <w:r>
        <w:rPr>
          <w:rFonts w:ascii="Arial" w:hAnsi="Arial" w:cs="Arial"/>
          <w:sz w:val="20"/>
        </w:rPr>
        <w:t xml:space="preserve">In his dissenting judgment in </w:t>
      </w:r>
      <w:r w:rsidRPr="00AF5922">
        <w:rPr>
          <w:rFonts w:ascii="Arial" w:hAnsi="Arial" w:cs="Arial"/>
          <w:i/>
          <w:iCs/>
          <w:sz w:val="20"/>
        </w:rPr>
        <w:t>Pell v The Queen</w:t>
      </w:r>
      <w:r>
        <w:rPr>
          <w:rFonts w:ascii="Arial" w:hAnsi="Arial" w:cs="Arial"/>
          <w:sz w:val="20"/>
        </w:rPr>
        <w:t xml:space="preserve"> [2019] VSCA 186 at [897] Weinberg JA </w:t>
      </w:r>
      <w:r w:rsidR="00115A9E">
        <w:rPr>
          <w:rFonts w:ascii="Arial" w:hAnsi="Arial" w:cs="Arial"/>
          <w:sz w:val="20"/>
        </w:rPr>
        <w:t>made it clear that demeanour was only one in a number of factors relevant to an assessment of a witness’ evidence:</w:t>
      </w:r>
    </w:p>
    <w:p w14:paraId="3618EF29" w14:textId="77777777" w:rsidR="00AF5922" w:rsidRDefault="00AF5922" w:rsidP="00115A9E">
      <w:pPr>
        <w:spacing w:before="80"/>
        <w:ind w:left="567" w:right="567"/>
        <w:jc w:val="both"/>
        <w:rPr>
          <w:rFonts w:ascii="Arial" w:hAnsi="Arial" w:cs="Arial"/>
          <w:sz w:val="20"/>
        </w:rPr>
      </w:pPr>
      <w:r>
        <w:rPr>
          <w:rFonts w:ascii="Arial" w:hAnsi="Arial" w:cs="Arial"/>
          <w:sz w:val="20"/>
        </w:rPr>
        <w:t>“</w:t>
      </w:r>
      <w:r w:rsidRPr="00AF5922">
        <w:rPr>
          <w:rFonts w:ascii="Arial" w:hAnsi="Arial" w:cs="Arial"/>
          <w:sz w:val="20"/>
          <w:szCs w:val="20"/>
        </w:rPr>
        <w:t>The factors that any trier of fact, whether judge or jury, will ordinarily take into account when deciding whether the evidence of a particular witness is credible and reliable include: the inherent consistency of the witness’ account; the consistency of that account with those of other witnesses; the consistency of that account with undisputed facts; the ‘credit’ of the witness (based upon matters which include, for example, demeanour); any relevant infirmities of the witness; and, importantly, the inherent probability or improbability of the evidence in question.”</w:t>
      </w:r>
    </w:p>
    <w:p w14:paraId="51F409FB" w14:textId="77777777" w:rsidR="00AF5922" w:rsidRDefault="00AF5922" w:rsidP="00AF5922">
      <w:pPr>
        <w:jc w:val="both"/>
        <w:rPr>
          <w:rFonts w:ascii="Arial" w:hAnsi="Arial" w:cs="Arial"/>
          <w:sz w:val="20"/>
          <w:szCs w:val="20"/>
        </w:rPr>
      </w:pPr>
    </w:p>
    <w:p w14:paraId="43388EF7" w14:textId="0C1666CE" w:rsidR="00FB1630" w:rsidRDefault="00FB1630">
      <w:pPr>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 xml:space="preserve">Re </w:t>
      </w:r>
      <w:proofErr w:type="spellStart"/>
      <w:r w:rsidR="001C577A" w:rsidRPr="001C577A">
        <w:rPr>
          <w:rFonts w:ascii="Arial" w:hAnsi="Arial" w:cs="Arial"/>
          <w:i/>
          <w:iCs/>
          <w:sz w:val="20"/>
          <w:szCs w:val="20"/>
        </w:rPr>
        <w:t>Cassar</w:t>
      </w:r>
      <w:proofErr w:type="spellEnd"/>
      <w:r w:rsidR="001C577A">
        <w:rPr>
          <w:rFonts w:ascii="Arial" w:hAnsi="Arial" w:cs="Arial"/>
          <w:sz w:val="20"/>
          <w:szCs w:val="20"/>
        </w:rPr>
        <w:t xml:space="preserve"> [2022] VSC 126 at [200] per Moore J</w:t>
      </w:r>
      <w:r w:rsidR="0005362E">
        <w:rPr>
          <w:rFonts w:ascii="Arial" w:hAnsi="Arial" w:cs="Arial"/>
          <w:sz w:val="20"/>
          <w:szCs w:val="20"/>
        </w:rPr>
        <w:t xml:space="preserve">; </w:t>
      </w:r>
      <w:r w:rsidR="0005362E" w:rsidRPr="0005362E">
        <w:rPr>
          <w:rFonts w:ascii="Arial" w:hAnsi="Arial" w:cs="Arial"/>
          <w:i/>
          <w:iCs/>
          <w:sz w:val="20"/>
          <w:szCs w:val="20"/>
        </w:rPr>
        <w:t xml:space="preserve">Re </w:t>
      </w:r>
      <w:proofErr w:type="spellStart"/>
      <w:r w:rsidR="0005362E" w:rsidRPr="0005362E">
        <w:rPr>
          <w:rFonts w:ascii="Arial" w:hAnsi="Arial" w:cs="Arial"/>
          <w:i/>
          <w:iCs/>
          <w:sz w:val="20"/>
          <w:szCs w:val="20"/>
        </w:rPr>
        <w:t>Klapsas</w:t>
      </w:r>
      <w:proofErr w:type="spellEnd"/>
      <w:r w:rsidR="0005362E" w:rsidRPr="0005362E">
        <w:rPr>
          <w:rFonts w:ascii="Arial" w:hAnsi="Arial" w:cs="Arial"/>
          <w:i/>
          <w:iCs/>
          <w:sz w:val="20"/>
          <w:szCs w:val="20"/>
        </w:rPr>
        <w:t xml:space="preserve">; </w:t>
      </w:r>
      <w:proofErr w:type="spellStart"/>
      <w:r w:rsidR="0005362E" w:rsidRPr="0005362E">
        <w:rPr>
          <w:rFonts w:ascii="Arial" w:hAnsi="Arial" w:cs="Arial"/>
          <w:i/>
          <w:iCs/>
          <w:sz w:val="20"/>
          <w:szCs w:val="20"/>
        </w:rPr>
        <w:t>Klapsas</w:t>
      </w:r>
      <w:proofErr w:type="spellEnd"/>
      <w:r w:rsidR="0005362E" w:rsidRPr="0005362E">
        <w:rPr>
          <w:rFonts w:ascii="Arial" w:hAnsi="Arial" w:cs="Arial"/>
          <w:i/>
          <w:iCs/>
          <w:sz w:val="20"/>
          <w:szCs w:val="20"/>
        </w:rPr>
        <w:t xml:space="preserve"> v Muscat</w:t>
      </w:r>
      <w:r w:rsidR="0005362E">
        <w:rPr>
          <w:rFonts w:ascii="Arial" w:hAnsi="Arial" w:cs="Arial"/>
          <w:sz w:val="20"/>
          <w:szCs w:val="20"/>
        </w:rPr>
        <w:t xml:space="preserve"> [2022] VSC 755 at [108]-[128] per Walker JA</w:t>
      </w:r>
      <w:r w:rsidR="00333CE4">
        <w:rPr>
          <w:rFonts w:ascii="Arial" w:hAnsi="Arial" w:cs="Arial"/>
          <w:sz w:val="20"/>
          <w:szCs w:val="20"/>
        </w:rPr>
        <w:t xml:space="preserve">; </w:t>
      </w:r>
      <w:r w:rsidR="00333CE4" w:rsidRPr="00CB1286">
        <w:rPr>
          <w:rFonts w:ascii="Arial" w:hAnsi="Arial" w:cs="Arial"/>
          <w:i/>
          <w:iCs/>
          <w:sz w:val="20"/>
          <w:szCs w:val="20"/>
        </w:rPr>
        <w:t>China Insurance Group Finance Company Limited v Kingston (No 3)</w:t>
      </w:r>
      <w:r w:rsidR="00333CE4" w:rsidRPr="00CB1286">
        <w:rPr>
          <w:rFonts w:ascii="Arial" w:hAnsi="Arial" w:cs="Arial"/>
          <w:sz w:val="20"/>
          <w:szCs w:val="20"/>
        </w:rPr>
        <w:t xml:space="preserve"> [2023] VSC 6</w:t>
      </w:r>
      <w:r w:rsidR="00220EE2">
        <w:rPr>
          <w:rFonts w:ascii="Arial" w:hAnsi="Arial" w:cs="Arial"/>
          <w:sz w:val="20"/>
          <w:szCs w:val="20"/>
        </w:rPr>
        <w:t xml:space="preserve">; </w:t>
      </w:r>
      <w:r w:rsidR="00220EE2" w:rsidRPr="00220EE2">
        <w:rPr>
          <w:rFonts w:ascii="Arial" w:hAnsi="Arial" w:cs="Arial"/>
          <w:i/>
          <w:iCs/>
          <w:sz w:val="20"/>
          <w:szCs w:val="20"/>
        </w:rPr>
        <w:t>Double v The Salvation Army (Victoria) Property Trust</w:t>
      </w:r>
      <w:r w:rsidR="00220EE2">
        <w:rPr>
          <w:rFonts w:ascii="Arial" w:hAnsi="Arial" w:cs="Arial"/>
          <w:sz w:val="20"/>
          <w:szCs w:val="20"/>
        </w:rPr>
        <w:t xml:space="preserve"> [2023] VSC 452</w:t>
      </w:r>
      <w:r w:rsidR="004F1EE7">
        <w:rPr>
          <w:rFonts w:ascii="Arial" w:hAnsi="Arial" w:cs="Arial"/>
          <w:sz w:val="20"/>
          <w:szCs w:val="20"/>
        </w:rPr>
        <w:t xml:space="preserve">; </w:t>
      </w:r>
      <w:bookmarkStart w:id="587" w:name="_Hlk145579936"/>
      <w:r w:rsidR="004F1EE7" w:rsidRPr="004F1EE7">
        <w:rPr>
          <w:rFonts w:ascii="Arial" w:hAnsi="Arial" w:cs="Arial"/>
          <w:i/>
          <w:iCs/>
          <w:sz w:val="20"/>
        </w:rPr>
        <w:t>Salehi v Salehi</w:t>
      </w:r>
      <w:r w:rsidR="004F1EE7">
        <w:rPr>
          <w:rFonts w:ascii="Arial" w:hAnsi="Arial" w:cs="Arial"/>
          <w:sz w:val="20"/>
        </w:rPr>
        <w:t xml:space="preserve"> [2023] VSC 535 at [119]-</w:t>
      </w:r>
      <w:r w:rsidR="004F1EE7" w:rsidRPr="002531BB">
        <w:rPr>
          <w:rFonts w:ascii="Arial" w:hAnsi="Arial" w:cs="Arial"/>
          <w:sz w:val="20"/>
          <w:szCs w:val="20"/>
        </w:rPr>
        <w:t xml:space="preserve">[151] per Daly </w:t>
      </w:r>
      <w:proofErr w:type="spellStart"/>
      <w:r w:rsidR="004F1EE7" w:rsidRPr="002531BB">
        <w:rPr>
          <w:rFonts w:ascii="Arial" w:hAnsi="Arial" w:cs="Arial"/>
          <w:sz w:val="20"/>
          <w:szCs w:val="20"/>
        </w:rPr>
        <w:t>AsJ</w:t>
      </w:r>
      <w:proofErr w:type="spellEnd"/>
      <w:r w:rsidR="002531BB" w:rsidRPr="002531BB">
        <w:rPr>
          <w:rFonts w:ascii="Arial" w:hAnsi="Arial" w:cs="Arial"/>
          <w:sz w:val="20"/>
          <w:szCs w:val="20"/>
        </w:rPr>
        <w:t xml:space="preserve">; </w:t>
      </w:r>
      <w:bookmarkEnd w:id="587"/>
      <w:proofErr w:type="spellStart"/>
      <w:r w:rsidR="002531BB" w:rsidRPr="002531BB">
        <w:rPr>
          <w:rFonts w:ascii="Arial" w:hAnsi="Arial" w:cs="Arial"/>
          <w:i/>
          <w:iCs/>
          <w:sz w:val="20"/>
          <w:szCs w:val="20"/>
        </w:rPr>
        <w:t>Glideware</w:t>
      </w:r>
      <w:proofErr w:type="spellEnd"/>
      <w:r w:rsidR="002531BB" w:rsidRPr="002531BB">
        <w:rPr>
          <w:rFonts w:ascii="Arial" w:hAnsi="Arial" w:cs="Arial"/>
          <w:i/>
          <w:iCs/>
          <w:sz w:val="20"/>
          <w:szCs w:val="20"/>
        </w:rPr>
        <w:t xml:space="preserve"> Pty Ltd v </w:t>
      </w:r>
      <w:proofErr w:type="spellStart"/>
      <w:r w:rsidR="002531BB" w:rsidRPr="002531BB">
        <w:rPr>
          <w:rFonts w:ascii="Arial" w:hAnsi="Arial" w:cs="Arial"/>
          <w:i/>
          <w:iCs/>
          <w:sz w:val="20"/>
          <w:szCs w:val="20"/>
        </w:rPr>
        <w:t>Hadad</w:t>
      </w:r>
      <w:proofErr w:type="spellEnd"/>
      <w:r w:rsidR="002531BB" w:rsidRPr="002531BB">
        <w:rPr>
          <w:rFonts w:ascii="Arial" w:hAnsi="Arial" w:cs="Arial"/>
          <w:i/>
          <w:iCs/>
          <w:sz w:val="20"/>
          <w:szCs w:val="20"/>
        </w:rPr>
        <w:t xml:space="preserve"> &amp; Anor</w:t>
      </w:r>
      <w:r w:rsidR="002531BB" w:rsidRPr="002531BB">
        <w:rPr>
          <w:rFonts w:ascii="Arial" w:hAnsi="Arial" w:cs="Arial"/>
          <w:sz w:val="20"/>
          <w:szCs w:val="20"/>
        </w:rPr>
        <w:t xml:space="preserve"> [2024] VSC 34</w:t>
      </w:r>
      <w:r w:rsidR="002531BB">
        <w:rPr>
          <w:rFonts w:ascii="Arial" w:hAnsi="Arial" w:cs="Arial"/>
          <w:sz w:val="20"/>
          <w:szCs w:val="20"/>
        </w:rPr>
        <w:t xml:space="preserve"> at [46]-[62] per Daly </w:t>
      </w:r>
      <w:proofErr w:type="spellStart"/>
      <w:r w:rsidR="002531BB">
        <w:rPr>
          <w:rFonts w:ascii="Arial" w:hAnsi="Arial" w:cs="Arial"/>
          <w:sz w:val="20"/>
          <w:szCs w:val="20"/>
        </w:rPr>
        <w:t>AsJ</w:t>
      </w:r>
      <w:proofErr w:type="spellEnd"/>
      <w:r w:rsidR="002531BB">
        <w:rPr>
          <w:rFonts w:ascii="Arial" w:hAnsi="Arial" w:cs="Arial"/>
          <w:sz w:val="20"/>
          <w:szCs w:val="20"/>
        </w:rPr>
        <w:t>.</w:t>
      </w:r>
    </w:p>
    <w:p w14:paraId="059AB230" w14:textId="77777777" w:rsidR="002531BB" w:rsidRPr="002531BB" w:rsidRDefault="002531BB">
      <w:pPr>
        <w:jc w:val="both"/>
        <w:rPr>
          <w:rFonts w:ascii="Arial" w:hAnsi="Arial" w:cs="Arial"/>
          <w:sz w:val="20"/>
          <w:szCs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proofErr w:type="spellStart"/>
      <w:r w:rsidRPr="00A13DCA">
        <w:rPr>
          <w:rFonts w:ascii="Arial" w:hAnsi="Arial" w:cs="Arial"/>
          <w:i/>
          <w:iCs/>
          <w:color w:val="000000"/>
          <w:sz w:val="20"/>
          <w:szCs w:val="20"/>
          <w:shd w:val="clear" w:color="auto" w:fill="FFFFFF"/>
        </w:rPr>
        <w:t>Pacreef</w:t>
      </w:r>
      <w:proofErr w:type="spellEnd"/>
      <w:r w:rsidRPr="00A13DCA">
        <w:rPr>
          <w:rFonts w:ascii="Arial" w:hAnsi="Arial" w:cs="Arial"/>
          <w:i/>
          <w:iCs/>
          <w:color w:val="000000"/>
          <w:sz w:val="20"/>
          <w:szCs w:val="20"/>
          <w:shd w:val="clear" w:color="auto" w:fill="FFFFFF"/>
        </w:rPr>
        <w:t xml:space="preserve">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684DB794"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88"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88"/>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46F41" w:rsidRDefault="00D92FA4" w:rsidP="00292662">
      <w:pPr>
        <w:pStyle w:val="NormalWeb"/>
        <w:shd w:val="clear" w:color="auto" w:fill="FFFFFF"/>
        <w:spacing w:before="80" w:beforeAutospacing="0" w:after="0" w:afterAutospacing="0"/>
        <w:ind w:left="1134" w:right="1134"/>
        <w:jc w:val="both"/>
        <w:rPr>
          <w:rFonts w:ascii="Arial" w:hAnsi="Arial" w:cs="Arial"/>
          <w:sz w:val="18"/>
          <w:szCs w:val="18"/>
        </w:rPr>
      </w:pPr>
      <w:r w:rsidRPr="00D46F41">
        <w:rPr>
          <w:rFonts w:ascii="Arial" w:hAnsi="Arial" w:cs="Arial"/>
          <w:sz w:val="18"/>
          <w:szCs w:val="18"/>
        </w:rPr>
        <w:t>‘[H]</w:t>
      </w:r>
      <w:proofErr w:type="spellStart"/>
      <w:r w:rsidRPr="00D46F41">
        <w:rPr>
          <w:rFonts w:ascii="Arial" w:hAnsi="Arial" w:cs="Arial"/>
          <w:sz w:val="18"/>
          <w:szCs w:val="18"/>
        </w:rPr>
        <w:t>uman</w:t>
      </w:r>
      <w:proofErr w:type="spellEnd"/>
      <w:r w:rsidRPr="00D46F41">
        <w:rPr>
          <w:rFonts w:ascii="Arial" w:hAnsi="Arial" w:cs="Arial"/>
          <w:sz w:val="18"/>
          <w:szCs w:val="18"/>
        </w:rPr>
        <w:t xml:space="preserve">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All too often what is actually remembered is little more than an impression from which plausible details are then, again often subconsciously, constructed. All this is a matter of ordinary human experience.’</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proofErr w:type="spellStart"/>
      <w:r w:rsidRPr="00D92FA4">
        <w:rPr>
          <w:rFonts w:ascii="Arial" w:hAnsi="Arial" w:cs="Arial"/>
          <w:sz w:val="20"/>
          <w:szCs w:val="20"/>
        </w:rPr>
        <w:t>Gaudron</w:t>
      </w:r>
      <w:proofErr w:type="spellEnd"/>
      <w:r w:rsidRPr="00D92FA4">
        <w:rPr>
          <w:rFonts w:ascii="Arial" w:hAnsi="Arial" w:cs="Arial"/>
          <w:sz w:val="20"/>
          <w:szCs w:val="20"/>
        </w:rPr>
        <w:t xml:space="preserve">, </w:t>
      </w:r>
      <w:proofErr w:type="spellStart"/>
      <w:r w:rsidRPr="00D92FA4">
        <w:rPr>
          <w:rFonts w:ascii="Arial" w:hAnsi="Arial" w:cs="Arial"/>
          <w:sz w:val="20"/>
          <w:szCs w:val="20"/>
        </w:rPr>
        <w:t>Gummow</w:t>
      </w:r>
      <w:proofErr w:type="spellEnd"/>
      <w:r w:rsidRPr="00D92FA4">
        <w:rPr>
          <w:rFonts w:ascii="Arial" w:hAnsi="Arial" w:cs="Arial"/>
          <w:sz w:val="20"/>
          <w:szCs w:val="20"/>
        </w:rPr>
        <w:t xml:space="preserve">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w:t>
      </w:r>
      <w:r w:rsidRPr="00D92FA4">
        <w:rPr>
          <w:rFonts w:ascii="Arial" w:hAnsi="Arial" w:cs="Arial"/>
          <w:sz w:val="20"/>
          <w:szCs w:val="20"/>
        </w:rPr>
        <w:lastRenderedPageBreak/>
        <w:t xml:space="preserve">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 xml:space="preserve">viva </w:t>
      </w:r>
      <w:proofErr w:type="spellStart"/>
      <w:r w:rsidRPr="00A96B39">
        <w:rPr>
          <w:rFonts w:ascii="Arial" w:hAnsi="Arial" w:cs="Arial"/>
          <w:i/>
          <w:iCs/>
          <w:sz w:val="20"/>
          <w:szCs w:val="20"/>
        </w:rPr>
        <w:t>voce</w:t>
      </w:r>
      <w:proofErr w:type="spellEnd"/>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w:t>
      </w:r>
      <w:r w:rsidR="00A70980">
        <w:rPr>
          <w:rFonts w:ascii="Arial" w:hAnsi="Arial" w:cs="Arial"/>
          <w:sz w:val="20"/>
          <w:szCs w:val="20"/>
        </w:rPr>
        <w:t xml:space="preserve">[another FMX rider] </w:t>
      </w:r>
      <w:r w:rsidR="00D92FA4" w:rsidRPr="00D92FA4">
        <w:rPr>
          <w:rFonts w:ascii="Arial" w:hAnsi="Arial" w:cs="Arial"/>
          <w:sz w:val="20"/>
          <w:szCs w:val="20"/>
        </w:rPr>
        <w:t xml:space="preserve">on the perimeter of the oval. Whereas Mr Bowen remembered speaking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 xml:space="preserve">In my view, this discrepancy can be explained by the efflux of time and does not undermine the substance of Mr Bowen’s evidence — that he ran across the field and intercepted the plaintiff, that he warned the plaintiff that the ramps were too close, and that he went over to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after the plaintiff said that ‘</w:t>
      </w:r>
      <w:proofErr w:type="spellStart"/>
      <w:r w:rsidR="00D92FA4" w:rsidRPr="00D92FA4">
        <w:rPr>
          <w:rFonts w:ascii="Arial" w:hAnsi="Arial" w:cs="Arial"/>
          <w:sz w:val="20"/>
          <w:szCs w:val="20"/>
        </w:rPr>
        <w:t>Schuey</w:t>
      </w:r>
      <w:proofErr w:type="spellEnd"/>
      <w:r w:rsidR="00D92FA4" w:rsidRPr="00D92FA4">
        <w:rPr>
          <w:rFonts w:ascii="Arial" w:hAnsi="Arial" w:cs="Arial"/>
          <w:sz w:val="20"/>
          <w:szCs w:val="20"/>
        </w:rPr>
        <w:t xml:space="preserve">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w:t>
      </w:r>
      <w:r>
        <w:rPr>
          <w:rFonts w:ascii="Arial" w:hAnsi="Arial" w:cs="Arial"/>
          <w:sz w:val="20"/>
          <w:szCs w:val="20"/>
        </w:rPr>
        <w:lastRenderedPageBreak/>
        <w:t xml:space="preserve">accept or reject the entirety of any particular witness’s evidence, and am able to accept some parts of it and to reject other parts of it: see e.g. </w:t>
      </w:r>
      <w:proofErr w:type="spellStart"/>
      <w:r w:rsidRPr="00135FEB">
        <w:rPr>
          <w:rFonts w:ascii="Arial" w:hAnsi="Arial" w:cs="Arial"/>
          <w:i/>
          <w:iCs/>
          <w:sz w:val="20"/>
          <w:szCs w:val="20"/>
        </w:rPr>
        <w:t>Cubillo</w:t>
      </w:r>
      <w:proofErr w:type="spellEnd"/>
      <w:r w:rsidRPr="00135FEB">
        <w:rPr>
          <w:rFonts w:ascii="Arial" w:hAnsi="Arial" w:cs="Arial"/>
          <w:i/>
          <w:iCs/>
          <w:sz w:val="20"/>
          <w:szCs w:val="20"/>
        </w:rPr>
        <w:t xml:space="preserve"> v Commonwealth</w:t>
      </w:r>
      <w:r>
        <w:rPr>
          <w:rFonts w:ascii="Arial" w:hAnsi="Arial" w:cs="Arial"/>
          <w:sz w:val="20"/>
          <w:szCs w:val="20"/>
        </w:rPr>
        <w:t xml:space="preserve"> (2000) 103 FCR 1, 45 [118]-[125] (</w:t>
      </w:r>
      <w:proofErr w:type="spellStart"/>
      <w:r>
        <w:rPr>
          <w:rFonts w:ascii="Arial" w:hAnsi="Arial" w:cs="Arial"/>
          <w:sz w:val="20"/>
          <w:szCs w:val="20"/>
        </w:rPr>
        <w:t>O’LoughlinJ</w:t>
      </w:r>
      <w:proofErr w:type="spellEnd"/>
      <w:r>
        <w:rPr>
          <w:rFonts w:ascii="Arial" w:hAnsi="Arial" w:cs="Arial"/>
          <w:sz w:val="20"/>
          <w:szCs w:val="20"/>
        </w:rPr>
        <w:t xml:space="preserve">).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 xml:space="preserve">Onassis and </w:t>
      </w:r>
      <w:proofErr w:type="spellStart"/>
      <w:r w:rsidR="00286FE5" w:rsidRPr="001866AC">
        <w:rPr>
          <w:rFonts w:ascii="Arial" w:hAnsi="Arial" w:cs="Arial"/>
          <w:i/>
          <w:iCs/>
          <w:sz w:val="20"/>
          <w:szCs w:val="20"/>
        </w:rPr>
        <w:t>Calogeropoulos</w:t>
      </w:r>
      <w:proofErr w:type="spellEnd"/>
      <w:r w:rsidR="00286FE5" w:rsidRPr="001866AC">
        <w:rPr>
          <w:rFonts w:ascii="Arial" w:hAnsi="Arial" w:cs="Arial"/>
          <w:i/>
          <w:iCs/>
          <w:sz w:val="20"/>
          <w:szCs w:val="20"/>
        </w:rPr>
        <w:t xml:space="preserve"> v </w:t>
      </w:r>
      <w:proofErr w:type="spellStart"/>
      <w:r w:rsidR="00286FE5" w:rsidRPr="001866AC">
        <w:rPr>
          <w:rFonts w:ascii="Arial" w:hAnsi="Arial" w:cs="Arial"/>
          <w:i/>
          <w:iCs/>
          <w:sz w:val="20"/>
          <w:szCs w:val="20"/>
        </w:rPr>
        <w:t>Vergotis</w:t>
      </w:r>
      <w:proofErr w:type="spellEnd"/>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 xml:space="preserve">Nominal Defendant v </w:t>
      </w:r>
      <w:proofErr w:type="spellStart"/>
      <w:r w:rsidR="001866AC" w:rsidRPr="001866AC">
        <w:rPr>
          <w:rFonts w:ascii="Arial" w:hAnsi="Arial" w:cs="Arial"/>
          <w:i/>
          <w:iCs/>
          <w:sz w:val="20"/>
          <w:szCs w:val="20"/>
        </w:rPr>
        <w:t>Cordin</w:t>
      </w:r>
      <w:proofErr w:type="spellEnd"/>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0CF84F50" w:rsidR="004D0577" w:rsidRDefault="00205820" w:rsidP="00FC57FC">
      <w:pPr>
        <w:spacing w:before="80"/>
        <w:jc w:val="both"/>
        <w:rPr>
          <w:rFonts w:ascii="Arial" w:hAnsi="Arial" w:cs="Arial"/>
          <w:sz w:val="20"/>
        </w:rPr>
      </w:pPr>
      <w:r>
        <w:rPr>
          <w:rFonts w:ascii="Arial" w:hAnsi="Arial" w:cs="Arial"/>
          <w:sz w:val="20"/>
        </w:rPr>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w:t>
      </w:r>
      <w:r w:rsidR="004F1EE7">
        <w:rPr>
          <w:rFonts w:ascii="Arial" w:hAnsi="Arial" w:cs="Arial"/>
          <w:sz w:val="20"/>
        </w:rPr>
        <w:t> </w:t>
      </w:r>
      <w:r>
        <w:rPr>
          <w:rFonts w:ascii="Arial" w:hAnsi="Arial" w:cs="Arial"/>
          <w:sz w:val="20"/>
        </w:rPr>
        <w:t>Singh and that Mr Singh was 10% contributorily negligent by not stopping further to the left in the emergency lane.</w:t>
      </w:r>
    </w:p>
    <w:p w14:paraId="59F0A5E8" w14:textId="52D2A674" w:rsidR="008C7C9C" w:rsidRDefault="008C7C9C">
      <w:pPr>
        <w:jc w:val="both"/>
        <w:rPr>
          <w:rFonts w:ascii="Arial" w:hAnsi="Arial" w:cs="Arial"/>
          <w:sz w:val="20"/>
        </w:rPr>
      </w:pPr>
    </w:p>
    <w:p w14:paraId="7648985D" w14:textId="6CAE1E95" w:rsidR="008C7C9C" w:rsidRPr="008C7C9C" w:rsidRDefault="008C7C9C">
      <w:pPr>
        <w:jc w:val="both"/>
        <w:rPr>
          <w:rFonts w:ascii="Arial" w:hAnsi="Arial" w:cs="Arial"/>
          <w:sz w:val="20"/>
        </w:rPr>
      </w:pPr>
      <w:r w:rsidRPr="008C7C9C">
        <w:rPr>
          <w:rFonts w:ascii="Arial" w:hAnsi="Arial" w:cs="Arial"/>
          <w:sz w:val="20"/>
        </w:rPr>
        <w:t xml:space="preserve">In </w:t>
      </w:r>
      <w:proofErr w:type="spellStart"/>
      <w:r w:rsidRPr="008C7C9C">
        <w:rPr>
          <w:rFonts w:ascii="Arial" w:hAnsi="Arial" w:cs="Arial"/>
          <w:i/>
          <w:iCs/>
          <w:sz w:val="20"/>
          <w:szCs w:val="20"/>
        </w:rPr>
        <w:t>Gurappaji</w:t>
      </w:r>
      <w:proofErr w:type="spellEnd"/>
      <w:r w:rsidRPr="008C7C9C">
        <w:rPr>
          <w:rFonts w:ascii="Arial" w:hAnsi="Arial" w:cs="Arial"/>
          <w:i/>
          <w:iCs/>
          <w:sz w:val="20"/>
          <w:szCs w:val="20"/>
        </w:rPr>
        <w:t xml:space="preserve"> v Duncan &amp; Anor</w:t>
      </w:r>
      <w:r w:rsidRPr="008C7C9C">
        <w:rPr>
          <w:rFonts w:ascii="Arial" w:hAnsi="Arial" w:cs="Arial"/>
          <w:sz w:val="20"/>
          <w:szCs w:val="20"/>
        </w:rPr>
        <w:t xml:space="preserve"> [2023] VSC 558 the plaintiff </w:t>
      </w:r>
      <w:r>
        <w:rPr>
          <w:rFonts w:ascii="Arial" w:hAnsi="Arial" w:cs="Arial"/>
          <w:sz w:val="20"/>
          <w:szCs w:val="20"/>
        </w:rPr>
        <w:t>– who had been in a relationship with the deceased which had ended six years prior to the deceased’s death</w:t>
      </w:r>
      <w:r w:rsidR="009F194F">
        <w:rPr>
          <w:rFonts w:ascii="Arial" w:hAnsi="Arial" w:cs="Arial"/>
          <w:sz w:val="20"/>
          <w:szCs w:val="20"/>
        </w:rPr>
        <w:t xml:space="preserve"> in </w:t>
      </w:r>
      <w:r>
        <w:rPr>
          <w:rFonts w:ascii="Arial" w:hAnsi="Arial" w:cs="Arial"/>
          <w:sz w:val="20"/>
          <w:szCs w:val="20"/>
        </w:rPr>
        <w:t xml:space="preserve"> – failed to prove that she had an equitable interest in a property in which the deceased held title.  </w:t>
      </w:r>
      <w:r w:rsidR="00162CDC">
        <w:rPr>
          <w:rFonts w:ascii="Arial" w:hAnsi="Arial" w:cs="Arial"/>
          <w:sz w:val="20"/>
          <w:szCs w:val="20"/>
        </w:rPr>
        <w:t>At [231]-[232] Forbes J said of the plaintiff’s evidence:</w:t>
      </w:r>
    </w:p>
    <w:p w14:paraId="6CE92475" w14:textId="77484AEA" w:rsidR="00162CDC" w:rsidRPr="00D92FA4" w:rsidRDefault="00162CDC" w:rsidP="00F10DC3">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162CDC">
        <w:rPr>
          <w:rFonts w:ascii="Arial" w:hAnsi="Arial" w:cs="Arial"/>
          <w:sz w:val="20"/>
          <w:szCs w:val="20"/>
        </w:rPr>
        <w:t>I formed the view that Kavitha was an unimpressive witness and that her evidence was largely unreliable. In part, Kavitha acknowledged that her memory was adversely affected by health issues and the passage of time. However, she also made grand and</w:t>
      </w:r>
      <w:r>
        <w:rPr>
          <w:rFonts w:ascii="Arial" w:hAnsi="Arial" w:cs="Arial"/>
          <w:sz w:val="20"/>
          <w:szCs w:val="20"/>
        </w:rPr>
        <w:t xml:space="preserve"> </w:t>
      </w:r>
      <w:r w:rsidRPr="00162CDC">
        <w:rPr>
          <w:rFonts w:ascii="Arial" w:hAnsi="Arial" w:cs="Arial"/>
          <w:sz w:val="20"/>
          <w:szCs w:val="20"/>
        </w:rPr>
        <w:t>unsubstantiated statements that were not corroborated and were often contradicted by other evidence including contemporaneous documentary evidence. On occasion her own oral evidence was contradictory. Faced with many contradictions she took refuge in the explanation that she left such matters to others or did not read or understand the documents that she signed. I found such explanations frankly implausible, for a woman who on the one hand describes herself as having left school at 17 to become a farmer, but on the other hand in her oral evidence before me described herself as having a Masters in Economics.</w:t>
      </w:r>
      <w:r w:rsidR="001D5204">
        <w:rPr>
          <w:rFonts w:ascii="Arial" w:hAnsi="Arial" w:cs="Arial"/>
          <w:sz w:val="20"/>
          <w:szCs w:val="20"/>
        </w:rPr>
        <w:t xml:space="preserve"> </w:t>
      </w:r>
      <w:r w:rsidRPr="00162CDC">
        <w:rPr>
          <w:rFonts w:ascii="Arial" w:hAnsi="Arial" w:cs="Arial"/>
          <w:sz w:val="20"/>
          <w:szCs w:val="20"/>
        </w:rPr>
        <w:t>Moreover in the course of giving her evidence she displayed a profound sense of entitlement.</w:t>
      </w:r>
      <w:r>
        <w:rPr>
          <w:rFonts w:ascii="Arial" w:hAnsi="Arial" w:cs="Arial"/>
          <w:sz w:val="20"/>
          <w:szCs w:val="20"/>
        </w:rPr>
        <w:t>”</w:t>
      </w:r>
    </w:p>
    <w:p w14:paraId="7B1F4C3E" w14:textId="0874D399" w:rsidR="008C7C9C" w:rsidRDefault="00F10DC3" w:rsidP="00162CDC">
      <w:pPr>
        <w:spacing w:before="60"/>
        <w:jc w:val="both"/>
        <w:rPr>
          <w:rFonts w:ascii="Arial" w:hAnsi="Arial" w:cs="Arial"/>
          <w:sz w:val="20"/>
        </w:rPr>
      </w:pPr>
      <w:r>
        <w:rPr>
          <w:rFonts w:ascii="Arial" w:hAnsi="Arial" w:cs="Arial"/>
          <w:sz w:val="20"/>
        </w:rPr>
        <w:t>Under the heading “</w:t>
      </w:r>
      <w:r w:rsidRPr="00F10DC3">
        <w:rPr>
          <w:rFonts w:ascii="Arial" w:hAnsi="Arial" w:cs="Arial"/>
          <w:b/>
          <w:bCs/>
          <w:sz w:val="20"/>
        </w:rPr>
        <w:t>Fact-finding</w:t>
      </w:r>
      <w:r>
        <w:rPr>
          <w:rFonts w:ascii="Arial" w:hAnsi="Arial" w:cs="Arial"/>
          <w:sz w:val="20"/>
        </w:rPr>
        <w:t>” Forbes J said at [227]-[230]:</w:t>
      </w:r>
    </w:p>
    <w:p w14:paraId="2286EDD7" w14:textId="550922E1" w:rsidR="00F10DC3" w:rsidRDefault="00F10DC3" w:rsidP="00F10DC3">
      <w:pPr>
        <w:pStyle w:val="NormalWeb"/>
        <w:shd w:val="clear" w:color="auto" w:fill="FFFFFF"/>
        <w:spacing w:before="60" w:beforeAutospacing="0" w:after="0" w:afterAutospacing="0"/>
        <w:ind w:left="567" w:right="567"/>
        <w:jc w:val="both"/>
        <w:rPr>
          <w:rFonts w:ascii="Arial" w:hAnsi="Arial" w:cs="Arial"/>
          <w:sz w:val="20"/>
          <w:szCs w:val="20"/>
        </w:rPr>
      </w:pPr>
      <w:r w:rsidRPr="00162CDC">
        <w:rPr>
          <w:rFonts w:ascii="Arial" w:hAnsi="Arial" w:cs="Arial"/>
          <w:sz w:val="20"/>
          <w:szCs w:val="20"/>
        </w:rPr>
        <w:t>conversations on the one hand, and inconsistent or incomplete documentary evidence on the other, the principles by which a court approaches the fact-finding exercise are worth restating. These principles apply to recollections of conversations where all parties give evidence of what was said and done, as well as specific cautions where one person, subsequently deceased, cannot give evidence as to conversations.</w:t>
      </w:r>
    </w:p>
    <w:p w14:paraId="5C462653" w14:textId="77777777" w:rsidR="00F10DC3" w:rsidRDefault="00F10DC3" w:rsidP="00F10DC3">
      <w:pPr>
        <w:pStyle w:val="NormalWeb"/>
        <w:shd w:val="clear" w:color="auto" w:fill="FFFFFF"/>
        <w:spacing w:before="60" w:beforeAutospacing="0" w:after="0" w:afterAutospacing="0"/>
        <w:ind w:left="567" w:right="567"/>
        <w:jc w:val="both"/>
        <w:rPr>
          <w:rFonts w:ascii="Arial" w:hAnsi="Arial" w:cs="Arial"/>
          <w:sz w:val="20"/>
          <w:szCs w:val="20"/>
        </w:rPr>
      </w:pPr>
      <w:r w:rsidRPr="00F10DC3">
        <w:rPr>
          <w:rFonts w:ascii="Arial" w:hAnsi="Arial" w:cs="Arial"/>
          <w:sz w:val="20"/>
          <w:szCs w:val="20"/>
        </w:rPr>
        <w:t xml:space="preserve">[228] The observations of McClelland J in </w:t>
      </w:r>
      <w:r w:rsidRPr="00F10DC3">
        <w:rPr>
          <w:rFonts w:ascii="Arial" w:hAnsi="Arial" w:cs="Arial"/>
          <w:i/>
          <w:iCs/>
          <w:sz w:val="20"/>
          <w:szCs w:val="20"/>
        </w:rPr>
        <w:t>Watson v Foxman</w:t>
      </w:r>
      <w:r w:rsidRPr="00F10DC3">
        <w:rPr>
          <w:rFonts w:ascii="Arial" w:hAnsi="Arial" w:cs="Arial"/>
          <w:sz w:val="20"/>
          <w:szCs w:val="20"/>
        </w:rPr>
        <w:t xml:space="preserve"> (1995) 49 NSWLR 315, 319 are frequently quoted as to the difficulty generally with evidence of recollection of</w:t>
      </w:r>
      <w:r w:rsidRPr="00162CDC">
        <w:rPr>
          <w:rFonts w:ascii="Arial" w:hAnsi="Arial" w:cs="Arial"/>
          <w:sz w:val="20"/>
          <w:szCs w:val="20"/>
        </w:rPr>
        <w:t xml:space="preserve"> spoken words: </w:t>
      </w:r>
    </w:p>
    <w:p w14:paraId="6420903A" w14:textId="5401988C" w:rsidR="00F10DC3" w:rsidRPr="00F10DC3" w:rsidRDefault="00F10DC3" w:rsidP="00F10DC3">
      <w:pPr>
        <w:pStyle w:val="NormalWeb"/>
        <w:shd w:val="clear" w:color="auto" w:fill="FFFFFF"/>
        <w:spacing w:before="60" w:beforeAutospacing="0" w:after="0" w:afterAutospacing="0"/>
        <w:ind w:left="1021" w:right="1021"/>
        <w:jc w:val="both"/>
        <w:rPr>
          <w:rFonts w:ascii="Arial" w:hAnsi="Arial" w:cs="Arial"/>
          <w:sz w:val="18"/>
          <w:szCs w:val="18"/>
        </w:rPr>
      </w:pPr>
      <w:r w:rsidRPr="00F10DC3">
        <w:rPr>
          <w:rFonts w:ascii="Arial" w:hAnsi="Arial" w:cs="Arial"/>
          <w:sz w:val="18"/>
          <w:szCs w:val="18"/>
        </w:rPr>
        <w:t xml:space="preserve">In many cases (but not all) the question of whether spoken words were misleading may depend on what, if examined at the time, may have been seen as relatively subtle nuances flowing from the use of one word, phrase or grammatical construction rather than another, or the presence or absence of some qualifying word or phrase, or conditions. Furthermore human memory of what was said in a conversation is fallible for a variety of reasons and ordinarily the degree of fallibility increases with the passage of time, particularly where disputes or litigation intervened and the process of memory are overlaid, often subconsciously, by perceptions or </w:t>
      </w:r>
      <w:proofErr w:type="spellStart"/>
      <w:r w:rsidRPr="00F10DC3">
        <w:rPr>
          <w:rFonts w:ascii="Arial" w:hAnsi="Arial" w:cs="Arial"/>
          <w:sz w:val="18"/>
          <w:szCs w:val="18"/>
        </w:rPr>
        <w:t>self interest</w:t>
      </w:r>
      <w:proofErr w:type="spellEnd"/>
      <w:r w:rsidRPr="00F10DC3">
        <w:rPr>
          <w:rFonts w:ascii="Arial" w:hAnsi="Arial" w:cs="Arial"/>
          <w:sz w:val="18"/>
          <w:szCs w:val="18"/>
        </w:rPr>
        <w:t xml:space="preserve"> as well as conscious consideration of what should have been said or could have been said, all too often what is remembered is little more than an impression from which plausible details are then, often subconsciously, constructed. All this is a matter of ordinary human experience.</w:t>
      </w:r>
    </w:p>
    <w:p w14:paraId="06533CF2" w14:textId="3AB35B75" w:rsidR="00F10DC3" w:rsidRDefault="00F10DC3" w:rsidP="00F10DC3">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[229] </w:t>
      </w:r>
      <w:r w:rsidRPr="00162CDC">
        <w:rPr>
          <w:rFonts w:ascii="Arial" w:hAnsi="Arial" w:cs="Arial"/>
          <w:sz w:val="20"/>
          <w:szCs w:val="20"/>
        </w:rPr>
        <w:t xml:space="preserve">In the context of fact-finding where credit findings assume significance, </w:t>
      </w:r>
      <w:proofErr w:type="spellStart"/>
      <w:r w:rsidRPr="00162CDC">
        <w:rPr>
          <w:rFonts w:ascii="Arial" w:hAnsi="Arial" w:cs="Arial"/>
          <w:sz w:val="20"/>
          <w:szCs w:val="20"/>
        </w:rPr>
        <w:t>Hallen</w:t>
      </w:r>
      <w:proofErr w:type="spellEnd"/>
      <w:r w:rsidRPr="00162CDC">
        <w:rPr>
          <w:rFonts w:ascii="Arial" w:hAnsi="Arial" w:cs="Arial"/>
          <w:sz w:val="20"/>
          <w:szCs w:val="20"/>
        </w:rPr>
        <w:t xml:space="preserve"> J summarised the principles in </w:t>
      </w:r>
      <w:r w:rsidRPr="00F10DC3">
        <w:rPr>
          <w:rFonts w:ascii="Arial" w:hAnsi="Arial" w:cs="Arial"/>
          <w:i/>
          <w:iCs/>
          <w:sz w:val="20"/>
          <w:szCs w:val="20"/>
        </w:rPr>
        <w:t>Pollock v NSW Trustee and Guardian</w:t>
      </w:r>
      <w:r>
        <w:rPr>
          <w:rFonts w:ascii="Arial" w:hAnsi="Arial" w:cs="Arial"/>
          <w:sz w:val="20"/>
          <w:szCs w:val="20"/>
        </w:rPr>
        <w:t xml:space="preserve"> [2022] NSWSC 923, [73]-[93]</w:t>
      </w:r>
      <w:r w:rsidRPr="00162CDC">
        <w:rPr>
          <w:rFonts w:ascii="Arial" w:hAnsi="Arial" w:cs="Arial"/>
          <w:sz w:val="20"/>
          <w:szCs w:val="20"/>
        </w:rPr>
        <w:t xml:space="preserve">. </w:t>
      </w:r>
      <w:r w:rsidR="00191D39">
        <w:rPr>
          <w:rFonts w:ascii="Arial" w:hAnsi="Arial" w:cs="Arial"/>
          <w:sz w:val="20"/>
          <w:szCs w:val="20"/>
        </w:rPr>
        <w:t xml:space="preserve"> </w:t>
      </w:r>
      <w:r w:rsidRPr="00162CDC">
        <w:rPr>
          <w:rFonts w:ascii="Arial" w:hAnsi="Arial" w:cs="Arial"/>
          <w:sz w:val="20"/>
          <w:szCs w:val="20"/>
        </w:rPr>
        <w:t>Relevant to this case those principles include:</w:t>
      </w:r>
    </w:p>
    <w:p w14:paraId="479ACFC4" w14:textId="007D2EB4"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(a)</w:t>
      </w:r>
      <w:r>
        <w:rPr>
          <w:rFonts w:ascii="Arial" w:hAnsi="Arial" w:cs="Arial"/>
          <w:sz w:val="20"/>
          <w:szCs w:val="20"/>
        </w:rPr>
        <w:tab/>
      </w:r>
      <w:r w:rsidRPr="00162CDC">
        <w:rPr>
          <w:rFonts w:ascii="Arial" w:hAnsi="Arial" w:cs="Arial"/>
          <w:sz w:val="20"/>
          <w:szCs w:val="20"/>
        </w:rPr>
        <w:t>Proof of a fact requires the court to feel actual persuasion of the existence of that fact, not simply a mechanical comparison of probability</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[74], citing </w:t>
      </w:r>
      <w:r w:rsidR="001D5204" w:rsidRPr="001D5204">
        <w:rPr>
          <w:rFonts w:ascii="Arial" w:hAnsi="Arial" w:cs="Arial"/>
          <w:i/>
          <w:iCs/>
          <w:sz w:val="20"/>
          <w:szCs w:val="20"/>
        </w:rPr>
        <w:t>Warner v Hung</w:t>
      </w:r>
      <w:r w:rsidR="001D5204" w:rsidRPr="00162CDC">
        <w:rPr>
          <w:rFonts w:ascii="Arial" w:hAnsi="Arial" w:cs="Arial"/>
          <w:sz w:val="20"/>
          <w:szCs w:val="20"/>
        </w:rPr>
        <w:t xml:space="preserve"> (2011) 297 ALR 56; and </w:t>
      </w:r>
      <w:r w:rsidR="001D5204" w:rsidRPr="001D5204">
        <w:rPr>
          <w:rFonts w:ascii="Arial" w:hAnsi="Arial" w:cs="Arial"/>
          <w:i/>
          <w:iCs/>
          <w:sz w:val="20"/>
          <w:szCs w:val="20"/>
        </w:rPr>
        <w:t xml:space="preserve">NOM v Director of Public Prosecutions </w:t>
      </w:r>
      <w:r w:rsidR="001D5204" w:rsidRPr="00162CDC">
        <w:rPr>
          <w:rFonts w:ascii="Arial" w:hAnsi="Arial" w:cs="Arial"/>
          <w:sz w:val="20"/>
          <w:szCs w:val="20"/>
        </w:rPr>
        <w:t>(2012) 38 VR 16, [106]-[109].</w:t>
      </w:r>
    </w:p>
    <w:p w14:paraId="70A52623" w14:textId="396DA17D"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lastRenderedPageBreak/>
        <w:t>(b)</w:t>
      </w:r>
      <w:r>
        <w:rPr>
          <w:rFonts w:ascii="Arial" w:hAnsi="Arial" w:cs="Arial"/>
          <w:sz w:val="20"/>
          <w:szCs w:val="20"/>
        </w:rPr>
        <w:tab/>
      </w:r>
      <w:r w:rsidRPr="00162CDC">
        <w:rPr>
          <w:rFonts w:ascii="Arial" w:hAnsi="Arial" w:cs="Arial"/>
          <w:sz w:val="20"/>
          <w:szCs w:val="20"/>
        </w:rPr>
        <w:t>The credibility, veracity or motives of a witness may be tested by reference to objective facts proved independently of the oral evidence given and in particular by reference to documents</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[76], quoting </w:t>
      </w:r>
      <w:r w:rsidR="001D5204" w:rsidRPr="001D5204">
        <w:rPr>
          <w:rFonts w:ascii="Arial" w:hAnsi="Arial" w:cs="Arial"/>
          <w:i/>
          <w:iCs/>
          <w:sz w:val="20"/>
          <w:szCs w:val="20"/>
        </w:rPr>
        <w:t xml:space="preserve">Re Kit Digital Australia Pty Ltd (in </w:t>
      </w:r>
      <w:proofErr w:type="spellStart"/>
      <w:r w:rsidR="001D5204" w:rsidRPr="001D5204">
        <w:rPr>
          <w:rFonts w:ascii="Arial" w:hAnsi="Arial" w:cs="Arial"/>
          <w:i/>
          <w:iCs/>
          <w:sz w:val="20"/>
          <w:szCs w:val="20"/>
        </w:rPr>
        <w:t>liq</w:t>
      </w:r>
      <w:proofErr w:type="spellEnd"/>
      <w:r w:rsidR="001D5204" w:rsidRPr="001D5204">
        <w:rPr>
          <w:rFonts w:ascii="Arial" w:hAnsi="Arial" w:cs="Arial"/>
          <w:i/>
          <w:iCs/>
          <w:sz w:val="20"/>
          <w:szCs w:val="20"/>
        </w:rPr>
        <w:t>)</w:t>
      </w:r>
      <w:r w:rsidR="001D5204" w:rsidRPr="00162CDC">
        <w:rPr>
          <w:rFonts w:ascii="Arial" w:hAnsi="Arial" w:cs="Arial"/>
          <w:sz w:val="20"/>
          <w:szCs w:val="20"/>
        </w:rPr>
        <w:t xml:space="preserve"> [2014] NSWSC 1547 at [7].</w:t>
      </w:r>
    </w:p>
    <w:p w14:paraId="43311528" w14:textId="7FF2AADE"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(c)</w:t>
      </w:r>
      <w:r>
        <w:rPr>
          <w:rFonts w:ascii="Arial" w:hAnsi="Arial" w:cs="Arial"/>
          <w:sz w:val="20"/>
          <w:szCs w:val="20"/>
        </w:rPr>
        <w:tab/>
      </w:r>
      <w:r w:rsidRPr="00162CDC">
        <w:rPr>
          <w:rFonts w:ascii="Arial" w:hAnsi="Arial" w:cs="Arial"/>
          <w:sz w:val="20"/>
          <w:szCs w:val="20"/>
        </w:rPr>
        <w:t>Evidence of the words and actions of the person subsequently deceased, given by those who carry the onus of proof, should be approached with ‘suspicion’ given the other person cannot give their own version of what took place</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[78], quoting </w:t>
      </w:r>
      <w:r w:rsidR="001D5204" w:rsidRPr="001D5204">
        <w:rPr>
          <w:rFonts w:ascii="Arial" w:hAnsi="Arial" w:cs="Arial"/>
          <w:i/>
          <w:iCs/>
          <w:sz w:val="20"/>
          <w:szCs w:val="20"/>
        </w:rPr>
        <w:t>Thomas v Times Book Co</w:t>
      </w:r>
      <w:r w:rsidR="001D5204" w:rsidRPr="00162CDC">
        <w:rPr>
          <w:rFonts w:ascii="Arial" w:hAnsi="Arial" w:cs="Arial"/>
          <w:sz w:val="20"/>
          <w:szCs w:val="20"/>
        </w:rPr>
        <w:t xml:space="preserve"> [1966] 2 All ER 241 at 244.</w:t>
      </w:r>
      <w:r w:rsidRPr="00162CDC">
        <w:rPr>
          <w:rFonts w:ascii="Arial" w:hAnsi="Arial" w:cs="Arial"/>
          <w:sz w:val="20"/>
          <w:szCs w:val="20"/>
        </w:rPr>
        <w:t xml:space="preserve"> Suspicion in this context means the evidence is approached with great care and scrutiny such that ‘the evidence ought be thoroughly sifted, and in the mind of</w:t>
      </w:r>
      <w:r w:rsidRPr="00F10DC3">
        <w:rPr>
          <w:rFonts w:ascii="Arial" w:hAnsi="Arial" w:cs="Arial"/>
          <w:sz w:val="20"/>
          <w:szCs w:val="20"/>
        </w:rPr>
        <w:t xml:space="preserve"> </w:t>
      </w:r>
      <w:r w:rsidRPr="00162CDC">
        <w:rPr>
          <w:rFonts w:ascii="Arial" w:hAnsi="Arial" w:cs="Arial"/>
          <w:sz w:val="20"/>
          <w:szCs w:val="20"/>
        </w:rPr>
        <w:t>any judge who hears it ought to be, first of all, in a state of suspicion; but if in the end the truthfulness of the witness is made perfectly clear and apparent’, and the court believes their evidence, then it may act on that evidence.</w:t>
      </w:r>
    </w:p>
    <w:p w14:paraId="75AFB61F" w14:textId="4BDA3027" w:rsidR="00F10DC3" w:rsidRDefault="00F10DC3" w:rsidP="00F10DC3">
      <w:pPr>
        <w:pStyle w:val="NormalWeb"/>
        <w:shd w:val="clear" w:color="auto" w:fill="FFFFFF"/>
        <w:spacing w:before="60" w:beforeAutospacing="0" w:after="0" w:afterAutospacing="0"/>
        <w:ind w:left="1021" w:right="567" w:hanging="454"/>
        <w:jc w:val="both"/>
        <w:rPr>
          <w:rFonts w:ascii="Arial" w:hAnsi="Arial" w:cs="Arial"/>
          <w:sz w:val="20"/>
          <w:szCs w:val="20"/>
        </w:rPr>
      </w:pPr>
      <w:r w:rsidRPr="00162CDC">
        <w:rPr>
          <w:rFonts w:ascii="Arial" w:hAnsi="Arial" w:cs="Arial"/>
          <w:sz w:val="20"/>
          <w:szCs w:val="20"/>
        </w:rPr>
        <w:t>(d)</w:t>
      </w:r>
      <w:r>
        <w:rPr>
          <w:rFonts w:ascii="Arial" w:hAnsi="Arial" w:cs="Arial"/>
          <w:sz w:val="20"/>
          <w:szCs w:val="20"/>
        </w:rPr>
        <w:tab/>
      </w:r>
      <w:r w:rsidRPr="00162CDC">
        <w:rPr>
          <w:rFonts w:ascii="Arial" w:hAnsi="Arial" w:cs="Arial"/>
          <w:sz w:val="20"/>
          <w:szCs w:val="20"/>
        </w:rPr>
        <w:t>In particular, evidence of conversations with a deceased is treated with care given the deceased is not available to confirm or deny, or to expand or explain the conversations. Memories of such conversations deteriorate with time. Additional caution is needed and the expectation that independent evidence of such conversations, where available, is led.</w:t>
      </w:r>
    </w:p>
    <w:p w14:paraId="0C762216" w14:textId="5927BF5D" w:rsidR="00F10DC3" w:rsidRDefault="00F10DC3" w:rsidP="001D5204">
      <w:pPr>
        <w:pStyle w:val="NormalWeb"/>
        <w:shd w:val="clear" w:color="auto" w:fill="FFFFFF"/>
        <w:spacing w:before="60" w:beforeAutospacing="0" w:after="0" w:afterAutospacing="0"/>
        <w:ind w:left="1021" w:right="567" w:hanging="454"/>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162CDC">
        <w:rPr>
          <w:rFonts w:ascii="Arial" w:hAnsi="Arial" w:cs="Arial"/>
          <w:sz w:val="20"/>
          <w:szCs w:val="20"/>
        </w:rPr>
        <w:t>In relation to such conversations, there is a significant risk of reconstruction</w:t>
      </w:r>
      <w:r w:rsidR="001D5204">
        <w:rPr>
          <w:rFonts w:ascii="Arial" w:hAnsi="Arial" w:cs="Arial"/>
          <w:sz w:val="20"/>
          <w:szCs w:val="20"/>
        </w:rPr>
        <w:t xml:space="preserve"> {</w:t>
      </w:r>
      <w:r w:rsidR="001D5204" w:rsidRPr="001D5204">
        <w:rPr>
          <w:rFonts w:ascii="Arial" w:hAnsi="Arial" w:cs="Arial"/>
          <w:i/>
          <w:iCs/>
          <w:sz w:val="20"/>
          <w:szCs w:val="20"/>
        </w:rPr>
        <w:t>Pollock</w:t>
      </w:r>
      <w:r w:rsidR="001D5204" w:rsidRPr="00162CDC">
        <w:rPr>
          <w:rFonts w:ascii="Arial" w:hAnsi="Arial" w:cs="Arial"/>
          <w:sz w:val="20"/>
          <w:szCs w:val="20"/>
        </w:rPr>
        <w:t xml:space="preserve"> </w:t>
      </w:r>
      <w:r w:rsidR="001D5204">
        <w:rPr>
          <w:rFonts w:ascii="Arial" w:hAnsi="Arial" w:cs="Arial"/>
          <w:sz w:val="20"/>
          <w:szCs w:val="20"/>
        </w:rPr>
        <w:t>at</w:t>
      </w:r>
      <w:r w:rsidR="001D5204" w:rsidRPr="00162CDC">
        <w:rPr>
          <w:rFonts w:ascii="Arial" w:hAnsi="Arial" w:cs="Arial"/>
          <w:sz w:val="20"/>
          <w:szCs w:val="20"/>
        </w:rPr>
        <w:t xml:space="preserve"> [83]</w:t>
      </w:r>
      <w:r w:rsidR="001D5204">
        <w:rPr>
          <w:rFonts w:ascii="Arial" w:hAnsi="Arial" w:cs="Arial"/>
          <w:sz w:val="20"/>
          <w:szCs w:val="20"/>
        </w:rPr>
        <w:t>,</w:t>
      </w:r>
      <w:r w:rsidR="001D5204" w:rsidRPr="00162CDC">
        <w:rPr>
          <w:rFonts w:ascii="Arial" w:hAnsi="Arial" w:cs="Arial"/>
          <w:sz w:val="20"/>
          <w:szCs w:val="20"/>
        </w:rPr>
        <w:t xml:space="preserve"> </w:t>
      </w:r>
      <w:r w:rsidR="001D5204" w:rsidRPr="00397B47">
        <w:rPr>
          <w:rFonts w:ascii="Arial" w:hAnsi="Arial" w:cs="Arial"/>
          <w:sz w:val="20"/>
          <w:szCs w:val="20"/>
        </w:rPr>
        <w:t xml:space="preserve">quoting </w:t>
      </w:r>
      <w:r w:rsidR="001D5204" w:rsidRPr="001D5204">
        <w:rPr>
          <w:rFonts w:ascii="Arial" w:hAnsi="Arial" w:cs="Arial"/>
          <w:i/>
          <w:iCs/>
          <w:sz w:val="20"/>
          <w:szCs w:val="20"/>
        </w:rPr>
        <w:t>Webb v Ryan</w:t>
      </w:r>
      <w:r w:rsidR="001D5204" w:rsidRPr="00162CDC">
        <w:rPr>
          <w:rFonts w:ascii="Arial" w:hAnsi="Arial" w:cs="Arial"/>
          <w:sz w:val="20"/>
          <w:szCs w:val="20"/>
        </w:rPr>
        <w:t xml:space="preserve"> [2012] VSC 377, [22]</w:t>
      </w:r>
      <w:r w:rsidR="001D5204">
        <w:rPr>
          <w:rFonts w:ascii="Arial" w:hAnsi="Arial" w:cs="Arial"/>
          <w:sz w:val="20"/>
          <w:szCs w:val="20"/>
        </w:rPr>
        <w:t xml:space="preserve">} </w:t>
      </w:r>
      <w:r w:rsidRPr="00162CDC">
        <w:rPr>
          <w:rFonts w:ascii="Arial" w:hAnsi="Arial" w:cs="Arial"/>
          <w:sz w:val="20"/>
          <w:szCs w:val="20"/>
        </w:rPr>
        <w:t>and the process of litigation itself subjects memories to powerful biases</w:t>
      </w:r>
      <w:r w:rsidR="001D5204">
        <w:rPr>
          <w:rFonts w:ascii="Arial" w:hAnsi="Arial" w:cs="Arial"/>
          <w:sz w:val="20"/>
          <w:szCs w:val="20"/>
        </w:rPr>
        <w:t xml:space="preserve">: </w:t>
      </w:r>
      <w:r w:rsidR="001D5204" w:rsidRPr="001D5204">
        <w:rPr>
          <w:rFonts w:ascii="Arial" w:hAnsi="Arial" w:cs="Arial"/>
          <w:i/>
          <w:iCs/>
          <w:sz w:val="20"/>
          <w:szCs w:val="20"/>
        </w:rPr>
        <w:t>Pollock</w:t>
      </w:r>
      <w:r w:rsidR="001D5204">
        <w:rPr>
          <w:rFonts w:ascii="Arial" w:hAnsi="Arial" w:cs="Arial"/>
          <w:sz w:val="20"/>
          <w:szCs w:val="20"/>
        </w:rPr>
        <w:t xml:space="preserve"> at [85]</w:t>
      </w:r>
      <w:r w:rsidRPr="00162CDC">
        <w:rPr>
          <w:rFonts w:ascii="Arial" w:hAnsi="Arial" w:cs="Arial"/>
          <w:sz w:val="20"/>
          <w:szCs w:val="20"/>
        </w:rPr>
        <w:t>. The prospect not only of unconscious reconstruction, but of a self-interest to give evidence favourable to one’s case, requires a court to proceed with caution.</w:t>
      </w:r>
    </w:p>
    <w:p w14:paraId="64E544D3" w14:textId="1FEDF008" w:rsidR="001D5204" w:rsidRPr="00D92FA4" w:rsidRDefault="001D5204" w:rsidP="001D5204">
      <w:pPr>
        <w:pStyle w:val="NormalWeb"/>
        <w:shd w:val="clear" w:color="auto" w:fill="FFFFFF"/>
        <w:spacing w:before="60" w:beforeAutospacing="0" w:after="0" w:afterAutospacing="0"/>
        <w:ind w:left="1021" w:right="567" w:hanging="454"/>
        <w:jc w:val="both"/>
        <w:rPr>
          <w:rFonts w:ascii="Arial" w:hAnsi="Arial" w:cs="Arial"/>
          <w:sz w:val="20"/>
          <w:szCs w:val="20"/>
        </w:rPr>
      </w:pPr>
      <w:r>
        <w:rPr>
          <w:rFonts w:ascii="Arial" w:hAnsi="Arial" w:cs="Arial"/>
          <w:sz w:val="20"/>
          <w:szCs w:val="20"/>
        </w:rPr>
        <w:t>[230] As a result of the cautions attaching to present recollection of words and conversations, greater weight is usually accorded to contemporaneous documents as ‘safer repository of reliable fact’ {</w:t>
      </w:r>
      <w:r w:rsidRPr="001D5204">
        <w:rPr>
          <w:rFonts w:ascii="Arial" w:hAnsi="Arial" w:cs="Arial"/>
          <w:i/>
          <w:iCs/>
          <w:sz w:val="20"/>
          <w:szCs w:val="20"/>
        </w:rPr>
        <w:t>Pollock</w:t>
      </w:r>
      <w:r>
        <w:rPr>
          <w:rFonts w:ascii="Arial" w:hAnsi="Arial" w:cs="Arial"/>
          <w:sz w:val="20"/>
          <w:szCs w:val="20"/>
        </w:rPr>
        <w:t xml:space="preserve"> at [88]}, subject to consideration of who has prepared those documents.  This is not to discount recollection but to assess it in ‘its proper place alongside contemporaneous documentary evidence and other evidence upon which undoubted or probable reliance can be placed’ {</w:t>
      </w:r>
      <w:r w:rsidRPr="00397B47">
        <w:rPr>
          <w:rFonts w:ascii="Arial" w:hAnsi="Arial" w:cs="Arial"/>
          <w:i/>
          <w:iCs/>
          <w:sz w:val="20"/>
          <w:szCs w:val="20"/>
        </w:rPr>
        <w:t>Pollock</w:t>
      </w:r>
      <w:r>
        <w:rPr>
          <w:rFonts w:ascii="Arial" w:hAnsi="Arial" w:cs="Arial"/>
          <w:sz w:val="20"/>
          <w:szCs w:val="20"/>
        </w:rPr>
        <w:t xml:space="preserve"> at [88], quoting </w:t>
      </w:r>
      <w:r w:rsidRPr="00397B47">
        <w:rPr>
          <w:rFonts w:ascii="Arial" w:hAnsi="Arial" w:cs="Arial"/>
          <w:i/>
          <w:iCs/>
          <w:sz w:val="20"/>
          <w:szCs w:val="20"/>
        </w:rPr>
        <w:t>Kogan v Martin</w:t>
      </w:r>
      <w:r>
        <w:rPr>
          <w:rFonts w:ascii="Arial" w:hAnsi="Arial" w:cs="Arial"/>
          <w:sz w:val="20"/>
          <w:szCs w:val="20"/>
        </w:rPr>
        <w:t xml:space="preserve"> [2019] EWCA Civ 1645}.”</w:t>
      </w:r>
    </w:p>
    <w:p w14:paraId="7DA057D8" w14:textId="77777777" w:rsidR="008C7C9C" w:rsidRDefault="008C7C9C">
      <w:pPr>
        <w:jc w:val="both"/>
        <w:rPr>
          <w:rFonts w:ascii="Arial" w:hAnsi="Arial" w:cs="Arial"/>
          <w:sz w:val="20"/>
        </w:rPr>
      </w:pPr>
    </w:p>
    <w:p w14:paraId="2843CD3E" w14:textId="394D7E7F" w:rsidR="006C4A9A" w:rsidRDefault="006C4A9A" w:rsidP="006C4A9A">
      <w:pPr>
        <w:pStyle w:val="Heading3"/>
        <w:keepNext/>
        <w:widowControl/>
        <w:spacing w:line="240" w:lineRule="auto"/>
        <w:ind w:left="737" w:hanging="737"/>
        <w:rPr>
          <w:rFonts w:ascii="Arial" w:hAnsi="Arial" w:cs="Arial"/>
          <w:sz w:val="20"/>
        </w:rPr>
      </w:pPr>
      <w:bookmarkStart w:id="589" w:name="_3.5.3.9_Inadmissibility_without"/>
      <w:bookmarkEnd w:id="589"/>
      <w:r w:rsidRPr="008C3BC8">
        <w:rPr>
          <w:rFonts w:ascii="Arial" w:hAnsi="Arial" w:cs="Arial"/>
          <w:b/>
          <w:bCs/>
          <w:color w:val="000000"/>
          <w:sz w:val="20"/>
        </w:rPr>
        <w:t>3.5.</w:t>
      </w:r>
      <w:r>
        <w:rPr>
          <w:rFonts w:ascii="Arial" w:hAnsi="Arial" w:cs="Arial"/>
          <w:b/>
          <w:bCs/>
          <w:color w:val="000000"/>
          <w:sz w:val="20"/>
        </w:rPr>
        <w:t>3.9</w:t>
      </w:r>
      <w:r>
        <w:rPr>
          <w:rFonts w:ascii="Arial" w:hAnsi="Arial" w:cs="Arial"/>
          <w:b/>
          <w:bCs/>
          <w:color w:val="000000"/>
          <w:sz w:val="20"/>
        </w:rPr>
        <w:tab/>
        <w:t xml:space="preserve">Leave required to adduce confidential communication or protected health </w:t>
      </w:r>
      <w:proofErr w:type="gramStart"/>
      <w:r>
        <w:rPr>
          <w:rFonts w:ascii="Arial" w:hAnsi="Arial" w:cs="Arial"/>
          <w:b/>
          <w:bCs/>
          <w:color w:val="000000"/>
          <w:sz w:val="20"/>
        </w:rPr>
        <w:t>information</w:t>
      </w:r>
      <w:proofErr w:type="gramEnd"/>
    </w:p>
    <w:p w14:paraId="166A9517" w14:textId="72FA400D" w:rsidR="006C4A9A" w:rsidRDefault="00B22FB4" w:rsidP="006C4A9A">
      <w:pPr>
        <w:spacing w:before="120"/>
        <w:jc w:val="both"/>
        <w:rPr>
          <w:rFonts w:ascii="Arial" w:hAnsi="Arial" w:cs="Arial"/>
          <w:sz w:val="20"/>
        </w:rPr>
      </w:pPr>
      <w:r>
        <w:rPr>
          <w:rFonts w:ascii="Arial" w:hAnsi="Arial" w:cs="Arial"/>
          <w:sz w:val="20"/>
        </w:rPr>
        <w:t xml:space="preserve">The provisions of </w:t>
      </w:r>
      <w:r w:rsidR="006C4A9A">
        <w:rPr>
          <w:rFonts w:ascii="Arial" w:hAnsi="Arial" w:cs="Arial"/>
          <w:sz w:val="20"/>
        </w:rPr>
        <w:t xml:space="preserve">Division 2A of the </w:t>
      </w:r>
      <w:r w:rsidR="006C4A9A" w:rsidRPr="00AD1396">
        <w:rPr>
          <w:rFonts w:ascii="Arial" w:hAnsi="Arial" w:cs="Arial"/>
          <w:i/>
          <w:iCs/>
          <w:sz w:val="20"/>
          <w:szCs w:val="20"/>
        </w:rPr>
        <w:t>Evidence (Miscellaneous Provisions) Act 1958</w:t>
      </w:r>
      <w:r w:rsidR="006C4A9A">
        <w:rPr>
          <w:rFonts w:ascii="Arial" w:hAnsi="Arial" w:cs="Arial"/>
          <w:sz w:val="20"/>
          <w:szCs w:val="20"/>
        </w:rPr>
        <w:t xml:space="preserve"> [the EMPA] </w:t>
      </w:r>
      <w:r>
        <w:rPr>
          <w:rFonts w:ascii="Arial" w:hAnsi="Arial" w:cs="Arial"/>
          <w:sz w:val="20"/>
          <w:szCs w:val="20"/>
        </w:rPr>
        <w:t xml:space="preserve">provide that leave of a court is generally required to compel the production of – </w:t>
      </w:r>
      <w:r w:rsidR="00506DE2">
        <w:rPr>
          <w:rFonts w:ascii="Arial" w:hAnsi="Arial" w:cs="Arial"/>
          <w:sz w:val="20"/>
          <w:szCs w:val="20"/>
        </w:rPr>
        <w:t xml:space="preserve">and to adduce evidence of – </w:t>
      </w:r>
      <w:r>
        <w:rPr>
          <w:rFonts w:ascii="Arial" w:hAnsi="Arial" w:cs="Arial"/>
          <w:sz w:val="20"/>
          <w:szCs w:val="20"/>
        </w:rPr>
        <w:t xml:space="preserve">confidential communications and protected health information.  </w:t>
      </w:r>
      <w:r w:rsidR="00756701">
        <w:rPr>
          <w:rFonts w:ascii="Arial" w:hAnsi="Arial" w:cs="Arial"/>
          <w:sz w:val="20"/>
          <w:szCs w:val="20"/>
        </w:rPr>
        <w:t xml:space="preserve">Section 32AB sets out the guiding principles to which a court is required to have regard when deciding </w:t>
      </w:r>
      <w:proofErr w:type="gramStart"/>
      <w:r w:rsidR="00756701">
        <w:rPr>
          <w:rFonts w:ascii="Arial" w:hAnsi="Arial" w:cs="Arial"/>
          <w:sz w:val="20"/>
          <w:szCs w:val="20"/>
        </w:rPr>
        <w:t>whether or not</w:t>
      </w:r>
      <w:proofErr w:type="gramEnd"/>
      <w:r w:rsidR="00756701">
        <w:rPr>
          <w:rFonts w:ascii="Arial" w:hAnsi="Arial" w:cs="Arial"/>
          <w:sz w:val="20"/>
          <w:szCs w:val="20"/>
        </w:rPr>
        <w:t xml:space="preserve"> to grant leave to compel production of or adduce evidence of a confidential communication or protected health information.</w:t>
      </w:r>
    </w:p>
    <w:p w14:paraId="06E7AA05" w14:textId="77777777" w:rsidR="006C4A9A" w:rsidRDefault="006C4A9A" w:rsidP="006C4A9A">
      <w:pPr>
        <w:spacing w:before="120"/>
        <w:jc w:val="both"/>
        <w:rPr>
          <w:rFonts w:ascii="Arial" w:hAnsi="Arial" w:cs="Arial"/>
          <w:sz w:val="20"/>
          <w:szCs w:val="20"/>
        </w:rPr>
      </w:pPr>
      <w:r>
        <w:rPr>
          <w:rFonts w:ascii="Arial" w:hAnsi="Arial" w:cs="Arial"/>
          <w:sz w:val="20"/>
          <w:szCs w:val="20"/>
        </w:rPr>
        <w:t xml:space="preserve">Under s.32B(1) of the EMPA </w:t>
      </w:r>
      <w:r w:rsidRPr="00AD1396">
        <w:rPr>
          <w:rFonts w:ascii="Arial" w:hAnsi="Arial" w:cs="Arial"/>
          <w:sz w:val="20"/>
          <w:szCs w:val="20"/>
        </w:rPr>
        <w:t xml:space="preserve">a ‘confidential communication’ includes an oral or written communication made in confidence by a person against whom a sexual offence has been committed to a counsellor </w:t>
      </w:r>
      <w:proofErr w:type="gramStart"/>
      <w:r w:rsidRPr="00AD1396">
        <w:rPr>
          <w:rFonts w:ascii="Arial" w:hAnsi="Arial" w:cs="Arial"/>
          <w:sz w:val="20"/>
          <w:szCs w:val="20"/>
        </w:rPr>
        <w:t>in the course of</w:t>
      </w:r>
      <w:proofErr w:type="gramEnd"/>
      <w:r w:rsidRPr="00AD1396">
        <w:rPr>
          <w:rFonts w:ascii="Arial" w:hAnsi="Arial" w:cs="Arial"/>
          <w:sz w:val="20"/>
          <w:szCs w:val="20"/>
        </w:rPr>
        <w:t xml:space="preserve"> the relationship of counsellor and client and a ‘protected person’ is the person who made the confidential communication.</w:t>
      </w:r>
    </w:p>
    <w:p w14:paraId="72D6ECD2" w14:textId="4A1629B2" w:rsidR="00E91692" w:rsidRDefault="00756701" w:rsidP="006C4A9A">
      <w:pPr>
        <w:spacing w:before="120"/>
        <w:jc w:val="both"/>
        <w:rPr>
          <w:rFonts w:ascii="Arial" w:hAnsi="Arial" w:cs="Arial"/>
          <w:sz w:val="20"/>
          <w:szCs w:val="20"/>
        </w:rPr>
      </w:pPr>
      <w:r>
        <w:rPr>
          <w:rFonts w:ascii="Arial" w:hAnsi="Arial" w:cs="Arial"/>
          <w:sz w:val="20"/>
          <w:szCs w:val="20"/>
        </w:rPr>
        <w:t xml:space="preserve">Under s.32BA </w:t>
      </w:r>
      <w:r w:rsidR="00E91692">
        <w:rPr>
          <w:rFonts w:ascii="Arial" w:hAnsi="Arial" w:cs="Arial"/>
          <w:sz w:val="20"/>
          <w:szCs w:val="20"/>
        </w:rPr>
        <w:t>‘</w:t>
      </w:r>
      <w:r w:rsidR="00E91692" w:rsidRPr="00E91692">
        <w:rPr>
          <w:rFonts w:ascii="Arial" w:hAnsi="Arial" w:cs="Arial"/>
          <w:b/>
          <w:bCs/>
          <w:sz w:val="20"/>
          <w:szCs w:val="20"/>
        </w:rPr>
        <w:t>health information</w:t>
      </w:r>
      <w:r w:rsidR="00E91692" w:rsidRPr="00E91692">
        <w:rPr>
          <w:rFonts w:ascii="Arial" w:hAnsi="Arial" w:cs="Arial"/>
          <w:sz w:val="20"/>
          <w:szCs w:val="20"/>
        </w:rPr>
        <w:t>’</w:t>
      </w:r>
      <w:r w:rsidR="00E91692">
        <w:rPr>
          <w:rFonts w:ascii="Arial" w:hAnsi="Arial" w:cs="Arial"/>
          <w:sz w:val="20"/>
          <w:szCs w:val="20"/>
        </w:rPr>
        <w:t xml:space="preserve"> has the same meaning as in the </w:t>
      </w:r>
      <w:r w:rsidR="00E91692" w:rsidRPr="00E91692">
        <w:rPr>
          <w:rFonts w:ascii="Arial" w:hAnsi="Arial" w:cs="Arial"/>
          <w:i/>
          <w:iCs/>
          <w:sz w:val="20"/>
          <w:szCs w:val="20"/>
        </w:rPr>
        <w:t>Health Records Act 2001</w:t>
      </w:r>
      <w:r w:rsidR="00E91692">
        <w:rPr>
          <w:rFonts w:ascii="Arial" w:hAnsi="Arial" w:cs="Arial"/>
          <w:sz w:val="20"/>
          <w:szCs w:val="20"/>
        </w:rPr>
        <w:t xml:space="preserve"> and is ‘</w:t>
      </w:r>
      <w:r w:rsidR="00E91692" w:rsidRPr="00E91692">
        <w:rPr>
          <w:rFonts w:ascii="Arial" w:hAnsi="Arial" w:cs="Arial"/>
          <w:b/>
          <w:bCs/>
          <w:sz w:val="20"/>
          <w:szCs w:val="20"/>
        </w:rPr>
        <w:t>protected health information</w:t>
      </w:r>
      <w:r w:rsidR="00E91692" w:rsidRPr="00E91692">
        <w:rPr>
          <w:rFonts w:ascii="Arial" w:hAnsi="Arial" w:cs="Arial"/>
          <w:sz w:val="20"/>
          <w:szCs w:val="20"/>
        </w:rPr>
        <w:t>’</w:t>
      </w:r>
      <w:r w:rsidR="00E91692">
        <w:rPr>
          <w:rFonts w:ascii="Arial" w:hAnsi="Arial" w:cs="Arial"/>
          <w:sz w:val="20"/>
          <w:szCs w:val="20"/>
        </w:rPr>
        <w:t xml:space="preserve"> for the purposes of Division 2A if–</w:t>
      </w:r>
    </w:p>
    <w:p w14:paraId="7CB412BB" w14:textId="1536F052"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proceeding is a criminal proceeding; and</w:t>
      </w:r>
    </w:p>
    <w:p w14:paraId="21459750" w14:textId="1D17AD58"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proceeding relates (wholly or partly) to a charge for a sexual offence; and</w:t>
      </w:r>
    </w:p>
    <w:p w14:paraId="74C3F546" w14:textId="4A1B103E" w:rsid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the health information is about a person against whom that sexual offence is alleged to have been committed or any against whom any other sexual offence has been committed or is alleged to have been committed; and</w:t>
      </w:r>
    </w:p>
    <w:p w14:paraId="56569C67" w14:textId="2D917DC2" w:rsidR="00E91692" w:rsidRPr="00E91692" w:rsidRDefault="00E91692" w:rsidP="003E4770">
      <w:pPr>
        <w:pStyle w:val="ListParagraph"/>
        <w:numPr>
          <w:ilvl w:val="0"/>
          <w:numId w:val="117"/>
        </w:numPr>
        <w:ind w:left="357" w:hanging="357"/>
        <w:jc w:val="both"/>
        <w:rPr>
          <w:rFonts w:ascii="Arial" w:hAnsi="Arial" w:cs="Arial"/>
          <w:sz w:val="20"/>
        </w:rPr>
      </w:pPr>
      <w:r>
        <w:rPr>
          <w:rFonts w:ascii="Arial" w:hAnsi="Arial" w:cs="Arial"/>
          <w:sz w:val="20"/>
        </w:rPr>
        <w:t xml:space="preserve">the person </w:t>
      </w:r>
      <w:r w:rsidRPr="00E91692">
        <w:rPr>
          <w:rFonts w:ascii="Arial" w:hAnsi="Arial" w:cs="Arial"/>
          <w:sz w:val="20"/>
        </w:rPr>
        <w:t>who recorded or collected the information (or, if the information is an opinion, formed that opinion) did so in a professional capacity.</w:t>
      </w:r>
    </w:p>
    <w:p w14:paraId="23C3D6E7" w14:textId="65686132" w:rsidR="00E91692" w:rsidRDefault="00E91692" w:rsidP="005E5575">
      <w:pPr>
        <w:spacing w:before="120"/>
        <w:jc w:val="both"/>
        <w:rPr>
          <w:rFonts w:ascii="Arial" w:hAnsi="Arial" w:cs="Arial"/>
          <w:sz w:val="20"/>
          <w:szCs w:val="20"/>
        </w:rPr>
      </w:pPr>
      <w:r>
        <w:rPr>
          <w:rFonts w:ascii="Arial" w:hAnsi="Arial" w:cs="Arial"/>
          <w:sz w:val="20"/>
          <w:szCs w:val="20"/>
        </w:rPr>
        <w:t>Section 32C of the EMPA – headed “</w:t>
      </w:r>
      <w:r w:rsidRPr="00E91692">
        <w:rPr>
          <w:rFonts w:ascii="Arial" w:hAnsi="Arial" w:cs="Arial"/>
          <w:b/>
          <w:bCs/>
          <w:sz w:val="20"/>
          <w:szCs w:val="20"/>
        </w:rPr>
        <w:t>Exclusion of evidence of confidential communications and protected health information</w:t>
      </w:r>
      <w:r>
        <w:rPr>
          <w:rFonts w:ascii="Arial" w:hAnsi="Arial" w:cs="Arial"/>
          <w:sz w:val="20"/>
          <w:szCs w:val="20"/>
        </w:rPr>
        <w:t>” – provides:</w:t>
      </w:r>
    </w:p>
    <w:p w14:paraId="4BEB61A3" w14:textId="5147A6E5" w:rsidR="00E91692" w:rsidRPr="00AD1396" w:rsidRDefault="00E91692" w:rsidP="00CE4E2D">
      <w:pPr>
        <w:spacing w:before="60"/>
        <w:ind w:left="1191" w:right="567" w:hanging="624"/>
        <w:rPr>
          <w:rFonts w:ascii="Arial" w:hAnsi="Arial" w:cs="Arial"/>
          <w:sz w:val="20"/>
          <w:szCs w:val="20"/>
        </w:rPr>
      </w:pPr>
      <w:r>
        <w:rPr>
          <w:rFonts w:ascii="Arial" w:hAnsi="Arial" w:cs="Arial"/>
          <w:sz w:val="20"/>
          <w:szCs w:val="20"/>
        </w:rPr>
        <w:t>(1AA)</w:t>
      </w:r>
      <w:r>
        <w:rPr>
          <w:rFonts w:ascii="Arial" w:hAnsi="Arial" w:cs="Arial"/>
          <w:sz w:val="20"/>
          <w:szCs w:val="20"/>
        </w:rPr>
        <w:tab/>
      </w:r>
      <w:r w:rsidRPr="00AD1396">
        <w:rPr>
          <w:rFonts w:ascii="Arial" w:hAnsi="Arial" w:cs="Arial"/>
          <w:sz w:val="20"/>
          <w:szCs w:val="20"/>
        </w:rPr>
        <w:t>This section applies to the following information—</w:t>
      </w:r>
    </w:p>
    <w:p w14:paraId="4DE456FB" w14:textId="4BE9B5D9" w:rsidR="00DB171D" w:rsidRDefault="006C4A9A" w:rsidP="003E4770">
      <w:pPr>
        <w:pStyle w:val="DraftHeading3"/>
        <w:numPr>
          <w:ilvl w:val="0"/>
          <w:numId w:val="118"/>
        </w:numPr>
        <w:spacing w:before="0"/>
        <w:ind w:left="1656" w:right="567"/>
        <w:rPr>
          <w:rFonts w:ascii="Arial" w:hAnsi="Arial" w:cs="Arial"/>
          <w:sz w:val="20"/>
        </w:rPr>
      </w:pPr>
      <w:r w:rsidRPr="00AD1396">
        <w:rPr>
          <w:rFonts w:ascii="Arial" w:hAnsi="Arial" w:cs="Arial"/>
          <w:sz w:val="20"/>
        </w:rPr>
        <w:t xml:space="preserve">in a civil proceeding, a confidential </w:t>
      </w:r>
      <w:proofErr w:type="gramStart"/>
      <w:r w:rsidRPr="00AD1396">
        <w:rPr>
          <w:rFonts w:ascii="Arial" w:hAnsi="Arial" w:cs="Arial"/>
          <w:sz w:val="20"/>
        </w:rPr>
        <w:t>communication;</w:t>
      </w:r>
      <w:proofErr w:type="gramEnd"/>
    </w:p>
    <w:p w14:paraId="2BFD3920" w14:textId="6A25E701" w:rsidR="006C4A9A" w:rsidRPr="00AD1396" w:rsidRDefault="00DB171D" w:rsidP="003E4770">
      <w:pPr>
        <w:pStyle w:val="DraftHeading3"/>
        <w:numPr>
          <w:ilvl w:val="0"/>
          <w:numId w:val="118"/>
        </w:numPr>
        <w:spacing w:before="0"/>
        <w:ind w:left="1656" w:right="567"/>
        <w:rPr>
          <w:rFonts w:ascii="Arial" w:hAnsi="Arial" w:cs="Arial"/>
          <w:sz w:val="20"/>
        </w:rPr>
      </w:pPr>
      <w:r>
        <w:rPr>
          <w:rFonts w:ascii="Arial" w:hAnsi="Arial" w:cs="Arial"/>
          <w:sz w:val="20"/>
        </w:rPr>
        <w:t>in a criminal proceeding, a confidential communication or protected health information.</w:t>
      </w:r>
    </w:p>
    <w:p w14:paraId="59A901C8" w14:textId="3C96DBC6" w:rsidR="00DB171D" w:rsidRPr="00AD1396" w:rsidRDefault="006C4A9A" w:rsidP="00CE4E2D">
      <w:pPr>
        <w:spacing w:before="60"/>
        <w:ind w:left="1191" w:right="567" w:hanging="624"/>
        <w:jc w:val="both"/>
        <w:rPr>
          <w:rFonts w:ascii="Arial" w:hAnsi="Arial" w:cs="Arial"/>
          <w:sz w:val="20"/>
          <w:szCs w:val="20"/>
        </w:rPr>
      </w:pPr>
      <w:r w:rsidRPr="00AD1396">
        <w:rPr>
          <w:rFonts w:ascii="Arial" w:hAnsi="Arial" w:cs="Arial"/>
          <w:sz w:val="20"/>
          <w:szCs w:val="20"/>
        </w:rPr>
        <w:t>(1)</w:t>
      </w:r>
      <w:r w:rsidRPr="00AD1396">
        <w:rPr>
          <w:rFonts w:ascii="Arial" w:hAnsi="Arial" w:cs="Arial"/>
          <w:sz w:val="20"/>
          <w:szCs w:val="20"/>
        </w:rPr>
        <w:tab/>
        <w:t>In a legal proceeding—</w:t>
      </w:r>
    </w:p>
    <w:p w14:paraId="1FC68363" w14:textId="1A387B69"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lastRenderedPageBreak/>
        <w:t xml:space="preserve">a party cannot seek to compel another party to produce a document containing information to which this section </w:t>
      </w:r>
      <w:proofErr w:type="gramStart"/>
      <w:r w:rsidRPr="00AD1396">
        <w:rPr>
          <w:rFonts w:ascii="Arial" w:hAnsi="Arial" w:cs="Arial"/>
          <w:sz w:val="20"/>
        </w:rPr>
        <w:t>applies;</w:t>
      </w:r>
      <w:proofErr w:type="gramEnd"/>
    </w:p>
    <w:p w14:paraId="3E4A9138" w14:textId="03E323F2"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t xml:space="preserve">a document is not to be produced if it would disclose </w:t>
      </w:r>
      <w:bookmarkStart w:id="590" w:name="_Hlk138924367"/>
      <w:r w:rsidRPr="00AD1396">
        <w:rPr>
          <w:rFonts w:ascii="Arial" w:hAnsi="Arial" w:cs="Arial"/>
          <w:sz w:val="20"/>
        </w:rPr>
        <w:t xml:space="preserve">information to which this section </w:t>
      </w:r>
      <w:proofErr w:type="gramStart"/>
      <w:r w:rsidRPr="00AD1396">
        <w:rPr>
          <w:rFonts w:ascii="Arial" w:hAnsi="Arial" w:cs="Arial"/>
          <w:sz w:val="20"/>
        </w:rPr>
        <w:t>applies</w:t>
      </w:r>
      <w:bookmarkEnd w:id="590"/>
      <w:r w:rsidRPr="00AD1396">
        <w:rPr>
          <w:rFonts w:ascii="Arial" w:hAnsi="Arial" w:cs="Arial"/>
          <w:sz w:val="20"/>
        </w:rPr>
        <w:t>;</w:t>
      </w:r>
      <w:proofErr w:type="gramEnd"/>
    </w:p>
    <w:p w14:paraId="562FAC3C" w14:textId="3BE6A241" w:rsidR="00DB171D" w:rsidRDefault="006C4A9A" w:rsidP="003E4770">
      <w:pPr>
        <w:pStyle w:val="DraftHeading3"/>
        <w:numPr>
          <w:ilvl w:val="0"/>
          <w:numId w:val="119"/>
        </w:numPr>
        <w:spacing w:before="0"/>
        <w:ind w:left="1645" w:right="567" w:hanging="454"/>
        <w:jc w:val="both"/>
        <w:rPr>
          <w:rFonts w:ascii="Arial" w:hAnsi="Arial" w:cs="Arial"/>
          <w:sz w:val="20"/>
        </w:rPr>
      </w:pPr>
      <w:r w:rsidRPr="00AD1396">
        <w:rPr>
          <w:rFonts w:ascii="Arial" w:hAnsi="Arial" w:cs="Arial"/>
          <w:sz w:val="20"/>
        </w:rPr>
        <w:t>evidence is not to be adduced if it would disclose—</w:t>
      </w:r>
    </w:p>
    <w:p w14:paraId="2939D926" w14:textId="3226A79E" w:rsidR="006C4A9A" w:rsidRPr="00AD1396" w:rsidRDefault="006C4A9A" w:rsidP="00CE4E2D">
      <w:pPr>
        <w:pStyle w:val="DraftHeading4"/>
        <w:tabs>
          <w:tab w:val="right" w:pos="2268"/>
        </w:tabs>
        <w:spacing w:before="0"/>
        <w:ind w:left="1984" w:right="567" w:hanging="340"/>
        <w:jc w:val="both"/>
        <w:rPr>
          <w:rFonts w:ascii="Arial" w:hAnsi="Arial" w:cs="Arial"/>
          <w:sz w:val="20"/>
        </w:rPr>
      </w:pPr>
      <w:r w:rsidRPr="00AD1396">
        <w:rPr>
          <w:rFonts w:ascii="Arial" w:hAnsi="Arial" w:cs="Arial"/>
          <w:sz w:val="20"/>
        </w:rPr>
        <w:t>(i)</w:t>
      </w:r>
      <w:r w:rsidRPr="00AD1396">
        <w:rPr>
          <w:rFonts w:ascii="Arial" w:hAnsi="Arial" w:cs="Arial"/>
          <w:sz w:val="20"/>
        </w:rPr>
        <w:tab/>
        <w:t>information to which this section applies; or</w:t>
      </w:r>
    </w:p>
    <w:p w14:paraId="37E8D7BF" w14:textId="0FF92773" w:rsidR="006C4A9A" w:rsidRPr="00AD1396" w:rsidRDefault="006C4A9A" w:rsidP="00CE4E2D">
      <w:pPr>
        <w:pStyle w:val="DraftHeading4"/>
        <w:tabs>
          <w:tab w:val="right" w:pos="2268"/>
        </w:tabs>
        <w:spacing w:before="0"/>
        <w:ind w:left="1984" w:right="567" w:hanging="340"/>
        <w:jc w:val="both"/>
        <w:rPr>
          <w:rFonts w:ascii="Arial" w:hAnsi="Arial" w:cs="Arial"/>
          <w:sz w:val="20"/>
        </w:rPr>
      </w:pPr>
      <w:r w:rsidRPr="00AD1396">
        <w:rPr>
          <w:rFonts w:ascii="Arial" w:hAnsi="Arial" w:cs="Arial"/>
          <w:sz w:val="20"/>
        </w:rPr>
        <w:t>(ii)</w:t>
      </w:r>
      <w:r w:rsidRPr="00AD1396">
        <w:rPr>
          <w:rFonts w:ascii="Arial" w:hAnsi="Arial" w:cs="Arial"/>
          <w:sz w:val="20"/>
        </w:rPr>
        <w:tab/>
        <w:t>the contents of a document recording information to which this section applies—</w:t>
      </w:r>
    </w:p>
    <w:p w14:paraId="7AA97E7E" w14:textId="77777777" w:rsidR="006C4A9A" w:rsidRPr="00AD1396" w:rsidRDefault="006C4A9A" w:rsidP="00CE4E2D">
      <w:pPr>
        <w:pStyle w:val="BodySectionSub"/>
        <w:spacing w:before="0"/>
        <w:ind w:left="1701" w:right="567"/>
        <w:jc w:val="both"/>
        <w:rPr>
          <w:rFonts w:ascii="Arial" w:hAnsi="Arial" w:cs="Arial"/>
          <w:sz w:val="20"/>
        </w:rPr>
      </w:pPr>
      <w:r w:rsidRPr="00AD1396">
        <w:rPr>
          <w:rFonts w:ascii="Arial" w:hAnsi="Arial" w:cs="Arial"/>
          <w:sz w:val="20"/>
        </w:rPr>
        <w:t xml:space="preserve">unless the court grants leave to compel the production of the document or to produce it or to adduce the evidence, and the party seeking to have the document produced or to produce it or to adduce the evidence </w:t>
      </w:r>
      <w:bookmarkStart w:id="591" w:name="_Hlk106300027"/>
      <w:r w:rsidRPr="00AD1396">
        <w:rPr>
          <w:rFonts w:ascii="Arial" w:hAnsi="Arial" w:cs="Arial"/>
          <w:sz w:val="20"/>
        </w:rPr>
        <w:t>has complied with the requirements under section 32CA or 32CC (as the case requires) that are not waived</w:t>
      </w:r>
      <w:bookmarkEnd w:id="591"/>
      <w:r w:rsidRPr="00AD1396">
        <w:rPr>
          <w:rFonts w:ascii="Arial" w:hAnsi="Arial" w:cs="Arial"/>
          <w:sz w:val="20"/>
        </w:rPr>
        <w:t>.</w:t>
      </w:r>
    </w:p>
    <w:p w14:paraId="4F306A0B" w14:textId="4C83705D" w:rsidR="00183219" w:rsidRPr="00AD1396" w:rsidRDefault="00183219" w:rsidP="00183219">
      <w:pPr>
        <w:spacing w:before="60"/>
        <w:ind w:left="1191" w:right="567" w:hanging="624"/>
        <w:jc w:val="both"/>
        <w:rPr>
          <w:rFonts w:ascii="Arial" w:hAnsi="Arial" w:cs="Arial"/>
          <w:sz w:val="20"/>
          <w:szCs w:val="20"/>
        </w:rPr>
      </w:pPr>
      <w:r>
        <w:rPr>
          <w:rFonts w:ascii="Arial" w:hAnsi="Arial" w:cs="Arial"/>
          <w:sz w:val="20"/>
          <w:szCs w:val="20"/>
        </w:rPr>
        <w:t>Subsections (2) to (6) have been repealed.</w:t>
      </w:r>
    </w:p>
    <w:p w14:paraId="0F59717A" w14:textId="7670BF4A" w:rsidR="00E74E79" w:rsidRPr="00AD1396" w:rsidRDefault="006C4A9A" w:rsidP="00CE4E2D">
      <w:pPr>
        <w:spacing w:before="60"/>
        <w:ind w:left="1191" w:right="567" w:hanging="624"/>
        <w:jc w:val="both"/>
        <w:rPr>
          <w:rFonts w:ascii="Arial" w:hAnsi="Arial" w:cs="Arial"/>
          <w:sz w:val="20"/>
          <w:szCs w:val="20"/>
        </w:rPr>
      </w:pPr>
      <w:r w:rsidRPr="00AD1396">
        <w:rPr>
          <w:rFonts w:ascii="Arial" w:hAnsi="Arial" w:cs="Arial"/>
          <w:sz w:val="20"/>
          <w:szCs w:val="20"/>
        </w:rPr>
        <w:t>(7)</w:t>
      </w:r>
      <w:r w:rsidRPr="00AD1396">
        <w:rPr>
          <w:rFonts w:ascii="Arial" w:hAnsi="Arial" w:cs="Arial"/>
          <w:sz w:val="20"/>
          <w:szCs w:val="20"/>
        </w:rPr>
        <w:tab/>
        <w:t xml:space="preserve">Evidence that, because of subsection (1), is not to be compelled to be produced, </w:t>
      </w:r>
      <w:proofErr w:type="gramStart"/>
      <w:r w:rsidRPr="00AD1396">
        <w:rPr>
          <w:rFonts w:ascii="Arial" w:hAnsi="Arial" w:cs="Arial"/>
          <w:sz w:val="20"/>
          <w:szCs w:val="20"/>
        </w:rPr>
        <w:t>produced</w:t>
      </w:r>
      <w:proofErr w:type="gramEnd"/>
      <w:r w:rsidRPr="00AD1396">
        <w:rPr>
          <w:rFonts w:ascii="Arial" w:hAnsi="Arial" w:cs="Arial"/>
          <w:sz w:val="20"/>
          <w:szCs w:val="20"/>
        </w:rPr>
        <w:t xml:space="preserve"> or adduced in a legal proceeding is not admissible in the proceeding.</w:t>
      </w:r>
    </w:p>
    <w:p w14:paraId="1CB27B67" w14:textId="110C45C1" w:rsidR="006C4A9A" w:rsidRDefault="005E5575" w:rsidP="00E74E79">
      <w:pPr>
        <w:pStyle w:val="DraftHeading2"/>
        <w:tabs>
          <w:tab w:val="right" w:pos="1247"/>
        </w:tabs>
        <w:ind w:left="1361" w:hanging="1361"/>
        <w:jc w:val="both"/>
        <w:rPr>
          <w:rFonts w:ascii="Arial" w:hAnsi="Arial" w:cs="Arial"/>
          <w:sz w:val="20"/>
        </w:rPr>
      </w:pPr>
      <w:r>
        <w:rPr>
          <w:rFonts w:ascii="Arial" w:hAnsi="Arial" w:cs="Arial"/>
          <w:sz w:val="20"/>
        </w:rPr>
        <w:t>Section 32D of the EMPA restricts the circumstances in which leave can be granted.  It provides:</w:t>
      </w:r>
    </w:p>
    <w:p w14:paraId="577E7CF3" w14:textId="0D1F2EC2" w:rsidR="005E5575" w:rsidRPr="005E5575" w:rsidRDefault="005E5575" w:rsidP="003E4770">
      <w:pPr>
        <w:pStyle w:val="ListParagraph"/>
        <w:numPr>
          <w:ilvl w:val="0"/>
          <w:numId w:val="120"/>
        </w:numPr>
        <w:spacing w:before="60"/>
        <w:ind w:left="1191" w:right="567" w:hanging="624"/>
        <w:rPr>
          <w:rFonts w:ascii="Arial" w:hAnsi="Arial" w:cs="Arial"/>
          <w:sz w:val="20"/>
        </w:rPr>
      </w:pPr>
      <w:r w:rsidRPr="005E5575">
        <w:rPr>
          <w:rFonts w:ascii="Arial" w:hAnsi="Arial" w:cs="Arial"/>
          <w:sz w:val="20"/>
        </w:rPr>
        <w:t>A court must not grant leave to compel the production of, to produce or to adduce protected evidence unless it is satisfied, on the balance of probabilities, that</w:t>
      </w:r>
      <w:r>
        <w:rPr>
          <w:rFonts w:ascii="Arial" w:hAnsi="Arial" w:cs="Arial"/>
          <w:sz w:val="20"/>
        </w:rPr>
        <w:t>–</w:t>
      </w:r>
    </w:p>
    <w:p w14:paraId="2801E006" w14:textId="242F3107" w:rsidR="005E5575"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the evidence will, either by itself or having regard to other evidence produced or adduced or to be produced or adduced by the party seeking leave, have substantial probative value to a fact in issue; and</w:t>
      </w:r>
    </w:p>
    <w:p w14:paraId="6BBCE954" w14:textId="7FD5010D" w:rsidR="005E5575"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other evidence of similar or greater probative value concerning the matters to which the protected evidence relates is not available; and</w:t>
      </w:r>
    </w:p>
    <w:p w14:paraId="07C6FA5D" w14:textId="56D75A09" w:rsidR="00D04F26" w:rsidRDefault="005E5575" w:rsidP="003E4770">
      <w:pPr>
        <w:pStyle w:val="DraftHeading3"/>
        <w:numPr>
          <w:ilvl w:val="0"/>
          <w:numId w:val="121"/>
        </w:numPr>
        <w:spacing w:before="0"/>
        <w:ind w:left="1645" w:right="567" w:hanging="454"/>
        <w:jc w:val="both"/>
        <w:rPr>
          <w:rFonts w:ascii="Arial" w:hAnsi="Arial" w:cs="Arial"/>
          <w:sz w:val="20"/>
        </w:rPr>
      </w:pPr>
      <w:r w:rsidRPr="005E5575">
        <w:rPr>
          <w:rFonts w:ascii="Arial" w:hAnsi="Arial" w:cs="Arial"/>
          <w:sz w:val="20"/>
        </w:rPr>
        <w:t>the public interest in preserving the confidentiality of confidential communications and protected health information and protecting a protected person from harm is substantially outweighed by the public interest in admitting, into evidence, evidence of substantial probative value.</w:t>
      </w:r>
    </w:p>
    <w:p w14:paraId="3F54874D" w14:textId="73D6864E" w:rsidR="00D04F26" w:rsidRPr="00D04F26" w:rsidRDefault="00D04F26" w:rsidP="00D04F26">
      <w:pPr>
        <w:spacing w:before="60"/>
        <w:ind w:left="567" w:right="567"/>
        <w:rPr>
          <w:rFonts w:ascii="Arial" w:hAnsi="Arial" w:cs="Arial"/>
          <w:sz w:val="20"/>
        </w:rPr>
      </w:pPr>
      <w:r>
        <w:rPr>
          <w:rFonts w:ascii="Arial" w:hAnsi="Arial" w:cs="Arial"/>
          <w:sz w:val="20"/>
        </w:rPr>
        <w:t>…</w:t>
      </w:r>
    </w:p>
    <w:p w14:paraId="1184B873" w14:textId="3E15A78C" w:rsidR="00D04F26" w:rsidRPr="005E5575" w:rsidRDefault="00D04F26" w:rsidP="003E4770">
      <w:pPr>
        <w:pStyle w:val="ListParagraph"/>
        <w:numPr>
          <w:ilvl w:val="0"/>
          <w:numId w:val="120"/>
        </w:numPr>
        <w:spacing w:before="60"/>
        <w:ind w:left="1191" w:right="567" w:hanging="624"/>
        <w:rPr>
          <w:rFonts w:ascii="Arial" w:hAnsi="Arial" w:cs="Arial"/>
          <w:sz w:val="20"/>
        </w:rPr>
      </w:pPr>
      <w:r>
        <w:rPr>
          <w:rFonts w:ascii="Arial" w:hAnsi="Arial" w:cs="Arial"/>
          <w:sz w:val="20"/>
        </w:rPr>
        <w:t xml:space="preserve">Without limiting the matters that the court may </w:t>
      </w:r>
      <w:proofErr w:type="gramStart"/>
      <w:r>
        <w:rPr>
          <w:rFonts w:ascii="Arial" w:hAnsi="Arial" w:cs="Arial"/>
          <w:sz w:val="20"/>
        </w:rPr>
        <w:t>take into account</w:t>
      </w:r>
      <w:proofErr w:type="gramEnd"/>
      <w:r>
        <w:rPr>
          <w:rFonts w:ascii="Arial" w:hAnsi="Arial" w:cs="Arial"/>
          <w:sz w:val="20"/>
        </w:rPr>
        <w:t xml:space="preserve"> for the purposes of subsection (1)(c), the court must take into account–</w:t>
      </w:r>
    </w:p>
    <w:p w14:paraId="6BD8C2FA" w14:textId="52465B34"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likelihood, and the nature or extent, of harm that would be caused to the protected person if the protected evidence is produced or </w:t>
      </w:r>
      <w:proofErr w:type="gramStart"/>
      <w:r w:rsidRPr="00AD1396">
        <w:rPr>
          <w:rFonts w:ascii="Arial" w:hAnsi="Arial" w:cs="Arial"/>
          <w:sz w:val="20"/>
        </w:rPr>
        <w:t>adduced;</w:t>
      </w:r>
      <w:proofErr w:type="gramEnd"/>
    </w:p>
    <w:p w14:paraId="6ACF959B" w14:textId="2E95E1AA"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extent to which the protected evidence is necessary to allow the accused to make a full </w:t>
      </w:r>
      <w:proofErr w:type="gramStart"/>
      <w:r w:rsidRPr="00AD1396">
        <w:rPr>
          <w:rFonts w:ascii="Arial" w:hAnsi="Arial" w:cs="Arial"/>
          <w:sz w:val="20"/>
        </w:rPr>
        <w:t>defence;</w:t>
      </w:r>
      <w:proofErr w:type="gramEnd"/>
    </w:p>
    <w:p w14:paraId="7749526C" w14:textId="57B9085C"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the need to encourage victims of sexual offences to seek counselling and the extent to which victims may be discouraged to do so, or the extent to which the effectiveness of counselling may be diminished, if the protected evidence were produced or </w:t>
      </w:r>
      <w:proofErr w:type="gramStart"/>
      <w:r w:rsidRPr="00AD1396">
        <w:rPr>
          <w:rFonts w:ascii="Arial" w:hAnsi="Arial" w:cs="Arial"/>
          <w:sz w:val="20"/>
        </w:rPr>
        <w:t>adduced;</w:t>
      </w:r>
      <w:proofErr w:type="gramEnd"/>
    </w:p>
    <w:p w14:paraId="116922AA" w14:textId="55358128"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whether the party seeking to compel the production of or to produce or adduce the protected evidence is doing so on the basis of a discriminatory belief or </w:t>
      </w:r>
      <w:proofErr w:type="gramStart"/>
      <w:r w:rsidRPr="00AD1396">
        <w:rPr>
          <w:rFonts w:ascii="Arial" w:hAnsi="Arial" w:cs="Arial"/>
          <w:sz w:val="20"/>
        </w:rPr>
        <w:t>bias;</w:t>
      </w:r>
      <w:proofErr w:type="gramEnd"/>
    </w:p>
    <w:p w14:paraId="32935D47" w14:textId="5462255A"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 xml:space="preserve">whether the protected person objects to the disclosure of the protected </w:t>
      </w:r>
      <w:proofErr w:type="gramStart"/>
      <w:r w:rsidRPr="00AD1396">
        <w:rPr>
          <w:rFonts w:ascii="Arial" w:hAnsi="Arial" w:cs="Arial"/>
          <w:sz w:val="20"/>
        </w:rPr>
        <w:t>evidence;</w:t>
      </w:r>
      <w:proofErr w:type="gramEnd"/>
    </w:p>
    <w:p w14:paraId="6C93EDCF" w14:textId="45F37BD9" w:rsidR="00D04F26" w:rsidRDefault="00D04F26" w:rsidP="003E4770">
      <w:pPr>
        <w:pStyle w:val="DraftHeading3"/>
        <w:numPr>
          <w:ilvl w:val="0"/>
          <w:numId w:val="122"/>
        </w:numPr>
        <w:spacing w:before="0"/>
        <w:ind w:left="1645" w:right="567" w:hanging="454"/>
        <w:jc w:val="both"/>
        <w:rPr>
          <w:rFonts w:ascii="Arial" w:hAnsi="Arial" w:cs="Arial"/>
          <w:sz w:val="20"/>
        </w:rPr>
      </w:pPr>
      <w:r w:rsidRPr="00AD1396">
        <w:rPr>
          <w:rFonts w:ascii="Arial" w:hAnsi="Arial" w:cs="Arial"/>
          <w:sz w:val="20"/>
        </w:rPr>
        <w:t>the nature and extent of the reasonable expectation of confidentiality and the potential prejudice to the privacy of any person.</w:t>
      </w:r>
    </w:p>
    <w:p w14:paraId="6F17F899" w14:textId="46EEF56B" w:rsidR="00D04F26" w:rsidRPr="005E5575" w:rsidRDefault="00D04F26" w:rsidP="003E4770">
      <w:pPr>
        <w:pStyle w:val="ListParagraph"/>
        <w:numPr>
          <w:ilvl w:val="0"/>
          <w:numId w:val="120"/>
        </w:numPr>
        <w:spacing w:before="60"/>
        <w:ind w:left="1191" w:right="567" w:hanging="624"/>
        <w:jc w:val="both"/>
        <w:rPr>
          <w:rFonts w:ascii="Arial" w:hAnsi="Arial" w:cs="Arial"/>
          <w:sz w:val="20"/>
        </w:rPr>
      </w:pPr>
      <w:r w:rsidRPr="00AD1396">
        <w:rPr>
          <w:rFonts w:ascii="Arial" w:hAnsi="Arial" w:cs="Arial"/>
          <w:sz w:val="20"/>
        </w:rPr>
        <w:t>A court may grant leave to compel the production of, or to produce or adduce, part of—</w:t>
      </w:r>
    </w:p>
    <w:p w14:paraId="3BE12717" w14:textId="6076116C" w:rsidR="00D04F26" w:rsidRDefault="00D04F26" w:rsidP="003E4770">
      <w:pPr>
        <w:pStyle w:val="DraftHeading3"/>
        <w:numPr>
          <w:ilvl w:val="0"/>
          <w:numId w:val="123"/>
        </w:numPr>
        <w:spacing w:before="0"/>
        <w:ind w:left="1645" w:right="567" w:hanging="454"/>
        <w:jc w:val="both"/>
        <w:rPr>
          <w:rFonts w:ascii="Arial" w:hAnsi="Arial" w:cs="Arial"/>
          <w:sz w:val="20"/>
        </w:rPr>
      </w:pPr>
      <w:r w:rsidRPr="00AD1396">
        <w:rPr>
          <w:rFonts w:ascii="Arial" w:hAnsi="Arial" w:cs="Arial"/>
          <w:sz w:val="20"/>
        </w:rPr>
        <w:t xml:space="preserve">a confidential communication </w:t>
      </w:r>
      <w:r w:rsidR="00CE4E2D">
        <w:rPr>
          <w:rFonts w:ascii="Arial" w:hAnsi="Arial" w:cs="Arial"/>
          <w:sz w:val="20"/>
        </w:rPr>
        <w:t>or protected health information</w:t>
      </w:r>
      <w:r w:rsidRPr="00AD1396">
        <w:rPr>
          <w:rFonts w:ascii="Arial" w:hAnsi="Arial" w:cs="Arial"/>
          <w:sz w:val="20"/>
        </w:rPr>
        <w:t>; or</w:t>
      </w:r>
    </w:p>
    <w:p w14:paraId="79901490" w14:textId="23F6E2B5" w:rsidR="00D04F26" w:rsidRDefault="00D04F26" w:rsidP="003E4770">
      <w:pPr>
        <w:pStyle w:val="DraftHeading3"/>
        <w:numPr>
          <w:ilvl w:val="0"/>
          <w:numId w:val="123"/>
        </w:numPr>
        <w:spacing w:before="0"/>
        <w:ind w:left="1645" w:right="567" w:hanging="454"/>
        <w:jc w:val="both"/>
        <w:rPr>
          <w:rFonts w:ascii="Arial" w:hAnsi="Arial" w:cs="Arial"/>
          <w:sz w:val="20"/>
        </w:rPr>
      </w:pPr>
      <w:r w:rsidRPr="00AD1396">
        <w:rPr>
          <w:rFonts w:ascii="Arial" w:hAnsi="Arial" w:cs="Arial"/>
          <w:sz w:val="20"/>
        </w:rPr>
        <w:t>the contents of a document recording a confidential communication</w:t>
      </w:r>
      <w:r>
        <w:rPr>
          <w:rFonts w:ascii="Arial" w:hAnsi="Arial" w:cs="Arial"/>
          <w:sz w:val="20"/>
        </w:rPr>
        <w:t xml:space="preserve"> </w:t>
      </w:r>
      <w:r w:rsidR="00CE4E2D">
        <w:rPr>
          <w:rFonts w:ascii="Arial" w:hAnsi="Arial" w:cs="Arial"/>
          <w:sz w:val="20"/>
        </w:rPr>
        <w:t>or protected health information</w:t>
      </w:r>
      <w:r w:rsidR="00CE4E2D" w:rsidRPr="00AD1396">
        <w:rPr>
          <w:rFonts w:ascii="Arial" w:hAnsi="Arial" w:cs="Arial"/>
          <w:sz w:val="20"/>
        </w:rPr>
        <w:t>—</w:t>
      </w:r>
    </w:p>
    <w:p w14:paraId="1D51DDD9" w14:textId="68B88C78" w:rsidR="00CE4E2D" w:rsidRPr="005E5575" w:rsidRDefault="00CE4E2D" w:rsidP="00CE4E2D">
      <w:pPr>
        <w:ind w:left="1191" w:right="567"/>
        <w:jc w:val="both"/>
      </w:pPr>
      <w:r w:rsidRPr="00CE4E2D">
        <w:rPr>
          <w:rFonts w:ascii="Arial" w:hAnsi="Arial" w:cs="Arial"/>
          <w:sz w:val="20"/>
          <w:szCs w:val="20"/>
        </w:rPr>
        <w:t>and, if so, that part of the document may be made available, or that part of its contents disclosed, in any manner that the court thinks fit to the party seeking to compel its production or to produce or adduce it in evidence.</w:t>
      </w:r>
    </w:p>
    <w:p w14:paraId="451673DB" w14:textId="41D30ADB" w:rsidR="00CE4E2D" w:rsidRPr="005E5575" w:rsidRDefault="00D04F26" w:rsidP="003E4770">
      <w:pPr>
        <w:pStyle w:val="ListParagraph"/>
        <w:numPr>
          <w:ilvl w:val="0"/>
          <w:numId w:val="120"/>
        </w:numPr>
        <w:spacing w:before="60"/>
        <w:ind w:left="1191" w:right="567" w:hanging="624"/>
        <w:jc w:val="both"/>
        <w:rPr>
          <w:rFonts w:ascii="Arial" w:hAnsi="Arial" w:cs="Arial"/>
          <w:sz w:val="20"/>
        </w:rPr>
      </w:pPr>
      <w:r w:rsidRPr="00CE4E2D">
        <w:rPr>
          <w:rFonts w:ascii="Arial" w:hAnsi="Arial" w:cs="Arial"/>
          <w:sz w:val="20"/>
        </w:rPr>
        <w:t>The court must state its reasons for giving or refusing to give leave under this section.</w:t>
      </w:r>
    </w:p>
    <w:p w14:paraId="5344505D" w14:textId="48F346B3" w:rsidR="00CE4E2D" w:rsidRPr="005E5575" w:rsidRDefault="00D04F26" w:rsidP="003E4770">
      <w:pPr>
        <w:pStyle w:val="ListParagraph"/>
        <w:numPr>
          <w:ilvl w:val="0"/>
          <w:numId w:val="120"/>
        </w:numPr>
        <w:spacing w:before="60"/>
        <w:ind w:left="1191" w:right="567" w:hanging="624"/>
        <w:jc w:val="both"/>
        <w:rPr>
          <w:rFonts w:ascii="Arial" w:hAnsi="Arial" w:cs="Arial"/>
          <w:sz w:val="20"/>
        </w:rPr>
      </w:pPr>
      <w:r w:rsidRPr="00CE4E2D">
        <w:rPr>
          <w:rFonts w:ascii="Arial" w:hAnsi="Arial" w:cs="Arial"/>
          <w:sz w:val="20"/>
        </w:rPr>
        <w:t>If leave is refused under this section, that fact must not be referred to in the presence of the jury, if any.</w:t>
      </w:r>
    </w:p>
    <w:p w14:paraId="3B74B76A" w14:textId="7ECBD5E0" w:rsidR="00D04F26" w:rsidRPr="00CE4E2D" w:rsidRDefault="00D04F26" w:rsidP="00CE4E2D">
      <w:pPr>
        <w:pStyle w:val="DraftHeading2"/>
        <w:tabs>
          <w:tab w:val="right" w:pos="1247"/>
        </w:tabs>
        <w:spacing w:before="0"/>
        <w:ind w:left="1361" w:hanging="1361"/>
        <w:rPr>
          <w:rFonts w:ascii="Arial" w:hAnsi="Arial" w:cs="Arial"/>
          <w:sz w:val="20"/>
        </w:rPr>
      </w:pPr>
    </w:p>
    <w:p w14:paraId="3026B737" w14:textId="11CA61E4" w:rsidR="002B7946" w:rsidRDefault="00CE4E2D" w:rsidP="00183219">
      <w:pPr>
        <w:keepNext/>
        <w:keepLines/>
        <w:jc w:val="both"/>
        <w:rPr>
          <w:rFonts w:ascii="Arial" w:hAnsi="Arial" w:cs="Arial"/>
          <w:sz w:val="20"/>
          <w:szCs w:val="20"/>
        </w:rPr>
      </w:pPr>
      <w:r>
        <w:rPr>
          <w:rFonts w:ascii="Arial" w:hAnsi="Arial" w:cs="Arial"/>
          <w:sz w:val="20"/>
          <w:szCs w:val="20"/>
        </w:rPr>
        <w:lastRenderedPageBreak/>
        <w:t xml:space="preserve">In </w:t>
      </w:r>
      <w:bookmarkStart w:id="592" w:name="_Hlk161151061"/>
      <w:r w:rsidR="00C25F9E" w:rsidRPr="00C25F9E">
        <w:rPr>
          <w:rFonts w:ascii="Arial" w:hAnsi="Arial" w:cs="Arial"/>
          <w:i/>
          <w:iCs/>
          <w:sz w:val="20"/>
          <w:szCs w:val="20"/>
        </w:rPr>
        <w:t>Duncan (a pseudonym) v The King</w:t>
      </w:r>
      <w:r w:rsidR="00C25F9E">
        <w:rPr>
          <w:rFonts w:ascii="Arial" w:hAnsi="Arial" w:cs="Arial"/>
          <w:sz w:val="20"/>
          <w:szCs w:val="20"/>
        </w:rPr>
        <w:t xml:space="preserve"> [2024] VSCA 27 </w:t>
      </w:r>
      <w:bookmarkEnd w:id="592"/>
      <w:r w:rsidR="00C25F9E">
        <w:rPr>
          <w:rFonts w:ascii="Arial" w:hAnsi="Arial" w:cs="Arial"/>
          <w:sz w:val="20"/>
          <w:szCs w:val="20"/>
        </w:rPr>
        <w:t xml:space="preserve">the appellant was </w:t>
      </w:r>
      <w:r w:rsidR="002B7946">
        <w:rPr>
          <w:rFonts w:ascii="Arial" w:hAnsi="Arial" w:cs="Arial"/>
          <w:sz w:val="20"/>
          <w:szCs w:val="20"/>
        </w:rPr>
        <w:t xml:space="preserve">facing a </w:t>
      </w:r>
      <w:r w:rsidR="00C25F9E">
        <w:rPr>
          <w:rFonts w:ascii="Arial" w:hAnsi="Arial" w:cs="Arial"/>
          <w:sz w:val="20"/>
          <w:szCs w:val="20"/>
        </w:rPr>
        <w:t xml:space="preserve">pending trial for sexual offences involving a stepchild.  The complainant claimed to have repressed memories and a psychologist assisted the complainant to remember.  </w:t>
      </w:r>
      <w:r w:rsidR="002B7946">
        <w:rPr>
          <w:rFonts w:ascii="Arial" w:hAnsi="Arial" w:cs="Arial"/>
          <w:sz w:val="20"/>
          <w:szCs w:val="20"/>
        </w:rPr>
        <w:t>The applicant had applied to the trial judge under s.32C of the EMPA for leave to issue subpoenas compelling the production of–</w:t>
      </w:r>
    </w:p>
    <w:p w14:paraId="51B2A71C" w14:textId="112B48B2"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documents in the possession of a psychologist; and</w:t>
      </w:r>
    </w:p>
    <w:p w14:paraId="790E2FE0" w14:textId="4164C415"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other documents in the possession of the Centre Against Violence [CAV]–</w:t>
      </w:r>
    </w:p>
    <w:p w14:paraId="7CE26A6C" w14:textId="54412F43" w:rsidR="002B7946" w:rsidRDefault="002B7946" w:rsidP="00A41496">
      <w:pPr>
        <w:jc w:val="both"/>
        <w:rPr>
          <w:rFonts w:ascii="Arial" w:hAnsi="Arial" w:cs="Arial"/>
          <w:sz w:val="20"/>
          <w:szCs w:val="20"/>
        </w:rPr>
      </w:pPr>
      <w:r>
        <w:rPr>
          <w:rFonts w:ascii="Arial" w:hAnsi="Arial" w:cs="Arial"/>
          <w:sz w:val="20"/>
          <w:szCs w:val="20"/>
        </w:rPr>
        <w:t>containing counselling notes relating to the complainant.</w:t>
      </w:r>
    </w:p>
    <w:p w14:paraId="6D76012B" w14:textId="0C487486" w:rsidR="002B7946" w:rsidRDefault="00C25F9E" w:rsidP="002B7946">
      <w:pPr>
        <w:spacing w:before="120"/>
        <w:jc w:val="both"/>
        <w:rPr>
          <w:rFonts w:ascii="Arial" w:hAnsi="Arial" w:cs="Arial"/>
          <w:sz w:val="20"/>
          <w:szCs w:val="20"/>
        </w:rPr>
      </w:pPr>
      <w:r>
        <w:rPr>
          <w:rFonts w:ascii="Arial" w:hAnsi="Arial" w:cs="Arial"/>
          <w:sz w:val="20"/>
          <w:szCs w:val="20"/>
        </w:rPr>
        <w:t xml:space="preserve">The trial judge had refused to grant leave to compel the production of confidential communications pursuant to s.32C of the EMPA.  </w:t>
      </w:r>
      <w:r w:rsidR="002B7946">
        <w:rPr>
          <w:rFonts w:ascii="Arial" w:hAnsi="Arial" w:cs="Arial"/>
          <w:sz w:val="20"/>
          <w:szCs w:val="20"/>
        </w:rPr>
        <w:t>Holding that–</w:t>
      </w:r>
    </w:p>
    <w:p w14:paraId="20F0C2A6" w14:textId="78DB7CDB"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the confidential communications in the counselling notes had substantial probative value; and</w:t>
      </w:r>
    </w:p>
    <w:p w14:paraId="28609EC6" w14:textId="1C1978C1" w:rsid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production of the counselling notes was required for the applicant to make a full defence; and</w:t>
      </w:r>
    </w:p>
    <w:p w14:paraId="0E0E7B09" w14:textId="202E453D" w:rsidR="002B7946" w:rsidRPr="002B7946" w:rsidRDefault="002B7946" w:rsidP="003E4770">
      <w:pPr>
        <w:pStyle w:val="ListParagraph"/>
        <w:numPr>
          <w:ilvl w:val="0"/>
          <w:numId w:val="124"/>
        </w:numPr>
        <w:ind w:left="357" w:hanging="357"/>
        <w:jc w:val="both"/>
        <w:rPr>
          <w:rFonts w:ascii="Arial" w:hAnsi="Arial" w:cs="Arial"/>
          <w:sz w:val="20"/>
        </w:rPr>
      </w:pPr>
      <w:r>
        <w:rPr>
          <w:rFonts w:ascii="Arial" w:hAnsi="Arial" w:cs="Arial"/>
          <w:sz w:val="20"/>
        </w:rPr>
        <w:t>other evidence of similar or greater probative value was not available–</w:t>
      </w:r>
    </w:p>
    <w:p w14:paraId="3775A10C" w14:textId="32BF4BA7" w:rsidR="006C4A9A" w:rsidRDefault="002B7946" w:rsidP="00A41496">
      <w:pPr>
        <w:jc w:val="both"/>
        <w:rPr>
          <w:rFonts w:ascii="Arial" w:hAnsi="Arial" w:cs="Arial"/>
          <w:sz w:val="20"/>
          <w:szCs w:val="20"/>
        </w:rPr>
      </w:pPr>
      <w:r>
        <w:rPr>
          <w:rFonts w:ascii="Arial" w:hAnsi="Arial" w:cs="Arial"/>
          <w:sz w:val="20"/>
          <w:szCs w:val="20"/>
        </w:rPr>
        <w:t>t</w:t>
      </w:r>
      <w:r w:rsidR="00C25F9E">
        <w:rPr>
          <w:rFonts w:ascii="Arial" w:hAnsi="Arial" w:cs="Arial"/>
          <w:sz w:val="20"/>
          <w:szCs w:val="20"/>
        </w:rPr>
        <w:t>he Court of Appeal granted leave to appeal, allowed the appeal and set aside the interlocutory decision of the trial judge.</w:t>
      </w:r>
      <w:r w:rsidR="00A41496">
        <w:rPr>
          <w:rFonts w:ascii="Arial" w:hAnsi="Arial" w:cs="Arial"/>
          <w:sz w:val="20"/>
          <w:szCs w:val="20"/>
        </w:rPr>
        <w:t xml:space="preserve">  At [</w:t>
      </w:r>
      <w:proofErr w:type="gramStart"/>
      <w:r w:rsidR="00A41496">
        <w:rPr>
          <w:rFonts w:ascii="Arial" w:hAnsi="Arial" w:cs="Arial"/>
          <w:sz w:val="20"/>
          <w:szCs w:val="20"/>
        </w:rPr>
        <w:t>33]</w:t>
      </w:r>
      <w:r w:rsidR="00A41496">
        <w:rPr>
          <w:rFonts w:ascii="Arial" w:hAnsi="Arial" w:cs="Arial"/>
          <w:sz w:val="20"/>
          <w:szCs w:val="20"/>
        </w:rPr>
        <w:noBreakHyphen/>
      </w:r>
      <w:proofErr w:type="gramEnd"/>
      <w:r w:rsidR="00A41496">
        <w:rPr>
          <w:rFonts w:ascii="Arial" w:hAnsi="Arial" w:cs="Arial"/>
          <w:sz w:val="20"/>
          <w:szCs w:val="20"/>
        </w:rPr>
        <w:t>[35] Priest &amp; Beach JJA said:</w:t>
      </w:r>
    </w:p>
    <w:p w14:paraId="4FB69537" w14:textId="1CFE575F"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A41496">
        <w:rPr>
          <w:rFonts w:ascii="Arial" w:hAnsi="Arial" w:cs="Arial"/>
          <w:sz w:val="20"/>
          <w:szCs w:val="20"/>
        </w:rPr>
        <w:t>33</w:t>
      </w:r>
      <w:r>
        <w:rPr>
          <w:rFonts w:ascii="Arial" w:hAnsi="Arial" w:cs="Arial"/>
          <w:sz w:val="20"/>
          <w:szCs w:val="20"/>
        </w:rPr>
        <w:t>]</w:t>
      </w:r>
      <w:r w:rsidRPr="00A41496">
        <w:rPr>
          <w:rFonts w:ascii="Arial" w:hAnsi="Arial" w:cs="Arial"/>
          <w:sz w:val="20"/>
          <w:szCs w:val="20"/>
        </w:rPr>
        <w:t xml:space="preserve"> </w:t>
      </w:r>
      <w:r>
        <w:rPr>
          <w:rFonts w:ascii="Arial" w:hAnsi="Arial" w:cs="Arial"/>
          <w:sz w:val="20"/>
          <w:szCs w:val="20"/>
        </w:rPr>
        <w:t>“</w:t>
      </w:r>
      <w:r w:rsidRPr="00A41496">
        <w:rPr>
          <w:rFonts w:ascii="Arial" w:hAnsi="Arial" w:cs="Arial"/>
          <w:sz w:val="20"/>
          <w:szCs w:val="20"/>
        </w:rPr>
        <w:t xml:space="preserve">Turning first to the psychologist’s notes, in his ruling the judge observed at least one reference in the notes containing the confidential communications possesses substantial probative value. </w:t>
      </w:r>
      <w:r>
        <w:rPr>
          <w:rFonts w:ascii="Arial" w:hAnsi="Arial" w:cs="Arial"/>
          <w:sz w:val="20"/>
          <w:szCs w:val="20"/>
        </w:rPr>
        <w:t xml:space="preserve"> </w:t>
      </w:r>
      <w:r w:rsidRPr="00A41496">
        <w:rPr>
          <w:rFonts w:ascii="Arial" w:hAnsi="Arial" w:cs="Arial"/>
          <w:sz w:val="20"/>
          <w:szCs w:val="20"/>
        </w:rPr>
        <w:t xml:space="preserve">It does not appear from his reasons, however, that the judge gave any consideration to the issue whether other evidence of similar or greater probative value concerning the matters to which the protected evidence relates is not available. </w:t>
      </w:r>
      <w:r>
        <w:rPr>
          <w:rFonts w:ascii="Arial" w:hAnsi="Arial" w:cs="Arial"/>
          <w:sz w:val="20"/>
          <w:szCs w:val="20"/>
        </w:rPr>
        <w:t xml:space="preserve"> </w:t>
      </w:r>
      <w:r w:rsidRPr="00A41496">
        <w:rPr>
          <w:rFonts w:ascii="Arial" w:hAnsi="Arial" w:cs="Arial"/>
          <w:sz w:val="20"/>
          <w:szCs w:val="20"/>
        </w:rPr>
        <w:t>Had the judge done so, he could not have failed to conclude that other evidence of similar or greater probative value concerning the matter to which the protected evidence — the confidential communications recorded in the notes — was not available.</w:t>
      </w:r>
      <w:r>
        <w:rPr>
          <w:rFonts w:ascii="Arial" w:hAnsi="Arial" w:cs="Arial"/>
          <w:sz w:val="20"/>
          <w:szCs w:val="20"/>
        </w:rPr>
        <w:t xml:space="preserve"> </w:t>
      </w:r>
      <w:r w:rsidRPr="00A41496">
        <w:rPr>
          <w:rFonts w:ascii="Arial" w:hAnsi="Arial" w:cs="Arial"/>
          <w:sz w:val="20"/>
          <w:szCs w:val="20"/>
        </w:rPr>
        <w:t xml:space="preserve"> Indeed, </w:t>
      </w:r>
      <w:proofErr w:type="gramStart"/>
      <w:r w:rsidRPr="00A41496">
        <w:rPr>
          <w:rFonts w:ascii="Arial" w:hAnsi="Arial" w:cs="Arial"/>
          <w:sz w:val="20"/>
          <w:szCs w:val="20"/>
        </w:rPr>
        <w:t>it is plain that there</w:t>
      </w:r>
      <w:proofErr w:type="gramEnd"/>
      <w:r w:rsidRPr="00A41496">
        <w:rPr>
          <w:rFonts w:ascii="Arial" w:hAnsi="Arial" w:cs="Arial"/>
          <w:sz w:val="20"/>
          <w:szCs w:val="20"/>
        </w:rPr>
        <w:t xml:space="preserve"> is no other evidence available which possesses the substantial probative value of the confidential communications in the psychologist’s counselling notes.</w:t>
      </w:r>
    </w:p>
    <w:p w14:paraId="1698FBEA" w14:textId="6851BBE3"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[34] </w:t>
      </w:r>
      <w:r w:rsidRPr="00A41496">
        <w:rPr>
          <w:rFonts w:ascii="Arial" w:hAnsi="Arial" w:cs="Arial"/>
          <w:sz w:val="20"/>
          <w:szCs w:val="20"/>
        </w:rPr>
        <w:t>Moreover, having regard to the guiding principles referred to in s 32AB, we consider that, proper consideration of the criteria in s 32</w:t>
      </w:r>
      <w:proofErr w:type="gramStart"/>
      <w:r w:rsidRPr="00A41496">
        <w:rPr>
          <w:rFonts w:ascii="Arial" w:hAnsi="Arial" w:cs="Arial"/>
          <w:sz w:val="20"/>
          <w:szCs w:val="20"/>
        </w:rPr>
        <w:t>D(</w:t>
      </w:r>
      <w:proofErr w:type="gramEnd"/>
      <w:r w:rsidRPr="00A41496">
        <w:rPr>
          <w:rFonts w:ascii="Arial" w:hAnsi="Arial" w:cs="Arial"/>
          <w:sz w:val="20"/>
          <w:szCs w:val="20"/>
        </w:rPr>
        <w:t xml:space="preserve">2) should have led to the judge making orders effecting disclosure of the protected evidence in the psychologist’s notes. Accepting that disclosure might cause the complainant some anxiety, distress and emotional harm, and that the complainant’s privacy may be prejudiced, we are of the view that production of the protected evidence is </w:t>
      </w:r>
      <w:proofErr w:type="gramStart"/>
      <w:r w:rsidRPr="00A41496">
        <w:rPr>
          <w:rFonts w:ascii="Arial" w:hAnsi="Arial" w:cs="Arial"/>
          <w:sz w:val="20"/>
          <w:szCs w:val="20"/>
        </w:rPr>
        <w:t>absolutely necessary</w:t>
      </w:r>
      <w:proofErr w:type="gramEnd"/>
      <w:r w:rsidRPr="00A41496">
        <w:rPr>
          <w:rFonts w:ascii="Arial" w:hAnsi="Arial" w:cs="Arial"/>
          <w:sz w:val="20"/>
          <w:szCs w:val="20"/>
        </w:rPr>
        <w:t xml:space="preserve"> for the applicant to make a full defence. Without disclosing the contents of the psychologist’s documents (see s 32</w:t>
      </w:r>
      <w:proofErr w:type="gramStart"/>
      <w:r w:rsidRPr="00A41496">
        <w:rPr>
          <w:rFonts w:ascii="Arial" w:hAnsi="Arial" w:cs="Arial"/>
          <w:sz w:val="20"/>
          <w:szCs w:val="20"/>
        </w:rPr>
        <w:t>CF(</w:t>
      </w:r>
      <w:proofErr w:type="gramEnd"/>
      <w:r w:rsidRPr="00A41496">
        <w:rPr>
          <w:rFonts w:ascii="Arial" w:hAnsi="Arial" w:cs="Arial"/>
          <w:sz w:val="20"/>
          <w:szCs w:val="20"/>
        </w:rPr>
        <w:t>2) of the Act)</w:t>
      </w:r>
      <w:r>
        <w:rPr>
          <w:rFonts w:ascii="Arial" w:hAnsi="Arial" w:cs="Arial"/>
          <w:sz w:val="20"/>
          <w:szCs w:val="20"/>
        </w:rPr>
        <w:t>,</w:t>
      </w:r>
      <w:r w:rsidRPr="00A41496">
        <w:rPr>
          <w:rFonts w:ascii="Arial" w:hAnsi="Arial" w:cs="Arial"/>
          <w:sz w:val="20"/>
          <w:szCs w:val="20"/>
        </w:rPr>
        <w:t xml:space="preserve"> it is clear to us that the counselling notes are replete with confidential communications which have significant probative value with respect to the credibility and reliability of the complainant’s memory, and hence the principal fact in issue on each charge. To make a ‘full defence’, the applicant must be capable of adducing material that will bear directly on the credibility and reliability of the complainant’s memory of critical events. In our opinion, the applicant will not be able to make a full defence without access to the documents, and we are satisfied that other evidence of similar or greater probative value concerning the matters to which the protected evidence relates is not available (none of substance being pointed to by the prosecution).</w:t>
      </w:r>
    </w:p>
    <w:p w14:paraId="0A7E855F" w14:textId="0C673CE1" w:rsidR="00A41496" w:rsidRDefault="00A41496" w:rsidP="00A41496">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A41496">
        <w:rPr>
          <w:rFonts w:ascii="Arial" w:hAnsi="Arial" w:cs="Arial"/>
          <w:sz w:val="20"/>
          <w:szCs w:val="20"/>
        </w:rPr>
        <w:t>35</w:t>
      </w:r>
      <w:r>
        <w:rPr>
          <w:rFonts w:ascii="Arial" w:hAnsi="Arial" w:cs="Arial"/>
          <w:sz w:val="20"/>
          <w:szCs w:val="20"/>
        </w:rPr>
        <w:t>]</w:t>
      </w:r>
      <w:r w:rsidRPr="00A41496">
        <w:rPr>
          <w:rFonts w:ascii="Arial" w:hAnsi="Arial" w:cs="Arial"/>
          <w:sz w:val="20"/>
          <w:szCs w:val="20"/>
        </w:rPr>
        <w:t xml:space="preserve"> We take a different view with respect to the CAV documents. Although we consider the ‘cryptic’ note referred to by the judge possesses significant probative value, other evidence of similar or greater probative value concerning the matters to which the protected evidence relates will be available in the form of the psychologist’s notes. Further, we agree with the submissions made by counsel for the CAV that the ‘second category’ of documents sought by the applicant do not fall within the definition of ‘confidential communication’, and thus do not fall to be considered through the prism of s 32D.</w:t>
      </w:r>
      <w:r>
        <w:rPr>
          <w:rFonts w:ascii="Arial" w:hAnsi="Arial" w:cs="Arial"/>
          <w:sz w:val="20"/>
          <w:szCs w:val="20"/>
        </w:rPr>
        <w:t>”</w:t>
      </w:r>
    </w:p>
    <w:p w14:paraId="6279DCF3" w14:textId="0728CBB2" w:rsidR="00A41496" w:rsidRDefault="00A41496" w:rsidP="00183219">
      <w:pPr>
        <w:spacing w:before="120"/>
        <w:jc w:val="both"/>
        <w:rPr>
          <w:rFonts w:ascii="Arial" w:hAnsi="Arial" w:cs="Arial"/>
          <w:sz w:val="20"/>
          <w:szCs w:val="20"/>
        </w:rPr>
      </w:pPr>
      <w:r>
        <w:rPr>
          <w:rFonts w:ascii="Arial" w:hAnsi="Arial" w:cs="Arial"/>
          <w:sz w:val="20"/>
          <w:szCs w:val="20"/>
        </w:rPr>
        <w:t xml:space="preserve">See also </w:t>
      </w:r>
      <w:r w:rsidR="00183219" w:rsidRPr="00183219">
        <w:rPr>
          <w:rFonts w:ascii="Arial" w:hAnsi="Arial" w:cs="Arial"/>
          <w:i/>
          <w:iCs/>
          <w:sz w:val="20"/>
          <w:szCs w:val="20"/>
        </w:rPr>
        <w:t>Todd (a pseudonym) v The Queen</w:t>
      </w:r>
      <w:r w:rsidR="00183219" w:rsidRPr="00183219">
        <w:rPr>
          <w:rFonts w:ascii="Arial" w:hAnsi="Arial" w:cs="Arial"/>
          <w:sz w:val="20"/>
          <w:szCs w:val="20"/>
        </w:rPr>
        <w:t xml:space="preserve"> [2016] VSCA 29, [32]</w:t>
      </w:r>
      <w:proofErr w:type="gramStart"/>
      <w:r w:rsidR="00183219" w:rsidRPr="00183219">
        <w:rPr>
          <w:rFonts w:ascii="Arial" w:hAnsi="Arial" w:cs="Arial"/>
          <w:sz w:val="20"/>
          <w:szCs w:val="20"/>
        </w:rPr>
        <w:t>–[</w:t>
      </w:r>
      <w:proofErr w:type="gramEnd"/>
      <w:r w:rsidR="00183219" w:rsidRPr="00183219">
        <w:rPr>
          <w:rFonts w:ascii="Arial" w:hAnsi="Arial" w:cs="Arial"/>
          <w:sz w:val="20"/>
          <w:szCs w:val="20"/>
        </w:rPr>
        <w:t xml:space="preserve">33]; </w:t>
      </w:r>
      <w:r w:rsidR="00183219" w:rsidRPr="00183219">
        <w:rPr>
          <w:rFonts w:ascii="Arial" w:hAnsi="Arial" w:cs="Arial"/>
          <w:i/>
          <w:iCs/>
          <w:sz w:val="20"/>
          <w:szCs w:val="20"/>
        </w:rPr>
        <w:t>KR v The Queen</w:t>
      </w:r>
      <w:r w:rsidR="00183219" w:rsidRPr="00183219">
        <w:rPr>
          <w:rFonts w:ascii="Arial" w:hAnsi="Arial" w:cs="Arial"/>
          <w:sz w:val="20"/>
          <w:szCs w:val="20"/>
        </w:rPr>
        <w:t xml:space="preserve"> [2018] VSCA 159, [34], [41]–[42]; </w:t>
      </w:r>
      <w:r w:rsidR="00183219" w:rsidRPr="00183219">
        <w:rPr>
          <w:rFonts w:ascii="Arial" w:hAnsi="Arial" w:cs="Arial"/>
          <w:i/>
          <w:iCs/>
          <w:sz w:val="20"/>
          <w:szCs w:val="20"/>
        </w:rPr>
        <w:t>Bowers (a pseudonym) v The Queen</w:t>
      </w:r>
      <w:r w:rsidR="00183219" w:rsidRPr="00183219">
        <w:rPr>
          <w:rFonts w:ascii="Arial" w:hAnsi="Arial" w:cs="Arial"/>
          <w:sz w:val="20"/>
          <w:szCs w:val="20"/>
        </w:rPr>
        <w:t xml:space="preserve"> [2020] VSCA 246, [14]–[16].</w:t>
      </w:r>
    </w:p>
    <w:p w14:paraId="662A007C" w14:textId="77777777" w:rsidR="00641166" w:rsidRPr="00836E86" w:rsidRDefault="00641166" w:rsidP="00641166">
      <w:pPr>
        <w:jc w:val="both"/>
        <w:rPr>
          <w:rFonts w:ascii="Arial" w:hAnsi="Arial" w:cs="Arial"/>
          <w:sz w:val="20"/>
        </w:rPr>
      </w:pPr>
    </w:p>
    <w:p w14:paraId="74618E0E"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D939656" w14:textId="77777777" w:rsidR="00641166" w:rsidRPr="00836E86" w:rsidRDefault="00641166" w:rsidP="00641166">
      <w:pPr>
        <w:rPr>
          <w:rFonts w:ascii="Arial" w:hAnsi="Arial" w:cs="Arial"/>
          <w:sz w:val="20"/>
        </w:rPr>
      </w:pPr>
    </w:p>
    <w:p w14:paraId="01FB46C6" w14:textId="77777777" w:rsidR="00641166" w:rsidRDefault="00641166" w:rsidP="00641166">
      <w:pPr>
        <w:rPr>
          <w:rFonts w:ascii="Arial" w:hAnsi="Arial" w:cs="Arial"/>
          <w:b/>
          <w:bCs/>
          <w:kern w:val="28"/>
          <w:szCs w:val="20"/>
          <w:lang w:val="en-GB"/>
        </w:rPr>
      </w:pPr>
      <w:r>
        <w:rPr>
          <w:rFonts w:ascii="Arial" w:hAnsi="Arial" w:cs="Arial"/>
          <w:b/>
          <w:bCs/>
        </w:rPr>
        <w:br w:type="page"/>
      </w:r>
    </w:p>
    <w:p w14:paraId="78F45C11" w14:textId="697A87C9" w:rsidR="00B21DA4" w:rsidRDefault="00B21DA4" w:rsidP="001C1A58">
      <w:pPr>
        <w:pStyle w:val="Heading3"/>
        <w:keepNext/>
        <w:keepLines/>
        <w:spacing w:after="120" w:line="240" w:lineRule="auto"/>
        <w:rPr>
          <w:rFonts w:ascii="Arial" w:hAnsi="Arial" w:cs="Arial"/>
          <w:b/>
          <w:bCs/>
          <w:sz w:val="20"/>
        </w:rPr>
      </w:pPr>
      <w:bookmarkStart w:id="593" w:name="_Toc30649715"/>
      <w:bookmarkStart w:id="594" w:name="_Toc30651652"/>
      <w:bookmarkStart w:id="595" w:name="_Toc30652636"/>
      <w:bookmarkStart w:id="596" w:name="_Toc30652734"/>
      <w:bookmarkStart w:id="597" w:name="_Toc30654079"/>
      <w:bookmarkStart w:id="598" w:name="_Toc30654430"/>
      <w:bookmarkStart w:id="599" w:name="_Toc30655049"/>
      <w:bookmarkStart w:id="600" w:name="_Toc30655306"/>
      <w:bookmarkStart w:id="601" w:name="_Toc30656984"/>
      <w:bookmarkStart w:id="602" w:name="_Toc30661733"/>
      <w:bookmarkStart w:id="603" w:name="_Toc30666421"/>
      <w:bookmarkStart w:id="604" w:name="_Toc30666651"/>
      <w:bookmarkStart w:id="605" w:name="_Toc30667826"/>
      <w:bookmarkStart w:id="606" w:name="_Toc30669204"/>
      <w:bookmarkStart w:id="607" w:name="_Toc30671420"/>
      <w:bookmarkStart w:id="608" w:name="_Toc30673947"/>
      <w:bookmarkStart w:id="609" w:name="_Toc30691169"/>
      <w:bookmarkStart w:id="610" w:name="_Toc30691540"/>
      <w:bookmarkStart w:id="611" w:name="_Toc30691920"/>
      <w:bookmarkStart w:id="612" w:name="_Toc30692679"/>
      <w:bookmarkStart w:id="613" w:name="_Toc30693058"/>
      <w:bookmarkStart w:id="614" w:name="_Toc30693436"/>
      <w:bookmarkStart w:id="615" w:name="_Toc30693815"/>
      <w:bookmarkStart w:id="616" w:name="_Toc30694196"/>
      <w:bookmarkStart w:id="617" w:name="_Toc30698785"/>
      <w:bookmarkStart w:id="618" w:name="_Toc30699163"/>
      <w:bookmarkStart w:id="619" w:name="_Toc30699548"/>
      <w:bookmarkStart w:id="620" w:name="_Toc30700703"/>
      <w:bookmarkStart w:id="621" w:name="_Toc30701090"/>
      <w:bookmarkStart w:id="622" w:name="_Toc30743699"/>
      <w:bookmarkStart w:id="623" w:name="_Toc30754521"/>
      <w:bookmarkStart w:id="624" w:name="_Toc30756961"/>
      <w:bookmarkStart w:id="625" w:name="_Toc30757510"/>
      <w:bookmarkStart w:id="626" w:name="_Toc30757910"/>
      <w:bookmarkStart w:id="627" w:name="_Toc30762671"/>
      <w:bookmarkStart w:id="628" w:name="_Toc30767325"/>
      <w:bookmarkStart w:id="629" w:name="_Toc34823341"/>
      <w:bookmarkEnd w:id="586"/>
      <w:r>
        <w:rPr>
          <w:rFonts w:ascii="Arial" w:hAnsi="Arial" w:cs="Arial"/>
          <w:b/>
          <w:bCs/>
          <w:sz w:val="20"/>
        </w:rPr>
        <w:lastRenderedPageBreak/>
        <w:t>3.5.4</w:t>
      </w:r>
      <w:r>
        <w:rPr>
          <w:rFonts w:ascii="Arial" w:hAnsi="Arial" w:cs="Arial"/>
          <w:b/>
          <w:bCs/>
          <w:sz w:val="20"/>
        </w:rPr>
        <w:tab/>
        <w:t xml:space="preserve">Contested Criminal Division </w:t>
      </w:r>
      <w:proofErr w:type="gramStart"/>
      <w:r>
        <w:rPr>
          <w:rFonts w:ascii="Arial" w:hAnsi="Arial" w:cs="Arial"/>
          <w:b/>
          <w:bCs/>
          <w:sz w:val="20"/>
        </w:rPr>
        <w:t>case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roofErr w:type="gramEnd"/>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2531B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D46F41">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2125C5">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3778CDAA"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w:t>
      </w:r>
      <w:r w:rsidR="00A13B31">
        <w:rPr>
          <w:rFonts w:ascii="Arial" w:hAnsi="Arial" w:cs="Arial"/>
          <w:sz w:val="20"/>
          <w:szCs w:val="20"/>
        </w:rPr>
        <w:noBreakHyphen/>
      </w:r>
      <w:r w:rsidR="008E56A1" w:rsidRPr="008E56A1">
        <w:rPr>
          <w:rFonts w:ascii="Arial" w:hAnsi="Arial" w:cs="Arial"/>
          <w:sz w:val="20"/>
          <w:szCs w:val="20"/>
        </w:rPr>
        <w:t>[76].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lastRenderedPageBreak/>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r w:rsidRPr="006D4E83">
        <w:rPr>
          <w:rFonts w:ascii="Arial" w:eastAsia="Book Antiqua" w:hAnsi="Arial" w:cs="Arial"/>
          <w:i/>
          <w:sz w:val="20"/>
          <w:szCs w:val="20"/>
        </w:rPr>
        <w:t>Jago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r w:rsidRPr="006D4E83">
        <w:rPr>
          <w:rFonts w:ascii="Arial" w:eastAsia="Book Antiqua" w:hAnsi="Arial" w:cs="Arial"/>
          <w:i/>
          <w:sz w:val="20"/>
          <w:szCs w:val="20"/>
        </w:rPr>
        <w:t>Jago</w:t>
      </w:r>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r w:rsidRPr="006D4E83">
        <w:rPr>
          <w:rFonts w:ascii="Arial" w:eastAsia="Book Antiqua" w:hAnsi="Arial" w:cs="Arial"/>
          <w:i/>
          <w:sz w:val="20"/>
          <w:szCs w:val="20"/>
        </w:rPr>
        <w:t>Jago</w:t>
      </w:r>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lastRenderedPageBreak/>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Chernov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D46F41">
      <w:pPr>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r w:rsidRPr="001D728B">
        <w:rPr>
          <w:rFonts w:ascii="Arial" w:hAnsi="Arial" w:cs="Arial"/>
          <w:i/>
          <w:iCs/>
          <w:sz w:val="20"/>
        </w:rPr>
        <w:t>Jago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Chernov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30" w:name="_Toc30651653"/>
      <w:bookmarkStart w:id="631" w:name="_Toc30652637"/>
      <w:bookmarkStart w:id="632" w:name="_Toc30652735"/>
      <w:bookmarkStart w:id="633" w:name="_Toc30654080"/>
      <w:bookmarkStart w:id="634" w:name="_Toc30654431"/>
      <w:bookmarkStart w:id="635" w:name="_Toc30655050"/>
      <w:bookmarkStart w:id="636" w:name="_Toc30655307"/>
      <w:bookmarkStart w:id="637" w:name="_Toc30656985"/>
      <w:bookmarkStart w:id="638" w:name="_Toc30661734"/>
      <w:bookmarkStart w:id="639" w:name="_Toc30666422"/>
      <w:bookmarkStart w:id="640" w:name="_Toc30666652"/>
      <w:bookmarkStart w:id="641" w:name="_Toc30667827"/>
      <w:bookmarkStart w:id="642" w:name="_Toc30669205"/>
      <w:bookmarkStart w:id="643" w:name="_Toc30671421"/>
      <w:bookmarkStart w:id="644" w:name="_Toc30673948"/>
      <w:bookmarkStart w:id="645" w:name="_Toc30691170"/>
      <w:bookmarkStart w:id="646" w:name="_Toc30691541"/>
      <w:bookmarkStart w:id="647" w:name="_Toc30691921"/>
      <w:bookmarkStart w:id="648" w:name="_Toc30692680"/>
      <w:bookmarkStart w:id="649" w:name="_Toc30693059"/>
      <w:bookmarkStart w:id="650" w:name="_Toc30693437"/>
      <w:bookmarkStart w:id="651" w:name="_Toc30693816"/>
      <w:bookmarkStart w:id="652" w:name="_Toc30694197"/>
      <w:bookmarkStart w:id="653" w:name="_Toc30698786"/>
      <w:bookmarkStart w:id="654" w:name="_Toc30699164"/>
      <w:bookmarkStart w:id="655" w:name="_Toc30699549"/>
      <w:bookmarkStart w:id="656" w:name="_Toc30700704"/>
      <w:bookmarkStart w:id="657" w:name="_Toc30701091"/>
      <w:bookmarkStart w:id="658" w:name="_Toc30743700"/>
      <w:bookmarkStart w:id="659" w:name="_Toc30754522"/>
      <w:bookmarkStart w:id="660" w:name="_Toc30756962"/>
      <w:bookmarkStart w:id="661" w:name="_Toc30757511"/>
      <w:bookmarkStart w:id="662" w:name="_Toc30757911"/>
      <w:bookmarkStart w:id="663" w:name="_Toc30762672"/>
      <w:bookmarkStart w:id="664" w:name="_Toc30767326"/>
      <w:bookmarkStart w:id="665" w:name="_Toc34823342"/>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00122115">
        <w:rPr>
          <w:rFonts w:ascii="Arial" w:hAnsi="Arial" w:cs="Arial"/>
          <w:b/>
          <w:bCs/>
          <w:sz w:val="20"/>
        </w:rPr>
        <w:t>cases</w:t>
      </w:r>
    </w:p>
    <w:p w14:paraId="6281B4B8" w14:textId="2520648C"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offence </w:t>
      </w:r>
      <w:r w:rsidR="00F21B68">
        <w:rPr>
          <w:rFonts w:ascii="Arial" w:hAnsi="Arial" w:cs="Arial"/>
          <w:sz w:val="20"/>
        </w:rPr>
        <w:t>against-</w:t>
      </w:r>
    </w:p>
    <w:p w14:paraId="107E90B2" w14:textId="7671DDE8" w:rsidR="00F21B68" w:rsidRDefault="00F21B68">
      <w:pPr>
        <w:pStyle w:val="ListParagraph"/>
        <w:numPr>
          <w:ilvl w:val="0"/>
          <w:numId w:val="66"/>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pPr>
        <w:pStyle w:val="ListParagraph"/>
        <w:numPr>
          <w:ilvl w:val="0"/>
          <w:numId w:val="66"/>
        </w:numPr>
        <w:ind w:left="811" w:hanging="454"/>
        <w:jc w:val="both"/>
        <w:rPr>
          <w:rFonts w:ascii="Arial" w:hAnsi="Arial" w:cs="Arial"/>
          <w:sz w:val="20"/>
        </w:rPr>
      </w:pPr>
      <w:r>
        <w:rPr>
          <w:rFonts w:ascii="Arial" w:hAnsi="Arial" w:cs="Arial"/>
          <w:sz w:val="20"/>
        </w:rPr>
        <w:lastRenderedPageBreak/>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pPr>
        <w:pStyle w:val="ListParagraph"/>
        <w:numPr>
          <w:ilvl w:val="0"/>
          <w:numId w:val="66"/>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pPr>
        <w:pStyle w:val="ListParagraph"/>
        <w:numPr>
          <w:ilvl w:val="0"/>
          <w:numId w:val="67"/>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pPr>
        <w:pStyle w:val="ListParagraph"/>
        <w:numPr>
          <w:ilvl w:val="0"/>
          <w:numId w:val="68"/>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pPr>
        <w:pStyle w:val="ListParagraph"/>
        <w:numPr>
          <w:ilvl w:val="0"/>
          <w:numId w:val="68"/>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pPr>
        <w:pStyle w:val="ListParagraph"/>
        <w:numPr>
          <w:ilvl w:val="0"/>
          <w:numId w:val="68"/>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15FFE2C8"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w:t>
      </w:r>
      <w:r w:rsidRPr="00A975E6">
        <w:rPr>
          <w:rFonts w:ascii="Arial" w:hAnsi="Arial" w:cs="Arial"/>
          <w:b/>
          <w:bCs/>
          <w:color w:val="000000"/>
          <w:sz w:val="20"/>
          <w:shd w:val="clear" w:color="auto" w:fill="C5E0B3" w:themeFill="accent6" w:themeFillTint="66"/>
        </w:rPr>
        <w:t>section 3.5.8</w:t>
      </w:r>
      <w:r>
        <w:rPr>
          <w:rFonts w:ascii="Arial" w:hAnsi="Arial" w:cs="Arial"/>
          <w:color w:val="000000"/>
          <w:sz w:val="20"/>
        </w:rPr>
        <w:t xml:space="preserve">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C236AA">
      <w:pPr>
        <w:pStyle w:val="Heading3"/>
        <w:keepNext/>
        <w:keepLines/>
        <w:widowControl/>
        <w:spacing w:line="240" w:lineRule="auto"/>
        <w:rPr>
          <w:rFonts w:ascii="Arial" w:hAnsi="Arial" w:cs="Arial"/>
          <w:b/>
          <w:bCs/>
          <w:color w:val="000000"/>
          <w:sz w:val="20"/>
        </w:rPr>
      </w:pPr>
      <w:bookmarkStart w:id="666" w:name="_3.5.5.1_Evidence-in-chief_in"/>
      <w:bookmarkStart w:id="667" w:name="B3551"/>
      <w:bookmarkStart w:id="668" w:name="_3.5.5.1_Use_of"/>
      <w:bookmarkEnd w:id="666"/>
      <w:bookmarkEnd w:id="667"/>
      <w:bookmarkEnd w:id="668"/>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pPr>
        <w:pStyle w:val="ListParagraph"/>
        <w:numPr>
          <w:ilvl w:val="0"/>
          <w:numId w:val="69"/>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7ED94C1" w:rsidR="004078C3" w:rsidRDefault="00E15762">
      <w:pPr>
        <w:pStyle w:val="ListParagraph"/>
        <w:numPr>
          <w:ilvl w:val="0"/>
          <w:numId w:val="69"/>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07094BF" w14:textId="2A32519C" w:rsidR="002F1043" w:rsidRPr="004078C3" w:rsidRDefault="002F1043">
      <w:pPr>
        <w:pStyle w:val="ListParagraph"/>
        <w:numPr>
          <w:ilvl w:val="0"/>
          <w:numId w:val="69"/>
        </w:numPr>
        <w:ind w:left="448" w:hanging="448"/>
        <w:jc w:val="both"/>
        <w:rPr>
          <w:rFonts w:ascii="Arial" w:hAnsi="Arial" w:cs="Arial"/>
          <w:sz w:val="20"/>
        </w:rPr>
      </w:pPr>
      <w:r>
        <w:rPr>
          <w:rFonts w:ascii="Arial" w:hAnsi="Arial" w:cs="Arial"/>
          <w:sz w:val="20"/>
        </w:rPr>
        <w:t>…; or</w:t>
      </w:r>
    </w:p>
    <w:p w14:paraId="0E8C696A" w14:textId="4E299AD8" w:rsidR="00E15762" w:rsidRPr="004078C3" w:rsidRDefault="004078C3">
      <w:pPr>
        <w:pStyle w:val="ListParagraph"/>
        <w:numPr>
          <w:ilvl w:val="0"/>
          <w:numId w:val="70"/>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8C5AC2">
      <w:pPr>
        <w:keepNext/>
        <w:keepLines/>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8C5AC2">
      <w:pPr>
        <w:pStyle w:val="ListParagraph"/>
        <w:keepNext/>
        <w:keepLines/>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lastRenderedPageBreak/>
        <w:t>Under ss.369-370 the whole of the evidence (including cross-examination and re-examination) of a complainant who-</w:t>
      </w:r>
    </w:p>
    <w:p w14:paraId="115371C7" w14:textId="77777777" w:rsidR="00114B38" w:rsidRPr="007C4486" w:rsidRDefault="00030902">
      <w:pPr>
        <w:pStyle w:val="ListParagraph"/>
        <w:numPr>
          <w:ilvl w:val="0"/>
          <w:numId w:val="72"/>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pPr>
        <w:pStyle w:val="ListParagraph"/>
        <w:numPr>
          <w:ilvl w:val="0"/>
          <w:numId w:val="72"/>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69" w:name="_3.5.5.2_Evidence_in"/>
      <w:bookmarkStart w:id="670" w:name="B3552"/>
      <w:bookmarkStart w:id="671" w:name="_3.5.5.2_Use_of"/>
      <w:bookmarkEnd w:id="669"/>
      <w:bookmarkEnd w:id="670"/>
      <w:bookmarkEnd w:id="671"/>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pPr>
        <w:pStyle w:val="ListParagraph"/>
        <w:numPr>
          <w:ilvl w:val="0"/>
          <w:numId w:val="73"/>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pPr>
        <w:pStyle w:val="ListParagraph"/>
        <w:numPr>
          <w:ilvl w:val="0"/>
          <w:numId w:val="73"/>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pPr>
        <w:pStyle w:val="ListParagraph"/>
        <w:numPr>
          <w:ilvl w:val="0"/>
          <w:numId w:val="77"/>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8C5AC2">
      <w:pPr>
        <w:keepNext/>
        <w:keepLines/>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48E93313"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641166">
        <w:rPr>
          <w:rFonts w:ascii="Arial" w:hAnsi="Arial" w:cs="Arial"/>
          <w:sz w:val="20"/>
        </w:rPr>
        <w:t>–</w:t>
      </w:r>
    </w:p>
    <w:p w14:paraId="68F16BEC" w14:textId="31319252"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sidR="00641166">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roofErr w:type="gramStart"/>
      <w:r>
        <w:rPr>
          <w:rFonts w:ascii="Arial" w:hAnsi="Arial" w:cs="Arial"/>
          <w:sz w:val="20"/>
        </w:rPr>
        <w:t>);</w:t>
      </w:r>
      <w:proofErr w:type="gramEnd"/>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pPr>
        <w:pStyle w:val="ListParagraph"/>
        <w:numPr>
          <w:ilvl w:val="0"/>
          <w:numId w:val="68"/>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pPr>
        <w:pStyle w:val="ListParagraph"/>
        <w:numPr>
          <w:ilvl w:val="0"/>
          <w:numId w:val="68"/>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pPr>
        <w:pStyle w:val="ListParagraph"/>
        <w:numPr>
          <w:ilvl w:val="0"/>
          <w:numId w:val="68"/>
        </w:numPr>
        <w:ind w:left="811" w:hanging="454"/>
        <w:jc w:val="both"/>
        <w:rPr>
          <w:rFonts w:ascii="Arial" w:hAnsi="Arial" w:cs="Arial"/>
          <w:sz w:val="20"/>
        </w:rPr>
      </w:pPr>
      <w:r w:rsidRPr="000F0BE9">
        <w:rPr>
          <w:rFonts w:ascii="Arial" w:hAnsi="Arial" w:cs="Arial"/>
          <w:sz w:val="20"/>
        </w:rPr>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pPr>
        <w:pStyle w:val="ListParagraph"/>
        <w:numPr>
          <w:ilvl w:val="0"/>
          <w:numId w:val="68"/>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lastRenderedPageBreak/>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CA9133B"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roofErr w:type="gramStart"/>
      <w:r>
        <w:rPr>
          <w:rFonts w:ascii="Arial" w:hAnsi="Arial" w:cs="Arial"/>
          <w:sz w:val="20"/>
        </w:rPr>
        <w:t>)</w:t>
      </w:r>
      <w:r w:rsidR="00641166">
        <w:rPr>
          <w:rFonts w:ascii="Arial" w:hAnsi="Arial" w:cs="Arial"/>
          <w:sz w:val="20"/>
        </w:rPr>
        <w:t>;</w:t>
      </w:r>
      <w:proofErr w:type="gramEnd"/>
    </w:p>
    <w:p w14:paraId="6DFF6594" w14:textId="3263EBC2" w:rsidR="00C42902" w:rsidRPr="00641166" w:rsidRDefault="00641166" w:rsidP="00641166">
      <w:pPr>
        <w:ind w:left="357" w:hanging="357"/>
        <w:jc w:val="both"/>
        <w:rPr>
          <w:rFonts w:ascii="Arial" w:hAnsi="Arial" w:cs="Arial"/>
          <w:sz w:val="20"/>
        </w:rPr>
      </w:pPr>
      <w:r>
        <w:rPr>
          <w:rFonts w:ascii="Arial" w:hAnsi="Arial" w:cs="Arial"/>
          <w:sz w:val="20"/>
        </w:rPr>
        <w:t>(b)</w:t>
      </w:r>
      <w:r>
        <w:rPr>
          <w:rFonts w:ascii="Arial" w:hAnsi="Arial" w:cs="Arial"/>
          <w:sz w:val="20"/>
        </w:rPr>
        <w:tab/>
      </w:r>
      <w:r w:rsidR="00FA7DB6"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72" w:name="_3.5.6_Contested_Family"/>
      <w:bookmarkStart w:id="673" w:name="B356"/>
      <w:bookmarkStart w:id="674" w:name="_Toc30651654"/>
      <w:bookmarkStart w:id="675" w:name="_Toc30652638"/>
      <w:bookmarkStart w:id="676" w:name="_Toc30652736"/>
      <w:bookmarkStart w:id="677" w:name="_Toc30654081"/>
      <w:bookmarkStart w:id="678" w:name="_Toc30654432"/>
      <w:bookmarkStart w:id="679" w:name="_Toc30655051"/>
      <w:bookmarkStart w:id="680" w:name="_Toc30655308"/>
      <w:bookmarkStart w:id="681" w:name="_Toc30656986"/>
      <w:bookmarkStart w:id="682" w:name="_Toc30661735"/>
      <w:bookmarkStart w:id="683" w:name="_Toc30666423"/>
      <w:bookmarkStart w:id="684" w:name="_Toc30666653"/>
      <w:bookmarkStart w:id="685" w:name="_Toc30667828"/>
      <w:bookmarkStart w:id="686" w:name="_Toc30669206"/>
      <w:bookmarkStart w:id="687" w:name="_Toc30671422"/>
      <w:bookmarkStart w:id="688" w:name="_Toc30673949"/>
      <w:bookmarkStart w:id="689" w:name="_Toc30691171"/>
      <w:bookmarkStart w:id="690" w:name="_Toc30691542"/>
      <w:bookmarkStart w:id="691" w:name="_Toc30691922"/>
      <w:bookmarkStart w:id="692" w:name="_Toc30692681"/>
      <w:bookmarkStart w:id="693" w:name="_Toc30693060"/>
      <w:bookmarkStart w:id="694" w:name="_Toc30693438"/>
      <w:bookmarkStart w:id="695" w:name="_Toc30693817"/>
      <w:bookmarkStart w:id="696" w:name="_Toc30694198"/>
      <w:bookmarkStart w:id="697" w:name="_Toc30698787"/>
      <w:bookmarkStart w:id="698" w:name="_Toc30699165"/>
      <w:bookmarkStart w:id="699" w:name="_Toc30699550"/>
      <w:bookmarkStart w:id="700" w:name="_Toc30700705"/>
      <w:bookmarkStart w:id="701" w:name="_Toc30701092"/>
      <w:bookmarkStart w:id="702" w:name="_Toc30743701"/>
      <w:bookmarkStart w:id="703" w:name="_Toc30754523"/>
      <w:bookmarkStart w:id="704" w:name="_Toc30756963"/>
      <w:bookmarkStart w:id="705" w:name="_Toc30757512"/>
      <w:bookmarkStart w:id="706" w:name="_Toc30757912"/>
      <w:bookmarkStart w:id="707" w:name="_Toc30762673"/>
      <w:bookmarkStart w:id="708" w:name="_Toc30767327"/>
      <w:bookmarkStart w:id="709" w:name="_Toc34823343"/>
      <w:bookmarkStart w:id="710" w:name="_Toc40580922"/>
      <w:bookmarkStart w:id="711" w:name="_Toc40581326"/>
      <w:bookmarkStart w:id="712" w:name="_Toc40581814"/>
      <w:bookmarkStart w:id="713" w:name="_Toc30651655"/>
      <w:bookmarkStart w:id="714" w:name="_Toc30652639"/>
      <w:bookmarkStart w:id="715" w:name="_Toc30652737"/>
      <w:bookmarkStart w:id="716" w:name="_Toc30654082"/>
      <w:bookmarkStart w:id="717" w:name="_Toc30654433"/>
      <w:bookmarkStart w:id="718" w:name="_Toc30655052"/>
      <w:bookmarkStart w:id="719" w:name="_Toc30655309"/>
      <w:bookmarkStart w:id="720" w:name="_Toc30656987"/>
      <w:bookmarkStart w:id="721" w:name="_Toc30661736"/>
      <w:bookmarkStart w:id="722" w:name="_Toc30666424"/>
      <w:bookmarkStart w:id="723" w:name="_Toc30666654"/>
      <w:bookmarkStart w:id="724" w:name="_Toc30667829"/>
      <w:bookmarkStart w:id="725" w:name="_Toc30669207"/>
      <w:bookmarkStart w:id="726" w:name="_Toc30671423"/>
      <w:bookmarkStart w:id="727" w:name="_Toc30673950"/>
      <w:bookmarkStart w:id="728" w:name="_Toc30691172"/>
      <w:bookmarkStart w:id="729" w:name="_Toc30691543"/>
      <w:bookmarkStart w:id="730" w:name="_Toc30691923"/>
      <w:bookmarkStart w:id="731" w:name="_Toc30692682"/>
      <w:bookmarkStart w:id="732" w:name="_Toc30693061"/>
      <w:bookmarkStart w:id="733" w:name="_Toc30693439"/>
      <w:bookmarkStart w:id="734" w:name="_Toc30693818"/>
      <w:bookmarkStart w:id="735" w:name="_Toc30694199"/>
      <w:bookmarkStart w:id="736" w:name="_Toc30698788"/>
      <w:bookmarkStart w:id="737" w:name="_Toc30699166"/>
      <w:bookmarkStart w:id="738" w:name="_Toc30699551"/>
      <w:bookmarkStart w:id="739" w:name="_Toc30700706"/>
      <w:bookmarkStart w:id="740" w:name="_Toc30701093"/>
      <w:bookmarkStart w:id="741" w:name="_Toc30743702"/>
      <w:bookmarkStart w:id="742" w:name="_Toc30754524"/>
      <w:bookmarkStart w:id="743" w:name="_Toc30756964"/>
      <w:bookmarkStart w:id="744" w:name="_Toc30757513"/>
      <w:bookmarkStart w:id="745" w:name="_Toc30757913"/>
      <w:bookmarkStart w:id="746" w:name="_Toc30762674"/>
      <w:bookmarkStart w:id="747" w:name="_Toc30767328"/>
      <w:bookmarkStart w:id="748" w:name="_Toc34823344"/>
      <w:bookmarkEnd w:id="672"/>
      <w:bookmarkEnd w:id="673"/>
      <w:r>
        <w:rPr>
          <w:rFonts w:ascii="Arial" w:hAnsi="Arial" w:cs="Arial"/>
          <w:b/>
          <w:bCs/>
          <w:sz w:val="20"/>
        </w:rPr>
        <w:t>3.5.6</w:t>
      </w:r>
      <w:r>
        <w:rPr>
          <w:rFonts w:ascii="Arial" w:hAnsi="Arial" w:cs="Arial"/>
          <w:b/>
          <w:bCs/>
          <w:sz w:val="20"/>
        </w:rPr>
        <w:tab/>
        <w:t>Contested Family Division case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49" w:name="_3.5.6.1_The_usual"/>
      <w:bookmarkStart w:id="750" w:name="B3561"/>
      <w:bookmarkEnd w:id="749"/>
      <w:bookmarkEnd w:id="750"/>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85C8FBB"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xml:space="preserve">.  Where there are conflicting accounts or material, the judicial officer must </w:t>
      </w:r>
      <w:proofErr w:type="gramStart"/>
      <w:r w:rsidR="00182570">
        <w:rPr>
          <w:rFonts w:ascii="Arial" w:hAnsi="Arial" w:cs="Arial"/>
          <w:sz w:val="20"/>
        </w:rPr>
        <w:t>make a decision</w:t>
      </w:r>
      <w:proofErr w:type="gramEnd"/>
      <w:r w:rsidR="00182570">
        <w:rPr>
          <w:rFonts w:ascii="Arial" w:hAnsi="Arial" w:cs="Arial"/>
          <w:sz w:val="20"/>
        </w:rPr>
        <w:t xml:space="preserve">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xml:space="preserve">: see </w:t>
      </w:r>
      <w:r w:rsidR="007A3695" w:rsidRPr="00A975E6">
        <w:rPr>
          <w:rFonts w:ascii="Arial" w:hAnsi="Arial" w:cs="Arial"/>
          <w:b/>
          <w:bCs/>
          <w:sz w:val="20"/>
          <w:shd w:val="clear" w:color="auto" w:fill="C5E0B3" w:themeFill="accent6" w:themeFillTint="66"/>
        </w:rPr>
        <w:t>subsection 3.5.3.</w:t>
      </w:r>
      <w:r w:rsidR="00106472" w:rsidRPr="00A975E6">
        <w:rPr>
          <w:rFonts w:ascii="Arial" w:hAnsi="Arial" w:cs="Arial"/>
          <w:b/>
          <w:bCs/>
          <w:sz w:val="20"/>
          <w:shd w:val="clear" w:color="auto" w:fill="C5E0B3" w:themeFill="accent6" w:themeFillTint="66"/>
        </w:rPr>
        <w:t>8</w:t>
      </w:r>
      <w:r w:rsidR="007A3695">
        <w:rPr>
          <w:rFonts w:ascii="Arial" w:hAnsi="Arial" w:cs="Arial"/>
          <w:sz w:val="20"/>
        </w:rPr>
        <w:t xml:space="preserve"> above; s</w:t>
      </w:r>
      <w:r w:rsidR="00A73084">
        <w:rPr>
          <w:rFonts w:ascii="Arial" w:hAnsi="Arial" w:cs="Arial"/>
          <w:sz w:val="20"/>
        </w:rPr>
        <w:t xml:space="preserve">ee also </w:t>
      </w:r>
      <w:proofErr w:type="spellStart"/>
      <w:r w:rsidR="007A3695" w:rsidRPr="007A3695">
        <w:rPr>
          <w:rFonts w:ascii="Arial" w:hAnsi="Arial" w:cs="Arial"/>
          <w:i/>
          <w:iCs/>
          <w:sz w:val="20"/>
        </w:rPr>
        <w:t>Eumeralla</w:t>
      </w:r>
      <w:proofErr w:type="spellEnd"/>
      <w:r w:rsidR="007A3695" w:rsidRPr="007A3695">
        <w:rPr>
          <w:rFonts w:ascii="Arial" w:hAnsi="Arial" w:cs="Arial"/>
          <w:i/>
          <w:iCs/>
          <w:sz w:val="20"/>
        </w:rPr>
        <w:t xml:space="preserve">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24574989" w:rsidR="00937ADE" w:rsidRPr="0040353D" w:rsidRDefault="00937ADE" w:rsidP="00937ADE">
      <w:pPr>
        <w:jc w:val="both"/>
        <w:rPr>
          <w:rFonts w:ascii="Arial" w:hAnsi="Arial" w:cs="Arial"/>
          <w:color w:val="000000"/>
          <w:sz w:val="20"/>
        </w:rPr>
      </w:pPr>
      <w:r w:rsidRPr="0040353D">
        <w:rPr>
          <w:rFonts w:ascii="Arial" w:hAnsi="Arial" w:cs="Arial"/>
          <w:color w:val="000000"/>
          <w:sz w:val="20"/>
        </w:rPr>
        <w:lastRenderedPageBreak/>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w:t>
      </w:r>
      <w:r w:rsidR="00667D1D">
        <w:rPr>
          <w:rFonts w:ascii="Arial" w:hAnsi="Arial" w:cs="Arial"/>
          <w:color w:val="000000"/>
          <w:sz w:val="20"/>
        </w:rPr>
        <w:t>excellent</w:t>
      </w:r>
      <w:r w:rsidRPr="0040353D">
        <w:rPr>
          <w:rFonts w:ascii="Arial" w:hAnsi="Arial" w:cs="Arial"/>
          <w:color w:val="000000"/>
          <w:sz w:val="20"/>
        </w:rPr>
        <w:t xml:space="preserve">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proofErr w:type="spellStart"/>
      <w:r>
        <w:rPr>
          <w:rFonts w:ascii="Arial" w:hAnsi="Arial" w:cs="Arial"/>
          <w:i/>
          <w:sz w:val="20"/>
          <w:szCs w:val="20"/>
        </w:rPr>
        <w:t>O</w:t>
      </w:r>
      <w:r w:rsidRPr="00AF7766">
        <w:rPr>
          <w:rFonts w:ascii="Arial" w:hAnsi="Arial" w:cs="Arial"/>
          <w:i/>
          <w:sz w:val="20"/>
          <w:szCs w:val="20"/>
        </w:rPr>
        <w:t>rs</w:t>
      </w:r>
      <w:proofErr w:type="spellEnd"/>
      <w:r w:rsidRPr="00AF7766">
        <w:rPr>
          <w:rFonts w:ascii="Arial" w:hAnsi="Arial" w:cs="Arial"/>
          <w:i/>
          <w:sz w:val="20"/>
          <w:szCs w:val="20"/>
        </w:rPr>
        <w:t xml:space="preserve">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06BB3411" w:rsidR="00FD5828" w:rsidRPr="009F25D4" w:rsidRDefault="00D9355C" w:rsidP="00FD5828">
      <w:pPr>
        <w:pStyle w:val="Heading3"/>
        <w:keepNext/>
        <w:spacing w:line="240" w:lineRule="auto"/>
        <w:rPr>
          <w:rFonts w:ascii="Arial" w:hAnsi="Arial" w:cs="Arial"/>
          <w:b/>
          <w:bCs/>
          <w:color w:val="000000"/>
          <w:sz w:val="20"/>
        </w:rPr>
      </w:pPr>
      <w:bookmarkStart w:id="751" w:name="_3.5.6.2_Informal_procedure"/>
      <w:bookmarkStart w:id="752" w:name="B3562"/>
      <w:bookmarkEnd w:id="751"/>
      <w:bookmarkEnd w:id="752"/>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w:t>
      </w:r>
      <w:r w:rsidR="00C22B3A">
        <w:rPr>
          <w:rFonts w:ascii="Arial" w:hAnsi="Arial" w:cs="Arial"/>
          <w:b/>
          <w:sz w:val="20"/>
        </w:rPr>
        <w:t>.</w:t>
      </w:r>
      <w:r w:rsidR="00367E55">
        <w:rPr>
          <w:rFonts w:ascii="Arial" w:hAnsi="Arial" w:cs="Arial"/>
          <w:b/>
          <w:sz w:val="20"/>
        </w:rPr>
        <w:t>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proofErr w:type="spellStart"/>
      <w:r w:rsidR="00052871" w:rsidRPr="00741D02">
        <w:rPr>
          <w:rFonts w:ascii="Arial" w:hAnsi="Arial" w:cs="Arial"/>
          <w:i/>
          <w:iCs/>
          <w:sz w:val="20"/>
        </w:rPr>
        <w:t>parte</w:t>
      </w:r>
      <w:proofErr w:type="spellEnd"/>
      <w:r w:rsidR="00052871" w:rsidRPr="00741D02">
        <w:rPr>
          <w:rFonts w:ascii="Arial" w:hAnsi="Arial" w:cs="Arial"/>
          <w:i/>
          <w:iCs/>
          <w:sz w:val="20"/>
        </w:rPr>
        <w:t xml:space="preserv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proofErr w:type="spellStart"/>
      <w:r w:rsidRPr="00741D02">
        <w:rPr>
          <w:rFonts w:ascii="Arial" w:hAnsi="Arial" w:cs="Arial"/>
          <w:i/>
          <w:iCs/>
          <w:sz w:val="20"/>
        </w:rPr>
        <w:t>parte</w:t>
      </w:r>
      <w:proofErr w:type="spellEnd"/>
      <w:r w:rsidRPr="00741D02">
        <w:rPr>
          <w:rFonts w:ascii="Arial" w:hAnsi="Arial" w:cs="Arial"/>
          <w:i/>
          <w:iCs/>
          <w:sz w:val="20"/>
        </w:rPr>
        <w:t xml:space="preserv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 xml:space="preserve">Re JRL; Ex </w:t>
      </w:r>
      <w:proofErr w:type="spellStart"/>
      <w:r w:rsidRPr="003714F9">
        <w:rPr>
          <w:rFonts w:ascii="Arial" w:hAnsi="Arial" w:cs="Arial"/>
          <w:i/>
          <w:iCs/>
          <w:sz w:val="20"/>
        </w:rPr>
        <w:t>parte</w:t>
      </w:r>
      <w:proofErr w:type="spellEnd"/>
      <w:r w:rsidRPr="003714F9">
        <w:rPr>
          <w:rFonts w:ascii="Arial" w:hAnsi="Arial" w:cs="Arial"/>
          <w:i/>
          <w:iCs/>
          <w:sz w:val="20"/>
        </w:rPr>
        <w:t xml:space="preserv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lastRenderedPageBreak/>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6D300BEE"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 operative, </w:t>
      </w:r>
      <w:r w:rsidR="002E777F">
        <w:rPr>
          <w:rFonts w:ascii="Arial" w:hAnsi="Arial" w:cs="Arial"/>
          <w:sz w:val="20"/>
        </w:rPr>
        <w:t>albeit</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53" w:name="_3.5.6.3_Section_215B"/>
      <w:bookmarkStart w:id="754" w:name="_3.5.6.3_Management_of"/>
      <w:bookmarkStart w:id="755" w:name="B3563"/>
      <w:bookmarkEnd w:id="753"/>
      <w:bookmarkEnd w:id="754"/>
      <w:bookmarkEnd w:id="755"/>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64AB6EBB" w:rsidR="002208A5" w:rsidRPr="00C22B3A" w:rsidRDefault="00F730A1" w:rsidP="002208A5">
      <w:pPr>
        <w:tabs>
          <w:tab w:val="left" w:pos="363"/>
        </w:tabs>
        <w:spacing w:before="120"/>
        <w:jc w:val="both"/>
        <w:rPr>
          <w:rFonts w:ascii="Arial" w:hAnsi="Arial" w:cs="Arial"/>
          <w:color w:val="000000"/>
          <w:sz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w:t>
      </w:r>
      <w:r w:rsidR="00C22B3A">
        <w:rPr>
          <w:rFonts w:ascii="Arial" w:hAnsi="Arial" w:cs="Arial"/>
          <w:color w:val="000000"/>
          <w:sz w:val="20"/>
        </w:rPr>
        <w:t>recommended changes</w:t>
      </w:r>
      <w:r>
        <w:rPr>
          <w:rFonts w:ascii="Arial" w:hAnsi="Arial" w:cs="Arial"/>
          <w:color w:val="000000"/>
          <w:sz w:val="20"/>
        </w:rPr>
        <w:t xml:space="preserve"> </w:t>
      </w:r>
      <w:r w:rsidR="00C22B3A">
        <w:rPr>
          <w:rFonts w:ascii="Arial" w:hAnsi="Arial" w:cs="Arial"/>
          <w:color w:val="000000"/>
          <w:sz w:val="20"/>
        </w:rPr>
        <w:t xml:space="preserve">– namely a “court hearing that was an inquiry rather than an adversarial battle” – was finally partly addressed </w:t>
      </w:r>
      <w:r w:rsidR="00BC1218">
        <w:rPr>
          <w:rFonts w:ascii="Arial" w:hAnsi="Arial" w:cs="Arial"/>
          <w:color w:val="000000"/>
          <w:sz w:val="20"/>
        </w:rPr>
        <w:t xml:space="preserve">in late </w:t>
      </w:r>
      <w:r w:rsidR="00C22B3A">
        <w:rPr>
          <w:rFonts w:ascii="Arial" w:hAnsi="Arial" w:cs="Arial"/>
          <w:color w:val="000000"/>
          <w:sz w:val="20"/>
        </w:rPr>
        <w:t xml:space="preserve">2013 by the introduction of s.215B of the CYFA.  This section </w:t>
      </w:r>
      <w:r w:rsidR="00AF3D8D" w:rsidRPr="003D4BCE">
        <w:rPr>
          <w:rFonts w:ascii="Arial" w:hAnsi="Arial" w:cs="Arial"/>
          <w:color w:val="000000"/>
          <w:sz w:val="20"/>
        </w:rPr>
        <w:t xml:space="preserve">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t>
      </w:r>
      <w:proofErr w:type="gramStart"/>
      <w:r w:rsidR="00AB2E5E" w:rsidRPr="00741D02">
        <w:rPr>
          <w:rFonts w:ascii="Arial" w:hAnsi="Arial" w:cs="Arial"/>
          <w:i/>
          <w:iCs/>
          <w:sz w:val="20"/>
        </w:rPr>
        <w:t>Watson;</w:t>
      </w:r>
      <w:proofErr w:type="gramEnd"/>
      <w:r w:rsidR="00AB2E5E" w:rsidRPr="00741D02">
        <w:rPr>
          <w:rFonts w:ascii="Arial" w:hAnsi="Arial" w:cs="Arial"/>
          <w:i/>
          <w:iCs/>
          <w:sz w:val="20"/>
        </w:rPr>
        <w:t xml:space="preserve"> </w:t>
      </w:r>
      <w:r w:rsidR="00AB2E5E">
        <w:rPr>
          <w:rFonts w:ascii="Arial" w:hAnsi="Arial" w:cs="Arial"/>
          <w:i/>
          <w:iCs/>
          <w:sz w:val="20"/>
        </w:rPr>
        <w:t xml:space="preserve">Ex </w:t>
      </w:r>
      <w:proofErr w:type="spellStart"/>
      <w:r w:rsidR="00AB2E5E" w:rsidRPr="00741D02">
        <w:rPr>
          <w:rFonts w:ascii="Arial" w:hAnsi="Arial" w:cs="Arial"/>
          <w:i/>
          <w:iCs/>
          <w:sz w:val="20"/>
        </w:rPr>
        <w:t>parte</w:t>
      </w:r>
      <w:proofErr w:type="spellEnd"/>
      <w:r w:rsidR="00AB2E5E" w:rsidRPr="00741D02">
        <w:rPr>
          <w:rFonts w:ascii="Arial" w:hAnsi="Arial" w:cs="Arial"/>
          <w:i/>
          <w:iCs/>
          <w:sz w:val="20"/>
        </w:rPr>
        <w:t xml:space="preserv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3232092E"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lastRenderedPageBreak/>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r w:rsidR="00641166">
        <w:rPr>
          <w:rFonts w:ascii="Arial" w:hAnsi="Arial" w:cs="Arial"/>
          <w:color w:val="000000"/>
          <w:sz w:val="20"/>
        </w:rPr>
        <w:t>–</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 xml:space="preserve">consider the needs of the child and the impact that the proceeding may have on the </w:t>
      </w:r>
      <w:proofErr w:type="gramStart"/>
      <w:r w:rsidRPr="003D4BCE">
        <w:rPr>
          <w:rFonts w:ascii="Arial" w:hAnsi="Arial" w:cs="Arial"/>
          <w:color w:val="000000"/>
          <w:sz w:val="20"/>
        </w:rPr>
        <w:t>child;</w:t>
      </w:r>
      <w:proofErr w:type="gramEnd"/>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w:t>
      </w:r>
      <w:r w:rsidRPr="00C22B3A">
        <w:rPr>
          <w:rFonts w:ascii="Arial" w:hAnsi="Arial" w:cs="Arial"/>
          <w:b/>
          <w:bCs/>
          <w:sz w:val="20"/>
          <w:szCs w:val="20"/>
        </w:rPr>
        <w:t>Management of child protection proceedings</w:t>
      </w:r>
      <w:r w:rsidRPr="003D4BCE">
        <w:rPr>
          <w:rFonts w:ascii="Arial" w:hAnsi="Arial" w:cs="Arial"/>
          <w:sz w:val="20"/>
          <w:szCs w:val="20"/>
        </w:rPr>
        <w:t>”</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3E2F01A1" w:rsidR="00B45F89" w:rsidRDefault="00B45F89" w:rsidP="00B45F89">
      <w:pPr>
        <w:jc w:val="both"/>
        <w:rPr>
          <w:rFonts w:ascii="Arial" w:hAnsi="Arial" w:cs="Arial"/>
          <w:sz w:val="20"/>
        </w:rPr>
      </w:pPr>
    </w:p>
    <w:p w14:paraId="3338C640" w14:textId="51AD35E5" w:rsidR="000232AB" w:rsidRDefault="00BC1218" w:rsidP="00C22B3A">
      <w:pPr>
        <w:jc w:val="both"/>
        <w:rPr>
          <w:rFonts w:ascii="Arial" w:hAnsi="Arial" w:cs="Arial"/>
          <w:sz w:val="20"/>
        </w:rPr>
      </w:pPr>
      <w:r>
        <w:rPr>
          <w:rFonts w:ascii="Arial" w:hAnsi="Arial" w:cs="Arial"/>
          <w:sz w:val="20"/>
        </w:rPr>
        <w:t xml:space="preserve">Seven years prior to the commencement of s.215B, an amendment to the </w:t>
      </w:r>
      <w:r w:rsidRPr="00BC1218">
        <w:rPr>
          <w:rFonts w:ascii="Arial" w:hAnsi="Arial" w:cs="Arial"/>
          <w:i/>
          <w:iCs/>
          <w:sz w:val="20"/>
        </w:rPr>
        <w:t>Family Law Act 1975</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had enabled the Family Court of Australia – now </w:t>
      </w:r>
      <w:r w:rsidR="00996610">
        <w:rPr>
          <w:rFonts w:ascii="Arial" w:hAnsi="Arial" w:cs="Arial"/>
          <w:sz w:val="20"/>
        </w:rPr>
        <w:t>en</w:t>
      </w:r>
      <w:r>
        <w:rPr>
          <w:rFonts w:ascii="Arial" w:hAnsi="Arial" w:cs="Arial"/>
          <w:sz w:val="20"/>
        </w:rPr>
        <w:t xml:space="preserve">titled the Federal Circuit and Family Court of Australia – to </w:t>
      </w:r>
      <w:r w:rsidR="000232AB">
        <w:rPr>
          <w:rFonts w:ascii="Arial" w:hAnsi="Arial" w:cs="Arial"/>
          <w:sz w:val="20"/>
        </w:rPr>
        <w:t>apply a less adversarial approach to Family Court hearings generally and to develop processes to support this less adversarial trial approach (LAT).  A detailed discussion of the development of the LAT and the case law which underpins it is contained in Margaret Harrison’s book “</w:t>
      </w:r>
      <w:smartTag w:uri="urn:schemas-microsoft-com:office:smarttags" w:element="Street">
        <w:smartTag w:uri="urn:schemas-microsoft-com:office:smarttags" w:element="address">
          <w:r w:rsidR="000232AB">
            <w:rPr>
              <w:rFonts w:ascii="Arial" w:hAnsi="Arial" w:cs="Arial"/>
              <w:sz w:val="20"/>
            </w:rPr>
            <w:t>Finding A Better Way</w:t>
          </w:r>
        </w:smartTag>
      </w:smartTag>
      <w:r w:rsidR="000232AB">
        <w:rPr>
          <w:rFonts w:ascii="Arial" w:hAnsi="Arial" w:cs="Arial"/>
          <w:sz w:val="20"/>
        </w:rPr>
        <w:t>” (Family Court of Australia, April 2007).  In her introduction Ms Harrison describes the LAT as follows:</w:t>
      </w:r>
    </w:p>
    <w:p w14:paraId="241A4E9B"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w:t>
      </w:r>
      <w:proofErr w:type="gramStart"/>
      <w:r>
        <w:rPr>
          <w:rFonts w:ascii="Arial" w:hAnsi="Arial" w:cs="Arial"/>
          <w:iCs/>
          <w:sz w:val="20"/>
        </w:rPr>
        <w:t>litigation as a whole</w:t>
      </w:r>
      <w:proofErr w:type="gramEnd"/>
      <w:r>
        <w:rPr>
          <w:rFonts w:ascii="Arial" w:hAnsi="Arial" w:cs="Arial"/>
          <w:iCs/>
          <w:sz w:val="20"/>
        </w:rPr>
        <w:t xml:space="preserv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2046637B"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w:t>
      </w:r>
      <w:proofErr w:type="gramStart"/>
      <w:r>
        <w:rPr>
          <w:rFonts w:ascii="Arial" w:hAnsi="Arial" w:cs="Arial"/>
          <w:iCs/>
          <w:sz w:val="20"/>
        </w:rPr>
        <w:t>As a consequence of</w:t>
      </w:r>
      <w:proofErr w:type="gramEnd"/>
      <w:r>
        <w:rPr>
          <w:rFonts w:ascii="Arial" w:hAnsi="Arial" w:cs="Arial"/>
          <w:iCs/>
          <w:sz w:val="20"/>
        </w:rPr>
        <w:t xml:space="preserve"> the new procedures, parties are no longer free to conduct litigation as a forensic war between each other at the expense of the interests of the child.  At the same time the best features of the Court’s highly developed system for medication and resolution </w:t>
      </w:r>
      <w:r>
        <w:rPr>
          <w:rFonts w:ascii="Arial" w:hAnsi="Arial" w:cs="Arial"/>
          <w:iCs/>
          <w:sz w:val="20"/>
        </w:rPr>
        <w:lastRenderedPageBreak/>
        <w:t xml:space="preserve">of disputes </w:t>
      </w:r>
      <w:proofErr w:type="gramStart"/>
      <w:r>
        <w:rPr>
          <w:rFonts w:ascii="Arial" w:hAnsi="Arial" w:cs="Arial"/>
          <w:iCs/>
          <w:sz w:val="20"/>
        </w:rPr>
        <w:t>has</w:t>
      </w:r>
      <w:proofErr w:type="gramEnd"/>
      <w:r>
        <w:rPr>
          <w:rFonts w:ascii="Arial" w:hAnsi="Arial" w:cs="Arial"/>
          <w:iCs/>
          <w:sz w:val="20"/>
        </w:rPr>
        <w:t xml:space="preserve">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476330FD" w14:textId="77777777" w:rsidR="000232AB" w:rsidRDefault="000232AB" w:rsidP="000232AB">
      <w:pPr>
        <w:jc w:val="both"/>
        <w:rPr>
          <w:rFonts w:ascii="Arial" w:hAnsi="Arial" w:cs="Arial"/>
          <w:sz w:val="20"/>
        </w:rPr>
      </w:pPr>
    </w:p>
    <w:p w14:paraId="435B2271" w14:textId="77777777" w:rsidR="000232AB" w:rsidRDefault="000232AB" w:rsidP="000232AB">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1A451C4C" w14:textId="77777777" w:rsidR="000232AB" w:rsidRDefault="000232AB" w:rsidP="000232AB">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7E0F7CEF" w14:textId="77777777" w:rsidR="000232AB" w:rsidRDefault="000232AB"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56" w:name="_3.5.6.4_Obligation_to"/>
      <w:bookmarkStart w:id="757" w:name="B3564"/>
      <w:bookmarkEnd w:id="756"/>
      <w:bookmarkEnd w:id="757"/>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 xml:space="preserve">in ‘best interests’ </w:t>
      </w:r>
      <w:proofErr w:type="gramStart"/>
      <w:r w:rsidR="00F624FF">
        <w:rPr>
          <w:rFonts w:ascii="Arial" w:hAnsi="Arial" w:cs="Arial"/>
          <w:b/>
          <w:bCs/>
          <w:sz w:val="20"/>
        </w:rPr>
        <w:t>context</w:t>
      </w:r>
      <w:proofErr w:type="gramEnd"/>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pPr>
        <w:numPr>
          <w:ilvl w:val="0"/>
          <w:numId w:val="54"/>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pPr>
        <w:numPr>
          <w:ilvl w:val="0"/>
          <w:numId w:val="54"/>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w:t>
      </w:r>
      <w:r w:rsidR="007A49E9" w:rsidRPr="00A975E6">
        <w:rPr>
          <w:rFonts w:ascii="Arial" w:hAnsi="Arial" w:cs="Arial"/>
          <w:b/>
          <w:bCs/>
          <w:sz w:val="20"/>
          <w:shd w:val="clear" w:color="auto" w:fill="C5E0B3" w:themeFill="accent6" w:themeFillTint="66"/>
        </w:rPr>
        <w:t>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 xml:space="preserve">Re JRL; Ex </w:t>
      </w:r>
      <w:proofErr w:type="spellStart"/>
      <w:r w:rsidRPr="00061CF0">
        <w:rPr>
          <w:rFonts w:ascii="Arial" w:hAnsi="Arial" w:cs="Arial"/>
          <w:bCs/>
          <w:i/>
          <w:sz w:val="20"/>
        </w:rPr>
        <w:t>parte</w:t>
      </w:r>
      <w:proofErr w:type="spellEnd"/>
      <w:r w:rsidRPr="00061CF0">
        <w:rPr>
          <w:rFonts w:ascii="Arial" w:hAnsi="Arial" w:cs="Arial"/>
          <w:bCs/>
          <w:i/>
          <w:sz w:val="20"/>
        </w:rPr>
        <w:t xml:space="preserv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w:t>
      </w:r>
      <w:r>
        <w:rPr>
          <w:rFonts w:ascii="Arial" w:hAnsi="Arial" w:cs="Arial"/>
          <w:bCs/>
          <w:sz w:val="20"/>
        </w:rPr>
        <w:lastRenderedPageBreak/>
        <w:t>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58"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74F46327" w14:textId="55BB13FF" w:rsidR="00DF0EB9" w:rsidRDefault="00A24DDE" w:rsidP="00DF0EB9">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5329691"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w:t>
      </w:r>
      <w:r w:rsidR="009A2F63">
        <w:rPr>
          <w:rFonts w:ascii="Arial" w:hAnsi="Arial" w:cs="Arial"/>
          <w:sz w:val="20"/>
          <w:szCs w:val="20"/>
          <w:lang w:eastAsia="en-AU"/>
        </w:rPr>
        <w:t xml:space="preserve"> </w:t>
      </w:r>
      <w:r w:rsidR="00964079" w:rsidRPr="00E10917">
        <w:rPr>
          <w:rFonts w:ascii="Arial" w:hAnsi="Arial" w:cs="Arial"/>
          <w:sz w:val="20"/>
          <w:szCs w:val="20"/>
          <w:lang w:eastAsia="en-AU"/>
        </w:rPr>
        <w:t xml:space="preserve">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58"/>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w:t>
      </w:r>
      <w:r w:rsidR="008801D3" w:rsidRPr="003967DB">
        <w:rPr>
          <w:rFonts w:ascii="Arial" w:hAnsi="Arial" w:cs="Arial"/>
          <w:b/>
          <w:bCs/>
          <w:color w:val="000000"/>
          <w:sz w:val="20"/>
          <w:szCs w:val="20"/>
          <w:shd w:val="clear" w:color="auto" w:fill="C5E0B3"/>
        </w:rPr>
        <w:t xml:space="preserve">sections </w:t>
      </w:r>
      <w:r w:rsidR="00AE14B6" w:rsidRPr="003967DB">
        <w:rPr>
          <w:rFonts w:ascii="Arial" w:hAnsi="Arial" w:cs="Arial"/>
          <w:b/>
          <w:bCs/>
          <w:color w:val="000000"/>
          <w:sz w:val="20"/>
          <w:szCs w:val="20"/>
          <w:shd w:val="clear" w:color="auto" w:fill="C5E0B3"/>
        </w:rPr>
        <w:t>5.2.3</w:t>
      </w:r>
      <w:r w:rsidR="008801D3" w:rsidRPr="003967DB">
        <w:rPr>
          <w:rFonts w:ascii="Arial" w:hAnsi="Arial" w:cs="Arial"/>
          <w:b/>
          <w:bCs/>
          <w:color w:val="000000"/>
          <w:sz w:val="20"/>
          <w:szCs w:val="20"/>
          <w:shd w:val="clear" w:color="auto" w:fill="C5E0B3"/>
        </w:rPr>
        <w:t xml:space="preserve">, </w:t>
      </w:r>
      <w:r w:rsidR="00F6173D" w:rsidRPr="003967DB">
        <w:rPr>
          <w:rFonts w:ascii="Arial" w:hAnsi="Arial" w:cs="Arial"/>
          <w:b/>
          <w:bCs/>
          <w:color w:val="000000"/>
          <w:sz w:val="20"/>
          <w:szCs w:val="20"/>
          <w:shd w:val="clear" w:color="auto" w:fill="C5E0B3"/>
        </w:rPr>
        <w:t>5.14.2</w:t>
      </w:r>
      <w:r w:rsidR="008801D3" w:rsidRPr="003967DB">
        <w:rPr>
          <w:rFonts w:ascii="Arial" w:hAnsi="Arial" w:cs="Arial"/>
          <w:b/>
          <w:bCs/>
          <w:color w:val="000000"/>
          <w:sz w:val="20"/>
          <w:szCs w:val="20"/>
          <w:shd w:val="clear" w:color="auto" w:fill="C5E0B3"/>
        </w:rPr>
        <w:t xml:space="preserve"> &amp; </w:t>
      </w:r>
      <w:r w:rsidR="00F6173D" w:rsidRPr="003967DB">
        <w:rPr>
          <w:rFonts w:ascii="Arial" w:hAnsi="Arial" w:cs="Arial"/>
          <w:b/>
          <w:bCs/>
          <w:color w:val="000000"/>
          <w:sz w:val="20"/>
          <w:szCs w:val="20"/>
          <w:shd w:val="clear" w:color="auto" w:fill="C5E0B3"/>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84A672"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 xml:space="preserve">Secretary, Department of Human Services v </w:t>
      </w:r>
      <w:r w:rsidRPr="00367E55">
        <w:rPr>
          <w:rFonts w:ascii="Arial" w:hAnsi="Arial" w:cs="Arial"/>
          <w:i/>
          <w:sz w:val="20"/>
          <w:szCs w:val="20"/>
        </w:rPr>
        <w:lastRenderedPageBreak/>
        <w:t>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w:t>
      </w:r>
      <w:r w:rsidR="00235A6D">
        <w:rPr>
          <w:rFonts w:ascii="Arial" w:hAnsi="Arial" w:cs="Arial"/>
          <w:sz w:val="20"/>
          <w:szCs w:val="20"/>
        </w:rPr>
        <w:t xml:space="preserve">JJ </w:t>
      </w:r>
      <w:r w:rsidR="007526D0" w:rsidRPr="007526D0">
        <w:rPr>
          <w:rFonts w:ascii="Arial" w:hAnsi="Arial" w:cs="Arial"/>
          <w:sz w:val="20"/>
          <w:szCs w:val="20"/>
        </w:rPr>
        <w:t>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5C5E8323"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A975E6" w:rsidRPr="00A975E6">
        <w:rPr>
          <w:rFonts w:ascii="Arial" w:hAnsi="Arial" w:cs="Arial"/>
          <w:b/>
          <w:bCs/>
          <w:sz w:val="20"/>
          <w:szCs w:val="20"/>
          <w:shd w:val="clear" w:color="auto" w:fill="C5E0B3" w:themeFill="accent6" w:themeFillTint="66"/>
        </w:rPr>
        <w:t>sections</w:t>
      </w:r>
      <w:r w:rsidR="00620D75" w:rsidRPr="00A975E6">
        <w:rPr>
          <w:rFonts w:ascii="Arial" w:hAnsi="Arial" w:cs="Arial"/>
          <w:b/>
          <w:bCs/>
          <w:sz w:val="20"/>
          <w:szCs w:val="20"/>
          <w:shd w:val="clear" w:color="auto" w:fill="C5E0B3" w:themeFill="accent6" w:themeFillTint="66"/>
        </w:rPr>
        <w:t xml:space="preserve">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w:t>
      </w:r>
      <w:proofErr w:type="spellStart"/>
      <w:r>
        <w:rPr>
          <w:rFonts w:ascii="Arial" w:hAnsi="Arial" w:cs="Arial"/>
          <w:color w:val="000000"/>
          <w:sz w:val="20"/>
          <w:lang w:val="en-US"/>
        </w:rPr>
        <w:t>noone</w:t>
      </w:r>
      <w:proofErr w:type="spellEnd"/>
      <w:r>
        <w:rPr>
          <w:rFonts w:ascii="Arial" w:hAnsi="Arial" w:cs="Arial"/>
          <w:color w:val="000000"/>
          <w:sz w:val="20"/>
          <w:lang w:val="en-US"/>
        </w:rPr>
        <w:t xml:space="preserv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0C4855B3" w:rsidR="007A12D2" w:rsidRDefault="00AB2E5E" w:rsidP="00A13B31">
      <w:pPr>
        <w:keepNext/>
        <w:keepLines/>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 xml:space="preserve">in </w:t>
      </w:r>
      <w:r w:rsidR="004B696B">
        <w:rPr>
          <w:rFonts w:ascii="Arial" w:hAnsi="Arial" w:cs="Arial"/>
          <w:b/>
          <w:bCs/>
          <w:sz w:val="20"/>
          <w:shd w:val="clear" w:color="auto" w:fill="C5E0B3" w:themeFill="accent6" w:themeFillTint="66"/>
        </w:rPr>
        <w:t>Part</w:t>
      </w:r>
      <w:r w:rsidR="00D721FF" w:rsidRPr="00A975E6">
        <w:rPr>
          <w:rFonts w:ascii="Arial" w:hAnsi="Arial" w:cs="Arial"/>
          <w:b/>
          <w:bCs/>
          <w:sz w:val="20"/>
          <w:shd w:val="clear" w:color="auto" w:fill="C5E0B3" w:themeFill="accent6" w:themeFillTint="66"/>
        </w:rPr>
        <w:t xml:space="preserve"> 3.1</w:t>
      </w:r>
      <w:r w:rsidR="00D721FF">
        <w:rPr>
          <w:rFonts w:ascii="Arial" w:hAnsi="Arial" w:cs="Arial"/>
          <w:sz w:val="20"/>
        </w:rPr>
        <w:t xml:space="preserve">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67FDE7DF"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w:t>
      </w:r>
      <w:r w:rsidR="00157791">
        <w:rPr>
          <w:rFonts w:ascii="Arial" w:hAnsi="Arial" w:cs="Arial"/>
          <w:sz w:val="20"/>
        </w:rPr>
        <w:t>A</w:t>
      </w:r>
      <w:r w:rsidR="00B975C7">
        <w:rPr>
          <w:rFonts w:ascii="Arial" w:hAnsi="Arial" w:cs="Arial"/>
          <w:sz w:val="20"/>
        </w:rPr>
        <w:t xml:space="preserve">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 xml:space="preserve">referred to in </w:t>
      </w:r>
      <w:r w:rsidRPr="00A975E6">
        <w:rPr>
          <w:rFonts w:ascii="Arial" w:hAnsi="Arial" w:cs="Arial"/>
          <w:b/>
          <w:bCs/>
          <w:sz w:val="20"/>
          <w:shd w:val="clear" w:color="auto" w:fill="C5E0B3" w:themeFill="accent6" w:themeFillTint="66"/>
        </w:rPr>
        <w:t>section 3.5.4</w:t>
      </w:r>
      <w:r w:rsidRPr="0059119D">
        <w:rPr>
          <w:rFonts w:ascii="Arial" w:hAnsi="Arial" w:cs="Arial"/>
          <w:sz w:val="20"/>
        </w:rPr>
        <w:t xml:space="preserve">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sidRPr="00A975E6">
        <w:rPr>
          <w:rFonts w:ascii="Arial" w:hAnsi="Arial" w:cs="Arial"/>
          <w:b/>
          <w:bCs/>
          <w:sz w:val="20"/>
          <w:shd w:val="clear" w:color="auto" w:fill="C5E0B3" w:themeFill="accent6" w:themeFillTint="66"/>
        </w:rPr>
        <w:t>section 4.1.6</w:t>
      </w:r>
      <w:r>
        <w:rPr>
          <w:rFonts w:ascii="Arial" w:hAnsi="Arial" w:cs="Arial"/>
          <w:sz w:val="20"/>
        </w:rPr>
        <w:t>.</w:t>
      </w:r>
    </w:p>
    <w:p w14:paraId="02E88916" w14:textId="1F539E23" w:rsidR="00C8544F" w:rsidRDefault="00C8544F" w:rsidP="00F603C4">
      <w:pPr>
        <w:jc w:val="both"/>
        <w:rPr>
          <w:rFonts w:ascii="Arial" w:hAnsi="Arial" w:cs="Arial"/>
          <w:sz w:val="20"/>
        </w:rPr>
      </w:pPr>
    </w:p>
    <w:p w14:paraId="7A050661" w14:textId="6B6E854B" w:rsidR="00651374" w:rsidRDefault="00651374" w:rsidP="00651374">
      <w:pPr>
        <w:pStyle w:val="Heading3"/>
        <w:keepNext/>
        <w:keepLines/>
        <w:spacing w:after="120" w:line="240" w:lineRule="auto"/>
        <w:rPr>
          <w:rFonts w:ascii="Arial" w:hAnsi="Arial" w:cs="Arial"/>
          <w:b/>
          <w:bCs/>
          <w:sz w:val="20"/>
        </w:rPr>
      </w:pPr>
      <w:bookmarkStart w:id="759" w:name="_3.5.6.5_Tips_for"/>
      <w:bookmarkEnd w:id="759"/>
      <w:r>
        <w:rPr>
          <w:rFonts w:ascii="Arial" w:hAnsi="Arial" w:cs="Arial"/>
          <w:b/>
          <w:bCs/>
          <w:sz w:val="20"/>
        </w:rPr>
        <w:lastRenderedPageBreak/>
        <w:t>3.5.6.5</w:t>
      </w:r>
      <w:r>
        <w:rPr>
          <w:rFonts w:ascii="Arial" w:hAnsi="Arial" w:cs="Arial"/>
          <w:b/>
          <w:bCs/>
          <w:sz w:val="20"/>
        </w:rPr>
        <w:tab/>
        <w:t>Tips for advocates and witnesses in contested Family Division cases</w:t>
      </w:r>
    </w:p>
    <w:p w14:paraId="521BBA08" w14:textId="3BCE78A9" w:rsidR="00B757CB" w:rsidRDefault="00B757CB" w:rsidP="00B757CB">
      <w:pPr>
        <w:jc w:val="both"/>
        <w:rPr>
          <w:rFonts w:ascii="Arial" w:hAnsi="Arial" w:cs="Arial"/>
          <w:color w:val="000000"/>
          <w:sz w:val="20"/>
        </w:rPr>
      </w:pPr>
      <w:r>
        <w:rPr>
          <w:rFonts w:ascii="Arial" w:hAnsi="Arial" w:cs="Arial"/>
          <w:color w:val="000000"/>
          <w:sz w:val="20"/>
        </w:rPr>
        <w:t>So far as the involvement of counsel and witnesses in contested Children’s Court Family Division cases are concerned, here are some ‘tips’ which may be of assistance.  The</w:t>
      </w:r>
      <w:r w:rsidR="006C5E0D">
        <w:rPr>
          <w:rFonts w:ascii="Arial" w:hAnsi="Arial" w:cs="Arial"/>
          <w:color w:val="000000"/>
          <w:sz w:val="20"/>
        </w:rPr>
        <w:t>se ‘tips’</w:t>
      </w:r>
      <w:r>
        <w:rPr>
          <w:rFonts w:ascii="Arial" w:hAnsi="Arial" w:cs="Arial"/>
          <w:color w:val="000000"/>
          <w:sz w:val="20"/>
        </w:rPr>
        <w:t xml:space="preserve"> also have substantial relevance to contested criminal cases.  The</w:t>
      </w:r>
      <w:r w:rsidR="006C5E0D">
        <w:rPr>
          <w:rFonts w:ascii="Arial" w:hAnsi="Arial" w:cs="Arial"/>
          <w:color w:val="000000"/>
          <w:sz w:val="20"/>
        </w:rPr>
        <w:t>y</w:t>
      </w:r>
      <w:r>
        <w:rPr>
          <w:rFonts w:ascii="Arial" w:hAnsi="Arial" w:cs="Arial"/>
          <w:color w:val="000000"/>
          <w:sz w:val="20"/>
        </w:rPr>
        <w:t xml:space="preserve"> are not intended to be exhaustive.</w:t>
      </w:r>
    </w:p>
    <w:p w14:paraId="0CBCB4ED" w14:textId="77777777" w:rsidR="00B757CB" w:rsidRDefault="00B757CB" w:rsidP="00B757CB">
      <w:pPr>
        <w:rPr>
          <w:rFonts w:ascii="Arial" w:hAnsi="Arial" w:cs="Arial"/>
          <w:color w:val="000000"/>
          <w:sz w:val="20"/>
        </w:rPr>
      </w:pPr>
    </w:p>
    <w:p w14:paraId="3E75B0C7"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Most cases in Victorian Courts are conducted on an </w:t>
      </w:r>
      <w:r>
        <w:rPr>
          <w:rFonts w:ascii="Arial" w:hAnsi="Arial" w:cs="Arial"/>
          <w:sz w:val="20"/>
        </w:rPr>
        <w:t>‘</w:t>
      </w:r>
      <w:r w:rsidRPr="001C0754">
        <w:rPr>
          <w:rFonts w:ascii="Arial" w:hAnsi="Arial" w:cs="Arial"/>
          <w:sz w:val="20"/>
        </w:rPr>
        <w:t>adversarial</w:t>
      </w:r>
      <w:r>
        <w:rPr>
          <w:rFonts w:ascii="Arial" w:hAnsi="Arial" w:cs="Arial"/>
          <w:sz w:val="20"/>
        </w:rPr>
        <w:t>’</w:t>
      </w:r>
      <w:r w:rsidRPr="001C0754">
        <w:rPr>
          <w:rFonts w:ascii="Arial" w:hAnsi="Arial" w:cs="Arial"/>
          <w:sz w:val="20"/>
        </w:rPr>
        <w:t xml:space="preserve"> basis.  However, child protection cases are partly inquisitorial since the Court has an obligation – independent of the parties – under s.8(1) CYFA to have regard to ‘best interests’ provisions in making any order or taking any action under the CYFA.  Hence, in most child protection cases judicial officers are more interventionist – and ask more questions of witnesses and counsel – than in other types of cases.</w:t>
      </w:r>
    </w:p>
    <w:p w14:paraId="440BA37A" w14:textId="77777777" w:rsidR="00B757CB" w:rsidRDefault="00B757CB" w:rsidP="00B757CB">
      <w:pPr>
        <w:jc w:val="both"/>
        <w:rPr>
          <w:rFonts w:ascii="Arial" w:hAnsi="Arial" w:cs="Arial"/>
          <w:sz w:val="20"/>
          <w:szCs w:val="20"/>
        </w:rPr>
      </w:pPr>
    </w:p>
    <w:p w14:paraId="0D8B495A" w14:textId="5C70F590" w:rsidR="00B757CB" w:rsidRPr="00327B2A" w:rsidRDefault="00B757CB">
      <w:pPr>
        <w:pStyle w:val="ListParagraph"/>
        <w:numPr>
          <w:ilvl w:val="0"/>
          <w:numId w:val="92"/>
        </w:numPr>
        <w:ind w:left="357" w:hanging="357"/>
        <w:contextualSpacing/>
        <w:jc w:val="both"/>
        <w:rPr>
          <w:rFonts w:ascii="Arial" w:hAnsi="Arial" w:cs="Arial"/>
          <w:bCs/>
          <w:sz w:val="20"/>
        </w:rPr>
      </w:pPr>
      <w:r w:rsidRPr="00B15617">
        <w:rPr>
          <w:rFonts w:ascii="Arial" w:hAnsi="Arial" w:cs="Arial"/>
          <w:bCs/>
          <w:sz w:val="20"/>
          <w:szCs w:val="22"/>
        </w:rPr>
        <w:t xml:space="preserve">Section 215(1) CYFA requires the Family Division </w:t>
      </w:r>
      <w:r>
        <w:rPr>
          <w:rFonts w:ascii="Arial" w:hAnsi="Arial" w:cs="Arial"/>
          <w:bCs/>
          <w:sz w:val="20"/>
          <w:szCs w:val="22"/>
        </w:rPr>
        <w:t xml:space="preserve">of the Children’s Court </w:t>
      </w:r>
      <w:r w:rsidRPr="00B15617">
        <w:rPr>
          <w:rFonts w:ascii="Arial" w:hAnsi="Arial" w:cs="Arial"/>
          <w:bCs/>
          <w:sz w:val="20"/>
          <w:szCs w:val="22"/>
        </w:rPr>
        <w:t xml:space="preserve">to conduct proceedings in an informal manner and allows it to inform itself as it thinks fit despite any rules of evidence to the </w:t>
      </w:r>
      <w:r w:rsidRPr="00B15617">
        <w:rPr>
          <w:rFonts w:ascii="Arial" w:hAnsi="Arial" w:cs="Arial"/>
          <w:bCs/>
          <w:sz w:val="20"/>
        </w:rPr>
        <w:t xml:space="preserve">contrary.  However, </w:t>
      </w:r>
      <w:r w:rsidRPr="00B15617">
        <w:rPr>
          <w:rFonts w:ascii="Arial" w:hAnsi="Arial" w:cs="Arial"/>
          <w:sz w:val="20"/>
        </w:rPr>
        <w:t xml:space="preserve">see </w:t>
      </w:r>
      <w:r w:rsidRPr="00B15617">
        <w:rPr>
          <w:rFonts w:ascii="Arial" w:hAnsi="Arial" w:cs="Arial"/>
          <w:i/>
          <w:sz w:val="20"/>
        </w:rPr>
        <w:t>Weinstein v Medical Practitioners Board of Victoria</w:t>
      </w:r>
      <w:r w:rsidRPr="00B15617">
        <w:rPr>
          <w:rFonts w:ascii="Arial" w:hAnsi="Arial" w:cs="Arial"/>
          <w:sz w:val="20"/>
        </w:rPr>
        <w:t xml:space="preserve"> [2008] VSCA 193</w:t>
      </w:r>
      <w:r>
        <w:rPr>
          <w:rFonts w:ascii="Arial" w:hAnsi="Arial" w:cs="Arial"/>
          <w:sz w:val="20"/>
        </w:rPr>
        <w:t xml:space="preserve"> (discussed in </w:t>
      </w:r>
      <w:r w:rsidRPr="005B06C8">
        <w:rPr>
          <w:rFonts w:ascii="Arial" w:hAnsi="Arial" w:cs="Arial"/>
          <w:b/>
          <w:bCs/>
          <w:sz w:val="20"/>
          <w:shd w:val="clear" w:color="auto" w:fill="C5E0B3"/>
        </w:rPr>
        <w:t>subsection 3.5.3.3</w:t>
      </w:r>
      <w:r>
        <w:rPr>
          <w:rFonts w:ascii="Arial" w:hAnsi="Arial" w:cs="Arial"/>
          <w:sz w:val="20"/>
        </w:rPr>
        <w:t xml:space="preserve"> above) where the Court of Appeal held that dispensation with the rules of evidence was “subject to a requirement to accord procedural fairness”.</w:t>
      </w:r>
    </w:p>
    <w:p w14:paraId="3389C6DB" w14:textId="77777777" w:rsidR="00B757CB" w:rsidRPr="001C0754" w:rsidRDefault="00B757CB" w:rsidP="00B757CB">
      <w:pPr>
        <w:jc w:val="both"/>
        <w:rPr>
          <w:rFonts w:ascii="Arial" w:hAnsi="Arial" w:cs="Arial"/>
          <w:sz w:val="20"/>
          <w:szCs w:val="20"/>
        </w:rPr>
      </w:pPr>
    </w:p>
    <w:p w14:paraId="479E8C23" w14:textId="77777777" w:rsidR="00B757CB" w:rsidRDefault="00B757CB">
      <w:pPr>
        <w:pStyle w:val="ListParagraph"/>
        <w:numPr>
          <w:ilvl w:val="0"/>
          <w:numId w:val="92"/>
        </w:numPr>
        <w:ind w:left="357" w:hanging="357"/>
        <w:contextualSpacing/>
        <w:jc w:val="both"/>
        <w:rPr>
          <w:rFonts w:ascii="Arial" w:hAnsi="Arial" w:cs="Arial"/>
          <w:bCs/>
          <w:sz w:val="20"/>
        </w:rPr>
      </w:pPr>
      <w:r w:rsidRPr="001C0754">
        <w:rPr>
          <w:rFonts w:ascii="Arial" w:hAnsi="Arial" w:cs="Arial"/>
          <w:sz w:val="20"/>
        </w:rPr>
        <w:t xml:space="preserve">Expert witnesses are entitled not only to give evidence of </w:t>
      </w:r>
      <w:r w:rsidRPr="001C0754">
        <w:rPr>
          <w:rFonts w:ascii="Arial" w:hAnsi="Arial" w:cs="Arial"/>
          <w:bCs/>
          <w:sz w:val="20"/>
        </w:rPr>
        <w:t xml:space="preserve">observed facts but also evidence in the form of opinion and/or inference.  The relevant principles are discussed and applied in </w:t>
      </w:r>
      <w:r w:rsidRPr="001C0754">
        <w:rPr>
          <w:rFonts w:ascii="Arial" w:hAnsi="Arial" w:cs="Arial"/>
          <w:bCs/>
          <w:i/>
          <w:sz w:val="20"/>
        </w:rPr>
        <w:t>HG v R</w:t>
      </w:r>
      <w:r w:rsidRPr="001C0754">
        <w:rPr>
          <w:rFonts w:ascii="Arial" w:hAnsi="Arial" w:cs="Arial"/>
          <w:bCs/>
          <w:sz w:val="20"/>
        </w:rPr>
        <w:t xml:space="preserve"> (1999) 197 CLR 414 at [39] &amp; [44] per Gleeson CJ.  </w:t>
      </w:r>
      <w:r w:rsidRPr="001C0754">
        <w:rPr>
          <w:rFonts w:ascii="Arial" w:hAnsi="Arial" w:cs="Arial"/>
          <w:sz w:val="20"/>
        </w:rPr>
        <w:t xml:space="preserve"> </w:t>
      </w:r>
      <w:r w:rsidRPr="001C0754">
        <w:rPr>
          <w:rFonts w:ascii="Arial" w:hAnsi="Arial" w:cs="Arial"/>
          <w:bCs/>
          <w:sz w:val="20"/>
        </w:rPr>
        <w:t>Whether or not a witness is qualified to give opinion evidence is a matter for the judge or magistrate who must determine:</w:t>
      </w:r>
    </w:p>
    <w:p w14:paraId="2872E69E" w14:textId="77777777" w:rsidR="00B757CB" w:rsidRPr="001C0754" w:rsidRDefault="00B757CB">
      <w:pPr>
        <w:pStyle w:val="ListParagraph"/>
        <w:numPr>
          <w:ilvl w:val="0"/>
          <w:numId w:val="93"/>
        </w:numPr>
        <w:contextualSpacing/>
        <w:jc w:val="both"/>
        <w:rPr>
          <w:rFonts w:ascii="Arial" w:hAnsi="Arial" w:cs="Arial"/>
          <w:bCs/>
          <w:sz w:val="20"/>
        </w:rPr>
      </w:pPr>
      <w:r w:rsidRPr="001C0754">
        <w:rPr>
          <w:rFonts w:ascii="Arial" w:hAnsi="Arial" w:cs="Arial"/>
          <w:bCs/>
          <w:sz w:val="20"/>
        </w:rPr>
        <w:t>whether the field of knowledge in which the witness professes expertise is a recognized and organized body of knowledge; and</w:t>
      </w:r>
    </w:p>
    <w:p w14:paraId="5B061550" w14:textId="77777777" w:rsidR="00B757CB" w:rsidRPr="001C0754" w:rsidRDefault="00B757CB">
      <w:pPr>
        <w:pStyle w:val="ListParagraph"/>
        <w:numPr>
          <w:ilvl w:val="0"/>
          <w:numId w:val="93"/>
        </w:numPr>
        <w:contextualSpacing/>
        <w:jc w:val="both"/>
        <w:rPr>
          <w:rFonts w:ascii="Arial" w:hAnsi="Arial" w:cs="Arial"/>
          <w:bCs/>
          <w:sz w:val="20"/>
        </w:rPr>
      </w:pPr>
      <w:r w:rsidRPr="001C0754">
        <w:rPr>
          <w:rFonts w:ascii="Arial" w:hAnsi="Arial" w:cs="Arial"/>
          <w:bCs/>
          <w:sz w:val="20"/>
        </w:rPr>
        <w:t>whether the witness has sufficient expertise (as a result of qualifications and/or relevant experience) in such field as would enable him or her to assist the court.</w:t>
      </w:r>
    </w:p>
    <w:p w14:paraId="136C76B5" w14:textId="77777777" w:rsidR="00B757CB" w:rsidRPr="001C0754" w:rsidRDefault="00B757CB" w:rsidP="00B757CB">
      <w:pPr>
        <w:jc w:val="both"/>
        <w:rPr>
          <w:rFonts w:ascii="Arial" w:hAnsi="Arial" w:cs="Arial"/>
          <w:bCs/>
          <w:sz w:val="20"/>
          <w:szCs w:val="20"/>
        </w:rPr>
      </w:pPr>
    </w:p>
    <w:p w14:paraId="4312ACA9" w14:textId="77777777" w:rsidR="00B757CB" w:rsidRPr="001C0754" w:rsidRDefault="00B757CB" w:rsidP="005174D6">
      <w:pPr>
        <w:pStyle w:val="ListParagraph"/>
        <w:keepNext/>
        <w:keepLines/>
        <w:ind w:left="0"/>
        <w:jc w:val="center"/>
        <w:rPr>
          <w:rFonts w:ascii="Arial" w:hAnsi="Arial" w:cs="Arial"/>
          <w:b/>
          <w:bCs/>
          <w:sz w:val="20"/>
          <w:u w:val="single"/>
        </w:rPr>
      </w:pPr>
      <w:r w:rsidRPr="001C0754">
        <w:rPr>
          <w:rFonts w:ascii="Arial" w:hAnsi="Arial" w:cs="Arial"/>
          <w:b/>
          <w:bCs/>
          <w:sz w:val="20"/>
          <w:u w:val="single"/>
        </w:rPr>
        <w:t>SOME TIPS FOR ADVOCATES</w:t>
      </w:r>
    </w:p>
    <w:p w14:paraId="3E769DFF" w14:textId="77777777" w:rsidR="00B757CB" w:rsidRPr="001C0754" w:rsidRDefault="00B757CB" w:rsidP="00B757CB">
      <w:pPr>
        <w:jc w:val="both"/>
        <w:rPr>
          <w:rFonts w:ascii="Arial" w:hAnsi="Arial" w:cs="Arial"/>
          <w:sz w:val="20"/>
          <w:szCs w:val="20"/>
        </w:rPr>
      </w:pPr>
    </w:p>
    <w:p w14:paraId="679807DE"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Ensure you have read all statements, inspected any subpoenaed materials and have up to date instructions prior to the hearing commencing.</w:t>
      </w:r>
    </w:p>
    <w:p w14:paraId="4E72AD62" w14:textId="77777777" w:rsidR="00B757CB" w:rsidRPr="001C0754" w:rsidRDefault="00B757CB" w:rsidP="00B757CB">
      <w:pPr>
        <w:jc w:val="both"/>
        <w:rPr>
          <w:rFonts w:ascii="Arial" w:hAnsi="Arial" w:cs="Arial"/>
          <w:sz w:val="20"/>
          <w:szCs w:val="20"/>
        </w:rPr>
      </w:pPr>
    </w:p>
    <w:p w14:paraId="20726B5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It is rarely effective and often counter-productive to question a witness or address the Court in an aggressive, rude, sarcastic or disrespectful way.</w:t>
      </w:r>
    </w:p>
    <w:p w14:paraId="608D6B55" w14:textId="77777777" w:rsidR="00B757CB" w:rsidRPr="001C0754" w:rsidRDefault="00B757CB" w:rsidP="00B757CB">
      <w:pPr>
        <w:pStyle w:val="ListParagraph"/>
        <w:ind w:left="0"/>
        <w:rPr>
          <w:rFonts w:ascii="Arial" w:hAnsi="Arial" w:cs="Arial"/>
          <w:sz w:val="20"/>
        </w:rPr>
      </w:pPr>
    </w:p>
    <w:p w14:paraId="2C5B7D96"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Remember that you are not a proxy for your client.  Your primary duty is to the Court and only secondarily to your client.  You cannot wilfully mislead the Court.  If you are found to have done so, your entitlement to practise law may be withdrawn.</w:t>
      </w:r>
    </w:p>
    <w:p w14:paraId="4CEDB7F0" w14:textId="77777777" w:rsidR="00B757CB" w:rsidRPr="001C0754" w:rsidRDefault="00B757CB" w:rsidP="00B757CB">
      <w:pPr>
        <w:pStyle w:val="ListParagraph"/>
        <w:ind w:left="0"/>
        <w:rPr>
          <w:rFonts w:ascii="Arial" w:hAnsi="Arial" w:cs="Arial"/>
          <w:sz w:val="20"/>
        </w:rPr>
      </w:pPr>
    </w:p>
    <w:p w14:paraId="56B640D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It is very unusual for professional witnesses in child protection cases to be untruthful.  Where there is – as there often is – a conflict of opinion between witness X and witness Y, the explanation is usually that the opposing professionals have honestly held but conflicting opinions.  </w:t>
      </w:r>
      <w:bookmarkStart w:id="760" w:name="_Hlk120602495"/>
      <w:r w:rsidRPr="001C0754">
        <w:rPr>
          <w:rFonts w:ascii="Arial" w:hAnsi="Arial" w:cs="Arial"/>
          <w:sz w:val="20"/>
        </w:rPr>
        <w:t>However, it is sometimes worthwhile cross-examining a professional witness to ensure that he or she is expressing his or her own professional opinion rather than merely endorsing the opinion of some other professional.</w:t>
      </w:r>
      <w:bookmarkEnd w:id="760"/>
    </w:p>
    <w:p w14:paraId="28E32D7C" w14:textId="77777777" w:rsidR="00B757CB" w:rsidRPr="001C0754" w:rsidRDefault="00B757CB" w:rsidP="00B757CB">
      <w:pPr>
        <w:rPr>
          <w:rFonts w:ascii="Arial" w:hAnsi="Arial" w:cs="Arial"/>
          <w:sz w:val="20"/>
          <w:szCs w:val="20"/>
        </w:rPr>
      </w:pPr>
    </w:p>
    <w:p w14:paraId="2E54C7AA"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i/>
          <w:iCs/>
          <w:sz w:val="20"/>
        </w:rPr>
        <w:t>Prima facie</w:t>
      </w:r>
      <w:r w:rsidRPr="001C0754">
        <w:rPr>
          <w:rFonts w:ascii="Arial" w:hAnsi="Arial" w:cs="Arial"/>
          <w:sz w:val="20"/>
        </w:rPr>
        <w:t xml:space="preserve">, it might be thought that the Court is more likely to accept the opinion of an expert who does not have a monetary-based relationship with the party who has called him or her to give evidence.  Examples of such independent experts are witnesses from the Children’s Court Clinic, VIFM or VFPMS.  However, </w:t>
      </w:r>
      <w:r>
        <w:rPr>
          <w:rFonts w:ascii="Arial" w:hAnsi="Arial" w:cs="Arial"/>
          <w:sz w:val="20"/>
        </w:rPr>
        <w:t>‘</w:t>
      </w:r>
      <w:r w:rsidRPr="001C0754">
        <w:rPr>
          <w:rFonts w:ascii="Arial" w:hAnsi="Arial" w:cs="Arial"/>
          <w:sz w:val="20"/>
        </w:rPr>
        <w:t>independence</w:t>
      </w:r>
      <w:r>
        <w:rPr>
          <w:rFonts w:ascii="Arial" w:hAnsi="Arial" w:cs="Arial"/>
          <w:sz w:val="20"/>
        </w:rPr>
        <w:t>’</w:t>
      </w:r>
      <w:r w:rsidRPr="001C0754">
        <w:rPr>
          <w:rFonts w:ascii="Arial" w:hAnsi="Arial" w:cs="Arial"/>
          <w:sz w:val="20"/>
        </w:rPr>
        <w:t xml:space="preserve"> is only one of the many factors which the Court will weigh.  Other no less important factors include the qualifications and experience of the witness, the factual sub-stratum on which the opinion is based and the circumstances in which the witness has been involved with the subject of his or her evidence (sometimes described as </w:t>
      </w:r>
      <w:r>
        <w:rPr>
          <w:rFonts w:ascii="Arial" w:hAnsi="Arial" w:cs="Arial"/>
          <w:sz w:val="20"/>
        </w:rPr>
        <w:t>‘</w:t>
      </w:r>
      <w:r w:rsidRPr="001C0754">
        <w:rPr>
          <w:rFonts w:ascii="Arial" w:hAnsi="Arial" w:cs="Arial"/>
          <w:sz w:val="20"/>
        </w:rPr>
        <w:t>snapshot</w:t>
      </w:r>
      <w:r>
        <w:rPr>
          <w:rFonts w:ascii="Arial" w:hAnsi="Arial" w:cs="Arial"/>
          <w:sz w:val="20"/>
        </w:rPr>
        <w:t>’</w:t>
      </w:r>
      <w:r w:rsidRPr="001C0754">
        <w:rPr>
          <w:rFonts w:ascii="Arial" w:hAnsi="Arial" w:cs="Arial"/>
          <w:sz w:val="20"/>
        </w:rPr>
        <w:t xml:space="preserve"> compared with a </w:t>
      </w:r>
      <w:r>
        <w:rPr>
          <w:rFonts w:ascii="Arial" w:hAnsi="Arial" w:cs="Arial"/>
          <w:sz w:val="20"/>
        </w:rPr>
        <w:t>‘</w:t>
      </w:r>
      <w:r w:rsidRPr="001C0754">
        <w:rPr>
          <w:rFonts w:ascii="Arial" w:hAnsi="Arial" w:cs="Arial"/>
          <w:sz w:val="20"/>
        </w:rPr>
        <w:t>long-standing professional relationship</w:t>
      </w:r>
      <w:r>
        <w:rPr>
          <w:rFonts w:ascii="Arial" w:hAnsi="Arial" w:cs="Arial"/>
          <w:sz w:val="20"/>
        </w:rPr>
        <w:t>’</w:t>
      </w:r>
      <w:r w:rsidRPr="001C0754">
        <w:rPr>
          <w:rFonts w:ascii="Arial" w:hAnsi="Arial" w:cs="Arial"/>
          <w:sz w:val="20"/>
        </w:rPr>
        <w:t>, e.g. G.P., counsellor or child’s teacher).</w:t>
      </w:r>
    </w:p>
    <w:p w14:paraId="057C8187" w14:textId="77777777" w:rsidR="00B757CB" w:rsidRPr="001C0754" w:rsidRDefault="00B757CB" w:rsidP="00B757CB">
      <w:pPr>
        <w:jc w:val="both"/>
        <w:rPr>
          <w:rFonts w:ascii="Arial" w:hAnsi="Arial" w:cs="Arial"/>
          <w:sz w:val="20"/>
          <w:szCs w:val="20"/>
        </w:rPr>
      </w:pPr>
    </w:p>
    <w:p w14:paraId="1481D76F"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The most effective way to cross-examine an </w:t>
      </w:r>
      <w:r>
        <w:rPr>
          <w:rFonts w:ascii="Arial" w:hAnsi="Arial" w:cs="Arial"/>
          <w:sz w:val="20"/>
        </w:rPr>
        <w:t xml:space="preserve">unfavourable </w:t>
      </w:r>
      <w:r w:rsidRPr="001C0754">
        <w:rPr>
          <w:rFonts w:ascii="Arial" w:hAnsi="Arial" w:cs="Arial"/>
          <w:sz w:val="20"/>
        </w:rPr>
        <w:t>expert witness is to try to impugn the reliability of the witness’ opinion(s).  Sometimes this can best be done by challenging the facts on which the opinion is based.  Sometimes by identifying a divergence between the witness’ opinion and the facts on which the witness has relied to come to that opinion.  Sometimes by challenging the witness’ expertise in the area of claimed expertise.  Sometimes by highlighting a gap between the witness’ own opinions and opinions expressed by other experts in the field either in the particular case or in the literature.  Sometimes by all of the above if there is a proper basis for such a challenge.</w:t>
      </w:r>
    </w:p>
    <w:p w14:paraId="54328A6D" w14:textId="77777777" w:rsidR="00B757CB" w:rsidRPr="001C0754" w:rsidRDefault="00B757CB" w:rsidP="00B757CB">
      <w:pPr>
        <w:jc w:val="both"/>
        <w:rPr>
          <w:rFonts w:ascii="Arial" w:hAnsi="Arial" w:cs="Arial"/>
          <w:sz w:val="20"/>
          <w:szCs w:val="20"/>
        </w:rPr>
      </w:pPr>
    </w:p>
    <w:p w14:paraId="31F54DEB" w14:textId="2BBE4A0E"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lastRenderedPageBreak/>
        <w:t xml:space="preserve">There is no property in a witness.  Try to speak to the witness beforehand and </w:t>
      </w:r>
      <w:r w:rsidR="00812B08">
        <w:rPr>
          <w:rFonts w:ascii="Arial" w:hAnsi="Arial" w:cs="Arial"/>
          <w:sz w:val="20"/>
        </w:rPr>
        <w:t>try not to</w:t>
      </w:r>
      <w:r w:rsidRPr="001C0754">
        <w:rPr>
          <w:rFonts w:ascii="Arial" w:hAnsi="Arial" w:cs="Arial"/>
          <w:sz w:val="20"/>
        </w:rPr>
        <w:t xml:space="preserve"> ask a question for which you don’t know </w:t>
      </w:r>
      <w:r w:rsidR="00812B08">
        <w:rPr>
          <w:rFonts w:ascii="Arial" w:hAnsi="Arial" w:cs="Arial"/>
          <w:sz w:val="20"/>
        </w:rPr>
        <w:t xml:space="preserve">– </w:t>
      </w:r>
      <w:r w:rsidRPr="001C0754">
        <w:rPr>
          <w:rFonts w:ascii="Arial" w:hAnsi="Arial" w:cs="Arial"/>
          <w:sz w:val="20"/>
        </w:rPr>
        <w:t>or</w:t>
      </w:r>
      <w:r w:rsidR="00812B08">
        <w:rPr>
          <w:rFonts w:ascii="Arial" w:hAnsi="Arial" w:cs="Arial"/>
          <w:sz w:val="20"/>
        </w:rPr>
        <w:t xml:space="preserve"> </w:t>
      </w:r>
      <w:r w:rsidRPr="001C0754">
        <w:rPr>
          <w:rFonts w:ascii="Arial" w:hAnsi="Arial" w:cs="Arial"/>
          <w:sz w:val="20"/>
        </w:rPr>
        <w:t xml:space="preserve">have a reasonable expectation of </w:t>
      </w:r>
      <w:r w:rsidR="00812B08">
        <w:rPr>
          <w:rFonts w:ascii="Arial" w:hAnsi="Arial" w:cs="Arial"/>
          <w:sz w:val="20"/>
        </w:rPr>
        <w:t xml:space="preserve">– </w:t>
      </w:r>
      <w:r w:rsidRPr="001C0754">
        <w:rPr>
          <w:rFonts w:ascii="Arial" w:hAnsi="Arial" w:cs="Arial"/>
          <w:sz w:val="20"/>
        </w:rPr>
        <w:t>the</w:t>
      </w:r>
      <w:r w:rsidR="00812B08">
        <w:rPr>
          <w:rFonts w:ascii="Arial" w:hAnsi="Arial" w:cs="Arial"/>
          <w:sz w:val="20"/>
        </w:rPr>
        <w:t xml:space="preserve"> </w:t>
      </w:r>
      <w:r w:rsidRPr="001C0754">
        <w:rPr>
          <w:rFonts w:ascii="Arial" w:hAnsi="Arial" w:cs="Arial"/>
          <w:sz w:val="20"/>
        </w:rPr>
        <w:t>answer.</w:t>
      </w:r>
    </w:p>
    <w:p w14:paraId="2ABAED70" w14:textId="77777777" w:rsidR="00B757CB" w:rsidRPr="001C0754" w:rsidRDefault="00B757CB" w:rsidP="00B757CB">
      <w:pPr>
        <w:jc w:val="both"/>
        <w:rPr>
          <w:rFonts w:ascii="Arial" w:hAnsi="Arial" w:cs="Arial"/>
          <w:sz w:val="20"/>
          <w:szCs w:val="20"/>
        </w:rPr>
      </w:pPr>
    </w:p>
    <w:p w14:paraId="6033BCF3"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Remember that: “</w:t>
      </w:r>
      <w:r w:rsidRPr="001C0754">
        <w:rPr>
          <w:rFonts w:ascii="Arial" w:hAnsi="Arial" w:cs="Arial"/>
          <w:iCs/>
          <w:color w:val="000000"/>
          <w:sz w:val="20"/>
        </w:rPr>
        <w:t xml:space="preserve">Under </w:t>
      </w:r>
      <w:r w:rsidRPr="001C0754">
        <w:rPr>
          <w:rFonts w:ascii="Arial" w:hAnsi="Arial" w:cs="Arial"/>
          <w:b/>
          <w:bCs/>
          <w:iCs/>
          <w:color w:val="000000"/>
          <w:sz w:val="20"/>
        </w:rPr>
        <w:t xml:space="preserve">the rule in </w:t>
      </w:r>
      <w:r w:rsidRPr="001C0754">
        <w:rPr>
          <w:rFonts w:ascii="Arial" w:hAnsi="Arial" w:cs="Arial"/>
          <w:b/>
          <w:bCs/>
          <w:i/>
          <w:iCs/>
          <w:color w:val="000000"/>
          <w:sz w:val="20"/>
        </w:rPr>
        <w:t>Browne v Dunn</w:t>
      </w:r>
      <w:r w:rsidRPr="001C0754">
        <w:rPr>
          <w:rFonts w:ascii="Arial" w:hAnsi="Arial" w:cs="Arial"/>
          <w:iCs/>
          <w:color w:val="000000"/>
          <w:sz w:val="20"/>
        </w:rPr>
        <w:t xml:space="preserve"> </w:t>
      </w:r>
      <w:r w:rsidRPr="001C0754">
        <w:rPr>
          <w:rFonts w:ascii="Arial" w:hAnsi="Arial" w:cs="Arial"/>
          <w:color w:val="000000"/>
          <w:sz w:val="20"/>
        </w:rPr>
        <w:t xml:space="preserve">(1893) 6 R 67, 70-1 (Lord </w:t>
      </w:r>
      <w:proofErr w:type="spellStart"/>
      <w:r w:rsidRPr="001C0754">
        <w:rPr>
          <w:rFonts w:ascii="Arial" w:hAnsi="Arial" w:cs="Arial"/>
          <w:color w:val="000000"/>
          <w:sz w:val="20"/>
        </w:rPr>
        <w:t>Herschell</w:t>
      </w:r>
      <w:proofErr w:type="spellEnd"/>
      <w:r w:rsidRPr="001C0754">
        <w:rPr>
          <w:rFonts w:ascii="Arial" w:hAnsi="Arial" w:cs="Arial"/>
          <w:color w:val="000000"/>
          <w:sz w:val="20"/>
        </w:rPr>
        <w:t xml:space="preserve">) it is the duty of counsel before impeaching the evidence of a witness to put to the witness in cross-examination the version of events for which counsel contends.”  See the judgment of Nettle JA in </w:t>
      </w:r>
      <w:r w:rsidRPr="001C0754">
        <w:rPr>
          <w:rFonts w:ascii="Arial" w:hAnsi="Arial" w:cs="Arial"/>
          <w:i/>
          <w:sz w:val="20"/>
        </w:rPr>
        <w:t>R</w:t>
      </w:r>
      <w:r>
        <w:rPr>
          <w:rFonts w:ascii="Arial" w:hAnsi="Arial" w:cs="Arial"/>
          <w:i/>
          <w:sz w:val="20"/>
        </w:rPr>
        <w:t> </w:t>
      </w:r>
      <w:r w:rsidRPr="001C0754">
        <w:rPr>
          <w:rFonts w:ascii="Arial" w:hAnsi="Arial" w:cs="Arial"/>
          <w:i/>
          <w:sz w:val="20"/>
        </w:rPr>
        <w:t xml:space="preserve">v </w:t>
      </w:r>
      <w:proofErr w:type="spellStart"/>
      <w:r w:rsidRPr="001C0754">
        <w:rPr>
          <w:rFonts w:ascii="Arial" w:hAnsi="Arial" w:cs="Arial"/>
          <w:i/>
          <w:sz w:val="20"/>
        </w:rPr>
        <w:t>Coswello</w:t>
      </w:r>
      <w:proofErr w:type="spellEnd"/>
      <w:r w:rsidRPr="001C0754">
        <w:rPr>
          <w:rFonts w:ascii="Arial" w:hAnsi="Arial" w:cs="Arial"/>
          <w:sz w:val="20"/>
        </w:rPr>
        <w:t xml:space="preserve"> [2009] VSCA 300 at [3].</w:t>
      </w:r>
    </w:p>
    <w:p w14:paraId="3BE49942" w14:textId="77777777" w:rsidR="00B757CB" w:rsidRPr="001C0754" w:rsidRDefault="00B757CB" w:rsidP="00B757CB">
      <w:pPr>
        <w:pStyle w:val="ListParagraph"/>
        <w:ind w:left="0"/>
        <w:jc w:val="both"/>
        <w:rPr>
          <w:rFonts w:ascii="Arial" w:hAnsi="Arial" w:cs="Arial"/>
          <w:b/>
          <w:bCs/>
          <w:sz w:val="20"/>
          <w:u w:val="single"/>
        </w:rPr>
      </w:pPr>
    </w:p>
    <w:p w14:paraId="4BD850CB" w14:textId="77777777" w:rsidR="00B757CB" w:rsidRPr="001C0754" w:rsidRDefault="00B757CB" w:rsidP="008C5AC2">
      <w:pPr>
        <w:keepNext/>
        <w:keepLines/>
        <w:jc w:val="center"/>
        <w:rPr>
          <w:rFonts w:ascii="Arial" w:hAnsi="Arial" w:cs="Arial"/>
          <w:b/>
          <w:bCs/>
          <w:sz w:val="20"/>
          <w:u w:val="single"/>
        </w:rPr>
      </w:pPr>
      <w:r w:rsidRPr="001C0754">
        <w:rPr>
          <w:rFonts w:ascii="Arial" w:hAnsi="Arial" w:cs="Arial"/>
          <w:b/>
          <w:bCs/>
          <w:sz w:val="20"/>
          <w:u w:val="single"/>
        </w:rPr>
        <w:t>SOME TIPS FOR WITNESSES</w:t>
      </w:r>
    </w:p>
    <w:p w14:paraId="44A05117" w14:textId="77777777" w:rsidR="00B757CB" w:rsidRPr="001C0754" w:rsidRDefault="00B757CB" w:rsidP="008C5AC2">
      <w:pPr>
        <w:keepNext/>
        <w:keepLines/>
        <w:jc w:val="both"/>
        <w:rPr>
          <w:rFonts w:ascii="Arial" w:hAnsi="Arial" w:cs="Arial"/>
          <w:sz w:val="20"/>
          <w:szCs w:val="20"/>
        </w:rPr>
      </w:pPr>
    </w:p>
    <w:p w14:paraId="5553B4E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Try to come to Court clear-headed but don’t be surprised if you are nervous and ultimately find the experience rather nerve-wracking and isolating.</w:t>
      </w:r>
    </w:p>
    <w:p w14:paraId="0750AC36" w14:textId="77777777" w:rsidR="00B757CB" w:rsidRPr="001C0754" w:rsidRDefault="00B757CB" w:rsidP="00B757CB">
      <w:pPr>
        <w:rPr>
          <w:rFonts w:ascii="Arial" w:hAnsi="Arial" w:cs="Arial"/>
          <w:sz w:val="20"/>
          <w:szCs w:val="20"/>
        </w:rPr>
      </w:pPr>
    </w:p>
    <w:p w14:paraId="3CEB4B5D"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Make sure you are </w:t>
      </w:r>
      <w:r>
        <w:rPr>
          <w:rFonts w:ascii="Arial" w:hAnsi="Arial" w:cs="Arial"/>
          <w:sz w:val="20"/>
        </w:rPr>
        <w:t>‘</w:t>
      </w:r>
      <w:r w:rsidRPr="001C0754">
        <w:rPr>
          <w:rFonts w:ascii="Arial" w:hAnsi="Arial" w:cs="Arial"/>
          <w:sz w:val="20"/>
        </w:rPr>
        <w:t>on top of</w:t>
      </w:r>
      <w:r>
        <w:rPr>
          <w:rFonts w:ascii="Arial" w:hAnsi="Arial" w:cs="Arial"/>
          <w:sz w:val="20"/>
        </w:rPr>
        <w:t>’</w:t>
      </w:r>
      <w:r w:rsidRPr="001C0754">
        <w:rPr>
          <w:rFonts w:ascii="Arial" w:hAnsi="Arial" w:cs="Arial"/>
          <w:sz w:val="20"/>
        </w:rPr>
        <w:t xml:space="preserve"> the evidence you are going to give.  It is prudent to peruse any reports and/or the file in advance but as close as possible in time to the court case.</w:t>
      </w:r>
    </w:p>
    <w:p w14:paraId="29B70E05" w14:textId="77777777" w:rsidR="00B757CB" w:rsidRPr="001C0754" w:rsidRDefault="00B757CB" w:rsidP="00B757CB">
      <w:pPr>
        <w:rPr>
          <w:rFonts w:ascii="Arial" w:hAnsi="Arial" w:cs="Arial"/>
          <w:sz w:val="20"/>
          <w:szCs w:val="20"/>
        </w:rPr>
      </w:pPr>
    </w:p>
    <w:p w14:paraId="6EA1AA7C"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Be aware of the order of questioning: Evidence-in-chief involves questions by the calling party.  Cross-examination involves questions by the other parties.  Re-examination involves very limited questioning by the calling party to clear up any ambiguities.</w:t>
      </w:r>
    </w:p>
    <w:p w14:paraId="4B163AA0" w14:textId="77777777" w:rsidR="00B757CB" w:rsidRPr="001C0754" w:rsidRDefault="00B757CB" w:rsidP="00B757CB">
      <w:pPr>
        <w:jc w:val="both"/>
        <w:rPr>
          <w:rFonts w:ascii="Arial" w:hAnsi="Arial" w:cs="Arial"/>
          <w:sz w:val="20"/>
          <w:szCs w:val="20"/>
        </w:rPr>
      </w:pPr>
    </w:p>
    <w:p w14:paraId="2ED3F567"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You will be asked at the outset of evidence-in-chief to make an oath or an affirmation.  If you don’t understand the difference, ask the legal representative of the party calling you.</w:t>
      </w:r>
    </w:p>
    <w:p w14:paraId="147A2BC4" w14:textId="77777777" w:rsidR="00B757CB" w:rsidRPr="001C0754" w:rsidRDefault="00B757CB" w:rsidP="00B757CB">
      <w:pPr>
        <w:jc w:val="both"/>
        <w:rPr>
          <w:rFonts w:ascii="Arial" w:hAnsi="Arial" w:cs="Arial"/>
          <w:sz w:val="20"/>
          <w:szCs w:val="20"/>
        </w:rPr>
      </w:pPr>
    </w:p>
    <w:p w14:paraId="2DEDAC49"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An expert witness will then be asked to list his or her professional qualifications and experience.  Ensure you have properly prepared to answer this question.  It will often help if this information is in the form of an unsworn document which can be handed up.</w:t>
      </w:r>
    </w:p>
    <w:p w14:paraId="11F73B33" w14:textId="77777777" w:rsidR="00B757CB" w:rsidRPr="001C0754" w:rsidRDefault="00B757CB" w:rsidP="00B757CB">
      <w:pPr>
        <w:jc w:val="both"/>
        <w:rPr>
          <w:rFonts w:ascii="Arial" w:hAnsi="Arial" w:cs="Arial"/>
          <w:sz w:val="20"/>
          <w:szCs w:val="20"/>
        </w:rPr>
      </w:pPr>
    </w:p>
    <w:p w14:paraId="54A6BC5D"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A witness will be asked to adopt the truth of any document which the party calling him or her wishes to tender to the Court.  If there are any errors of which the witness is aware he or she should identify and correct them before adopting the document.</w:t>
      </w:r>
    </w:p>
    <w:p w14:paraId="1B951567" w14:textId="77777777" w:rsidR="00B757CB" w:rsidRPr="001C0754" w:rsidRDefault="00B757CB" w:rsidP="00B757CB">
      <w:pPr>
        <w:pStyle w:val="ListParagraph"/>
        <w:ind w:left="0"/>
        <w:rPr>
          <w:rFonts w:ascii="Arial" w:hAnsi="Arial" w:cs="Arial"/>
          <w:sz w:val="20"/>
        </w:rPr>
      </w:pPr>
    </w:p>
    <w:p w14:paraId="4162CD2F"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Listen very carefully to the questions asked.  If you don’t understand the question, don’t guess but ask for the question to be put again.  If it becomes apparent at a later stage that you may have misunderstood an earlier question, don’t be scared to say so otherwise you risk giving the Court the impression that you haven’t given evidence accurately.</w:t>
      </w:r>
    </w:p>
    <w:p w14:paraId="066669D5" w14:textId="77777777" w:rsidR="00B757CB" w:rsidRPr="001C0754" w:rsidRDefault="00B757CB" w:rsidP="00B757CB">
      <w:pPr>
        <w:pStyle w:val="ListParagraph"/>
        <w:ind w:left="0"/>
        <w:rPr>
          <w:rFonts w:ascii="Arial" w:hAnsi="Arial" w:cs="Arial"/>
          <w:sz w:val="20"/>
        </w:rPr>
      </w:pPr>
    </w:p>
    <w:p w14:paraId="21F6B71E"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Make sure that you have a sound factual basis to justify all opinions expressed.</w:t>
      </w:r>
    </w:p>
    <w:p w14:paraId="10DBD038" w14:textId="77777777" w:rsidR="00B757CB" w:rsidRPr="001C0754" w:rsidRDefault="00B757CB" w:rsidP="00B757CB">
      <w:pPr>
        <w:pStyle w:val="ListParagraph"/>
        <w:ind w:left="0"/>
        <w:rPr>
          <w:rFonts w:ascii="Arial" w:hAnsi="Arial" w:cs="Arial"/>
          <w:sz w:val="20"/>
        </w:rPr>
      </w:pPr>
    </w:p>
    <w:p w14:paraId="5BCFB169"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Try to present as objective, unbiased and humble and not as an advocate for any party.  In this regard it is important to make any reasonable concessions in cross-examination.</w:t>
      </w:r>
    </w:p>
    <w:p w14:paraId="49D5E468" w14:textId="77777777" w:rsidR="00B757CB" w:rsidRPr="001C0754" w:rsidRDefault="00B757CB" w:rsidP="00B757CB">
      <w:pPr>
        <w:rPr>
          <w:rFonts w:ascii="Arial" w:hAnsi="Arial" w:cs="Arial"/>
          <w:sz w:val="20"/>
          <w:szCs w:val="20"/>
        </w:rPr>
      </w:pPr>
    </w:p>
    <w:p w14:paraId="2DA84CC3"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Feel confident to ask the judicial officer for permission to look at a file/report if you need to.  At least for expert witnesses it should generally not be a memory test.</w:t>
      </w:r>
    </w:p>
    <w:p w14:paraId="2C95ACA8" w14:textId="77777777" w:rsidR="00B757CB" w:rsidRPr="001C0754" w:rsidRDefault="00B757CB" w:rsidP="00B757CB">
      <w:pPr>
        <w:rPr>
          <w:rFonts w:ascii="Arial" w:hAnsi="Arial" w:cs="Arial"/>
          <w:sz w:val="20"/>
          <w:szCs w:val="20"/>
        </w:rPr>
      </w:pPr>
    </w:p>
    <w:p w14:paraId="050D7E61" w14:textId="77777777"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If you need a short break at any stage, don’t hesitate to ask the judicial officer.</w:t>
      </w:r>
    </w:p>
    <w:p w14:paraId="71B5FE71" w14:textId="77777777" w:rsidR="00B757CB" w:rsidRDefault="00B757CB" w:rsidP="00B757CB">
      <w:pPr>
        <w:rPr>
          <w:rFonts w:ascii="Arial" w:hAnsi="Arial" w:cs="Arial"/>
          <w:sz w:val="20"/>
          <w:szCs w:val="20"/>
        </w:rPr>
      </w:pPr>
    </w:p>
    <w:p w14:paraId="6DEF1F85" w14:textId="7575F865" w:rsidR="00B757CB" w:rsidRPr="001C0754" w:rsidRDefault="00B757CB">
      <w:pPr>
        <w:pStyle w:val="ListParagraph"/>
        <w:numPr>
          <w:ilvl w:val="0"/>
          <w:numId w:val="92"/>
        </w:numPr>
        <w:ind w:left="357" w:hanging="357"/>
        <w:contextualSpacing/>
        <w:jc w:val="both"/>
        <w:rPr>
          <w:rFonts w:ascii="Arial" w:hAnsi="Arial" w:cs="Arial"/>
          <w:sz w:val="20"/>
        </w:rPr>
      </w:pPr>
      <w:r w:rsidRPr="001C0754">
        <w:rPr>
          <w:rFonts w:ascii="Arial" w:hAnsi="Arial" w:cs="Arial"/>
          <w:sz w:val="20"/>
        </w:rPr>
        <w:t xml:space="preserve">It may be useful for both advocates and witnesses to be aware of the material </w:t>
      </w:r>
      <w:r>
        <w:rPr>
          <w:rFonts w:ascii="Arial" w:hAnsi="Arial" w:cs="Arial"/>
          <w:sz w:val="20"/>
        </w:rPr>
        <w:t>in</w:t>
      </w:r>
      <w:r w:rsidRPr="001C0754">
        <w:rPr>
          <w:rFonts w:ascii="Arial" w:hAnsi="Arial" w:cs="Arial"/>
          <w:sz w:val="20"/>
        </w:rPr>
        <w:t xml:space="preserve"> </w:t>
      </w:r>
      <w:r w:rsidRPr="00A975E6">
        <w:rPr>
          <w:rFonts w:ascii="Arial" w:hAnsi="Arial" w:cs="Arial"/>
          <w:b/>
          <w:bCs/>
          <w:sz w:val="20"/>
          <w:shd w:val="clear" w:color="auto" w:fill="C5E0B3" w:themeFill="accent6" w:themeFillTint="66"/>
        </w:rPr>
        <w:t>subsection 3.5.3.</w:t>
      </w:r>
      <w:r w:rsidR="00106472" w:rsidRPr="00A975E6">
        <w:rPr>
          <w:rFonts w:ascii="Arial" w:hAnsi="Arial" w:cs="Arial"/>
          <w:b/>
          <w:bCs/>
          <w:sz w:val="20"/>
          <w:shd w:val="clear" w:color="auto" w:fill="C5E0B3" w:themeFill="accent6" w:themeFillTint="66"/>
        </w:rPr>
        <w:t>8</w:t>
      </w:r>
      <w:r w:rsidRPr="001C0754">
        <w:rPr>
          <w:rFonts w:ascii="Arial" w:hAnsi="Arial" w:cs="Arial"/>
          <w:sz w:val="20"/>
        </w:rPr>
        <w:t xml:space="preserve"> </w:t>
      </w:r>
      <w:r w:rsidR="00BE4462">
        <w:rPr>
          <w:rFonts w:ascii="Arial" w:hAnsi="Arial" w:cs="Arial"/>
          <w:sz w:val="20"/>
        </w:rPr>
        <w:t>above</w:t>
      </w:r>
      <w:r w:rsidRPr="001C0754">
        <w:rPr>
          <w:rFonts w:ascii="Arial" w:hAnsi="Arial" w:cs="Arial"/>
          <w:sz w:val="20"/>
        </w:rPr>
        <w:t xml:space="preserve"> which is entitled </w:t>
      </w:r>
      <w:r w:rsidRPr="001C0754">
        <w:rPr>
          <w:rFonts w:ascii="Arial" w:hAnsi="Arial" w:cs="Arial"/>
          <w:color w:val="000000"/>
          <w:sz w:val="20"/>
        </w:rPr>
        <w:t>“</w:t>
      </w:r>
      <w:r w:rsidRPr="001C0754">
        <w:rPr>
          <w:rFonts w:ascii="Arial" w:hAnsi="Arial" w:cs="Arial"/>
          <w:b/>
          <w:bCs/>
          <w:color w:val="000000"/>
          <w:sz w:val="20"/>
        </w:rPr>
        <w:t>Conflicting evidence – Dangers of demeanour – Fallibility of human memory</w:t>
      </w:r>
      <w:r w:rsidRPr="001C0754">
        <w:rPr>
          <w:rFonts w:ascii="Arial" w:hAnsi="Arial" w:cs="Arial"/>
          <w:color w:val="000000"/>
          <w:sz w:val="20"/>
        </w:rPr>
        <w:t>”</w:t>
      </w:r>
      <w:r w:rsidR="00BE4462">
        <w:rPr>
          <w:rFonts w:ascii="Arial" w:hAnsi="Arial" w:cs="Arial"/>
          <w:color w:val="000000"/>
          <w:sz w:val="20"/>
        </w:rPr>
        <w:t>.</w:t>
      </w:r>
    </w:p>
    <w:p w14:paraId="7C3435E8" w14:textId="23BEE8D8" w:rsidR="00651374" w:rsidRDefault="00651374" w:rsidP="00F603C4">
      <w:pPr>
        <w:jc w:val="both"/>
        <w:rPr>
          <w:rFonts w:ascii="Arial" w:hAnsi="Arial" w:cs="Arial"/>
          <w:sz w:val="20"/>
        </w:rPr>
      </w:pPr>
    </w:p>
    <w:p w14:paraId="03D51FE8" w14:textId="24F68D6C" w:rsidR="001D2D7D" w:rsidRPr="001D2D7D" w:rsidRDefault="001D2D7D" w:rsidP="001D2D7D">
      <w:pPr>
        <w:spacing w:before="20" w:after="20"/>
        <w:jc w:val="both"/>
        <w:rPr>
          <w:rFonts w:ascii="Arial" w:hAnsi="Arial" w:cs="Arial"/>
          <w:sz w:val="20"/>
          <w:szCs w:val="20"/>
        </w:rPr>
      </w:pPr>
      <w:r w:rsidRPr="001D2D7D">
        <w:rPr>
          <w:rFonts w:ascii="Arial" w:hAnsi="Arial" w:cs="Arial"/>
          <w:sz w:val="20"/>
          <w:szCs w:val="20"/>
        </w:rPr>
        <w:t xml:space="preserve">See </w:t>
      </w:r>
      <w:r w:rsidRPr="001D2D7D">
        <w:rPr>
          <w:rFonts w:ascii="Arial" w:hAnsi="Arial" w:cs="Arial"/>
          <w:bCs/>
          <w:i/>
          <w:iCs/>
          <w:color w:val="000000"/>
          <w:sz w:val="20"/>
          <w:szCs w:val="20"/>
        </w:rPr>
        <w:t>DFFH v West (a pseudonym)</w:t>
      </w:r>
      <w:r w:rsidRPr="001D2D7D">
        <w:rPr>
          <w:rFonts w:ascii="Arial" w:hAnsi="Arial" w:cs="Arial"/>
          <w:bCs/>
          <w:color w:val="000000"/>
          <w:sz w:val="20"/>
          <w:szCs w:val="20"/>
        </w:rPr>
        <w:t xml:space="preserve"> [2022] </w:t>
      </w:r>
      <w:proofErr w:type="spellStart"/>
      <w:r w:rsidRPr="001D2D7D">
        <w:rPr>
          <w:rFonts w:ascii="Arial" w:hAnsi="Arial" w:cs="Arial"/>
          <w:bCs/>
          <w:color w:val="000000"/>
          <w:sz w:val="20"/>
          <w:szCs w:val="20"/>
        </w:rPr>
        <w:t>VChC</w:t>
      </w:r>
      <w:proofErr w:type="spellEnd"/>
      <w:r w:rsidRPr="001D2D7D">
        <w:rPr>
          <w:rFonts w:ascii="Arial" w:hAnsi="Arial" w:cs="Arial"/>
          <w:bCs/>
          <w:color w:val="000000"/>
          <w:sz w:val="20"/>
          <w:szCs w:val="20"/>
        </w:rPr>
        <w:t xml:space="preserve"> 2</w:t>
      </w:r>
      <w:r>
        <w:rPr>
          <w:rFonts w:ascii="Arial" w:hAnsi="Arial" w:cs="Arial"/>
          <w:bCs/>
          <w:color w:val="000000"/>
          <w:sz w:val="20"/>
          <w:szCs w:val="20"/>
        </w:rPr>
        <w:t xml:space="preserve"> for an interesting illustration of how the Court balances the conflicting evidence of professional witnesses.</w:t>
      </w:r>
    </w:p>
    <w:p w14:paraId="3B5AFD6B" w14:textId="77777777" w:rsidR="001D2D7D" w:rsidRDefault="001D2D7D" w:rsidP="00F603C4">
      <w:pPr>
        <w:jc w:val="both"/>
        <w:rPr>
          <w:rFonts w:ascii="Arial" w:hAnsi="Arial" w:cs="Arial"/>
          <w:sz w:val="20"/>
        </w:rPr>
      </w:pPr>
    </w:p>
    <w:p w14:paraId="2DDFB988" w14:textId="48AAD20E" w:rsidR="00FD5828" w:rsidRDefault="0059119D" w:rsidP="00FD5828">
      <w:pPr>
        <w:pStyle w:val="Heading3"/>
        <w:keepNext/>
        <w:keepLines/>
        <w:spacing w:after="120" w:line="240" w:lineRule="auto"/>
        <w:rPr>
          <w:rFonts w:ascii="Arial" w:hAnsi="Arial" w:cs="Arial"/>
          <w:b/>
          <w:bCs/>
          <w:sz w:val="20"/>
        </w:rPr>
      </w:pPr>
      <w:bookmarkStart w:id="761" w:name="_3.5.7_The_Less"/>
      <w:bookmarkStart w:id="762" w:name="B357"/>
      <w:bookmarkStart w:id="763" w:name="_3.5.7_Gaol_order"/>
      <w:bookmarkStart w:id="764" w:name="_3.5.7_Compelling_production"/>
      <w:bookmarkEnd w:id="761"/>
      <w:bookmarkEnd w:id="762"/>
      <w:bookmarkEnd w:id="763"/>
      <w:bookmarkEnd w:id="764"/>
      <w:r>
        <w:rPr>
          <w:rFonts w:ascii="Arial" w:hAnsi="Arial" w:cs="Arial"/>
          <w:b/>
          <w:bCs/>
          <w:sz w:val="20"/>
        </w:rPr>
        <w:t>3.5.7</w:t>
      </w:r>
      <w:r>
        <w:rPr>
          <w:rFonts w:ascii="Arial" w:hAnsi="Arial" w:cs="Arial"/>
          <w:b/>
          <w:bCs/>
          <w:sz w:val="20"/>
        </w:rPr>
        <w:tab/>
      </w:r>
      <w:r w:rsidR="00620D09">
        <w:rPr>
          <w:rFonts w:ascii="Arial" w:hAnsi="Arial" w:cs="Arial"/>
          <w:b/>
          <w:bCs/>
          <w:sz w:val="20"/>
        </w:rPr>
        <w:t>C</w:t>
      </w:r>
      <w:r w:rsidR="000232AB">
        <w:rPr>
          <w:rFonts w:ascii="Arial" w:hAnsi="Arial" w:cs="Arial"/>
          <w:b/>
          <w:bCs/>
          <w:sz w:val="20"/>
        </w:rPr>
        <w:t>ompel</w:t>
      </w:r>
      <w:r w:rsidR="00620D09">
        <w:rPr>
          <w:rFonts w:ascii="Arial" w:hAnsi="Arial" w:cs="Arial"/>
          <w:b/>
          <w:bCs/>
          <w:sz w:val="20"/>
        </w:rPr>
        <w:t>ling</w:t>
      </w:r>
      <w:r w:rsidR="000232AB">
        <w:rPr>
          <w:rFonts w:ascii="Arial" w:hAnsi="Arial" w:cs="Arial"/>
          <w:b/>
          <w:bCs/>
          <w:sz w:val="20"/>
        </w:rPr>
        <w:t xml:space="preserve"> </w:t>
      </w:r>
      <w:r w:rsidR="00EF638E">
        <w:rPr>
          <w:rFonts w:ascii="Arial" w:hAnsi="Arial" w:cs="Arial"/>
          <w:b/>
          <w:bCs/>
          <w:sz w:val="20"/>
        </w:rPr>
        <w:t>production</w:t>
      </w:r>
      <w:r w:rsidR="000232AB">
        <w:rPr>
          <w:rFonts w:ascii="Arial" w:hAnsi="Arial" w:cs="Arial"/>
          <w:b/>
          <w:bCs/>
          <w:sz w:val="20"/>
        </w:rPr>
        <w:t xml:space="preserve"> of </w:t>
      </w:r>
      <w:r w:rsidR="00620D09">
        <w:rPr>
          <w:rFonts w:ascii="Arial" w:hAnsi="Arial" w:cs="Arial"/>
          <w:b/>
          <w:bCs/>
          <w:sz w:val="20"/>
        </w:rPr>
        <w:t xml:space="preserve">a </w:t>
      </w:r>
      <w:r w:rsidR="000232AB">
        <w:rPr>
          <w:rFonts w:ascii="Arial" w:hAnsi="Arial" w:cs="Arial"/>
          <w:b/>
          <w:bCs/>
          <w:sz w:val="20"/>
        </w:rPr>
        <w:t>prisoner</w:t>
      </w:r>
      <w:r w:rsidR="00620D09">
        <w:rPr>
          <w:rFonts w:ascii="Arial" w:hAnsi="Arial" w:cs="Arial"/>
          <w:b/>
          <w:bCs/>
          <w:sz w:val="20"/>
        </w:rPr>
        <w:t>/detainee</w:t>
      </w:r>
      <w:r w:rsidR="000232AB">
        <w:rPr>
          <w:rFonts w:ascii="Arial" w:hAnsi="Arial" w:cs="Arial"/>
          <w:b/>
          <w:bCs/>
          <w:sz w:val="20"/>
        </w:rPr>
        <w:t xml:space="preserve"> at court</w:t>
      </w:r>
      <w:r w:rsidR="00EF638E">
        <w:rPr>
          <w:rFonts w:ascii="Arial" w:hAnsi="Arial" w:cs="Arial"/>
          <w:b/>
          <w:bCs/>
          <w:sz w:val="20"/>
        </w:rPr>
        <w:t xml:space="preserve"> – Remand warrant/Gaol order</w:t>
      </w:r>
    </w:p>
    <w:p w14:paraId="0BB4570E" w14:textId="64FFD68A" w:rsidR="00EF638E" w:rsidRDefault="00A32C0B" w:rsidP="00EF638E">
      <w:pPr>
        <w:jc w:val="both"/>
        <w:rPr>
          <w:rFonts w:ascii="Arial" w:hAnsi="Arial" w:cs="Arial"/>
          <w:sz w:val="20"/>
        </w:rPr>
      </w:pPr>
      <w:r>
        <w:rPr>
          <w:rFonts w:ascii="Arial" w:hAnsi="Arial" w:cs="Arial"/>
          <w:sz w:val="20"/>
        </w:rPr>
        <w:t>T</w:t>
      </w:r>
      <w:r w:rsidR="00EF638E">
        <w:rPr>
          <w:rFonts w:ascii="Arial" w:hAnsi="Arial" w:cs="Arial"/>
          <w:sz w:val="20"/>
        </w:rPr>
        <w:t xml:space="preserve">he effect of a </w:t>
      </w:r>
      <w:r w:rsidR="00EF638E" w:rsidRPr="00A32C0B">
        <w:rPr>
          <w:rFonts w:ascii="Arial" w:hAnsi="Arial" w:cs="Arial"/>
          <w:b/>
          <w:bCs/>
          <w:sz w:val="20"/>
        </w:rPr>
        <w:t>remand warrant</w:t>
      </w:r>
      <w:r w:rsidR="00EF638E">
        <w:rPr>
          <w:rFonts w:ascii="Arial" w:hAnsi="Arial" w:cs="Arial"/>
          <w:sz w:val="20"/>
        </w:rPr>
        <w:t xml:space="preserve"> is to require a prisoner/detainee </w:t>
      </w:r>
      <w:r>
        <w:rPr>
          <w:rFonts w:ascii="Arial" w:hAnsi="Arial" w:cs="Arial"/>
          <w:sz w:val="20"/>
        </w:rPr>
        <w:t xml:space="preserve">who had been remanded in custody </w:t>
      </w:r>
      <w:r w:rsidR="00EF638E">
        <w:rPr>
          <w:rFonts w:ascii="Arial" w:hAnsi="Arial" w:cs="Arial"/>
          <w:sz w:val="20"/>
        </w:rPr>
        <w:t xml:space="preserve">to be brought before a court (either in person or via audio visual link as </w:t>
      </w:r>
      <w:r>
        <w:rPr>
          <w:rFonts w:ascii="Arial" w:hAnsi="Arial" w:cs="Arial"/>
          <w:sz w:val="20"/>
        </w:rPr>
        <w:t>specified</w:t>
      </w:r>
      <w:r w:rsidR="00EF638E">
        <w:rPr>
          <w:rFonts w:ascii="Arial" w:hAnsi="Arial" w:cs="Arial"/>
          <w:sz w:val="20"/>
        </w:rPr>
        <w:t>) to face a charge–</w:t>
      </w:r>
    </w:p>
    <w:p w14:paraId="207C6CA9" w14:textId="77777777" w:rsidR="00EF638E" w:rsidRDefault="00EF638E" w:rsidP="00EF638E">
      <w:pPr>
        <w:pStyle w:val="ListParagraph"/>
        <w:numPr>
          <w:ilvl w:val="0"/>
          <w:numId w:val="125"/>
        </w:numPr>
        <w:ind w:left="357" w:hanging="357"/>
        <w:jc w:val="both"/>
        <w:rPr>
          <w:rFonts w:ascii="Arial" w:hAnsi="Arial" w:cs="Arial"/>
          <w:sz w:val="20"/>
        </w:rPr>
      </w:pPr>
      <w:r w:rsidRPr="00413016">
        <w:rPr>
          <w:rFonts w:ascii="Arial" w:hAnsi="Arial" w:cs="Arial"/>
          <w:sz w:val="20"/>
        </w:rPr>
        <w:t>the hearing of which had been adjourned</w:t>
      </w:r>
      <w:r>
        <w:rPr>
          <w:rFonts w:ascii="Arial" w:hAnsi="Arial" w:cs="Arial"/>
          <w:sz w:val="20"/>
        </w:rPr>
        <w:t>; or</w:t>
      </w:r>
    </w:p>
    <w:p w14:paraId="25790F34" w14:textId="5C707E3B" w:rsidR="00EF638E" w:rsidRDefault="00EF638E" w:rsidP="00EF638E">
      <w:pPr>
        <w:pStyle w:val="ListParagraph"/>
        <w:numPr>
          <w:ilvl w:val="0"/>
          <w:numId w:val="125"/>
        </w:numPr>
        <w:ind w:left="357" w:hanging="357"/>
        <w:jc w:val="both"/>
        <w:rPr>
          <w:rFonts w:ascii="Arial" w:hAnsi="Arial" w:cs="Arial"/>
          <w:sz w:val="20"/>
        </w:rPr>
      </w:pPr>
      <w:r>
        <w:rPr>
          <w:rFonts w:ascii="Arial" w:hAnsi="Arial" w:cs="Arial"/>
          <w:sz w:val="20"/>
        </w:rPr>
        <w:t xml:space="preserve">in respect of which the </w:t>
      </w:r>
      <w:r w:rsidR="00A32C0B">
        <w:rPr>
          <w:rFonts w:ascii="Arial" w:hAnsi="Arial" w:cs="Arial"/>
          <w:sz w:val="20"/>
        </w:rPr>
        <w:t>person had been committed to stand trial.</w:t>
      </w:r>
    </w:p>
    <w:p w14:paraId="38D2A3D0" w14:textId="6F2B9D62" w:rsidR="00EF638E" w:rsidRDefault="00A32C0B" w:rsidP="00685B88">
      <w:pPr>
        <w:jc w:val="both"/>
        <w:rPr>
          <w:rFonts w:ascii="Arial" w:hAnsi="Arial" w:cs="Arial"/>
          <w:sz w:val="20"/>
        </w:rPr>
      </w:pPr>
      <w:r>
        <w:rPr>
          <w:rFonts w:ascii="Arial" w:hAnsi="Arial" w:cs="Arial"/>
          <w:sz w:val="20"/>
        </w:rPr>
        <w:t xml:space="preserve">See Form 20 &amp; Rule 5.02(3) of the </w:t>
      </w:r>
      <w:r>
        <w:rPr>
          <w:rFonts w:ascii="Arial" w:hAnsi="Arial" w:cs="Arial"/>
          <w:i/>
          <w:iCs/>
          <w:sz w:val="20"/>
        </w:rPr>
        <w:t>Children’s</w:t>
      </w:r>
      <w:r w:rsidRPr="00413016">
        <w:rPr>
          <w:rFonts w:ascii="Arial" w:hAnsi="Arial" w:cs="Arial"/>
          <w:i/>
          <w:iCs/>
          <w:sz w:val="20"/>
        </w:rPr>
        <w:t xml:space="preserve"> Court Criminal Procedure Rules 2019</w:t>
      </w:r>
      <w:r>
        <w:rPr>
          <w:rFonts w:ascii="Arial" w:hAnsi="Arial" w:cs="Arial"/>
          <w:sz w:val="20"/>
        </w:rPr>
        <w:t xml:space="preserve"> [S.R. No.161/2019] for the form of a remand warrant for a child issued under s.419 CYFA.  See Form 21 &amp; Rule 43 of the </w:t>
      </w:r>
      <w:r w:rsidRPr="00413016">
        <w:rPr>
          <w:rFonts w:ascii="Arial" w:hAnsi="Arial" w:cs="Arial"/>
          <w:i/>
          <w:iCs/>
          <w:sz w:val="20"/>
        </w:rPr>
        <w:t>Magistrates’ Court Criminal Procedure Rules 2019</w:t>
      </w:r>
      <w:r>
        <w:rPr>
          <w:rFonts w:ascii="Arial" w:hAnsi="Arial" w:cs="Arial"/>
          <w:sz w:val="20"/>
        </w:rPr>
        <w:t xml:space="preserve"> [S.R. No.143/2019] for the form of a remand warrant for an adult issued under s.79 of the </w:t>
      </w:r>
      <w:r w:rsidRPr="00413016">
        <w:rPr>
          <w:rFonts w:ascii="Arial" w:hAnsi="Arial" w:cs="Arial"/>
          <w:i/>
          <w:iCs/>
          <w:sz w:val="20"/>
        </w:rPr>
        <w:t>Magistrates’ Court Act 1989</w:t>
      </w:r>
      <w:r>
        <w:rPr>
          <w:rFonts w:ascii="Arial" w:hAnsi="Arial" w:cs="Arial"/>
          <w:sz w:val="20"/>
        </w:rPr>
        <w:t>.</w:t>
      </w:r>
    </w:p>
    <w:p w14:paraId="5CB554E3" w14:textId="77777777" w:rsidR="00EF638E" w:rsidRDefault="00EF638E" w:rsidP="00685B88">
      <w:pPr>
        <w:jc w:val="both"/>
        <w:rPr>
          <w:rFonts w:ascii="Arial" w:hAnsi="Arial" w:cs="Arial"/>
          <w:sz w:val="20"/>
        </w:rPr>
      </w:pPr>
    </w:p>
    <w:p w14:paraId="140D0EFD" w14:textId="36E9B272" w:rsidR="000331DE" w:rsidRDefault="00A32C0B" w:rsidP="000331DE">
      <w:pPr>
        <w:spacing w:after="120"/>
        <w:jc w:val="both"/>
        <w:rPr>
          <w:rFonts w:ascii="Arial" w:hAnsi="Arial" w:cs="Arial"/>
          <w:sz w:val="20"/>
        </w:rPr>
      </w:pPr>
      <w:r>
        <w:rPr>
          <w:rFonts w:ascii="Arial" w:hAnsi="Arial" w:cs="Arial"/>
          <w:sz w:val="20"/>
        </w:rPr>
        <w:t xml:space="preserve">Although a </w:t>
      </w:r>
      <w:r w:rsidR="000331DE">
        <w:rPr>
          <w:rFonts w:ascii="Arial" w:hAnsi="Arial" w:cs="Arial"/>
          <w:sz w:val="20"/>
        </w:rPr>
        <w:t>‘</w:t>
      </w:r>
      <w:r w:rsidR="00013912" w:rsidRPr="000331DE">
        <w:rPr>
          <w:rFonts w:ascii="Arial" w:hAnsi="Arial" w:cs="Arial"/>
          <w:b/>
          <w:bCs/>
          <w:sz w:val="20"/>
        </w:rPr>
        <w:t>gaol order</w:t>
      </w:r>
      <w:r w:rsidR="000331DE">
        <w:rPr>
          <w:rFonts w:ascii="Arial" w:hAnsi="Arial" w:cs="Arial"/>
          <w:sz w:val="20"/>
        </w:rPr>
        <w:t>’</w:t>
      </w:r>
      <w:r w:rsidR="00013912">
        <w:rPr>
          <w:rFonts w:ascii="Arial" w:hAnsi="Arial" w:cs="Arial"/>
          <w:sz w:val="20"/>
        </w:rPr>
        <w:t xml:space="preserve"> </w:t>
      </w:r>
      <w:r>
        <w:rPr>
          <w:rFonts w:ascii="Arial" w:hAnsi="Arial" w:cs="Arial"/>
          <w:sz w:val="20"/>
        </w:rPr>
        <w:t xml:space="preserve">also compels production of a prisoner/detainee at court, it may be issued in broader circumstances than a remand warrant.  A </w:t>
      </w:r>
      <w:r w:rsidRPr="00A32C0B">
        <w:rPr>
          <w:rFonts w:ascii="Arial" w:hAnsi="Arial" w:cs="Arial"/>
          <w:b/>
          <w:bCs/>
          <w:sz w:val="20"/>
        </w:rPr>
        <w:t>gaol order</w:t>
      </w:r>
      <w:r>
        <w:rPr>
          <w:rFonts w:ascii="Arial" w:hAnsi="Arial" w:cs="Arial"/>
          <w:sz w:val="20"/>
        </w:rPr>
        <w:t xml:space="preserve"> is an </w:t>
      </w:r>
      <w:r w:rsidR="00013912">
        <w:rPr>
          <w:rFonts w:ascii="Arial" w:hAnsi="Arial" w:cs="Arial"/>
          <w:sz w:val="20"/>
        </w:rPr>
        <w:t xml:space="preserve">order made under regulation 23 of the </w:t>
      </w:r>
      <w:r w:rsidR="00013912" w:rsidRPr="000331DE">
        <w:rPr>
          <w:rFonts w:ascii="Arial" w:hAnsi="Arial" w:cs="Arial"/>
          <w:i/>
          <w:iCs/>
          <w:sz w:val="20"/>
        </w:rPr>
        <w:t>Corrections Regulations 2019</w:t>
      </w:r>
      <w:r w:rsidR="00013912">
        <w:rPr>
          <w:rFonts w:ascii="Arial" w:hAnsi="Arial" w:cs="Arial"/>
          <w:sz w:val="20"/>
        </w:rPr>
        <w:t xml:space="preserve"> [S.R. No.27/2019]</w:t>
      </w:r>
      <w:r w:rsidR="000331DE">
        <w:rPr>
          <w:rFonts w:ascii="Arial" w:hAnsi="Arial" w:cs="Arial"/>
          <w:sz w:val="20"/>
        </w:rPr>
        <w:t xml:space="preserve"> to remove a prisoner and bring him or her before a court or coroner to answer a charge or give evidence or for any other purpose, in a civil or criminal proceeding:</w:t>
      </w:r>
    </w:p>
    <w:p w14:paraId="3A5AFA1A" w14:textId="77777777" w:rsidR="00013912" w:rsidRPr="000331DE" w:rsidRDefault="00013912" w:rsidP="00013912">
      <w:pPr>
        <w:pStyle w:val="DraftHeading1"/>
        <w:tabs>
          <w:tab w:val="right" w:pos="680"/>
        </w:tabs>
        <w:spacing w:before="0"/>
        <w:ind w:left="851" w:hanging="851"/>
        <w:rPr>
          <w:rFonts w:ascii="Arial" w:hAnsi="Arial" w:cs="Arial"/>
          <w:sz w:val="20"/>
          <w:szCs w:val="20"/>
        </w:rPr>
      </w:pPr>
      <w:bookmarkStart w:id="765" w:name="_Ref525641622"/>
      <w:r>
        <w:rPr>
          <w:bCs/>
          <w:lang w:eastAsia="en-AU" w:bidi="en-AU"/>
        </w:rPr>
        <w:tab/>
      </w:r>
      <w:bookmarkStart w:id="766" w:name="_Toc136417573"/>
      <w:r w:rsidRPr="000331DE">
        <w:rPr>
          <w:rFonts w:ascii="Arial" w:hAnsi="Arial" w:cs="Arial"/>
          <w:bCs/>
          <w:sz w:val="20"/>
          <w:szCs w:val="20"/>
          <w:lang w:eastAsia="en-AU" w:bidi="en-AU"/>
        </w:rPr>
        <w:t>23</w:t>
      </w:r>
      <w:r w:rsidRPr="000331DE">
        <w:rPr>
          <w:rFonts w:ascii="Arial" w:hAnsi="Arial" w:cs="Arial"/>
          <w:bCs/>
          <w:sz w:val="20"/>
          <w:szCs w:val="20"/>
          <w:lang w:eastAsia="en-AU" w:bidi="en-AU"/>
        </w:rPr>
        <w:tab/>
      </w:r>
      <w:r w:rsidRPr="000331DE">
        <w:rPr>
          <w:rFonts w:ascii="Arial" w:hAnsi="Arial" w:cs="Arial"/>
          <w:sz w:val="20"/>
          <w:szCs w:val="20"/>
        </w:rPr>
        <w:t xml:space="preserve">Absence to attend court or a </w:t>
      </w:r>
      <w:proofErr w:type="gramStart"/>
      <w:r w:rsidRPr="000331DE">
        <w:rPr>
          <w:rFonts w:ascii="Arial" w:hAnsi="Arial" w:cs="Arial"/>
          <w:sz w:val="20"/>
          <w:szCs w:val="20"/>
        </w:rPr>
        <w:t>hearing</w:t>
      </w:r>
      <w:bookmarkEnd w:id="765"/>
      <w:bookmarkEnd w:id="766"/>
      <w:proofErr w:type="gramEnd"/>
    </w:p>
    <w:p w14:paraId="4F398A2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(1)</w:t>
      </w:r>
      <w:r w:rsidRPr="000331DE">
        <w:rPr>
          <w:rFonts w:ascii="Arial" w:hAnsi="Arial" w:cs="Arial"/>
          <w:sz w:val="20"/>
          <w:lang w:eastAsia="en-AU" w:bidi="en-AU"/>
        </w:rPr>
        <w:tab/>
      </w:r>
      <w:r w:rsidRPr="000331DE">
        <w:rPr>
          <w:rFonts w:ascii="Arial" w:hAnsi="Arial" w:cs="Arial"/>
          <w:sz w:val="20"/>
        </w:rPr>
        <w:t>If a court or coroner so orders, a prisoner may be removed from a prison and brought before the court or coroner to answer a charge or give evidence or for any other purpose, in a civil or criminal proceeding.</w:t>
      </w:r>
    </w:p>
    <w:p w14:paraId="6D765B7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(2)</w:t>
      </w:r>
      <w:r w:rsidRPr="000331DE">
        <w:rPr>
          <w:rFonts w:ascii="Arial" w:hAnsi="Arial" w:cs="Arial"/>
          <w:sz w:val="20"/>
          <w:lang w:eastAsia="en-AU" w:bidi="en-AU"/>
        </w:rPr>
        <w:tab/>
      </w:r>
      <w:r w:rsidRPr="000331DE">
        <w:rPr>
          <w:rFonts w:ascii="Arial" w:hAnsi="Arial" w:cs="Arial"/>
          <w:sz w:val="20"/>
        </w:rPr>
        <w:t xml:space="preserve">An order for the removal of a prisoner under </w:t>
      </w:r>
      <w:proofErr w:type="spellStart"/>
      <w:r w:rsidRPr="000331DE">
        <w:rPr>
          <w:rFonts w:ascii="Arial" w:hAnsi="Arial" w:cs="Arial"/>
          <w:sz w:val="20"/>
        </w:rPr>
        <w:t>subregulation</w:t>
      </w:r>
      <w:proofErr w:type="spellEnd"/>
      <w:r w:rsidRPr="000331DE">
        <w:rPr>
          <w:rFonts w:ascii="Arial" w:hAnsi="Arial" w:cs="Arial"/>
          <w:sz w:val="20"/>
        </w:rPr>
        <w:t xml:space="preserve"> (1) must be in the form of Form 1 of Schedule 2.</w:t>
      </w:r>
    </w:p>
    <w:p w14:paraId="70A03893"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(3)</w:t>
      </w:r>
      <w:r w:rsidRPr="000331DE">
        <w:rPr>
          <w:rFonts w:ascii="Arial" w:hAnsi="Arial" w:cs="Arial"/>
          <w:sz w:val="20"/>
          <w:lang w:eastAsia="en-AU" w:bidi="en-AU"/>
        </w:rPr>
        <w:tab/>
      </w:r>
      <w:r w:rsidRPr="000331DE">
        <w:rPr>
          <w:rFonts w:ascii="Arial" w:hAnsi="Arial" w:cs="Arial"/>
          <w:sz w:val="20"/>
        </w:rPr>
        <w:t>A notice in the form of Form 2 of Schedule 2 must be completed by the person in charge of the prison from which the prisoner is to be removed.</w:t>
      </w:r>
    </w:p>
    <w:p w14:paraId="4DA756EA"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(4)</w:t>
      </w:r>
      <w:r w:rsidRPr="000331DE">
        <w:rPr>
          <w:rFonts w:ascii="Arial" w:hAnsi="Arial" w:cs="Arial"/>
          <w:sz w:val="20"/>
          <w:lang w:eastAsia="en-AU" w:bidi="en-AU"/>
        </w:rPr>
        <w:tab/>
      </w:r>
      <w:r w:rsidRPr="000331DE">
        <w:rPr>
          <w:rFonts w:ascii="Arial" w:hAnsi="Arial" w:cs="Arial"/>
          <w:sz w:val="20"/>
        </w:rPr>
        <w:t>Subject to section 55</w:t>
      </w:r>
      <w:proofErr w:type="gramStart"/>
      <w:r w:rsidRPr="000331DE">
        <w:rPr>
          <w:rFonts w:ascii="Arial" w:hAnsi="Arial" w:cs="Arial"/>
          <w:sz w:val="20"/>
        </w:rPr>
        <w:t>I(</w:t>
      </w:r>
      <w:proofErr w:type="gramEnd"/>
      <w:r w:rsidRPr="000331DE">
        <w:rPr>
          <w:rFonts w:ascii="Arial" w:hAnsi="Arial" w:cs="Arial"/>
          <w:sz w:val="20"/>
        </w:rPr>
        <w:t xml:space="preserve">3) of the Act, while a prisoner who is ordered to be brought before a court or coroner is absent from a prison, the prisoner is in the legal custody of the person or persons having custody of the prisoner under the order made under </w:t>
      </w:r>
      <w:proofErr w:type="spellStart"/>
      <w:r w:rsidRPr="000331DE">
        <w:rPr>
          <w:rFonts w:ascii="Arial" w:hAnsi="Arial" w:cs="Arial"/>
          <w:sz w:val="20"/>
        </w:rPr>
        <w:t>subregulation</w:t>
      </w:r>
      <w:proofErr w:type="spellEnd"/>
      <w:r w:rsidRPr="000331DE">
        <w:rPr>
          <w:rFonts w:ascii="Arial" w:hAnsi="Arial" w:cs="Arial"/>
          <w:sz w:val="20"/>
        </w:rPr>
        <w:t xml:space="preserve"> (1).</w:t>
      </w:r>
    </w:p>
    <w:p w14:paraId="27BE1E0F" w14:textId="77777777" w:rsidR="00013912" w:rsidRPr="000331DE" w:rsidRDefault="00013912" w:rsidP="000331DE">
      <w:pPr>
        <w:pStyle w:val="DraftHeading2"/>
        <w:tabs>
          <w:tab w:val="right" w:pos="1247"/>
        </w:tabs>
        <w:spacing w:before="60"/>
        <w:ind w:left="1361" w:right="567" w:hanging="1361"/>
        <w:jc w:val="both"/>
        <w:rPr>
          <w:rFonts w:ascii="Arial" w:hAnsi="Arial" w:cs="Arial"/>
          <w:sz w:val="20"/>
        </w:rPr>
      </w:pPr>
      <w:r w:rsidRPr="000331DE">
        <w:rPr>
          <w:rFonts w:ascii="Arial" w:hAnsi="Arial" w:cs="Arial"/>
          <w:sz w:val="20"/>
          <w:lang w:eastAsia="en-AU" w:bidi="en-AU"/>
        </w:rPr>
        <w:tab/>
        <w:t>(5)</w:t>
      </w:r>
      <w:r w:rsidRPr="000331DE">
        <w:rPr>
          <w:rFonts w:ascii="Arial" w:hAnsi="Arial" w:cs="Arial"/>
          <w:sz w:val="20"/>
          <w:lang w:eastAsia="en-AU" w:bidi="en-AU"/>
        </w:rPr>
        <w:tab/>
      </w:r>
      <w:r w:rsidRPr="000331DE">
        <w:rPr>
          <w:rFonts w:ascii="Arial" w:hAnsi="Arial" w:cs="Arial"/>
          <w:sz w:val="20"/>
        </w:rPr>
        <w:t xml:space="preserve">The person who has custody of a prisoner under </w:t>
      </w:r>
      <w:proofErr w:type="spellStart"/>
      <w:r w:rsidRPr="000331DE">
        <w:rPr>
          <w:rFonts w:ascii="Arial" w:hAnsi="Arial" w:cs="Arial"/>
          <w:sz w:val="20"/>
        </w:rPr>
        <w:t>subregulation</w:t>
      </w:r>
      <w:proofErr w:type="spellEnd"/>
      <w:r w:rsidRPr="000331DE">
        <w:rPr>
          <w:rFonts w:ascii="Arial" w:hAnsi="Arial" w:cs="Arial"/>
          <w:sz w:val="20"/>
        </w:rPr>
        <w:t xml:space="preserve"> (4) must return the prisoner to the prison from which the prisoner was removed unless the prisoner is discharged by process of law in respect of all matters requiring the prisoner's detention or is released on bail.</w:t>
      </w:r>
    </w:p>
    <w:p w14:paraId="4393F120" w14:textId="77777777" w:rsidR="00013912" w:rsidRPr="00BB0972" w:rsidRDefault="00013912" w:rsidP="000331DE">
      <w:pPr>
        <w:pStyle w:val="DraftHeading2"/>
        <w:tabs>
          <w:tab w:val="right" w:pos="1247"/>
        </w:tabs>
        <w:spacing w:before="60"/>
        <w:ind w:left="1361" w:right="567" w:hanging="1361"/>
        <w:jc w:val="both"/>
      </w:pPr>
      <w:r w:rsidRPr="000331DE">
        <w:rPr>
          <w:rFonts w:ascii="Arial" w:hAnsi="Arial" w:cs="Arial"/>
          <w:sz w:val="20"/>
          <w:lang w:eastAsia="en-AU" w:bidi="en-AU"/>
        </w:rPr>
        <w:tab/>
        <w:t>(6)</w:t>
      </w:r>
      <w:r w:rsidRPr="000331DE">
        <w:rPr>
          <w:rFonts w:ascii="Arial" w:hAnsi="Arial" w:cs="Arial"/>
          <w:sz w:val="20"/>
          <w:lang w:eastAsia="en-AU" w:bidi="en-AU"/>
        </w:rPr>
        <w:tab/>
      </w:r>
      <w:r w:rsidRPr="000331DE">
        <w:rPr>
          <w:rFonts w:ascii="Arial" w:hAnsi="Arial" w:cs="Arial"/>
          <w:sz w:val="20"/>
        </w:rPr>
        <w:t xml:space="preserve">This regulation does not apply if a prisoner who is required to appear before a court is directed by the court to make the prisoner's appearance by audio visual link or audio link from a prison under Part IIA of the </w:t>
      </w:r>
      <w:r w:rsidRPr="000331DE">
        <w:rPr>
          <w:rFonts w:ascii="Arial" w:hAnsi="Arial" w:cs="Arial"/>
          <w:b/>
          <w:sz w:val="20"/>
        </w:rPr>
        <w:t>Evidence (Miscellaneous Provisions) Act 1958</w:t>
      </w:r>
      <w:r w:rsidRPr="000331DE">
        <w:rPr>
          <w:rFonts w:ascii="Arial" w:hAnsi="Arial" w:cs="Arial"/>
          <w:sz w:val="20"/>
        </w:rPr>
        <w:t>.</w:t>
      </w:r>
    </w:p>
    <w:p w14:paraId="7A538E7F" w14:textId="77777777" w:rsidR="00292976" w:rsidRDefault="00292976" w:rsidP="00D87938">
      <w:pPr>
        <w:jc w:val="both"/>
        <w:rPr>
          <w:rFonts w:ascii="Arial" w:hAnsi="Arial" w:cs="Arial"/>
          <w:sz w:val="20"/>
        </w:rPr>
      </w:pPr>
    </w:p>
    <w:p w14:paraId="3DDB44B6" w14:textId="4C755E9C" w:rsidR="00C92316" w:rsidRPr="00C92316" w:rsidRDefault="00C92316" w:rsidP="00C92316">
      <w:pPr>
        <w:contextualSpacing/>
        <w:jc w:val="both"/>
        <w:rPr>
          <w:rFonts w:ascii="Arial" w:hAnsi="Arial" w:cs="Arial"/>
          <w:sz w:val="20"/>
          <w:szCs w:val="20"/>
        </w:rPr>
      </w:pPr>
      <w:r w:rsidRPr="00C92316">
        <w:rPr>
          <w:rFonts w:ascii="Arial" w:hAnsi="Arial" w:cs="Arial"/>
          <w:sz w:val="20"/>
          <w:szCs w:val="20"/>
        </w:rPr>
        <w:t xml:space="preserve">Section 42E of the </w:t>
      </w:r>
      <w:r w:rsidRPr="00A32C0B">
        <w:rPr>
          <w:rFonts w:ascii="Arial" w:hAnsi="Arial" w:cs="Arial"/>
          <w:i/>
          <w:iCs/>
          <w:sz w:val="20"/>
          <w:szCs w:val="20"/>
        </w:rPr>
        <w:t>E</w:t>
      </w:r>
      <w:r w:rsidR="00A32C0B" w:rsidRPr="00A32C0B">
        <w:rPr>
          <w:rFonts w:ascii="Arial" w:hAnsi="Arial" w:cs="Arial"/>
          <w:i/>
          <w:iCs/>
          <w:sz w:val="20"/>
          <w:szCs w:val="20"/>
        </w:rPr>
        <w:t>vidence (Miscellaneous Provisions) Act 1958</w:t>
      </w:r>
      <w:r w:rsidR="00A32C0B">
        <w:rPr>
          <w:rFonts w:ascii="Arial" w:hAnsi="Arial" w:cs="Arial"/>
          <w:sz w:val="20"/>
          <w:szCs w:val="20"/>
        </w:rPr>
        <w:t xml:space="preserve"> [E</w:t>
      </w:r>
      <w:r w:rsidRPr="00C92316">
        <w:rPr>
          <w:rFonts w:ascii="Arial" w:hAnsi="Arial" w:cs="Arial"/>
          <w:sz w:val="20"/>
          <w:szCs w:val="20"/>
        </w:rPr>
        <w:t>MPA</w:t>
      </w:r>
      <w:r w:rsidR="00A32C0B">
        <w:rPr>
          <w:rFonts w:ascii="Arial" w:hAnsi="Arial" w:cs="Arial"/>
          <w:sz w:val="20"/>
          <w:szCs w:val="20"/>
        </w:rPr>
        <w:t>]</w:t>
      </w:r>
      <w:r w:rsidRPr="00C92316">
        <w:rPr>
          <w:rFonts w:ascii="Arial" w:hAnsi="Arial" w:cs="Arial"/>
          <w:sz w:val="20"/>
          <w:szCs w:val="20"/>
        </w:rPr>
        <w:t xml:space="preserve"> provides that subject to s.42F (which is not relevant for an appearance by an adult) and to any rules of court, a court may, on its own initiative or on the application of a party to the legal proceeding, direct that a person may–</w:t>
      </w:r>
    </w:p>
    <w:p w14:paraId="1FE7C160"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appear before; or</w:t>
      </w:r>
    </w:p>
    <w:p w14:paraId="18F24FC0"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give evidence; or</w:t>
      </w:r>
    </w:p>
    <w:p w14:paraId="22EA445B" w14:textId="77777777" w:rsidR="00C92316" w:rsidRPr="00C92316" w:rsidRDefault="00C92316" w:rsidP="00A32C0B">
      <w:pPr>
        <w:pStyle w:val="ListParagraph"/>
        <w:numPr>
          <w:ilvl w:val="0"/>
          <w:numId w:val="127"/>
        </w:numPr>
        <w:spacing w:before="20"/>
        <w:ind w:left="357" w:hanging="357"/>
        <w:contextualSpacing/>
        <w:rPr>
          <w:rFonts w:ascii="Arial" w:hAnsi="Arial" w:cs="Arial"/>
          <w:sz w:val="20"/>
        </w:rPr>
      </w:pPr>
      <w:r w:rsidRPr="00C92316">
        <w:rPr>
          <w:rFonts w:ascii="Arial" w:hAnsi="Arial" w:cs="Arial"/>
          <w:sz w:val="20"/>
        </w:rPr>
        <w:t>make a submission to–</w:t>
      </w:r>
    </w:p>
    <w:p w14:paraId="104D151A" w14:textId="636B15DE" w:rsidR="00C92316" w:rsidRPr="00C92316" w:rsidRDefault="00C92316" w:rsidP="00A32C0B">
      <w:pPr>
        <w:jc w:val="both"/>
        <w:rPr>
          <w:rFonts w:ascii="Arial" w:hAnsi="Arial" w:cs="Arial"/>
          <w:sz w:val="20"/>
          <w:szCs w:val="20"/>
        </w:rPr>
      </w:pPr>
      <w:r w:rsidRPr="00C92316">
        <w:rPr>
          <w:rFonts w:ascii="Arial" w:hAnsi="Arial" w:cs="Arial"/>
          <w:sz w:val="20"/>
          <w:szCs w:val="20"/>
        </w:rPr>
        <w:t xml:space="preserve">the court by </w:t>
      </w:r>
      <w:r w:rsidR="00A32C0B">
        <w:rPr>
          <w:rFonts w:ascii="Arial" w:hAnsi="Arial" w:cs="Arial"/>
          <w:sz w:val="20"/>
          <w:szCs w:val="20"/>
        </w:rPr>
        <w:t>audio visual link [</w:t>
      </w:r>
      <w:r w:rsidRPr="00C92316">
        <w:rPr>
          <w:rFonts w:ascii="Arial" w:hAnsi="Arial" w:cs="Arial"/>
          <w:sz w:val="20"/>
          <w:szCs w:val="20"/>
        </w:rPr>
        <w:t>AVL</w:t>
      </w:r>
      <w:r w:rsidR="00A32C0B">
        <w:rPr>
          <w:rFonts w:ascii="Arial" w:hAnsi="Arial" w:cs="Arial"/>
          <w:sz w:val="20"/>
          <w:szCs w:val="20"/>
        </w:rPr>
        <w:t>]</w:t>
      </w:r>
      <w:r w:rsidRPr="00C92316">
        <w:rPr>
          <w:rFonts w:ascii="Arial" w:hAnsi="Arial" w:cs="Arial"/>
          <w:sz w:val="20"/>
          <w:szCs w:val="20"/>
        </w:rPr>
        <w:t xml:space="preserve"> or </w:t>
      </w:r>
      <w:r w:rsidR="00A32C0B">
        <w:rPr>
          <w:rFonts w:ascii="Arial" w:hAnsi="Arial" w:cs="Arial"/>
          <w:sz w:val="20"/>
          <w:szCs w:val="20"/>
        </w:rPr>
        <w:t>audio link [</w:t>
      </w:r>
      <w:r w:rsidRPr="00C92316">
        <w:rPr>
          <w:rFonts w:ascii="Arial" w:hAnsi="Arial" w:cs="Arial"/>
          <w:sz w:val="20"/>
          <w:szCs w:val="20"/>
        </w:rPr>
        <w:t>AL</w:t>
      </w:r>
      <w:r w:rsidR="00A32C0B">
        <w:rPr>
          <w:rFonts w:ascii="Arial" w:hAnsi="Arial" w:cs="Arial"/>
          <w:sz w:val="20"/>
          <w:szCs w:val="20"/>
        </w:rPr>
        <w:t>]</w:t>
      </w:r>
      <w:r w:rsidRPr="00C92316">
        <w:rPr>
          <w:rFonts w:ascii="Arial" w:hAnsi="Arial" w:cs="Arial"/>
          <w:sz w:val="20"/>
          <w:szCs w:val="20"/>
        </w:rPr>
        <w:t xml:space="preserve"> from any place within or outside Victoria, or outside Australia, that is outside the courtroom or other place where the court is sitting.</w:t>
      </w:r>
    </w:p>
    <w:p w14:paraId="782F4934" w14:textId="77777777" w:rsidR="00C92316" w:rsidRPr="00C92316" w:rsidRDefault="00C92316" w:rsidP="00C92316">
      <w:pPr>
        <w:rPr>
          <w:rFonts w:ascii="Arial" w:hAnsi="Arial" w:cs="Arial"/>
          <w:sz w:val="20"/>
          <w:szCs w:val="20"/>
        </w:rPr>
      </w:pPr>
    </w:p>
    <w:p w14:paraId="49184A06" w14:textId="20833BEA" w:rsidR="00C92316" w:rsidRPr="00C92316" w:rsidRDefault="00C92316" w:rsidP="00C92316">
      <w:pPr>
        <w:contextualSpacing/>
        <w:jc w:val="both"/>
        <w:rPr>
          <w:rFonts w:ascii="Arial" w:hAnsi="Arial" w:cs="Arial"/>
          <w:sz w:val="20"/>
        </w:rPr>
      </w:pPr>
      <w:r w:rsidRPr="00C92316">
        <w:rPr>
          <w:rFonts w:ascii="Arial" w:hAnsi="Arial" w:cs="Arial"/>
          <w:sz w:val="20"/>
        </w:rPr>
        <w:t>I</w:t>
      </w:r>
      <w:r w:rsidR="00FD00C9">
        <w:rPr>
          <w:rFonts w:ascii="Arial" w:hAnsi="Arial" w:cs="Arial"/>
          <w:sz w:val="20"/>
        </w:rPr>
        <w:t>f</w:t>
      </w:r>
      <w:r w:rsidRPr="00C92316">
        <w:rPr>
          <w:rFonts w:ascii="Arial" w:hAnsi="Arial" w:cs="Arial"/>
          <w:sz w:val="20"/>
        </w:rPr>
        <w:t xml:space="preserve"> a Victorian prisoner is directed under s.42E of the EMPA to appear before the Magistrates’ Court of Victoria [MCV] or Children’s Court of Victoria [</w:t>
      </w:r>
      <w:proofErr w:type="spellStart"/>
      <w:r w:rsidRPr="00C92316">
        <w:rPr>
          <w:rFonts w:ascii="Arial" w:hAnsi="Arial" w:cs="Arial"/>
          <w:sz w:val="20"/>
        </w:rPr>
        <w:t>ChCV</w:t>
      </w:r>
      <w:proofErr w:type="spellEnd"/>
      <w:r w:rsidRPr="00C92316">
        <w:rPr>
          <w:rFonts w:ascii="Arial" w:hAnsi="Arial" w:cs="Arial"/>
          <w:sz w:val="20"/>
        </w:rPr>
        <w:t>] by AVL</w:t>
      </w:r>
      <w:r w:rsidR="00FD00C9">
        <w:rPr>
          <w:rFonts w:ascii="Arial" w:hAnsi="Arial" w:cs="Arial"/>
          <w:sz w:val="20"/>
        </w:rPr>
        <w:t xml:space="preserve"> or AL,</w:t>
      </w:r>
      <w:r w:rsidRPr="00C92316">
        <w:rPr>
          <w:rFonts w:ascii="Arial" w:hAnsi="Arial" w:cs="Arial"/>
          <w:sz w:val="20"/>
        </w:rPr>
        <w:t xml:space="preserve"> </w:t>
      </w:r>
      <w:r w:rsidR="00FD00C9">
        <w:rPr>
          <w:rFonts w:ascii="Arial" w:hAnsi="Arial" w:cs="Arial"/>
          <w:sz w:val="20"/>
        </w:rPr>
        <w:t xml:space="preserve">reg.23(6) makes it clear that the gaol order prescribed in Form 1 of Schedule 2 does not apply.  In the case of a prisoner appearing by AVL or AL no </w:t>
      </w:r>
      <w:r w:rsidRPr="00C92316">
        <w:rPr>
          <w:rFonts w:ascii="Arial" w:hAnsi="Arial" w:cs="Arial"/>
          <w:sz w:val="20"/>
        </w:rPr>
        <w:t>prescribed form is used.  Instead, an entry is made by the relevant Court in an online “AVL Scheduler” designed by the MCV and to which the Dep</w:t>
      </w:r>
      <w:r w:rsidR="00FD00C9">
        <w:rPr>
          <w:rFonts w:ascii="Arial" w:hAnsi="Arial" w:cs="Arial"/>
          <w:sz w:val="20"/>
        </w:rPr>
        <w:t>artmen</w:t>
      </w:r>
      <w:r w:rsidRPr="00C92316">
        <w:rPr>
          <w:rFonts w:ascii="Arial" w:hAnsi="Arial" w:cs="Arial"/>
          <w:sz w:val="20"/>
        </w:rPr>
        <w:t xml:space="preserve">t of Corrections, MCV &amp; </w:t>
      </w:r>
      <w:proofErr w:type="spellStart"/>
      <w:r w:rsidRPr="00C92316">
        <w:rPr>
          <w:rFonts w:ascii="Arial" w:hAnsi="Arial" w:cs="Arial"/>
          <w:sz w:val="20"/>
        </w:rPr>
        <w:t>ChCV</w:t>
      </w:r>
      <w:proofErr w:type="spellEnd"/>
      <w:r w:rsidRPr="00C92316">
        <w:rPr>
          <w:rFonts w:ascii="Arial" w:hAnsi="Arial" w:cs="Arial"/>
          <w:sz w:val="20"/>
        </w:rPr>
        <w:t xml:space="preserve"> all have access.</w:t>
      </w:r>
    </w:p>
    <w:p w14:paraId="3D81A637" w14:textId="77777777" w:rsidR="00C92316" w:rsidRDefault="00C92316" w:rsidP="00D87938">
      <w:pPr>
        <w:jc w:val="both"/>
        <w:rPr>
          <w:rFonts w:ascii="Arial" w:hAnsi="Arial" w:cs="Arial"/>
          <w:sz w:val="20"/>
        </w:rPr>
      </w:pPr>
    </w:p>
    <w:p w14:paraId="6D12380F" w14:textId="418B62EA" w:rsidR="00C92316" w:rsidRPr="00FD00C9" w:rsidRDefault="00FD00C9" w:rsidP="00D87938">
      <w:pPr>
        <w:jc w:val="both"/>
        <w:rPr>
          <w:rFonts w:ascii="Arial" w:hAnsi="Arial" w:cs="Arial"/>
          <w:sz w:val="20"/>
          <w:szCs w:val="20"/>
        </w:rPr>
      </w:pPr>
      <w:r w:rsidRPr="00FD00C9">
        <w:rPr>
          <w:rFonts w:ascii="Arial" w:hAnsi="Arial" w:cs="Arial"/>
          <w:sz w:val="20"/>
          <w:szCs w:val="20"/>
        </w:rPr>
        <w:t>The Form issued under s</w:t>
      </w:r>
      <w:r>
        <w:rPr>
          <w:rFonts w:ascii="Arial" w:hAnsi="Arial" w:cs="Arial"/>
          <w:sz w:val="20"/>
          <w:szCs w:val="20"/>
        </w:rPr>
        <w:t>s</w:t>
      </w:r>
      <w:r w:rsidRPr="00FD00C9">
        <w:rPr>
          <w:rFonts w:ascii="Arial" w:hAnsi="Arial" w:cs="Arial"/>
          <w:sz w:val="20"/>
          <w:szCs w:val="20"/>
        </w:rPr>
        <w:t>.</w:t>
      </w:r>
      <w:r>
        <w:rPr>
          <w:rFonts w:ascii="Arial" w:hAnsi="Arial" w:cs="Arial"/>
          <w:sz w:val="20"/>
          <w:szCs w:val="20"/>
        </w:rPr>
        <w:t xml:space="preserve">39, </w:t>
      </w:r>
      <w:r w:rsidRPr="00FD00C9">
        <w:rPr>
          <w:rFonts w:ascii="Arial" w:hAnsi="Arial" w:cs="Arial"/>
          <w:sz w:val="20"/>
          <w:szCs w:val="20"/>
        </w:rPr>
        <w:t>67</w:t>
      </w:r>
      <w:r>
        <w:rPr>
          <w:rFonts w:ascii="Arial" w:hAnsi="Arial" w:cs="Arial"/>
          <w:sz w:val="20"/>
          <w:szCs w:val="20"/>
        </w:rPr>
        <w:t xml:space="preserve"> or 79 of the</w:t>
      </w:r>
      <w:r w:rsidRPr="00FD00C9">
        <w:rPr>
          <w:rFonts w:ascii="Arial" w:hAnsi="Arial" w:cs="Arial"/>
          <w:sz w:val="20"/>
          <w:szCs w:val="20"/>
        </w:rPr>
        <w:t xml:space="preserve"> </w:t>
      </w:r>
      <w:r w:rsidRPr="00FD00C9">
        <w:rPr>
          <w:rFonts w:ascii="Arial" w:hAnsi="Arial" w:cs="Arial"/>
          <w:i/>
          <w:iCs/>
          <w:sz w:val="20"/>
          <w:szCs w:val="20"/>
        </w:rPr>
        <w:t>Service and Execution of Process Act 1992</w:t>
      </w:r>
      <w:r w:rsidRPr="00FD00C9">
        <w:rPr>
          <w:rFonts w:ascii="Arial" w:hAnsi="Arial" w:cs="Arial"/>
          <w:sz w:val="20"/>
          <w:szCs w:val="20"/>
        </w:rPr>
        <w:t xml:space="preserve"> (</w:t>
      </w:r>
      <w:proofErr w:type="spellStart"/>
      <w:r w:rsidRPr="00FD00C9">
        <w:rPr>
          <w:rFonts w:ascii="Arial" w:hAnsi="Arial" w:cs="Arial"/>
          <w:sz w:val="20"/>
          <w:szCs w:val="20"/>
        </w:rPr>
        <w:t>Cth</w:t>
      </w:r>
      <w:proofErr w:type="spellEnd"/>
      <w:r w:rsidRPr="00FD00C9">
        <w:rPr>
          <w:rFonts w:ascii="Arial" w:hAnsi="Arial" w:cs="Arial"/>
          <w:sz w:val="20"/>
          <w:szCs w:val="20"/>
        </w:rPr>
        <w:t xml:space="preserve">) is </w:t>
      </w:r>
      <w:r>
        <w:rPr>
          <w:rFonts w:ascii="Arial" w:hAnsi="Arial" w:cs="Arial"/>
          <w:sz w:val="20"/>
          <w:szCs w:val="20"/>
        </w:rPr>
        <w:t xml:space="preserve">used </w:t>
      </w:r>
      <w:r w:rsidRPr="00FD00C9">
        <w:rPr>
          <w:rFonts w:ascii="Arial" w:hAnsi="Arial" w:cs="Arial"/>
          <w:sz w:val="20"/>
          <w:szCs w:val="20"/>
        </w:rPr>
        <w:t>for the purpose of bringing a</w:t>
      </w:r>
      <w:r>
        <w:rPr>
          <w:rFonts w:ascii="Arial" w:hAnsi="Arial" w:cs="Arial"/>
          <w:sz w:val="20"/>
          <w:szCs w:val="20"/>
        </w:rPr>
        <w:t xml:space="preserve">n interstate </w:t>
      </w:r>
      <w:r w:rsidRPr="00FD00C9">
        <w:rPr>
          <w:rFonts w:ascii="Arial" w:hAnsi="Arial" w:cs="Arial"/>
          <w:sz w:val="20"/>
          <w:szCs w:val="20"/>
        </w:rPr>
        <w:t>prisoner</w:t>
      </w:r>
      <w:r>
        <w:rPr>
          <w:rFonts w:ascii="Arial" w:hAnsi="Arial" w:cs="Arial"/>
          <w:sz w:val="20"/>
          <w:szCs w:val="20"/>
        </w:rPr>
        <w:t>/detainee</w:t>
      </w:r>
      <w:r w:rsidRPr="00FD00C9">
        <w:rPr>
          <w:rFonts w:ascii="Arial" w:hAnsi="Arial" w:cs="Arial"/>
          <w:sz w:val="20"/>
          <w:szCs w:val="20"/>
        </w:rPr>
        <w:t xml:space="preserve"> before a </w:t>
      </w:r>
      <w:r>
        <w:rPr>
          <w:rFonts w:ascii="Arial" w:hAnsi="Arial" w:cs="Arial"/>
          <w:sz w:val="20"/>
          <w:szCs w:val="20"/>
        </w:rPr>
        <w:t xml:space="preserve">Victorian </w:t>
      </w:r>
      <w:r w:rsidRPr="00FD00C9">
        <w:rPr>
          <w:rFonts w:ascii="Arial" w:hAnsi="Arial" w:cs="Arial"/>
          <w:sz w:val="20"/>
          <w:szCs w:val="20"/>
        </w:rPr>
        <w:t>court to answer a subpoena to give evidence or produce documents.</w:t>
      </w:r>
    </w:p>
    <w:p w14:paraId="0CD8CB15" w14:textId="77777777" w:rsidR="00C92316" w:rsidRDefault="00C92316" w:rsidP="00D87938">
      <w:pPr>
        <w:jc w:val="both"/>
        <w:rPr>
          <w:rFonts w:ascii="Arial" w:hAnsi="Arial" w:cs="Arial"/>
          <w:sz w:val="20"/>
        </w:rPr>
      </w:pPr>
    </w:p>
    <w:p w14:paraId="69B33FEA" w14:textId="77777777" w:rsidR="00D87938" w:rsidRPr="00BD3BA0" w:rsidRDefault="00D87938" w:rsidP="00D87938">
      <w:pPr>
        <w:jc w:val="center"/>
        <w:rPr>
          <w:rFonts w:ascii="Arial" w:hAnsi="Arial" w:cs="Arial"/>
          <w:b/>
          <w:bCs/>
          <w:sz w:val="22"/>
          <w:szCs w:val="28"/>
        </w:rPr>
      </w:pPr>
      <w:r w:rsidRPr="00BD3BA0">
        <w:rPr>
          <w:rFonts w:ascii="Arial" w:hAnsi="Arial" w:cs="Arial"/>
          <w:b/>
          <w:bCs/>
          <w:sz w:val="22"/>
          <w:szCs w:val="28"/>
        </w:rPr>
        <w:t>THE REST OF THIS PAGE IS BLANK</w:t>
      </w:r>
    </w:p>
    <w:p w14:paraId="1CA7ED9F" w14:textId="77777777" w:rsidR="00D87938" w:rsidRDefault="00D87938" w:rsidP="00D87938">
      <w:pPr>
        <w:rPr>
          <w:rFonts w:ascii="Arial" w:hAnsi="Arial" w:cs="Arial"/>
          <w:sz w:val="20"/>
        </w:rPr>
      </w:pPr>
    </w:p>
    <w:p w14:paraId="7D0AAA46" w14:textId="77777777" w:rsidR="000232AB" w:rsidRDefault="000232AB">
      <w:pPr>
        <w:rPr>
          <w:rFonts w:ascii="Arial" w:hAnsi="Arial" w:cs="Arial"/>
          <w:b/>
          <w:bCs/>
          <w:kern w:val="28"/>
          <w:sz w:val="20"/>
          <w:szCs w:val="20"/>
          <w:lang w:val="en-GB"/>
        </w:rPr>
      </w:pPr>
      <w:r>
        <w:rPr>
          <w:rFonts w:ascii="Arial" w:hAnsi="Arial" w:cs="Arial"/>
          <w:b/>
          <w:bCs/>
          <w:sz w:val="20"/>
        </w:rPr>
        <w:br w:type="page"/>
      </w:r>
    </w:p>
    <w:p w14:paraId="64AD5CD4" w14:textId="1464E0A4" w:rsidR="00B21DA4" w:rsidRDefault="00B21DA4" w:rsidP="00685B88">
      <w:pPr>
        <w:pStyle w:val="Heading3"/>
        <w:keepNext/>
        <w:keepLines/>
        <w:spacing w:after="120" w:line="240" w:lineRule="auto"/>
        <w:rPr>
          <w:rFonts w:ascii="Arial" w:hAnsi="Arial" w:cs="Arial"/>
          <w:b/>
          <w:bCs/>
          <w:sz w:val="20"/>
        </w:rPr>
      </w:pPr>
      <w:bookmarkStart w:id="767" w:name="_3.5.8_Use_of_1"/>
      <w:bookmarkEnd w:id="767"/>
      <w:r>
        <w:rPr>
          <w:rFonts w:ascii="Arial" w:hAnsi="Arial" w:cs="Arial"/>
          <w:b/>
          <w:bCs/>
          <w:sz w:val="20"/>
        </w:rPr>
        <w:lastRenderedPageBreak/>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pPr>
        <w:pStyle w:val="ListParagraph"/>
        <w:numPr>
          <w:ilvl w:val="0"/>
          <w:numId w:val="71"/>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05661C">
      <w:pPr>
        <w:keepNext/>
        <w:keepLines/>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68" w:name="_3.5.9_Production_of"/>
      <w:bookmarkStart w:id="769" w:name="B359"/>
      <w:bookmarkEnd w:id="768"/>
      <w:bookmarkEnd w:id="769"/>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1906961F"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w:t>
      </w:r>
      <w:r w:rsidR="00875597">
        <w:rPr>
          <w:rFonts w:ascii="Arial" w:hAnsi="Arial" w:cs="Arial"/>
          <w:color w:val="000000"/>
          <w:sz w:val="20"/>
        </w:rPr>
        <w:t xml:space="preserve">a </w:t>
      </w:r>
      <w:r w:rsidR="00C213EF" w:rsidRPr="009F25D4">
        <w:rPr>
          <w:rFonts w:ascii="Arial" w:hAnsi="Arial" w:cs="Arial"/>
          <w:color w:val="000000"/>
          <w:sz w:val="20"/>
        </w:rPr>
        <w:t>subpoena</w:t>
      </w:r>
      <w:r w:rsidR="00875597">
        <w:rPr>
          <w:rFonts w:ascii="Arial" w:hAnsi="Arial" w:cs="Arial"/>
          <w:color w:val="000000"/>
          <w:sz w:val="20"/>
        </w:rPr>
        <w:t xml:space="preserve"> issued under s.532 CYFA</w:t>
      </w:r>
      <w:r w:rsidR="002307C4">
        <w:rPr>
          <w:rFonts w:ascii="Arial" w:hAnsi="Arial" w:cs="Arial"/>
          <w:color w:val="000000"/>
          <w:sz w:val="20"/>
        </w:rPr>
        <w:t xml:space="preserve">, as to which see </w:t>
      </w:r>
      <w:r w:rsidR="002307C4" w:rsidRPr="00A975E6">
        <w:rPr>
          <w:rFonts w:ascii="Arial" w:hAnsi="Arial" w:cs="Arial"/>
          <w:b/>
          <w:bCs/>
          <w:color w:val="000000"/>
          <w:sz w:val="20"/>
          <w:shd w:val="clear" w:color="auto" w:fill="C5E0B3" w:themeFill="accent6" w:themeFillTint="66"/>
        </w:rPr>
        <w:t>section 3.5.10</w:t>
      </w:r>
      <w:r w:rsidR="002307C4">
        <w:rPr>
          <w:rFonts w:ascii="Arial" w:hAnsi="Arial" w:cs="Arial"/>
          <w:color w:val="000000"/>
          <w:sz w:val="20"/>
        </w:rPr>
        <w:t xml:space="preserve"> below</w:t>
      </w:r>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“Pre-hearing disclosure” provisions of ss.35</w:t>
      </w:r>
      <w:r w:rsidR="00875597">
        <w:rPr>
          <w:rFonts w:ascii="Arial" w:hAnsi="Arial" w:cs="Arial"/>
          <w:color w:val="000000"/>
          <w:sz w:val="20"/>
        </w:rPr>
        <w:t>-</w:t>
      </w:r>
      <w:r w:rsidR="001F1C85" w:rsidRPr="009F25D4">
        <w:rPr>
          <w:rFonts w:ascii="Arial" w:hAnsi="Arial" w:cs="Arial"/>
          <w:color w:val="000000"/>
          <w:sz w:val="20"/>
        </w:rPr>
        <w:t xml:space="preserve">49 &amp; 107-117 of the </w:t>
      </w:r>
      <w:r w:rsidR="001F1C85" w:rsidRPr="00A82F40">
        <w:rPr>
          <w:rFonts w:ascii="Arial" w:hAnsi="Arial" w:cs="Arial"/>
          <w:i/>
          <w:iCs/>
          <w:color w:val="000000"/>
          <w:sz w:val="20"/>
        </w:rPr>
        <w:t>Criminal Procedure Act 2009</w:t>
      </w:r>
      <w:r w:rsidR="001F1C85" w:rsidRPr="009F25D4">
        <w:rPr>
          <w:rFonts w:ascii="Arial" w:hAnsi="Arial" w:cs="Arial"/>
          <w:color w:val="000000"/>
          <w:sz w:val="20"/>
        </w:rPr>
        <w:t>.  In</w:t>
      </w:r>
      <w:r w:rsidR="005F285B">
        <w:rPr>
          <w:rFonts w:ascii="Arial" w:hAnsi="Arial" w:cs="Arial"/>
          <w:color w:val="000000"/>
          <w:sz w:val="20"/>
        </w:rPr>
        <w:t xml:space="preserve">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E13A05D" w:rsidR="00E47354" w:rsidRDefault="00E47354" w:rsidP="00E47354">
      <w:pPr>
        <w:jc w:val="both"/>
        <w:rPr>
          <w:rFonts w:ascii="Arial" w:hAnsi="Arial" w:cs="Arial"/>
          <w:color w:val="000000"/>
          <w:sz w:val="20"/>
        </w:rPr>
      </w:pPr>
    </w:p>
    <w:p w14:paraId="51FC16F4" w14:textId="28AB800C" w:rsidR="00065DFE" w:rsidRDefault="007B441D" w:rsidP="00E47354">
      <w:pPr>
        <w:jc w:val="both"/>
        <w:rPr>
          <w:rFonts w:ascii="Arial" w:hAnsi="Arial" w:cs="Arial"/>
          <w:color w:val="000000"/>
          <w:sz w:val="20"/>
        </w:rPr>
      </w:pPr>
      <w:r>
        <w:rPr>
          <w:rFonts w:ascii="Arial" w:hAnsi="Arial" w:cs="Arial"/>
          <w:color w:val="000000"/>
          <w:sz w:val="20"/>
        </w:rPr>
        <w:t xml:space="preserve">Documents obtained as a result of the compulsory processes of the court may only be used for the purposes for which they were disclosed and must not be used for a collateral or ulterior purpose without leave of the court.  This is the so-called </w:t>
      </w:r>
      <w:r w:rsidRPr="00DC3234">
        <w:rPr>
          <w:rFonts w:ascii="Arial" w:hAnsi="Arial" w:cs="Arial"/>
          <w:i/>
          <w:iCs/>
          <w:color w:val="000000"/>
          <w:sz w:val="20"/>
        </w:rPr>
        <w:t>Harman</w:t>
      </w:r>
      <w:r>
        <w:rPr>
          <w:rFonts w:ascii="Arial" w:hAnsi="Arial" w:cs="Arial"/>
          <w:color w:val="000000"/>
          <w:sz w:val="20"/>
        </w:rPr>
        <w:t xml:space="preserve"> undertaking, an implied undertaking whose name derives from </w:t>
      </w:r>
      <w:r w:rsidR="00065DFE">
        <w:rPr>
          <w:rFonts w:ascii="Arial" w:hAnsi="Arial" w:cs="Arial"/>
          <w:color w:val="000000"/>
          <w:sz w:val="20"/>
        </w:rPr>
        <w:t xml:space="preserve">the decision of the Court of Appeal in </w:t>
      </w:r>
      <w:r w:rsidR="00065DFE" w:rsidRPr="007B441D">
        <w:rPr>
          <w:rFonts w:ascii="Arial" w:hAnsi="Arial" w:cs="Arial"/>
          <w:i/>
          <w:iCs/>
          <w:color w:val="000000"/>
          <w:sz w:val="20"/>
        </w:rPr>
        <w:t xml:space="preserve">Harman v Secretary of State for </w:t>
      </w:r>
      <w:r>
        <w:rPr>
          <w:rFonts w:ascii="Arial" w:hAnsi="Arial" w:cs="Arial"/>
          <w:i/>
          <w:iCs/>
          <w:color w:val="000000"/>
          <w:sz w:val="20"/>
        </w:rPr>
        <w:t xml:space="preserve">the </w:t>
      </w:r>
      <w:r w:rsidR="00065DFE" w:rsidRPr="007B441D">
        <w:rPr>
          <w:rFonts w:ascii="Arial" w:hAnsi="Arial" w:cs="Arial"/>
          <w:i/>
          <w:iCs/>
          <w:color w:val="000000"/>
          <w:sz w:val="20"/>
        </w:rPr>
        <w:t>Home Department</w:t>
      </w:r>
      <w:r w:rsidR="00065DFE">
        <w:rPr>
          <w:rFonts w:ascii="Arial" w:hAnsi="Arial" w:cs="Arial"/>
          <w:color w:val="000000"/>
          <w:sz w:val="20"/>
        </w:rPr>
        <w:t xml:space="preserve"> [1983] 1 AC 280</w:t>
      </w:r>
      <w:r>
        <w:rPr>
          <w:rFonts w:ascii="Arial" w:hAnsi="Arial" w:cs="Arial"/>
          <w:color w:val="000000"/>
          <w:sz w:val="20"/>
        </w:rPr>
        <w:t xml:space="preserve">, and </w:t>
      </w:r>
      <w:r w:rsidR="0084573E">
        <w:rPr>
          <w:rFonts w:ascii="Arial" w:hAnsi="Arial" w:cs="Arial"/>
          <w:color w:val="000000"/>
          <w:sz w:val="20"/>
        </w:rPr>
        <w:t xml:space="preserve">which is </w:t>
      </w:r>
      <w:r>
        <w:rPr>
          <w:rFonts w:ascii="Arial" w:hAnsi="Arial" w:cs="Arial"/>
          <w:color w:val="000000"/>
          <w:sz w:val="20"/>
        </w:rPr>
        <w:t xml:space="preserve">now recognised in Australia </w:t>
      </w:r>
      <w:r w:rsidR="0084573E">
        <w:rPr>
          <w:rFonts w:ascii="Arial" w:hAnsi="Arial" w:cs="Arial"/>
          <w:color w:val="000000"/>
          <w:sz w:val="20"/>
        </w:rPr>
        <w:t xml:space="preserve">as a </w:t>
      </w:r>
      <w:r w:rsidR="0084573E" w:rsidRPr="0084573E">
        <w:rPr>
          <w:rFonts w:ascii="Arial" w:hAnsi="Arial" w:cs="Arial"/>
          <w:color w:val="000000"/>
          <w:sz w:val="20"/>
          <w:szCs w:val="20"/>
          <w:shd w:val="clear" w:color="auto" w:fill="FFFFFF"/>
        </w:rPr>
        <w:t>substantive legal obligation</w:t>
      </w:r>
      <w:r w:rsidR="0084573E">
        <w:rPr>
          <w:rFonts w:ascii="Arial" w:hAnsi="Arial" w:cs="Arial"/>
          <w:color w:val="000000"/>
          <w:sz w:val="20"/>
          <w:szCs w:val="20"/>
          <w:shd w:val="clear" w:color="auto" w:fill="FFFFFF"/>
        </w:rPr>
        <w:t>: see</w:t>
      </w:r>
      <w:r>
        <w:rPr>
          <w:rFonts w:ascii="Arial" w:hAnsi="Arial" w:cs="Arial"/>
          <w:color w:val="000000"/>
          <w:sz w:val="20"/>
        </w:rPr>
        <w:t xml:space="preserve"> </w:t>
      </w:r>
      <w:r w:rsidRPr="007B441D">
        <w:rPr>
          <w:rFonts w:ascii="Arial" w:hAnsi="Arial" w:cs="Arial"/>
          <w:i/>
          <w:iCs/>
          <w:color w:val="000000"/>
          <w:sz w:val="20"/>
        </w:rPr>
        <w:t>Hearne v Street</w:t>
      </w:r>
      <w:r>
        <w:rPr>
          <w:rFonts w:ascii="Arial" w:hAnsi="Arial" w:cs="Arial"/>
          <w:color w:val="000000"/>
          <w:sz w:val="20"/>
        </w:rPr>
        <w:t xml:space="preserve"> (2008) 235 CLR 125 at [</w:t>
      </w:r>
      <w:r w:rsidR="0084573E">
        <w:rPr>
          <w:rFonts w:ascii="Arial" w:hAnsi="Arial" w:cs="Arial"/>
          <w:color w:val="000000"/>
          <w:sz w:val="20"/>
        </w:rPr>
        <w:t>96</w:t>
      </w:r>
      <w:r>
        <w:rPr>
          <w:rFonts w:ascii="Arial" w:hAnsi="Arial" w:cs="Arial"/>
          <w:color w:val="000000"/>
          <w:sz w:val="20"/>
        </w:rPr>
        <w:t xml:space="preserve">] per </w:t>
      </w:r>
      <w:r w:rsidR="0084573E">
        <w:rPr>
          <w:rFonts w:ascii="Arial" w:hAnsi="Arial" w:cs="Arial"/>
          <w:color w:val="000000"/>
          <w:sz w:val="20"/>
        </w:rPr>
        <w:t xml:space="preserve">Hayne, </w:t>
      </w:r>
      <w:proofErr w:type="spellStart"/>
      <w:r w:rsidR="0084573E">
        <w:rPr>
          <w:rFonts w:ascii="Arial" w:hAnsi="Arial" w:cs="Arial"/>
          <w:color w:val="000000"/>
          <w:sz w:val="20"/>
        </w:rPr>
        <w:t>Heydon</w:t>
      </w:r>
      <w:proofErr w:type="spellEnd"/>
      <w:r w:rsidR="0084573E">
        <w:rPr>
          <w:rFonts w:ascii="Arial" w:hAnsi="Arial" w:cs="Arial"/>
          <w:color w:val="000000"/>
          <w:sz w:val="20"/>
        </w:rPr>
        <w:t xml:space="preserve"> &amp; </w:t>
      </w:r>
      <w:proofErr w:type="spellStart"/>
      <w:r w:rsidR="0084573E">
        <w:rPr>
          <w:rFonts w:ascii="Arial" w:hAnsi="Arial" w:cs="Arial"/>
          <w:color w:val="000000"/>
          <w:sz w:val="20"/>
        </w:rPr>
        <w:t>Crennan</w:t>
      </w:r>
      <w:proofErr w:type="spellEnd"/>
      <w:r w:rsidR="0084573E">
        <w:rPr>
          <w:rFonts w:ascii="Arial" w:hAnsi="Arial" w:cs="Arial"/>
          <w:color w:val="000000"/>
          <w:sz w:val="20"/>
        </w:rPr>
        <w:t xml:space="preserve"> JJ [citations omitted]:</w:t>
      </w:r>
    </w:p>
    <w:p w14:paraId="0A5ECA48" w14:textId="08463696" w:rsidR="00065DFE" w:rsidRPr="0084573E" w:rsidRDefault="0084573E" w:rsidP="00DC3234">
      <w:pPr>
        <w:spacing w:before="60"/>
        <w:ind w:left="454" w:right="454"/>
        <w:jc w:val="both"/>
        <w:rPr>
          <w:rFonts w:ascii="Arial" w:hAnsi="Arial" w:cs="Arial"/>
          <w:color w:val="000000"/>
          <w:spacing w:val="8"/>
          <w:sz w:val="20"/>
          <w:szCs w:val="20"/>
          <w:lang w:eastAsia="en-AU"/>
        </w:rPr>
      </w:pPr>
      <w:r>
        <w:rPr>
          <w:rFonts w:ascii="Arial" w:hAnsi="Arial" w:cs="Arial"/>
          <w:iCs/>
          <w:color w:val="000000"/>
          <w:sz w:val="20"/>
        </w:rPr>
        <w:t>“</w:t>
      </w:r>
      <w:r w:rsidRPr="0084573E">
        <w:rPr>
          <w:rFonts w:ascii="Arial" w:hAnsi="Arial" w:cs="Arial"/>
          <w:color w:val="000000"/>
          <w:sz w:val="20"/>
          <w:szCs w:val="20"/>
          <w:shd w:val="clear" w:color="auto" w:fill="FFFFFF"/>
        </w:rPr>
        <w:t>Where</w:t>
      </w:r>
      <w:r>
        <w:rPr>
          <w:rFonts w:ascii="Arial" w:hAnsi="Arial" w:cs="Arial"/>
          <w:color w:val="000000"/>
          <w:sz w:val="20"/>
          <w:szCs w:val="20"/>
          <w:shd w:val="clear" w:color="auto" w:fill="FFFFFF"/>
        </w:rPr>
        <w:t xml:space="preserve"> </w:t>
      </w:r>
      <w:r w:rsidRPr="0084573E">
        <w:rPr>
          <w:rFonts w:ascii="Arial" w:hAnsi="Arial" w:cs="Arial"/>
          <w:color w:val="000000" w:themeColor="text1"/>
          <w:sz w:val="20"/>
          <w:szCs w:val="20"/>
          <w:shd w:val="clear" w:color="auto" w:fill="FFFFFF"/>
        </w:rPr>
        <w:t>one party to litigation</w:t>
      </w:r>
      <w:r w:rsidRPr="0084573E">
        <w:rPr>
          <w:rFonts w:ascii="Arial" w:hAnsi="Arial" w:cs="Arial"/>
          <w:color w:val="000000"/>
          <w:sz w:val="20"/>
          <w:szCs w:val="20"/>
          <w:shd w:val="clear" w:color="auto" w:fill="FFFFFF"/>
        </w:rPr>
        <w:t xml:space="preserve"> is compelled, either by reason of a rule of court, or by reason of a specific order of the court, or otherwise, to disclose documents or information, the party obtaining the disclosure cannot, without the leave of the court, use it for any purpose other than that for which it was given unless it is received into evidence.</w:t>
      </w:r>
      <w:r>
        <w:rPr>
          <w:rFonts w:ascii="Arial" w:hAnsi="Arial" w:cs="Arial"/>
          <w:color w:val="000000"/>
          <w:sz w:val="20"/>
          <w:szCs w:val="20"/>
          <w:shd w:val="clear" w:color="auto" w:fill="FFFFFF"/>
        </w:rPr>
        <w:t xml:space="preserve"> </w:t>
      </w:r>
      <w:r w:rsidRPr="0084573E">
        <w:rPr>
          <w:rFonts w:ascii="Arial" w:hAnsi="Arial" w:cs="Arial"/>
          <w:color w:val="000000"/>
          <w:sz w:val="20"/>
          <w:szCs w:val="20"/>
          <w:shd w:val="clear" w:color="auto" w:fill="FFFFFF"/>
        </w:rPr>
        <w:t xml:space="preserve"> The types of material disclosed to which this principle applies include documents inspected after discovery, </w:t>
      </w:r>
      <w:r w:rsidRPr="0084573E">
        <w:rPr>
          <w:rFonts w:ascii="Arial" w:hAnsi="Arial" w:cs="Arial"/>
          <w:color w:val="000000"/>
          <w:sz w:val="20"/>
          <w:szCs w:val="20"/>
          <w:shd w:val="clear" w:color="auto" w:fill="FFFFFF"/>
        </w:rPr>
        <w:lastRenderedPageBreak/>
        <w:t>answers to interrogatories, documents produced on subpoena, documents produced for the purposes of taxation of costs</w:t>
      </w:r>
      <w:bookmarkStart w:id="770" w:name="_ftnref70"/>
      <w:r w:rsidRPr="0084573E">
        <w:rPr>
          <w:rFonts w:ascii="Arial" w:hAnsi="Arial" w:cs="Arial"/>
          <w:sz w:val="20"/>
          <w:szCs w:val="20"/>
        </w:rPr>
        <w:fldChar w:fldCharType="begin"/>
      </w:r>
      <w:r w:rsidRPr="0084573E">
        <w:rPr>
          <w:rFonts w:ascii="Arial" w:hAnsi="Arial" w:cs="Arial"/>
          <w:sz w:val="20"/>
          <w:szCs w:val="20"/>
        </w:rPr>
        <w:instrText xml:space="preserve"> HYPERLINK "https://jade.io/" \l "_ftn70" \o "" </w:instrText>
      </w:r>
      <w:r w:rsidRPr="0084573E">
        <w:rPr>
          <w:rFonts w:ascii="Arial" w:hAnsi="Arial" w:cs="Arial"/>
          <w:sz w:val="20"/>
          <w:szCs w:val="20"/>
        </w:rPr>
      </w:r>
      <w:r w:rsidR="00000000">
        <w:rPr>
          <w:rFonts w:ascii="Arial" w:hAnsi="Arial" w:cs="Arial"/>
          <w:sz w:val="20"/>
          <w:szCs w:val="20"/>
        </w:rPr>
        <w:fldChar w:fldCharType="separate"/>
      </w:r>
      <w:r w:rsidRPr="0084573E">
        <w:rPr>
          <w:rFonts w:ascii="Arial" w:hAnsi="Arial" w:cs="Arial"/>
          <w:sz w:val="20"/>
          <w:szCs w:val="20"/>
        </w:rPr>
        <w:fldChar w:fldCharType="end"/>
      </w:r>
      <w:bookmarkEnd w:id="770"/>
      <w:r w:rsidRPr="0084573E">
        <w:rPr>
          <w:rFonts w:ascii="Arial" w:hAnsi="Arial" w:cs="Arial"/>
          <w:color w:val="000000"/>
          <w:sz w:val="20"/>
          <w:szCs w:val="20"/>
          <w:shd w:val="clear" w:color="auto" w:fill="FFFFFF"/>
        </w:rPr>
        <w:t>, documents produced pursuant to a direction from an arbitrator, documents seized pursuant to an </w:t>
      </w:r>
      <w:r w:rsidRPr="0084573E">
        <w:rPr>
          <w:rFonts w:ascii="Arial" w:hAnsi="Arial" w:cs="Arial"/>
          <w:i/>
          <w:iCs/>
          <w:color w:val="000000"/>
          <w:sz w:val="20"/>
          <w:szCs w:val="20"/>
          <w:shd w:val="clear" w:color="auto" w:fill="FFFFFF"/>
        </w:rPr>
        <w:t xml:space="preserve">Anton </w:t>
      </w:r>
      <w:proofErr w:type="spellStart"/>
      <w:r w:rsidRPr="0084573E">
        <w:rPr>
          <w:rFonts w:ascii="Arial" w:hAnsi="Arial" w:cs="Arial"/>
          <w:i/>
          <w:iCs/>
          <w:color w:val="000000"/>
          <w:sz w:val="20"/>
          <w:szCs w:val="20"/>
          <w:shd w:val="clear" w:color="auto" w:fill="FFFFFF"/>
        </w:rPr>
        <w:t>Piller</w:t>
      </w:r>
      <w:proofErr w:type="spellEnd"/>
      <w:r w:rsidRPr="0084573E">
        <w:rPr>
          <w:rFonts w:ascii="Arial" w:hAnsi="Arial" w:cs="Arial"/>
          <w:color w:val="000000"/>
          <w:sz w:val="20"/>
          <w:szCs w:val="20"/>
          <w:shd w:val="clear" w:color="auto" w:fill="FFFFFF"/>
        </w:rPr>
        <w:t> order, witness statements served pursuant to a judicial direction</w:t>
      </w:r>
      <w:r>
        <w:rPr>
          <w:rFonts w:ascii="Arial" w:hAnsi="Arial" w:cs="Arial"/>
          <w:sz w:val="20"/>
          <w:szCs w:val="20"/>
        </w:rPr>
        <w:t xml:space="preserve"> </w:t>
      </w:r>
      <w:r w:rsidRPr="0084573E">
        <w:rPr>
          <w:rFonts w:ascii="Arial" w:hAnsi="Arial" w:cs="Arial"/>
          <w:color w:val="000000"/>
          <w:sz w:val="20"/>
          <w:szCs w:val="20"/>
          <w:shd w:val="clear" w:color="auto" w:fill="FFFFFF"/>
        </w:rPr>
        <w:t>and affidavits.</w:t>
      </w:r>
      <w:r>
        <w:rPr>
          <w:rFonts w:ascii="Arial" w:hAnsi="Arial" w:cs="Arial"/>
          <w:color w:val="000000"/>
          <w:sz w:val="20"/>
          <w:szCs w:val="20"/>
          <w:shd w:val="clear" w:color="auto" w:fill="FFFFFF"/>
        </w:rPr>
        <w:t>”</w:t>
      </w:r>
    </w:p>
    <w:p w14:paraId="4B20423B" w14:textId="2F17E45A" w:rsidR="00F5217A" w:rsidRDefault="000C2C50" w:rsidP="000C2C50">
      <w:pPr>
        <w:spacing w:before="60"/>
        <w:jc w:val="both"/>
        <w:rPr>
          <w:rFonts w:ascii="Arial" w:hAnsi="Arial" w:cs="Arial"/>
          <w:color w:val="000000"/>
          <w:sz w:val="20"/>
        </w:rPr>
      </w:pPr>
      <w:r>
        <w:rPr>
          <w:rFonts w:ascii="Arial" w:hAnsi="Arial" w:cs="Arial"/>
          <w:color w:val="000000"/>
          <w:sz w:val="20"/>
        </w:rPr>
        <w:t xml:space="preserve">See also </w:t>
      </w:r>
      <w:r w:rsidRPr="000C2C50">
        <w:rPr>
          <w:rFonts w:ascii="Arial" w:hAnsi="Arial" w:cs="Arial"/>
          <w:i/>
          <w:iCs/>
          <w:sz w:val="20"/>
          <w:szCs w:val="20"/>
        </w:rPr>
        <w:t>Williams v TT Line</w:t>
      </w:r>
      <w:r w:rsidRPr="000C2C50">
        <w:rPr>
          <w:rFonts w:ascii="Arial" w:hAnsi="Arial" w:cs="Arial"/>
          <w:sz w:val="20"/>
          <w:szCs w:val="20"/>
        </w:rPr>
        <w:t xml:space="preserve"> [2021] VSC 150 at [31]</w:t>
      </w:r>
      <w:r w:rsidR="007C27F8">
        <w:rPr>
          <w:rFonts w:ascii="Arial" w:hAnsi="Arial" w:cs="Arial"/>
          <w:sz w:val="20"/>
          <w:szCs w:val="20"/>
        </w:rPr>
        <w:t>-</w:t>
      </w:r>
      <w:r w:rsidRPr="000C2C50">
        <w:rPr>
          <w:rFonts w:ascii="Arial" w:hAnsi="Arial" w:cs="Arial"/>
          <w:sz w:val="20"/>
          <w:szCs w:val="20"/>
        </w:rPr>
        <w:t>[36] per Digby J;</w:t>
      </w:r>
      <w:r w:rsidRPr="000C2C50">
        <w:rPr>
          <w:sz w:val="20"/>
          <w:szCs w:val="20"/>
        </w:rPr>
        <w:t xml:space="preserve"> </w:t>
      </w:r>
      <w:r w:rsidRPr="000C2C50">
        <w:rPr>
          <w:rFonts w:ascii="Arial" w:hAnsi="Arial" w:cs="Arial"/>
          <w:i/>
          <w:iCs/>
          <w:sz w:val="20"/>
          <w:szCs w:val="20"/>
        </w:rPr>
        <w:t>Williams v TT-Line (No 2)</w:t>
      </w:r>
      <w:r w:rsidRPr="000C2C50">
        <w:rPr>
          <w:rFonts w:ascii="Arial" w:hAnsi="Arial" w:cs="Arial"/>
          <w:sz w:val="20"/>
          <w:szCs w:val="20"/>
        </w:rPr>
        <w:t xml:space="preserve"> [2022] VSC 413 at [18]-[24] per Connock J.</w:t>
      </w:r>
    </w:p>
    <w:p w14:paraId="22656369" w14:textId="26A37874" w:rsidR="0084573E" w:rsidRDefault="0084573E" w:rsidP="00E47354">
      <w:pPr>
        <w:jc w:val="both"/>
        <w:rPr>
          <w:rFonts w:ascii="Arial" w:hAnsi="Arial" w:cs="Arial"/>
          <w:color w:val="000000"/>
          <w:sz w:val="20"/>
        </w:rPr>
      </w:pPr>
    </w:p>
    <w:p w14:paraId="6850D4A7" w14:textId="7F67CC4A" w:rsidR="0084573E" w:rsidRDefault="000C2C50" w:rsidP="00E47354">
      <w:pPr>
        <w:jc w:val="both"/>
        <w:rPr>
          <w:rFonts w:ascii="Arial" w:hAnsi="Arial" w:cs="Arial"/>
          <w:color w:val="000000"/>
          <w:sz w:val="20"/>
        </w:rPr>
      </w:pPr>
      <w:r>
        <w:rPr>
          <w:rFonts w:ascii="Arial" w:hAnsi="Arial" w:cs="Arial"/>
          <w:color w:val="000000"/>
          <w:sz w:val="20"/>
        </w:rPr>
        <w:t xml:space="preserve">In </w:t>
      </w:r>
      <w:r w:rsidRPr="000C2C50">
        <w:rPr>
          <w:rFonts w:ascii="Arial" w:hAnsi="Arial" w:cs="Arial"/>
          <w:i/>
          <w:iCs/>
          <w:color w:val="000000"/>
          <w:sz w:val="20"/>
        </w:rPr>
        <w:t xml:space="preserve">Re Clarinda Pty Ltd (in </w:t>
      </w:r>
      <w:proofErr w:type="spellStart"/>
      <w:r w:rsidRPr="000C2C50">
        <w:rPr>
          <w:rFonts w:ascii="Arial" w:hAnsi="Arial" w:cs="Arial"/>
          <w:i/>
          <w:iCs/>
          <w:color w:val="000000"/>
          <w:sz w:val="20"/>
        </w:rPr>
        <w:t>liq</w:t>
      </w:r>
      <w:proofErr w:type="spellEnd"/>
      <w:r w:rsidRPr="000C2C50">
        <w:rPr>
          <w:rFonts w:ascii="Arial" w:hAnsi="Arial" w:cs="Arial"/>
          <w:i/>
          <w:iCs/>
          <w:color w:val="000000"/>
          <w:sz w:val="20"/>
        </w:rPr>
        <w:t>)</w:t>
      </w:r>
      <w:r>
        <w:rPr>
          <w:rFonts w:ascii="Arial" w:hAnsi="Arial" w:cs="Arial"/>
          <w:color w:val="000000"/>
          <w:sz w:val="20"/>
        </w:rPr>
        <w:t xml:space="preserve"> [2023] VSC 109 Connock J</w:t>
      </w:r>
      <w:r w:rsidR="007C27F8">
        <w:rPr>
          <w:rFonts w:ascii="Arial" w:hAnsi="Arial" w:cs="Arial"/>
          <w:color w:val="000000"/>
          <w:sz w:val="20"/>
        </w:rPr>
        <w:t>:</w:t>
      </w:r>
    </w:p>
    <w:p w14:paraId="559F98CC" w14:textId="53DCB199" w:rsidR="007C27F8" w:rsidRPr="00DC3234" w:rsidRDefault="00DC3234" w:rsidP="00E5537B">
      <w:pPr>
        <w:pStyle w:val="ListParagraph"/>
        <w:numPr>
          <w:ilvl w:val="0"/>
          <w:numId w:val="49"/>
        </w:numPr>
        <w:ind w:left="357" w:hanging="357"/>
        <w:jc w:val="both"/>
        <w:rPr>
          <w:rFonts w:ascii="Arial" w:hAnsi="Arial" w:cs="Arial"/>
          <w:sz w:val="20"/>
        </w:rPr>
      </w:pPr>
      <w:r w:rsidRPr="00DC3234">
        <w:rPr>
          <w:rFonts w:ascii="Arial" w:hAnsi="Arial" w:cs="Arial"/>
          <w:sz w:val="20"/>
        </w:rPr>
        <w:t>noted at [39]</w:t>
      </w:r>
      <w:r w:rsidR="007C27F8" w:rsidRPr="00DC3234">
        <w:rPr>
          <w:rFonts w:ascii="Arial" w:hAnsi="Arial" w:cs="Arial"/>
          <w:sz w:val="20"/>
        </w:rPr>
        <w:t xml:space="preserve"> that only the court can release a party from the implied [</w:t>
      </w:r>
      <w:r w:rsidR="007C27F8" w:rsidRPr="00DC3234">
        <w:rPr>
          <w:rFonts w:ascii="Arial" w:hAnsi="Arial" w:cs="Arial"/>
          <w:i/>
          <w:iCs/>
          <w:sz w:val="20"/>
        </w:rPr>
        <w:t>Harman</w:t>
      </w:r>
      <w:r w:rsidR="007C27F8" w:rsidRPr="00DC3234">
        <w:rPr>
          <w:rFonts w:ascii="Arial" w:hAnsi="Arial" w:cs="Arial"/>
          <w:sz w:val="20"/>
        </w:rPr>
        <w:t>] undertaking</w:t>
      </w:r>
      <w:r w:rsidRPr="00DC3234">
        <w:rPr>
          <w:rFonts w:ascii="Arial" w:hAnsi="Arial" w:cs="Arial"/>
          <w:sz w:val="20"/>
        </w:rPr>
        <w:t xml:space="preserve"> and that “the question of being released from the implied undertaking or statutory obligation is not a matter that can be addressed solely between the parties by consent or non-opposition”</w:t>
      </w:r>
      <w:r w:rsidR="007C27F8" w:rsidRPr="00DC3234">
        <w:rPr>
          <w:rFonts w:ascii="Arial" w:hAnsi="Arial" w:cs="Arial"/>
          <w:sz w:val="20"/>
        </w:rPr>
        <w:t>;</w:t>
      </w:r>
    </w:p>
    <w:p w14:paraId="5AA20A78" w14:textId="76FDF519" w:rsidR="007C27F8" w:rsidRPr="007C27F8" w:rsidRDefault="007C27F8" w:rsidP="00E5537B">
      <w:pPr>
        <w:pStyle w:val="ListParagraph"/>
        <w:numPr>
          <w:ilvl w:val="0"/>
          <w:numId w:val="49"/>
        </w:numPr>
        <w:ind w:left="357" w:hanging="357"/>
        <w:jc w:val="both"/>
        <w:rPr>
          <w:rFonts w:ascii="Arial" w:hAnsi="Arial" w:cs="Arial"/>
          <w:sz w:val="16"/>
          <w:szCs w:val="16"/>
        </w:rPr>
      </w:pPr>
      <w:r w:rsidRPr="00DC3234">
        <w:rPr>
          <w:rFonts w:ascii="Arial" w:hAnsi="Arial" w:cs="Arial"/>
          <w:sz w:val="20"/>
        </w:rPr>
        <w:t>referred at [20] to the</w:t>
      </w:r>
      <w:r w:rsidRPr="007C27F8">
        <w:rPr>
          <w:rFonts w:ascii="Arial" w:hAnsi="Arial" w:cs="Arial"/>
          <w:sz w:val="20"/>
        </w:rPr>
        <w:t xml:space="preserve"> following dicta of the Full Federal Court in </w:t>
      </w:r>
      <w:r w:rsidRPr="007C27F8">
        <w:rPr>
          <w:rFonts w:ascii="Arial" w:hAnsi="Arial" w:cs="Arial"/>
          <w:i/>
          <w:iCs/>
          <w:sz w:val="20"/>
        </w:rPr>
        <w:t>Liberty Funding Pty Ltd v Phoenix Capital Ltd</w:t>
      </w:r>
      <w:r w:rsidRPr="007C27F8">
        <w:rPr>
          <w:rFonts w:ascii="Arial" w:hAnsi="Arial" w:cs="Arial"/>
          <w:sz w:val="20"/>
        </w:rPr>
        <w:t xml:space="preserve"> (2005) 218 ALR 283 at [31]: “In order to be released from the implied undertaking it has been said that a party in the position of the appellants must show ‘special circumstances’: see </w:t>
      </w:r>
      <w:r w:rsidRPr="007C27F8">
        <w:rPr>
          <w:rFonts w:ascii="Arial" w:hAnsi="Arial" w:cs="Arial"/>
          <w:sz w:val="20"/>
          <w:szCs w:val="16"/>
        </w:rPr>
        <w:t xml:space="preserve">for example, </w:t>
      </w:r>
      <w:r w:rsidRPr="007C27F8">
        <w:rPr>
          <w:rFonts w:ascii="Arial" w:hAnsi="Arial" w:cs="Arial"/>
          <w:i/>
          <w:iCs/>
          <w:sz w:val="20"/>
          <w:szCs w:val="16"/>
        </w:rPr>
        <w:t xml:space="preserve">Springfield Nominees Pty Ltd v </w:t>
      </w:r>
      <w:proofErr w:type="spellStart"/>
      <w:r w:rsidRPr="007C27F8">
        <w:rPr>
          <w:rFonts w:ascii="Arial" w:hAnsi="Arial" w:cs="Arial"/>
          <w:i/>
          <w:iCs/>
          <w:sz w:val="20"/>
          <w:szCs w:val="16"/>
        </w:rPr>
        <w:t>Bridgelands</w:t>
      </w:r>
      <w:proofErr w:type="spellEnd"/>
      <w:r w:rsidRPr="007C27F8">
        <w:rPr>
          <w:rFonts w:ascii="Arial" w:hAnsi="Arial" w:cs="Arial"/>
          <w:i/>
          <w:iCs/>
          <w:sz w:val="20"/>
          <w:szCs w:val="16"/>
        </w:rPr>
        <w:t xml:space="preserve"> Securities Ltd</w:t>
      </w:r>
      <w:r w:rsidRPr="007C27F8">
        <w:rPr>
          <w:rFonts w:ascii="Arial" w:hAnsi="Arial" w:cs="Arial"/>
          <w:sz w:val="20"/>
          <w:szCs w:val="16"/>
        </w:rPr>
        <w:t xml:space="preserve"> (1992) 38 FCR 217</w:t>
      </w:r>
      <w:r w:rsidR="00DC3234">
        <w:rPr>
          <w:rFonts w:ascii="Arial" w:hAnsi="Arial" w:cs="Arial"/>
          <w:sz w:val="20"/>
          <w:szCs w:val="16"/>
        </w:rPr>
        <w:t>”</w:t>
      </w:r>
      <w:r w:rsidRPr="007C27F8">
        <w:rPr>
          <w:rFonts w:ascii="Arial" w:hAnsi="Arial" w:cs="Arial"/>
          <w:sz w:val="20"/>
          <w:szCs w:val="16"/>
        </w:rPr>
        <w:t>; and</w:t>
      </w:r>
    </w:p>
    <w:p w14:paraId="78A2E54C" w14:textId="542B9668" w:rsidR="007C27F8" w:rsidRDefault="007C27F8" w:rsidP="007C27F8">
      <w:pPr>
        <w:pStyle w:val="ListParagraph"/>
        <w:numPr>
          <w:ilvl w:val="0"/>
          <w:numId w:val="49"/>
        </w:numPr>
        <w:ind w:left="357" w:hanging="357"/>
        <w:jc w:val="both"/>
        <w:rPr>
          <w:rFonts w:ascii="Arial" w:hAnsi="Arial" w:cs="Arial"/>
          <w:sz w:val="20"/>
        </w:rPr>
      </w:pPr>
      <w:r w:rsidRPr="007C27F8">
        <w:rPr>
          <w:rFonts w:ascii="Arial" w:hAnsi="Arial" w:cs="Arial"/>
          <w:sz w:val="20"/>
        </w:rPr>
        <w:t xml:space="preserve">was satisfied at [29] that “there are special circumstances which afford good reason for releasing the plaintiffs and the defendants from their respective </w:t>
      </w:r>
      <w:r>
        <w:rPr>
          <w:rFonts w:ascii="Arial" w:hAnsi="Arial" w:cs="Arial"/>
          <w:sz w:val="20"/>
        </w:rPr>
        <w:t>[</w:t>
      </w:r>
      <w:r w:rsidRPr="007C27F8">
        <w:rPr>
          <w:rFonts w:ascii="Arial" w:hAnsi="Arial" w:cs="Arial"/>
          <w:i/>
          <w:iCs/>
          <w:sz w:val="20"/>
        </w:rPr>
        <w:t>Harman</w:t>
      </w:r>
      <w:r>
        <w:rPr>
          <w:rFonts w:ascii="Arial" w:hAnsi="Arial" w:cs="Arial"/>
          <w:sz w:val="20"/>
        </w:rPr>
        <w:t xml:space="preserve">] </w:t>
      </w:r>
      <w:r w:rsidRPr="007C27F8">
        <w:rPr>
          <w:rFonts w:ascii="Arial" w:hAnsi="Arial" w:cs="Arial"/>
          <w:sz w:val="20"/>
        </w:rPr>
        <w:t>obligations</w:t>
      </w:r>
      <w:r>
        <w:rPr>
          <w:rFonts w:ascii="Arial" w:hAnsi="Arial" w:cs="Arial"/>
          <w:sz w:val="20"/>
        </w:rPr>
        <w:t>”.</w:t>
      </w:r>
    </w:p>
    <w:p w14:paraId="759DA413" w14:textId="2F573270" w:rsidR="000C2C50" w:rsidRDefault="000C2C50" w:rsidP="00E47354">
      <w:pPr>
        <w:jc w:val="both"/>
        <w:rPr>
          <w:rFonts w:ascii="Arial" w:hAnsi="Arial" w:cs="Arial"/>
          <w:color w:val="000000"/>
          <w:sz w:val="20"/>
        </w:rPr>
      </w:pPr>
    </w:p>
    <w:p w14:paraId="491C587E" w14:textId="4A986BD5" w:rsidR="00E47354" w:rsidRPr="009F25D4" w:rsidRDefault="00E47354" w:rsidP="00E47354">
      <w:pPr>
        <w:pStyle w:val="Heading3"/>
        <w:keepNext/>
        <w:spacing w:line="240" w:lineRule="auto"/>
        <w:rPr>
          <w:rFonts w:ascii="Arial" w:hAnsi="Arial" w:cs="Arial"/>
          <w:b/>
          <w:bCs/>
          <w:color w:val="000000"/>
          <w:sz w:val="20"/>
        </w:rPr>
      </w:pPr>
      <w:bookmarkStart w:id="771" w:name="_3.5.9.1__Production"/>
      <w:bookmarkEnd w:id="771"/>
      <w:r w:rsidRPr="009F25D4">
        <w:rPr>
          <w:rFonts w:ascii="Arial" w:hAnsi="Arial" w:cs="Arial"/>
          <w:b/>
          <w:bCs/>
          <w:color w:val="000000"/>
          <w:sz w:val="20"/>
        </w:rPr>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Moffat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A13B31">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0098A6EC" w:rsidR="0057380D" w:rsidRDefault="0057380D" w:rsidP="0057380D">
      <w:pPr>
        <w:jc w:val="both"/>
        <w:rPr>
          <w:rFonts w:ascii="Arial" w:hAnsi="Arial" w:cs="Arial"/>
          <w:color w:val="000000"/>
          <w:sz w:val="20"/>
        </w:rPr>
      </w:pPr>
    </w:p>
    <w:p w14:paraId="7B486C05" w14:textId="574D6025" w:rsidR="001703F5" w:rsidRDefault="001703F5" w:rsidP="0057380D">
      <w:pPr>
        <w:jc w:val="both"/>
        <w:rPr>
          <w:rFonts w:ascii="Arial" w:hAnsi="Arial" w:cs="Arial"/>
          <w:color w:val="000000"/>
          <w:sz w:val="20"/>
        </w:rPr>
      </w:pPr>
      <w:r>
        <w:rPr>
          <w:rFonts w:ascii="Arial" w:hAnsi="Arial" w:cs="Arial"/>
          <w:color w:val="000000"/>
          <w:sz w:val="20"/>
        </w:rPr>
        <w:t xml:space="preserve">On the issue of “a legitimate forensic purpose”, in </w:t>
      </w:r>
      <w:r w:rsidRPr="001703F5">
        <w:rPr>
          <w:rFonts w:ascii="Arial" w:hAnsi="Arial" w:cs="Arial"/>
          <w:i/>
          <w:iCs/>
          <w:color w:val="000000"/>
          <w:sz w:val="20"/>
        </w:rPr>
        <w:t>Smith v Trustees of the Christian Brothers</w:t>
      </w:r>
      <w:r>
        <w:rPr>
          <w:rFonts w:ascii="Arial" w:hAnsi="Arial" w:cs="Arial"/>
          <w:color w:val="000000"/>
          <w:sz w:val="20"/>
        </w:rPr>
        <w:t xml:space="preserve"> [2023] VSC 171 John Dixon J said at [13]-[14]:</w:t>
      </w:r>
    </w:p>
    <w:p w14:paraId="147575D3" w14:textId="77777777" w:rsidR="00C5494A" w:rsidRDefault="00C5494A" w:rsidP="001703F5">
      <w:pPr>
        <w:spacing w:before="60"/>
        <w:ind w:left="454" w:right="454"/>
        <w:jc w:val="both"/>
        <w:rPr>
          <w:rFonts w:ascii="Arial" w:hAnsi="Arial" w:cs="Arial"/>
          <w:sz w:val="20"/>
          <w:szCs w:val="20"/>
        </w:rPr>
      </w:pPr>
      <w:r>
        <w:rPr>
          <w:rFonts w:ascii="Arial" w:hAnsi="Arial" w:cs="Arial"/>
          <w:iCs/>
          <w:color w:val="000000"/>
          <w:sz w:val="20"/>
        </w:rPr>
        <w:t>[13] “</w:t>
      </w:r>
      <w:r w:rsidRPr="00C5494A">
        <w:rPr>
          <w:rFonts w:ascii="Arial" w:hAnsi="Arial" w:cs="Arial"/>
          <w:sz w:val="20"/>
          <w:szCs w:val="20"/>
        </w:rPr>
        <w:t>Where a subpoenaed party applies to set aside a subpoena, the issuing party must satisfy a two-part test. It must:</w:t>
      </w:r>
    </w:p>
    <w:p w14:paraId="2F5CEA31" w14:textId="4054E80D" w:rsidR="00C5494A" w:rsidRDefault="00C5494A" w:rsidP="00C5494A">
      <w:pPr>
        <w:spacing w:before="60"/>
        <w:ind w:left="811" w:right="454" w:hanging="357"/>
        <w:jc w:val="both"/>
        <w:rPr>
          <w:rFonts w:ascii="Arial" w:hAnsi="Arial" w:cs="Arial"/>
          <w:sz w:val="20"/>
          <w:szCs w:val="20"/>
        </w:rPr>
      </w:pPr>
      <w:r w:rsidRPr="00C5494A">
        <w:rPr>
          <w:rFonts w:ascii="Arial" w:hAnsi="Arial" w:cs="Arial"/>
          <w:sz w:val="20"/>
          <w:szCs w:val="20"/>
        </w:rPr>
        <w:lastRenderedPageBreak/>
        <w:t>(a)</w:t>
      </w:r>
      <w:r>
        <w:rPr>
          <w:rFonts w:ascii="Arial" w:hAnsi="Arial" w:cs="Arial"/>
          <w:sz w:val="20"/>
          <w:szCs w:val="20"/>
        </w:rPr>
        <w:tab/>
      </w:r>
      <w:r w:rsidRPr="00C5494A">
        <w:rPr>
          <w:rFonts w:ascii="Arial" w:hAnsi="Arial" w:cs="Arial"/>
          <w:sz w:val="20"/>
          <w:szCs w:val="20"/>
        </w:rPr>
        <w:t>identify precisely a legitimate forensic purpose for categories of documents sought pursuant to the subpoena, bearing in mind that both the production of documents or the absence of produced documents may assist a forensic purpose; and</w:t>
      </w:r>
    </w:p>
    <w:p w14:paraId="2A98F9BC" w14:textId="15C1AECA" w:rsidR="001703F5" w:rsidRDefault="00C5494A" w:rsidP="00C5494A">
      <w:pPr>
        <w:spacing w:before="60"/>
        <w:ind w:left="811" w:right="454" w:hanging="357"/>
        <w:jc w:val="both"/>
        <w:rPr>
          <w:rFonts w:ascii="Arial" w:hAnsi="Arial" w:cs="Arial"/>
          <w:sz w:val="20"/>
          <w:szCs w:val="20"/>
        </w:rPr>
      </w:pPr>
      <w:r w:rsidRPr="00C5494A">
        <w:rPr>
          <w:rFonts w:ascii="Arial" w:hAnsi="Arial" w:cs="Arial"/>
          <w:sz w:val="20"/>
          <w:szCs w:val="20"/>
        </w:rPr>
        <w:t>(b)</w:t>
      </w:r>
      <w:r>
        <w:rPr>
          <w:rFonts w:ascii="Arial" w:hAnsi="Arial" w:cs="Arial"/>
          <w:sz w:val="20"/>
          <w:szCs w:val="20"/>
        </w:rPr>
        <w:tab/>
      </w:r>
      <w:r w:rsidRPr="00C5494A">
        <w:rPr>
          <w:rFonts w:ascii="Arial" w:hAnsi="Arial" w:cs="Arial"/>
          <w:sz w:val="20"/>
          <w:szCs w:val="20"/>
        </w:rPr>
        <w:t>demonstrate that it is ‘on the cards’, or that there is a ‘reasonable possibility’, that the documents will ‘materially assist’ the issuing party’s case.</w:t>
      </w:r>
    </w:p>
    <w:p w14:paraId="425B31EE" w14:textId="668D17FE" w:rsidR="00C5494A" w:rsidRPr="00C5494A" w:rsidRDefault="00C5494A" w:rsidP="00C5494A">
      <w:pPr>
        <w:spacing w:before="120"/>
        <w:ind w:left="454" w:right="454"/>
        <w:jc w:val="both"/>
        <w:rPr>
          <w:rFonts w:ascii="Arial" w:hAnsi="Arial" w:cs="Arial"/>
          <w:iCs/>
          <w:color w:val="000000"/>
          <w:sz w:val="20"/>
          <w:szCs w:val="20"/>
        </w:rPr>
      </w:pPr>
      <w:r>
        <w:rPr>
          <w:rFonts w:ascii="Arial" w:hAnsi="Arial" w:cs="Arial"/>
          <w:sz w:val="20"/>
          <w:szCs w:val="20"/>
        </w:rPr>
        <w:t xml:space="preserve">[14] </w:t>
      </w:r>
      <w:r w:rsidRPr="00C5494A">
        <w:rPr>
          <w:rFonts w:ascii="Arial" w:hAnsi="Arial" w:cs="Arial"/>
          <w:sz w:val="20"/>
          <w:szCs w:val="20"/>
        </w:rPr>
        <w:t xml:space="preserve">The primary judge applied the summary of principles identified by </w:t>
      </w:r>
      <w:proofErr w:type="spellStart"/>
      <w:r w:rsidRPr="00C5494A">
        <w:rPr>
          <w:rFonts w:ascii="Arial" w:hAnsi="Arial" w:cs="Arial"/>
          <w:sz w:val="20"/>
          <w:szCs w:val="20"/>
        </w:rPr>
        <w:t>Derham</w:t>
      </w:r>
      <w:proofErr w:type="spellEnd"/>
      <w:r w:rsidRPr="00C5494A">
        <w:rPr>
          <w:rFonts w:ascii="Arial" w:hAnsi="Arial" w:cs="Arial"/>
          <w:sz w:val="20"/>
          <w:szCs w:val="20"/>
        </w:rPr>
        <w:t xml:space="preserve"> </w:t>
      </w:r>
      <w:proofErr w:type="spellStart"/>
      <w:r w:rsidRPr="00C5494A">
        <w:rPr>
          <w:rFonts w:ascii="Arial" w:hAnsi="Arial" w:cs="Arial"/>
          <w:sz w:val="20"/>
          <w:szCs w:val="20"/>
        </w:rPr>
        <w:t>AsJ</w:t>
      </w:r>
      <w:proofErr w:type="spellEnd"/>
      <w:r w:rsidRPr="00C5494A">
        <w:rPr>
          <w:rFonts w:ascii="Arial" w:hAnsi="Arial" w:cs="Arial"/>
          <w:sz w:val="20"/>
          <w:szCs w:val="20"/>
        </w:rPr>
        <w:t xml:space="preserve"> in </w:t>
      </w:r>
      <w:r w:rsidRPr="00C5494A">
        <w:rPr>
          <w:rFonts w:ascii="Arial" w:hAnsi="Arial" w:cs="Arial"/>
          <w:i/>
          <w:iCs/>
          <w:sz w:val="20"/>
          <w:szCs w:val="20"/>
        </w:rPr>
        <w:t>ACN 096 450 770 (</w:t>
      </w:r>
      <w:proofErr w:type="spellStart"/>
      <w:r w:rsidRPr="00C5494A">
        <w:rPr>
          <w:rFonts w:ascii="Arial" w:hAnsi="Arial" w:cs="Arial"/>
          <w:i/>
          <w:iCs/>
          <w:sz w:val="20"/>
          <w:szCs w:val="20"/>
        </w:rPr>
        <w:t>fka</w:t>
      </w:r>
      <w:proofErr w:type="spellEnd"/>
      <w:r w:rsidRPr="00C5494A">
        <w:rPr>
          <w:rFonts w:ascii="Arial" w:hAnsi="Arial" w:cs="Arial"/>
          <w:i/>
          <w:iCs/>
          <w:sz w:val="20"/>
          <w:szCs w:val="20"/>
        </w:rPr>
        <w:t xml:space="preserve"> AJH Lawyers Pty Ltd) v Mathieson Nominees</w:t>
      </w:r>
      <w:r w:rsidRPr="00C5494A">
        <w:rPr>
          <w:rFonts w:ascii="Arial" w:hAnsi="Arial" w:cs="Arial"/>
          <w:sz w:val="20"/>
          <w:szCs w:val="20"/>
        </w:rPr>
        <w:t xml:space="preserve"> [2017] VSC 559</w:t>
      </w:r>
      <w:r>
        <w:rPr>
          <w:rFonts w:ascii="Arial" w:hAnsi="Arial" w:cs="Arial"/>
          <w:sz w:val="20"/>
          <w:szCs w:val="20"/>
        </w:rPr>
        <w:t>,</w:t>
      </w:r>
      <w:r w:rsidRPr="00C5494A">
        <w:rPr>
          <w:rFonts w:ascii="Arial" w:hAnsi="Arial" w:cs="Arial"/>
          <w:sz w:val="20"/>
          <w:szCs w:val="20"/>
        </w:rPr>
        <w:t xml:space="preserve"> following his Honour’s review of the cases, and neither party submitted that it was inappropriate for the primary judge to do so. There was no dispute before me as to the principles governing the application. </w:t>
      </w:r>
      <w:r>
        <w:rPr>
          <w:rFonts w:ascii="Arial" w:hAnsi="Arial" w:cs="Arial"/>
          <w:sz w:val="20"/>
          <w:szCs w:val="20"/>
        </w:rPr>
        <w:t xml:space="preserve"> </w:t>
      </w:r>
      <w:r w:rsidRPr="00C5494A">
        <w:rPr>
          <w:rFonts w:ascii="Arial" w:hAnsi="Arial" w:cs="Arial"/>
          <w:sz w:val="20"/>
          <w:szCs w:val="20"/>
        </w:rPr>
        <w:t xml:space="preserve">In </w:t>
      </w:r>
      <w:r w:rsidRPr="00C5494A">
        <w:rPr>
          <w:rFonts w:ascii="Arial" w:hAnsi="Arial" w:cs="Arial"/>
          <w:i/>
          <w:iCs/>
          <w:sz w:val="20"/>
          <w:szCs w:val="20"/>
        </w:rPr>
        <w:t>Mathieson</w:t>
      </w:r>
      <w:r w:rsidRPr="00C5494A">
        <w:rPr>
          <w:rFonts w:ascii="Arial" w:hAnsi="Arial" w:cs="Arial"/>
          <w:sz w:val="20"/>
          <w:szCs w:val="20"/>
        </w:rPr>
        <w:t>, the court said</w:t>
      </w:r>
      <w:r w:rsidR="005E2285">
        <w:rPr>
          <w:rFonts w:ascii="Arial" w:hAnsi="Arial" w:cs="Arial"/>
          <w:sz w:val="20"/>
          <w:szCs w:val="20"/>
        </w:rPr>
        <w:t xml:space="preserve"> at [20] (citations omitted)</w:t>
      </w:r>
      <w:r w:rsidRPr="00C5494A">
        <w:rPr>
          <w:rFonts w:ascii="Arial" w:hAnsi="Arial" w:cs="Arial"/>
          <w:sz w:val="20"/>
          <w:szCs w:val="20"/>
        </w:rPr>
        <w:t>:</w:t>
      </w:r>
    </w:p>
    <w:p w14:paraId="1491D764" w14:textId="54B6F378"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(a)</w:t>
      </w:r>
      <w:r w:rsidRPr="005E2285">
        <w:rPr>
          <w:rFonts w:ascii="Arial" w:hAnsi="Arial" w:cs="Arial"/>
          <w:sz w:val="16"/>
          <w:szCs w:val="16"/>
        </w:rPr>
        <w:tab/>
        <w:t>it is necessary for the party at whose request the subpoena was issued to identify expressly and precisely the legitimate forensic purpose for which access to the documents is sought;</w:t>
      </w:r>
    </w:p>
    <w:p w14:paraId="09A71372" w14:textId="119645D4"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(b)</w:t>
      </w:r>
      <w:r w:rsidRPr="005E2285">
        <w:rPr>
          <w:rFonts w:ascii="Arial" w:hAnsi="Arial" w:cs="Arial"/>
          <w:sz w:val="16"/>
          <w:szCs w:val="16"/>
        </w:rPr>
        <w:tab/>
        <w:t>except in cases where the subpoena is plainly too broad or merits the description of a fishing expedition, the judge should normally inspect the documents for the purpose of making a final decision as to whether a legitimate forensic purpose exists;</w:t>
      </w:r>
    </w:p>
    <w:p w14:paraId="4D0198A0" w14:textId="3512862E"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(c)</w:t>
      </w:r>
      <w:r w:rsidRPr="005E2285">
        <w:rPr>
          <w:rFonts w:ascii="Arial" w:hAnsi="Arial" w:cs="Arial"/>
          <w:sz w:val="16"/>
          <w:szCs w:val="16"/>
        </w:rPr>
        <w:tab/>
        <w:t>however, the Court will not require production of subpoenaed documents, and will not permit access to subpoenaed documents, if the subpoena is expressed so broadly that the applicant cannot demonstrate, having identified a forensic purpose, that it is ‘on the cards’ or that there is a ‘reasonable possibility’ that the documents will materially assist the case of the party;</w:t>
      </w:r>
    </w:p>
    <w:p w14:paraId="22B26B81" w14:textId="6193AACA"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(d)</w:t>
      </w:r>
      <w:r w:rsidRPr="005E2285">
        <w:rPr>
          <w:rFonts w:ascii="Arial" w:hAnsi="Arial" w:cs="Arial"/>
          <w:sz w:val="16"/>
          <w:szCs w:val="16"/>
        </w:rPr>
        <w:tab/>
        <w:t>a ‘fishing expedition’ is not a legitimate forensic purpose and will not be permitted;</w:t>
      </w:r>
    </w:p>
    <w:p w14:paraId="790C021D" w14:textId="62EF1723"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(e)</w:t>
      </w:r>
      <w:r w:rsidRPr="005E2285">
        <w:rPr>
          <w:rFonts w:ascii="Arial" w:hAnsi="Arial" w:cs="Arial"/>
          <w:sz w:val="16"/>
          <w:szCs w:val="16"/>
        </w:rPr>
        <w:tab/>
        <w:t>the relevance of a document to the proceeding alone will not substantiate an assertion of legitimate forensic purpose. There is no legitimate forensic purpose if the party is seeking to obtain documents to see whether they may be of relevance or of assistance in his or her case;</w:t>
      </w:r>
    </w:p>
    <w:p w14:paraId="095775BB" w14:textId="7017BB1B"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(f)</w:t>
      </w:r>
      <w:r w:rsidRPr="005E2285">
        <w:rPr>
          <w:rFonts w:ascii="Arial" w:hAnsi="Arial" w:cs="Arial"/>
          <w:sz w:val="16"/>
          <w:szCs w:val="16"/>
        </w:rPr>
        <w:tab/>
        <w:t>a mere assertion of bad faith by an applicant or that something might be found demonstrating bad faith is not enough – the criteria set out in (c) must be satisfied; and</w:t>
      </w:r>
    </w:p>
    <w:p w14:paraId="5971E91A" w14:textId="0B6688DF" w:rsidR="00C5494A" w:rsidRPr="005E2285" w:rsidRDefault="00C5494A" w:rsidP="00C5494A">
      <w:pPr>
        <w:spacing w:before="60"/>
        <w:ind w:left="811" w:right="454" w:hanging="357"/>
        <w:jc w:val="both"/>
        <w:rPr>
          <w:rFonts w:ascii="Arial" w:hAnsi="Arial" w:cs="Arial"/>
          <w:sz w:val="16"/>
          <w:szCs w:val="16"/>
        </w:rPr>
      </w:pPr>
      <w:r w:rsidRPr="005E2285">
        <w:rPr>
          <w:rFonts w:ascii="Arial" w:hAnsi="Arial" w:cs="Arial"/>
          <w:sz w:val="16"/>
          <w:szCs w:val="16"/>
        </w:rPr>
        <w:t>(g)</w:t>
      </w:r>
      <w:r w:rsidRPr="005E2285">
        <w:rPr>
          <w:rFonts w:ascii="Arial" w:hAnsi="Arial" w:cs="Arial"/>
          <w:sz w:val="16"/>
          <w:szCs w:val="16"/>
        </w:rPr>
        <w:tab/>
      </w:r>
      <w:r w:rsidR="005E2285" w:rsidRPr="005E2285">
        <w:rPr>
          <w:rFonts w:ascii="Arial" w:hAnsi="Arial" w:cs="Arial"/>
          <w:sz w:val="16"/>
          <w:szCs w:val="16"/>
        </w:rPr>
        <w:t>where a party fails to demonstrate a legitimate forensic purpose, the Court should refuse access to the documents and set aside the subpoena.”</w:t>
      </w:r>
    </w:p>
    <w:p w14:paraId="2B1A57A2" w14:textId="2756F425" w:rsidR="001703F5" w:rsidRDefault="001703F5" w:rsidP="0057380D">
      <w:pPr>
        <w:jc w:val="both"/>
        <w:rPr>
          <w:rFonts w:ascii="Arial" w:hAnsi="Arial" w:cs="Arial"/>
          <w:color w:val="000000"/>
          <w:sz w:val="20"/>
        </w:rPr>
      </w:pPr>
    </w:p>
    <w:p w14:paraId="4DE0FE0B" w14:textId="66AED3C4" w:rsidR="00516711" w:rsidRDefault="00516711" w:rsidP="0057380D">
      <w:pPr>
        <w:jc w:val="both"/>
        <w:rPr>
          <w:rFonts w:ascii="Arial" w:hAnsi="Arial" w:cs="Arial"/>
          <w:color w:val="000000"/>
          <w:sz w:val="20"/>
        </w:rPr>
      </w:pPr>
      <w:r>
        <w:rPr>
          <w:rFonts w:ascii="Arial" w:hAnsi="Arial" w:cs="Arial"/>
          <w:color w:val="000000"/>
          <w:sz w:val="20"/>
        </w:rPr>
        <w:t xml:space="preserve">In relation to the obligation on the party seeking the issue of a subpoena to show “a legitimate forensic purpose” see also </w:t>
      </w:r>
      <w:r w:rsidRPr="00516711">
        <w:rPr>
          <w:rFonts w:ascii="Arial" w:hAnsi="Arial" w:cs="Arial"/>
          <w:i/>
          <w:iCs/>
          <w:sz w:val="20"/>
          <w:szCs w:val="20"/>
        </w:rPr>
        <w:t>Cargill Australia Ltd v Viterra Malt Pty Ltd (No 19)</w:t>
      </w:r>
      <w:r w:rsidRPr="00516711">
        <w:rPr>
          <w:rFonts w:ascii="Arial" w:hAnsi="Arial" w:cs="Arial"/>
          <w:sz w:val="20"/>
          <w:szCs w:val="20"/>
        </w:rPr>
        <w:t xml:space="preserve"> [2018] VSC 144, [27], citing </w:t>
      </w:r>
      <w:r w:rsidRPr="00516711">
        <w:rPr>
          <w:rFonts w:ascii="Arial" w:hAnsi="Arial" w:cs="Arial"/>
          <w:i/>
          <w:iCs/>
          <w:sz w:val="20"/>
          <w:szCs w:val="20"/>
        </w:rPr>
        <w:t xml:space="preserve">R v </w:t>
      </w:r>
      <w:proofErr w:type="spellStart"/>
      <w:r w:rsidRPr="00516711">
        <w:rPr>
          <w:rFonts w:ascii="Arial" w:hAnsi="Arial" w:cs="Arial"/>
          <w:i/>
          <w:iCs/>
          <w:sz w:val="20"/>
          <w:szCs w:val="20"/>
        </w:rPr>
        <w:t>Saleam</w:t>
      </w:r>
      <w:proofErr w:type="spellEnd"/>
      <w:r w:rsidRPr="00516711">
        <w:rPr>
          <w:rFonts w:ascii="Arial" w:hAnsi="Arial" w:cs="Arial"/>
          <w:sz w:val="20"/>
          <w:szCs w:val="20"/>
        </w:rPr>
        <w:t xml:space="preserve"> (1989) 16 NSWLR 14, 18C</w:t>
      </w:r>
      <w:r>
        <w:rPr>
          <w:rFonts w:ascii="Arial" w:hAnsi="Arial" w:cs="Arial"/>
          <w:sz w:val="20"/>
          <w:szCs w:val="20"/>
        </w:rPr>
        <w:t xml:space="preserve">; </w:t>
      </w:r>
      <w:r w:rsidRPr="00516711">
        <w:rPr>
          <w:rFonts w:ascii="Arial" w:hAnsi="Arial" w:cs="Arial"/>
          <w:i/>
          <w:iCs/>
          <w:sz w:val="20"/>
          <w:szCs w:val="20"/>
        </w:rPr>
        <w:t>Ryan v The Diocese of Wagga Wagga (Subpoena and discovery ruling)</w:t>
      </w:r>
      <w:r w:rsidRPr="00516711">
        <w:rPr>
          <w:rFonts w:ascii="Arial" w:hAnsi="Arial" w:cs="Arial"/>
          <w:sz w:val="20"/>
          <w:szCs w:val="20"/>
        </w:rPr>
        <w:t xml:space="preserve"> [2023] VSC 607 at [18]-[19].</w:t>
      </w:r>
    </w:p>
    <w:p w14:paraId="05C38A6E" w14:textId="77777777" w:rsidR="00516711" w:rsidRDefault="00516711" w:rsidP="0057380D">
      <w:pPr>
        <w:jc w:val="both"/>
        <w:rPr>
          <w:rFonts w:ascii="Arial" w:hAnsi="Arial" w:cs="Arial"/>
          <w:color w:val="000000"/>
          <w:sz w:val="20"/>
        </w:rPr>
      </w:pPr>
    </w:p>
    <w:p w14:paraId="74993223" w14:textId="0DE14F9D" w:rsidR="00950258" w:rsidRPr="004C09F7" w:rsidRDefault="00875597" w:rsidP="00950258">
      <w:pPr>
        <w:jc w:val="both"/>
        <w:rPr>
          <w:rFonts w:ascii="Arial" w:hAnsi="Arial" w:cs="Arial"/>
          <w:color w:val="000000"/>
          <w:sz w:val="16"/>
          <w:szCs w:val="20"/>
        </w:rPr>
      </w:pPr>
      <w:r w:rsidRPr="004C09F7">
        <w:rPr>
          <w:rFonts w:ascii="Arial" w:hAnsi="Arial" w:cs="Arial"/>
          <w:color w:val="000000"/>
          <w:sz w:val="20"/>
        </w:rPr>
        <w:t xml:space="preserve">Although the case of </w:t>
      </w:r>
      <w:r w:rsidRPr="004C09F7">
        <w:rPr>
          <w:rFonts w:ascii="Arial" w:hAnsi="Arial" w:cs="Arial"/>
          <w:i/>
          <w:iCs/>
          <w:color w:val="000000"/>
          <w:sz w:val="20"/>
        </w:rPr>
        <w:t>Monash University v EBT</w:t>
      </w:r>
      <w:r w:rsidRPr="004C09F7">
        <w:rPr>
          <w:rFonts w:ascii="Arial" w:hAnsi="Arial" w:cs="Arial"/>
          <w:color w:val="000000"/>
          <w:sz w:val="20"/>
        </w:rPr>
        <w:t xml:space="preserve"> [2022] VSC 651 involved how electronically stored documents are to be dealt with for freedom of information</w:t>
      </w:r>
      <w:r w:rsidR="00AC611C" w:rsidRPr="004C09F7">
        <w:rPr>
          <w:rFonts w:ascii="Arial" w:hAnsi="Arial" w:cs="Arial"/>
          <w:color w:val="000000"/>
          <w:sz w:val="20"/>
        </w:rPr>
        <w:t xml:space="preserve"> </w:t>
      </w:r>
      <w:r w:rsidRPr="004C09F7">
        <w:rPr>
          <w:rFonts w:ascii="Arial" w:hAnsi="Arial" w:cs="Arial"/>
          <w:color w:val="000000"/>
          <w:sz w:val="20"/>
        </w:rPr>
        <w:t>purposes in Victoria</w:t>
      </w:r>
      <w:r w:rsidR="00AC611C" w:rsidRPr="004C09F7">
        <w:rPr>
          <w:rFonts w:ascii="Arial" w:hAnsi="Arial" w:cs="Arial"/>
          <w:color w:val="000000"/>
          <w:sz w:val="20"/>
        </w:rPr>
        <w:t xml:space="preserve">, </w:t>
      </w:r>
      <w:r w:rsidRPr="004C09F7">
        <w:rPr>
          <w:rFonts w:ascii="Arial" w:hAnsi="Arial" w:cs="Arial"/>
          <w:color w:val="000000"/>
          <w:sz w:val="20"/>
        </w:rPr>
        <w:t xml:space="preserve">the analysis of </w:t>
      </w:r>
      <w:proofErr w:type="spellStart"/>
      <w:r w:rsidRPr="004C09F7">
        <w:rPr>
          <w:rFonts w:ascii="Arial" w:hAnsi="Arial" w:cs="Arial"/>
          <w:color w:val="000000"/>
          <w:sz w:val="20"/>
        </w:rPr>
        <w:t>Cav</w:t>
      </w:r>
      <w:r w:rsidR="00FF256F">
        <w:rPr>
          <w:rFonts w:ascii="Arial" w:hAnsi="Arial" w:cs="Arial"/>
          <w:color w:val="000000"/>
          <w:sz w:val="20"/>
        </w:rPr>
        <w:t>a</w:t>
      </w:r>
      <w:r w:rsidRPr="004C09F7">
        <w:rPr>
          <w:rFonts w:ascii="Arial" w:hAnsi="Arial" w:cs="Arial"/>
          <w:color w:val="000000"/>
          <w:sz w:val="20"/>
        </w:rPr>
        <w:t>nough</w:t>
      </w:r>
      <w:proofErr w:type="spellEnd"/>
      <w:r w:rsidR="00AC611C" w:rsidRPr="004C09F7">
        <w:rPr>
          <w:rFonts w:ascii="Arial" w:hAnsi="Arial" w:cs="Arial"/>
          <w:color w:val="000000"/>
          <w:sz w:val="20"/>
        </w:rPr>
        <w:t> </w:t>
      </w:r>
      <w:r w:rsidRPr="004C09F7">
        <w:rPr>
          <w:rFonts w:ascii="Arial" w:hAnsi="Arial" w:cs="Arial"/>
          <w:color w:val="000000"/>
          <w:sz w:val="20"/>
        </w:rPr>
        <w:t xml:space="preserve">J </w:t>
      </w:r>
      <w:r w:rsidR="00AC611C" w:rsidRPr="004C09F7">
        <w:rPr>
          <w:rFonts w:ascii="Arial" w:hAnsi="Arial" w:cs="Arial"/>
          <w:color w:val="000000"/>
          <w:sz w:val="20"/>
        </w:rPr>
        <w:t xml:space="preserve">also </w:t>
      </w:r>
      <w:r w:rsidRPr="004C09F7">
        <w:rPr>
          <w:rFonts w:ascii="Arial" w:hAnsi="Arial" w:cs="Arial"/>
          <w:color w:val="000000"/>
          <w:sz w:val="20"/>
        </w:rPr>
        <w:t xml:space="preserve">has </w:t>
      </w:r>
      <w:r w:rsidR="00950258" w:rsidRPr="004C09F7">
        <w:rPr>
          <w:rFonts w:ascii="Arial" w:hAnsi="Arial" w:cs="Arial"/>
          <w:color w:val="000000"/>
          <w:sz w:val="20"/>
        </w:rPr>
        <w:t xml:space="preserve">some </w:t>
      </w:r>
      <w:r w:rsidRPr="004C09F7">
        <w:rPr>
          <w:rFonts w:ascii="Arial" w:hAnsi="Arial" w:cs="Arial"/>
          <w:color w:val="000000"/>
          <w:sz w:val="20"/>
        </w:rPr>
        <w:t xml:space="preserve">relevance </w:t>
      </w:r>
      <w:r w:rsidR="006834E4" w:rsidRPr="004C09F7">
        <w:rPr>
          <w:rFonts w:ascii="Arial" w:hAnsi="Arial" w:cs="Arial"/>
          <w:color w:val="000000"/>
          <w:sz w:val="20"/>
        </w:rPr>
        <w:t xml:space="preserve">to the </w:t>
      </w:r>
      <w:r w:rsidR="00950258" w:rsidRPr="004C09F7">
        <w:rPr>
          <w:rFonts w:ascii="Arial" w:hAnsi="Arial" w:cs="Arial"/>
          <w:color w:val="000000"/>
          <w:sz w:val="20"/>
        </w:rPr>
        <w:t>proposition that</w:t>
      </w:r>
      <w:r w:rsidR="006834E4" w:rsidRPr="004C09F7">
        <w:rPr>
          <w:rFonts w:ascii="Arial" w:hAnsi="Arial" w:cs="Arial"/>
          <w:color w:val="000000"/>
          <w:sz w:val="20"/>
        </w:rPr>
        <w:t xml:space="preserve"> electronic documents can be the subject of a subpoena issued under s.532 CYFA.  His Honour categorically rejected the </w:t>
      </w:r>
      <w:r w:rsidR="00950258" w:rsidRPr="004C09F7">
        <w:rPr>
          <w:rFonts w:ascii="Arial" w:hAnsi="Arial" w:cs="Arial"/>
          <w:color w:val="000000"/>
          <w:sz w:val="20"/>
        </w:rPr>
        <w:t xml:space="preserve">extraordinary </w:t>
      </w:r>
      <w:r w:rsidR="006834E4" w:rsidRPr="004C09F7">
        <w:rPr>
          <w:rFonts w:ascii="Arial" w:hAnsi="Arial" w:cs="Arial"/>
          <w:color w:val="000000"/>
          <w:sz w:val="20"/>
        </w:rPr>
        <w:t>submission of the plaintiff university that “</w:t>
      </w:r>
      <w:r w:rsidR="006834E4" w:rsidRPr="004C09F7">
        <w:rPr>
          <w:rFonts w:ascii="Arial" w:hAnsi="Arial" w:cs="Arial"/>
          <w:sz w:val="20"/>
          <w:szCs w:val="20"/>
        </w:rPr>
        <w:t>documents that are stored only in electronic form by or on behalf of a government agency are not ‘documents of an agency’ at all within the meaning of the Victorian freedom of information (FOI) legislation”.  In coming to th</w:t>
      </w:r>
      <w:r w:rsidR="00AC611C" w:rsidRPr="004C09F7">
        <w:rPr>
          <w:rFonts w:ascii="Arial" w:hAnsi="Arial" w:cs="Arial"/>
          <w:sz w:val="20"/>
          <w:szCs w:val="20"/>
        </w:rPr>
        <w:t>e</w:t>
      </w:r>
      <w:r w:rsidR="006834E4" w:rsidRPr="004C09F7">
        <w:rPr>
          <w:rFonts w:ascii="Arial" w:hAnsi="Arial" w:cs="Arial"/>
          <w:sz w:val="20"/>
          <w:szCs w:val="20"/>
        </w:rPr>
        <w:t xml:space="preserve"> conclusion </w:t>
      </w:r>
      <w:r w:rsidR="00AC611C" w:rsidRPr="004C09F7">
        <w:rPr>
          <w:rFonts w:ascii="Arial" w:hAnsi="Arial" w:cs="Arial"/>
          <w:sz w:val="20"/>
          <w:szCs w:val="20"/>
        </w:rPr>
        <w:t xml:space="preserve">that they were ‘documents of an agency’ </w:t>
      </w:r>
      <w:r w:rsidR="006834E4" w:rsidRPr="004C09F7">
        <w:rPr>
          <w:rFonts w:ascii="Arial" w:hAnsi="Arial" w:cs="Arial"/>
          <w:sz w:val="20"/>
          <w:szCs w:val="20"/>
        </w:rPr>
        <w:t xml:space="preserve">his Honour relied in part on dicta </w:t>
      </w:r>
      <w:r w:rsidR="00AC611C" w:rsidRPr="004C09F7">
        <w:rPr>
          <w:rFonts w:ascii="Arial" w:hAnsi="Arial" w:cs="Arial"/>
          <w:sz w:val="20"/>
          <w:szCs w:val="20"/>
        </w:rPr>
        <w:t xml:space="preserve">of Sir Victor Scott &amp; Chadwick LJ </w:t>
      </w:r>
      <w:r w:rsidR="006834E4" w:rsidRPr="004C09F7">
        <w:rPr>
          <w:rFonts w:ascii="Arial" w:hAnsi="Arial" w:cs="Arial"/>
          <w:sz w:val="20"/>
          <w:szCs w:val="20"/>
        </w:rPr>
        <w:t xml:space="preserve">in </w:t>
      </w:r>
      <w:r w:rsidR="00AC611C" w:rsidRPr="004C09F7">
        <w:rPr>
          <w:rFonts w:ascii="Arial" w:hAnsi="Arial" w:cs="Arial"/>
          <w:i/>
          <w:iCs/>
          <w:sz w:val="20"/>
          <w:szCs w:val="20"/>
        </w:rPr>
        <w:t xml:space="preserve">Victor Chandler International v Customs &amp; Excise Commissioners (UK) </w:t>
      </w:r>
      <w:r w:rsidR="00AC611C" w:rsidRPr="004C09F7">
        <w:rPr>
          <w:rFonts w:ascii="Arial" w:hAnsi="Arial" w:cs="Arial"/>
          <w:sz w:val="20"/>
          <w:szCs w:val="20"/>
        </w:rPr>
        <w:t>[2000] 1 WLR 1296, noting at [1</w:t>
      </w:r>
      <w:r w:rsidR="00FF256F">
        <w:rPr>
          <w:rFonts w:ascii="Arial" w:hAnsi="Arial" w:cs="Arial"/>
          <w:sz w:val="20"/>
          <w:szCs w:val="20"/>
        </w:rPr>
        <w:t>1</w:t>
      </w:r>
      <w:r w:rsidR="00AC611C" w:rsidRPr="004C09F7">
        <w:rPr>
          <w:rFonts w:ascii="Arial" w:hAnsi="Arial" w:cs="Arial"/>
          <w:sz w:val="20"/>
          <w:szCs w:val="20"/>
        </w:rPr>
        <w:t xml:space="preserve">0] that this case “is instructive not only as to the general principle that legislation is ‘always speaking’, but also as to whether an electronic record may be a ‘document’ and as to the distinctions that may be drawn between electronic impulses, information and documents.”  </w:t>
      </w:r>
      <w:proofErr w:type="spellStart"/>
      <w:r w:rsidR="00AC611C" w:rsidRPr="004C09F7">
        <w:rPr>
          <w:rFonts w:ascii="Arial" w:hAnsi="Arial" w:cs="Arial"/>
          <w:sz w:val="20"/>
          <w:szCs w:val="20"/>
        </w:rPr>
        <w:t>Cavanough</w:t>
      </w:r>
      <w:proofErr w:type="spellEnd"/>
      <w:r w:rsidR="00AC611C" w:rsidRPr="004C09F7">
        <w:rPr>
          <w:rFonts w:ascii="Arial" w:hAnsi="Arial" w:cs="Arial"/>
          <w:sz w:val="20"/>
          <w:szCs w:val="20"/>
        </w:rPr>
        <w:t xml:space="preserve"> J also held at [114] </w:t>
      </w:r>
      <w:r w:rsidR="006669AD">
        <w:rPr>
          <w:rFonts w:ascii="Arial" w:hAnsi="Arial" w:cs="Arial"/>
          <w:sz w:val="20"/>
          <w:szCs w:val="20"/>
        </w:rPr>
        <w:t xml:space="preserve">&amp; [116] </w:t>
      </w:r>
      <w:r w:rsidR="00AC611C" w:rsidRPr="004C09F7">
        <w:rPr>
          <w:rFonts w:ascii="Arial" w:hAnsi="Arial" w:cs="Arial"/>
          <w:sz w:val="20"/>
          <w:szCs w:val="20"/>
        </w:rPr>
        <w:t>that “Even more significant for present purposes – indeed, virtually conclusive of the fate of this proposed appeal</w:t>
      </w:r>
      <w:r w:rsidR="00A01AE5" w:rsidRPr="004C09F7">
        <w:rPr>
          <w:rFonts w:ascii="Arial" w:hAnsi="Arial" w:cs="Arial"/>
          <w:sz w:val="20"/>
          <w:szCs w:val="20"/>
        </w:rPr>
        <w:t xml:space="preserve"> – are certain passages in judgments of the members of the High Court of Australia delivered in 2002 in </w:t>
      </w:r>
      <w:proofErr w:type="spellStart"/>
      <w:r w:rsidR="00A01AE5" w:rsidRPr="004C09F7">
        <w:rPr>
          <w:rFonts w:ascii="Arial" w:hAnsi="Arial" w:cs="Arial"/>
          <w:i/>
          <w:iCs/>
          <w:sz w:val="20"/>
          <w:szCs w:val="20"/>
        </w:rPr>
        <w:t>Muin</w:t>
      </w:r>
      <w:proofErr w:type="spellEnd"/>
      <w:r w:rsidR="00A01AE5" w:rsidRPr="004C09F7">
        <w:rPr>
          <w:rFonts w:ascii="Arial" w:hAnsi="Arial" w:cs="Arial"/>
          <w:i/>
          <w:iCs/>
          <w:sz w:val="20"/>
          <w:szCs w:val="20"/>
        </w:rPr>
        <w:t xml:space="preserve"> v Refugee Review Tribunal</w:t>
      </w:r>
      <w:r w:rsidR="00A01AE5" w:rsidRPr="004C09F7">
        <w:rPr>
          <w:rFonts w:ascii="Arial" w:hAnsi="Arial" w:cs="Arial"/>
          <w:sz w:val="20"/>
          <w:szCs w:val="20"/>
        </w:rPr>
        <w:t xml:space="preserve"> (2002) 190 ALR 601, especially the remarks of McHugh J</w:t>
      </w:r>
      <w:r w:rsidR="009031C4">
        <w:rPr>
          <w:rFonts w:ascii="Arial" w:hAnsi="Arial" w:cs="Arial"/>
          <w:sz w:val="20"/>
          <w:szCs w:val="20"/>
        </w:rPr>
        <w:t xml:space="preserve">” </w:t>
      </w:r>
      <w:r w:rsidR="00FF256F">
        <w:rPr>
          <w:rFonts w:ascii="Arial" w:hAnsi="Arial" w:cs="Arial"/>
          <w:sz w:val="20"/>
          <w:szCs w:val="20"/>
        </w:rPr>
        <w:t xml:space="preserve">about giving ‘document’ a purposive construction covering “any information that is stored or recorded on paper or electronically”.  </w:t>
      </w:r>
      <w:r w:rsidR="00950258" w:rsidRPr="004C09F7">
        <w:rPr>
          <w:rFonts w:ascii="Arial" w:hAnsi="Arial" w:cs="Arial"/>
          <w:sz w:val="20"/>
          <w:szCs w:val="20"/>
        </w:rPr>
        <w:t xml:space="preserve">At [124] </w:t>
      </w:r>
      <w:proofErr w:type="spellStart"/>
      <w:r w:rsidR="006A0225" w:rsidRPr="004C09F7">
        <w:rPr>
          <w:rFonts w:ascii="Arial" w:hAnsi="Arial" w:cs="Arial"/>
          <w:sz w:val="20"/>
          <w:szCs w:val="20"/>
        </w:rPr>
        <w:t>Cavanough</w:t>
      </w:r>
      <w:proofErr w:type="spellEnd"/>
      <w:r w:rsidR="006A0225" w:rsidRPr="004C09F7">
        <w:rPr>
          <w:rFonts w:ascii="Arial" w:hAnsi="Arial" w:cs="Arial"/>
          <w:sz w:val="20"/>
          <w:szCs w:val="20"/>
        </w:rPr>
        <w:t xml:space="preserve"> J</w:t>
      </w:r>
      <w:r w:rsidR="00950258" w:rsidRPr="004C09F7">
        <w:rPr>
          <w:rFonts w:ascii="Arial" w:hAnsi="Arial" w:cs="Arial"/>
          <w:sz w:val="20"/>
          <w:szCs w:val="20"/>
        </w:rPr>
        <w:t xml:space="preserve"> </w:t>
      </w:r>
      <w:r w:rsidR="006669AD">
        <w:rPr>
          <w:rFonts w:ascii="Arial" w:hAnsi="Arial" w:cs="Arial"/>
          <w:sz w:val="20"/>
          <w:szCs w:val="20"/>
        </w:rPr>
        <w:t>held</w:t>
      </w:r>
      <w:r w:rsidR="00950258" w:rsidRPr="004C09F7">
        <w:rPr>
          <w:rFonts w:ascii="Arial" w:hAnsi="Arial" w:cs="Arial"/>
          <w:sz w:val="20"/>
          <w:szCs w:val="20"/>
        </w:rPr>
        <w:t xml:space="preserve"> that: “The notion, embedded in Monash’s submissions, that a document of an agency stored only electronically is not a document of the agency at all for FOI purposes is not only out of harmony with the text, context and purpose of the FOI Act itself (as I have sought to demonstrate), it is also out of harmony with three other statutes that deal with related matters.”  One of these 3 statutes is the </w:t>
      </w:r>
      <w:r w:rsidR="00950258" w:rsidRPr="004C09F7">
        <w:rPr>
          <w:rFonts w:ascii="Arial" w:hAnsi="Arial" w:cs="Arial"/>
          <w:i/>
          <w:iCs/>
          <w:sz w:val="20"/>
          <w:szCs w:val="20"/>
        </w:rPr>
        <w:t>Electronic Transactions (Victoria) Act 2000</w:t>
      </w:r>
      <w:r w:rsidR="00950258" w:rsidRPr="004C09F7">
        <w:rPr>
          <w:rFonts w:ascii="Arial" w:hAnsi="Arial" w:cs="Arial"/>
          <w:sz w:val="20"/>
          <w:szCs w:val="20"/>
        </w:rPr>
        <w:t xml:space="preserve"> (ETVA) about which his Honour commented at [132]:</w:t>
      </w:r>
    </w:p>
    <w:p w14:paraId="19F183E5" w14:textId="0427B6D8" w:rsidR="00950258" w:rsidRPr="0040353D" w:rsidRDefault="00950258" w:rsidP="00950258">
      <w:pPr>
        <w:spacing w:before="60"/>
        <w:ind w:left="454" w:right="454"/>
        <w:jc w:val="both"/>
        <w:rPr>
          <w:rFonts w:ascii="Arial" w:hAnsi="Arial" w:cs="Arial"/>
          <w:iCs/>
          <w:color w:val="000000"/>
          <w:sz w:val="20"/>
        </w:rPr>
      </w:pPr>
      <w:r w:rsidRPr="004C09F7">
        <w:rPr>
          <w:rFonts w:ascii="Arial" w:hAnsi="Arial" w:cs="Arial"/>
          <w:iCs/>
          <w:color w:val="000000"/>
          <w:sz w:val="20"/>
        </w:rPr>
        <w:t>“</w:t>
      </w:r>
      <w:r w:rsidRPr="004C09F7">
        <w:rPr>
          <w:rFonts w:ascii="Arial" w:hAnsi="Arial" w:cs="Arial"/>
          <w:sz w:val="20"/>
          <w:szCs w:val="20"/>
        </w:rPr>
        <w:t xml:space="preserve">The stated purposes of the ETVA include ‘To provide for the meeting of certain legal requirements as to writing and signatures by electronic communication’ and ‘to permit documents to be produced to another person by electronic communication’ and ‘to permit the recording and retention of information and documents in electronic form’. Section 5 provides an ‘outline’ of the Act. The outline states, in part, that certain requirements imposed under a law of Victoria can generally be met in electronic form, including ‘a requirement to give information in writing’, ‘a requirement to produce a document’, ‘a requirement to record information’ and ‘a requirement to retain a document’.  Section 11(1) provides, in part, that if under a Victorian law a person is required to record information in writing, that requirement is </w:t>
      </w:r>
      <w:r w:rsidRPr="004C09F7">
        <w:rPr>
          <w:rFonts w:ascii="Arial" w:hAnsi="Arial" w:cs="Arial"/>
          <w:sz w:val="20"/>
          <w:szCs w:val="20"/>
        </w:rPr>
        <w:lastRenderedPageBreak/>
        <w:t>taken to have been met if the person records the information in electronic form, where at the time of the recording of the information, it was reasonable to expect that the information would be readily accessible so as to be useable for subsequent reference.  Correspondingly, s 11(2) provides that if, under Victorian law, a person is required to retain a document that is in the form of paper, an article or other material, that requirement is taken to have been met if the person retains, or causes another person to retain, an electronic form of the document. Plainly, s 11 authorises the ‘digital strategy’ of the Public Record Office of Victoria, including the publication of standards for electronic record keeping. This in turn renders quite artificial the submission by Monash in this case that the FOI Act does not recognise an electronically stored record of information as a document.”</w:t>
      </w:r>
    </w:p>
    <w:p w14:paraId="4069F23D" w14:textId="77777777" w:rsidR="00AC611C" w:rsidRDefault="00AC611C" w:rsidP="0057380D">
      <w:pPr>
        <w:jc w:val="both"/>
        <w:rPr>
          <w:rFonts w:ascii="Arial" w:hAnsi="Arial" w:cs="Arial"/>
          <w:color w:val="000000"/>
          <w:sz w:val="20"/>
        </w:rPr>
      </w:pPr>
    </w:p>
    <w:p w14:paraId="3413BAD2" w14:textId="1C1CDE58"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not be ordered.  Sections 117-126 deal with ‘Client legal privilege’ formerly known as ‘legal professional privilege’.  Section 127 deals with religious confessions.  Sections 128 &amp; 128A deal with privilege in respect of self-incrimination.  Sections 129</w:t>
      </w:r>
      <w:r w:rsidR="007961CE">
        <w:rPr>
          <w:rFonts w:ascii="Arial" w:hAnsi="Arial" w:cs="Arial"/>
          <w:color w:val="000000"/>
          <w:sz w:val="20"/>
        </w:rPr>
        <w:noBreakHyphen/>
      </w:r>
      <w:r>
        <w:rPr>
          <w:rFonts w:ascii="Arial" w:hAnsi="Arial" w:cs="Arial"/>
          <w:color w:val="000000"/>
          <w:sz w:val="20"/>
        </w:rPr>
        <w:t xml:space="preserve">131 deal with evidence sought to be ‘excluded in the public interest’, </w:t>
      </w:r>
      <w:r w:rsidR="00F44997">
        <w:rPr>
          <w:rFonts w:ascii="Arial" w:hAnsi="Arial" w:cs="Arial"/>
          <w:color w:val="000000"/>
          <w:sz w:val="20"/>
        </w:rPr>
        <w:t>also</w:t>
      </w:r>
      <w:r>
        <w:rPr>
          <w:rFonts w:ascii="Arial" w:hAnsi="Arial" w:cs="Arial"/>
          <w:color w:val="000000"/>
          <w:sz w:val="20"/>
        </w:rPr>
        <w:t xml:space="preserve">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proofErr w:type="spellStart"/>
      <w:r w:rsidRPr="003B3AA1">
        <w:rPr>
          <w:rFonts w:ascii="Arial" w:hAnsi="Arial" w:cs="Arial"/>
          <w:i/>
          <w:iCs/>
          <w:sz w:val="20"/>
          <w:szCs w:val="20"/>
        </w:rPr>
        <w:t>Andrianakis</w:t>
      </w:r>
      <w:proofErr w:type="spellEnd"/>
      <w:r w:rsidRPr="003B3AA1">
        <w:rPr>
          <w:rFonts w:ascii="Arial" w:hAnsi="Arial" w:cs="Arial"/>
          <w:i/>
          <w:iCs/>
          <w:sz w:val="20"/>
          <w:szCs w:val="20"/>
        </w:rPr>
        <w:t xml:space="preserve"> v Uber Technologies Inc &amp; </w:t>
      </w:r>
      <w:proofErr w:type="spellStart"/>
      <w:r w:rsidRPr="003B3AA1">
        <w:rPr>
          <w:rFonts w:ascii="Arial" w:hAnsi="Arial" w:cs="Arial"/>
          <w:i/>
          <w:iCs/>
          <w:sz w:val="20"/>
          <w:szCs w:val="20"/>
        </w:rPr>
        <w:t>Ors</w:t>
      </w:r>
      <w:proofErr w:type="spellEnd"/>
      <w:r w:rsidRPr="003B3AA1">
        <w:rPr>
          <w:rFonts w:ascii="Arial" w:hAnsi="Arial" w:cs="Arial"/>
          <w:i/>
          <w:iCs/>
          <w:sz w:val="20"/>
          <w:szCs w:val="20"/>
        </w:rPr>
        <w:t xml:space="preserve">; Taxi Apps Pty Ltd v Uber Technologies Inc &amp; </w:t>
      </w:r>
      <w:proofErr w:type="spellStart"/>
      <w:r w:rsidRPr="003B3AA1">
        <w:rPr>
          <w:rFonts w:ascii="Arial" w:hAnsi="Arial" w:cs="Arial"/>
          <w:i/>
          <w:iCs/>
          <w:sz w:val="20"/>
          <w:szCs w:val="20"/>
        </w:rPr>
        <w:t>Ors</w:t>
      </w:r>
      <w:proofErr w:type="spellEnd"/>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w:t>
      </w:r>
      <w:proofErr w:type="spellStart"/>
      <w:r>
        <w:rPr>
          <w:rFonts w:ascii="Arial" w:hAnsi="Arial" w:cs="Arial"/>
          <w:sz w:val="20"/>
          <w:szCs w:val="20"/>
        </w:rPr>
        <w:t>AsJ</w:t>
      </w:r>
      <w:proofErr w:type="spellEnd"/>
      <w:r>
        <w:rPr>
          <w:rFonts w:ascii="Arial" w:hAnsi="Arial" w:cs="Arial"/>
          <w:sz w:val="20"/>
          <w:szCs w:val="20"/>
        </w:rPr>
        <w:t xml:space="preserve">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proofErr w:type="spellStart"/>
      <w:r w:rsidRPr="0059676A">
        <w:rPr>
          <w:rFonts w:ascii="Arial" w:eastAsia="Book Antiqua" w:hAnsi="Arial" w:cs="Arial"/>
          <w:i/>
          <w:sz w:val="20"/>
          <w:szCs w:val="20"/>
        </w:rPr>
        <w:t>Samenic</w:t>
      </w:r>
      <w:proofErr w:type="spellEnd"/>
      <w:r w:rsidRPr="0059676A">
        <w:rPr>
          <w:rFonts w:ascii="Arial" w:eastAsia="Book Antiqua" w:hAnsi="Arial" w:cs="Arial"/>
          <w:i/>
          <w:sz w:val="20"/>
          <w:szCs w:val="20"/>
        </w:rPr>
        <w:t xml:space="preserve">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purpose which was the ruling, prevailing or most influential purpose at the time the document was brought into existence. </w:t>
      </w:r>
    </w:p>
    <w:p w14:paraId="3B42B3A9" w14:textId="5B83638C"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particular legal circumstances in which the client finds itself.</w:t>
      </w:r>
    </w:p>
    <w:p w14:paraId="611D8C03" w14:textId="6F4C0ED5"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whether or not the document is provided to the client.  Similarly, notes and other material created by the client that relate to the legal advice sought (whether or not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As a general rule, there must be a real prospect of litigation, but it does not have to be more likely than not.</w:t>
      </w:r>
    </w:p>
    <w:p w14:paraId="051AD901" w14:textId="4ED4B603" w:rsidR="0059676A"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make a decision about privilege, particularly where the parties agree to this course.</w:t>
      </w:r>
    </w:p>
    <w:p w14:paraId="51576250" w14:textId="56D4D3FF" w:rsidR="0059676A" w:rsidRPr="002608AC" w:rsidRDefault="0059676A">
      <w:pPr>
        <w:numPr>
          <w:ilvl w:val="0"/>
          <w:numId w:val="87"/>
        </w:numPr>
        <w:spacing w:before="40"/>
        <w:ind w:left="908" w:right="454" w:hanging="454"/>
        <w:jc w:val="both"/>
        <w:rPr>
          <w:rFonts w:ascii="Arial" w:hAnsi="Arial" w:cs="Arial"/>
          <w:sz w:val="16"/>
          <w:szCs w:val="16"/>
        </w:rPr>
      </w:pPr>
      <w:r w:rsidRPr="002608AC">
        <w:rPr>
          <w:rFonts w:ascii="Arial" w:hAnsi="Arial" w:cs="Arial"/>
          <w:sz w:val="16"/>
          <w:szCs w:val="16"/>
        </w:rPr>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4F7695CB" w:rsidR="003B3AA1" w:rsidRDefault="003B3AA1" w:rsidP="0057380D">
      <w:pPr>
        <w:jc w:val="both"/>
        <w:rPr>
          <w:rFonts w:ascii="Arial" w:hAnsi="Arial" w:cs="Arial"/>
          <w:color w:val="000000"/>
          <w:sz w:val="20"/>
        </w:rPr>
      </w:pPr>
    </w:p>
    <w:p w14:paraId="135D6491" w14:textId="32515ACC" w:rsidR="001D6E4B" w:rsidRPr="0028556C" w:rsidRDefault="001D6E4B" w:rsidP="0057380D">
      <w:pPr>
        <w:jc w:val="both"/>
        <w:rPr>
          <w:rFonts w:ascii="Arial" w:hAnsi="Arial" w:cs="Arial"/>
          <w:sz w:val="20"/>
          <w:szCs w:val="20"/>
        </w:rPr>
      </w:pPr>
      <w:r w:rsidRPr="0028556C">
        <w:rPr>
          <w:rFonts w:ascii="Arial" w:hAnsi="Arial" w:cs="Arial"/>
          <w:color w:val="000000"/>
          <w:sz w:val="20"/>
          <w:szCs w:val="20"/>
        </w:rPr>
        <w:t xml:space="preserve">See also </w:t>
      </w:r>
      <w:proofErr w:type="spellStart"/>
      <w:r w:rsidRPr="0028556C">
        <w:rPr>
          <w:rFonts w:ascii="Arial" w:hAnsi="Arial" w:cs="Arial"/>
          <w:i/>
          <w:iCs/>
          <w:sz w:val="20"/>
          <w:szCs w:val="20"/>
        </w:rPr>
        <w:t>Andrianakis</w:t>
      </w:r>
      <w:proofErr w:type="spellEnd"/>
      <w:r w:rsidRPr="0028556C">
        <w:rPr>
          <w:rFonts w:ascii="Arial" w:hAnsi="Arial" w:cs="Arial"/>
          <w:i/>
          <w:iCs/>
          <w:sz w:val="20"/>
          <w:szCs w:val="20"/>
        </w:rPr>
        <w:t xml:space="preserve"> v Uber Technologies; Taxi Apps Pty Ltd v Uber Technologies (Appeal)</w:t>
      </w:r>
      <w:r w:rsidRPr="0028556C">
        <w:rPr>
          <w:rFonts w:ascii="Arial" w:hAnsi="Arial" w:cs="Arial"/>
          <w:sz w:val="20"/>
          <w:szCs w:val="20"/>
        </w:rPr>
        <w:t xml:space="preserve"> [2022] VSC </w:t>
      </w:r>
      <w:r w:rsidR="007D7B43" w:rsidRPr="0028556C">
        <w:rPr>
          <w:rFonts w:ascii="Arial" w:hAnsi="Arial" w:cs="Arial"/>
          <w:sz w:val="20"/>
          <w:szCs w:val="20"/>
        </w:rPr>
        <w:t>643 where John Dixon J dismissed Uber’s appeal and allowed the cross-appeal on one ground</w:t>
      </w:r>
      <w:r w:rsidR="00BC3571" w:rsidRPr="0028556C">
        <w:rPr>
          <w:rFonts w:ascii="Arial" w:hAnsi="Arial" w:cs="Arial"/>
          <w:sz w:val="20"/>
          <w:szCs w:val="20"/>
        </w:rPr>
        <w:t xml:space="preserve">; </w:t>
      </w:r>
      <w:proofErr w:type="spellStart"/>
      <w:r w:rsidR="0028556C" w:rsidRPr="0028556C">
        <w:rPr>
          <w:rFonts w:ascii="Arial" w:hAnsi="Arial" w:cs="Arial"/>
          <w:i/>
          <w:iCs/>
          <w:sz w:val="20"/>
          <w:szCs w:val="20"/>
        </w:rPr>
        <w:t>Andrianakis</w:t>
      </w:r>
      <w:proofErr w:type="spellEnd"/>
      <w:r w:rsidR="0028556C" w:rsidRPr="0028556C">
        <w:rPr>
          <w:rFonts w:ascii="Arial" w:hAnsi="Arial" w:cs="Arial"/>
          <w:i/>
          <w:iCs/>
          <w:sz w:val="20"/>
          <w:szCs w:val="20"/>
        </w:rPr>
        <w:t xml:space="preserve"> v Uber Technologies Inc &amp; </w:t>
      </w:r>
      <w:proofErr w:type="spellStart"/>
      <w:r w:rsidR="0028556C" w:rsidRPr="0028556C">
        <w:rPr>
          <w:rFonts w:ascii="Arial" w:hAnsi="Arial" w:cs="Arial"/>
          <w:i/>
          <w:iCs/>
          <w:sz w:val="20"/>
          <w:szCs w:val="20"/>
        </w:rPr>
        <w:t>Ors</w:t>
      </w:r>
      <w:proofErr w:type="spellEnd"/>
      <w:r w:rsidR="0028556C" w:rsidRPr="0028556C">
        <w:rPr>
          <w:rFonts w:ascii="Arial" w:hAnsi="Arial" w:cs="Arial"/>
          <w:i/>
          <w:iCs/>
          <w:sz w:val="20"/>
          <w:szCs w:val="20"/>
        </w:rPr>
        <w:t xml:space="preserve">; Taxi Apps Pty Ltd v Uber Technologies Inc &amp; </w:t>
      </w:r>
      <w:proofErr w:type="spellStart"/>
      <w:r w:rsidR="0028556C" w:rsidRPr="0028556C">
        <w:rPr>
          <w:rFonts w:ascii="Arial" w:hAnsi="Arial" w:cs="Arial"/>
          <w:i/>
          <w:iCs/>
          <w:sz w:val="20"/>
          <w:szCs w:val="20"/>
        </w:rPr>
        <w:t>Ors</w:t>
      </w:r>
      <w:proofErr w:type="spellEnd"/>
      <w:r w:rsidR="0028556C" w:rsidRPr="0028556C">
        <w:rPr>
          <w:rFonts w:ascii="Arial" w:hAnsi="Arial" w:cs="Arial"/>
          <w:i/>
          <w:iCs/>
          <w:sz w:val="20"/>
          <w:szCs w:val="20"/>
        </w:rPr>
        <w:t xml:space="preserve"> (third party privilege)</w:t>
      </w:r>
      <w:r w:rsidR="0028556C" w:rsidRPr="0028556C">
        <w:rPr>
          <w:rFonts w:ascii="Arial" w:hAnsi="Arial" w:cs="Arial"/>
          <w:sz w:val="20"/>
          <w:szCs w:val="20"/>
        </w:rPr>
        <w:t xml:space="preserve"> [2023] VSC 366; </w:t>
      </w:r>
      <w:r w:rsidR="00BC3571" w:rsidRPr="0028556C">
        <w:rPr>
          <w:rFonts w:ascii="Arial" w:hAnsi="Arial" w:cs="Arial"/>
          <w:i/>
          <w:iCs/>
          <w:sz w:val="20"/>
          <w:szCs w:val="20"/>
        </w:rPr>
        <w:t>Grant v Downs</w:t>
      </w:r>
      <w:r w:rsidR="00BC3571" w:rsidRPr="0028556C">
        <w:rPr>
          <w:rFonts w:ascii="Arial" w:hAnsi="Arial" w:cs="Arial"/>
          <w:sz w:val="20"/>
          <w:szCs w:val="20"/>
        </w:rPr>
        <w:t xml:space="preserve"> (1976) 135 CLR 674; </w:t>
      </w:r>
      <w:r w:rsidR="00BC3571" w:rsidRPr="0028556C">
        <w:rPr>
          <w:rFonts w:ascii="Arial" w:hAnsi="Arial" w:cs="Arial"/>
          <w:i/>
          <w:iCs/>
          <w:sz w:val="20"/>
          <w:szCs w:val="20"/>
        </w:rPr>
        <w:t>Huang v Frankston City Council</w:t>
      </w:r>
      <w:r w:rsidR="00BC3571" w:rsidRPr="0028556C">
        <w:rPr>
          <w:rFonts w:ascii="Arial" w:hAnsi="Arial" w:cs="Arial"/>
          <w:sz w:val="20"/>
          <w:szCs w:val="20"/>
        </w:rPr>
        <w:t xml:space="preserve"> [2022] VSC 733 at [31]-[34] &amp; [75]-[85]</w:t>
      </w:r>
      <w:r w:rsidR="00656542" w:rsidRPr="0028556C">
        <w:rPr>
          <w:rFonts w:ascii="Arial" w:hAnsi="Arial" w:cs="Arial"/>
          <w:sz w:val="20"/>
          <w:szCs w:val="20"/>
        </w:rPr>
        <w:t xml:space="preserve">; </w:t>
      </w:r>
      <w:proofErr w:type="spellStart"/>
      <w:r w:rsidR="00656542" w:rsidRPr="0028556C">
        <w:rPr>
          <w:rFonts w:ascii="Arial" w:hAnsi="Arial" w:cs="Arial"/>
          <w:i/>
          <w:iCs/>
          <w:sz w:val="20"/>
          <w:szCs w:val="20"/>
        </w:rPr>
        <w:t>Quebani</w:t>
      </w:r>
      <w:proofErr w:type="spellEnd"/>
      <w:r w:rsidR="00656542" w:rsidRPr="0028556C">
        <w:rPr>
          <w:rFonts w:ascii="Arial" w:hAnsi="Arial" w:cs="Arial"/>
          <w:i/>
          <w:iCs/>
          <w:sz w:val="20"/>
          <w:szCs w:val="20"/>
        </w:rPr>
        <w:t xml:space="preserve"> Pty Ltd &amp; Anor v McDonald’s Australia Limited</w:t>
      </w:r>
      <w:r w:rsidR="00656542" w:rsidRPr="0028556C">
        <w:rPr>
          <w:rFonts w:ascii="Arial" w:hAnsi="Arial" w:cs="Arial"/>
          <w:sz w:val="20"/>
          <w:szCs w:val="20"/>
        </w:rPr>
        <w:t xml:space="preserve"> [2023] VSC 16</w:t>
      </w:r>
      <w:r w:rsidR="000A70A8">
        <w:rPr>
          <w:rFonts w:ascii="Arial" w:hAnsi="Arial" w:cs="Arial"/>
          <w:sz w:val="20"/>
          <w:szCs w:val="20"/>
        </w:rPr>
        <w:t xml:space="preserve"> &amp; [2023] VSC 439</w:t>
      </w:r>
      <w:r w:rsidR="00AB3D20">
        <w:rPr>
          <w:rFonts w:ascii="Arial" w:hAnsi="Arial" w:cs="Arial"/>
          <w:sz w:val="20"/>
          <w:szCs w:val="20"/>
        </w:rPr>
        <w:t xml:space="preserve">; </w:t>
      </w:r>
      <w:r w:rsidR="00AB3D20" w:rsidRPr="00AB3D20">
        <w:rPr>
          <w:rFonts w:ascii="Arial" w:hAnsi="Arial" w:cs="Arial"/>
          <w:i/>
          <w:iCs/>
          <w:sz w:val="20"/>
          <w:szCs w:val="20"/>
        </w:rPr>
        <w:t>Re Sleeping Duck Pty Ltd (Appeal)</w:t>
      </w:r>
      <w:r w:rsidR="00AB3D20">
        <w:rPr>
          <w:rFonts w:ascii="Arial" w:hAnsi="Arial" w:cs="Arial"/>
          <w:sz w:val="20"/>
          <w:szCs w:val="20"/>
        </w:rPr>
        <w:t xml:space="preserve"> [2023] VSC 541</w:t>
      </w:r>
      <w:r w:rsidR="000A70A8">
        <w:rPr>
          <w:rFonts w:ascii="Arial" w:hAnsi="Arial" w:cs="Arial"/>
          <w:sz w:val="20"/>
          <w:szCs w:val="20"/>
        </w:rPr>
        <w:t>.</w:t>
      </w:r>
    </w:p>
    <w:p w14:paraId="508FCCBF" w14:textId="77777777" w:rsidR="00011663" w:rsidRPr="0028556C" w:rsidRDefault="00011663" w:rsidP="0057380D">
      <w:pPr>
        <w:jc w:val="both"/>
        <w:rPr>
          <w:rFonts w:ascii="Arial" w:hAnsi="Arial" w:cs="Arial"/>
          <w:color w:val="000000"/>
          <w:sz w:val="20"/>
          <w:szCs w:val="20"/>
        </w:rPr>
      </w:pPr>
    </w:p>
    <w:p w14:paraId="5147B3AC" w14:textId="77777777" w:rsidR="00AB19D9" w:rsidRPr="005022CC" w:rsidRDefault="00AB19D9" w:rsidP="0057380D">
      <w:pPr>
        <w:jc w:val="both"/>
        <w:rPr>
          <w:rFonts w:ascii="Arial" w:hAnsi="Arial" w:cs="Arial"/>
          <w:color w:val="000000"/>
          <w:sz w:val="20"/>
        </w:rPr>
      </w:pPr>
      <w:bookmarkStart w:id="772"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72"/>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1E67235D" w14:textId="617E7162" w:rsidR="00AB19D9" w:rsidRDefault="00C72910" w:rsidP="0057380D">
      <w:pPr>
        <w:jc w:val="both"/>
        <w:rPr>
          <w:rFonts w:ascii="Arial" w:hAnsi="Arial" w:cs="Arial"/>
          <w:sz w:val="20"/>
          <w:szCs w:val="20"/>
        </w:rPr>
      </w:pPr>
      <w:r w:rsidRPr="0040353D">
        <w:rPr>
          <w:rFonts w:ascii="Arial" w:hAnsi="Arial" w:cs="Arial"/>
          <w:color w:val="000000"/>
          <w:sz w:val="20"/>
        </w:rPr>
        <w:t>See also</w:t>
      </w:r>
      <w:r w:rsidRPr="0040353D">
        <w:rPr>
          <w:rFonts w:ascii="Arial" w:hAnsi="Arial" w:cs="Arial"/>
          <w:i/>
          <w:color w:val="000000"/>
          <w:sz w:val="20"/>
        </w:rPr>
        <w:t xml:space="preserve"> R v </w:t>
      </w:r>
      <w:proofErr w:type="spellStart"/>
      <w:r w:rsidRPr="0040353D">
        <w:rPr>
          <w:rFonts w:ascii="Arial" w:hAnsi="Arial" w:cs="Arial"/>
          <w:i/>
          <w:color w:val="000000"/>
          <w:sz w:val="20"/>
        </w:rPr>
        <w:t>Saleam</w:t>
      </w:r>
      <w:proofErr w:type="spellEnd"/>
      <w:r w:rsidRPr="0040353D">
        <w:rPr>
          <w:rFonts w:ascii="Arial" w:hAnsi="Arial" w:cs="Arial"/>
          <w:color w:val="000000"/>
          <w:sz w:val="20"/>
        </w:rPr>
        <w:t xml:space="preserve"> (1989) 16 NSWLR 14 at 16 </w:t>
      </w:r>
      <w:r w:rsidRPr="0040353D">
        <w:rPr>
          <w:rFonts w:ascii="Arial" w:hAnsi="Arial" w:cs="Arial"/>
          <w:i/>
          <w:color w:val="000000"/>
          <w:sz w:val="20"/>
        </w:rPr>
        <w:t>et seq</w:t>
      </w:r>
      <w:r w:rsidRPr="0040353D">
        <w:rPr>
          <w:rFonts w:ascii="Arial" w:hAnsi="Arial" w:cs="Arial"/>
          <w:color w:val="000000"/>
          <w:sz w:val="20"/>
        </w:rPr>
        <w:t xml:space="preserve"> where Hunt J discussed the question of legitimate forensic purpose</w:t>
      </w:r>
      <w:r>
        <w:rPr>
          <w:rFonts w:ascii="Arial" w:hAnsi="Arial" w:cs="Arial"/>
          <w:color w:val="000000"/>
          <w:sz w:val="20"/>
        </w:rPr>
        <w:t>,</w:t>
      </w:r>
      <w:r w:rsidRPr="0040353D">
        <w:rPr>
          <w:rFonts w:ascii="Arial" w:hAnsi="Arial" w:cs="Arial"/>
          <w:color w:val="000000"/>
          <w:sz w:val="20"/>
        </w:rPr>
        <w:t xml:space="preserve"> </w:t>
      </w:r>
      <w:r w:rsidRPr="0040353D">
        <w:rPr>
          <w:rFonts w:ascii="Arial" w:hAnsi="Arial" w:cs="Arial"/>
          <w:i/>
          <w:color w:val="000000"/>
          <w:sz w:val="20"/>
        </w:rPr>
        <w:t>Alister v The Queen</w:t>
      </w:r>
      <w:r w:rsidRPr="0040353D">
        <w:rPr>
          <w:rFonts w:ascii="Arial" w:hAnsi="Arial" w:cs="Arial"/>
          <w:color w:val="000000"/>
          <w:sz w:val="20"/>
        </w:rPr>
        <w:t xml:space="preserve"> (1984) 154 CLR 404 at 414 where Gibbs CJ enunciated his well-known test that the judge must be satisfied that it is “</w:t>
      </w:r>
      <w:r w:rsidRPr="0040353D">
        <w:rPr>
          <w:rFonts w:ascii="Arial" w:hAnsi="Arial" w:cs="Arial"/>
          <w:b/>
          <w:color w:val="000000"/>
          <w:sz w:val="20"/>
        </w:rPr>
        <w:t>on the cards</w:t>
      </w:r>
      <w:r w:rsidRPr="0040353D">
        <w:rPr>
          <w:rFonts w:ascii="Arial" w:hAnsi="Arial" w:cs="Arial"/>
          <w:color w:val="000000"/>
          <w:sz w:val="20"/>
        </w:rPr>
        <w:t>” that the documents sought will materially assist the accused in his defence</w:t>
      </w:r>
      <w:r>
        <w:rPr>
          <w:rFonts w:ascii="Arial" w:hAnsi="Arial" w:cs="Arial"/>
          <w:color w:val="000000"/>
          <w:sz w:val="20"/>
        </w:rPr>
        <w:t xml:space="preserve">, </w:t>
      </w:r>
      <w:proofErr w:type="spellStart"/>
      <w:r w:rsidRPr="002D3459">
        <w:rPr>
          <w:rFonts w:ascii="Arial" w:hAnsi="Arial" w:cs="Arial"/>
          <w:i/>
          <w:iCs/>
          <w:color w:val="000000"/>
          <w:sz w:val="20"/>
        </w:rPr>
        <w:t>Zirilli</w:t>
      </w:r>
      <w:proofErr w:type="spellEnd"/>
      <w:r w:rsidRPr="002D3459">
        <w:rPr>
          <w:rFonts w:ascii="Arial" w:hAnsi="Arial" w:cs="Arial"/>
          <w:i/>
          <w:iCs/>
          <w:color w:val="000000"/>
          <w:sz w:val="20"/>
        </w:rPr>
        <w:t xml:space="preserve"> v The Queen </w:t>
      </w:r>
      <w:r>
        <w:rPr>
          <w:rFonts w:ascii="Arial" w:hAnsi="Arial" w:cs="Arial"/>
          <w:color w:val="000000"/>
          <w:sz w:val="20"/>
        </w:rPr>
        <w:t xml:space="preserve">[2021] VSCA 174 and </w:t>
      </w:r>
      <w:r w:rsidRPr="008B7437">
        <w:rPr>
          <w:rFonts w:ascii="Arial" w:hAnsi="Arial" w:cs="Arial"/>
          <w:i/>
          <w:iCs/>
          <w:sz w:val="20"/>
          <w:szCs w:val="20"/>
        </w:rPr>
        <w:t>Chief Commissioner of Police v Zammit</w:t>
      </w:r>
      <w:r>
        <w:rPr>
          <w:rFonts w:ascii="Arial" w:hAnsi="Arial" w:cs="Arial"/>
          <w:sz w:val="20"/>
          <w:szCs w:val="20"/>
        </w:rPr>
        <w:t xml:space="preserve"> [2023] VSC 635 at [25]-[66]</w:t>
      </w:r>
      <w:r>
        <w:rPr>
          <w:rFonts w:ascii="Arial" w:hAnsi="Arial" w:cs="Arial"/>
          <w:color w:val="000000"/>
          <w:sz w:val="20"/>
        </w:rPr>
        <w:t xml:space="preserve">.  See also </w:t>
      </w:r>
      <w:r w:rsidR="00C45CA7" w:rsidRPr="00DF5439">
        <w:rPr>
          <w:rFonts w:ascii="Arial" w:hAnsi="Arial" w:cs="Arial"/>
          <w:color w:val="000000"/>
          <w:sz w:val="20"/>
        </w:rPr>
        <w:t xml:space="preserve">the judgments of Kyrou J in </w:t>
      </w:r>
      <w:r w:rsidR="00C45CA7" w:rsidRPr="00DF5439">
        <w:rPr>
          <w:rFonts w:ascii="Arial" w:hAnsi="Arial" w:cs="Arial"/>
          <w:i/>
          <w:color w:val="000000"/>
          <w:sz w:val="20"/>
        </w:rPr>
        <w:t>Victoria v Lane</w:t>
      </w:r>
      <w:r w:rsidR="00C45CA7" w:rsidRPr="00DF5439">
        <w:rPr>
          <w:rFonts w:ascii="Arial" w:hAnsi="Arial" w:cs="Arial"/>
          <w:color w:val="000000"/>
          <w:sz w:val="20"/>
        </w:rPr>
        <w:t xml:space="preserve"> [2012] VSC 328 at [17]-[</w:t>
      </w:r>
      <w:r w:rsidR="00C45CA7" w:rsidRPr="00DF5439">
        <w:rPr>
          <w:rFonts w:ascii="Arial" w:hAnsi="Arial" w:cs="Arial"/>
          <w:color w:val="000000"/>
          <w:sz w:val="20"/>
          <w:szCs w:val="20"/>
        </w:rPr>
        <w:t>21]</w:t>
      </w:r>
      <w:r w:rsidR="00174E0B" w:rsidRPr="00DF5439">
        <w:rPr>
          <w:rFonts w:ascii="Arial" w:hAnsi="Arial" w:cs="Arial"/>
          <w:color w:val="000000"/>
          <w:sz w:val="20"/>
          <w:szCs w:val="20"/>
        </w:rPr>
        <w:t>,</w:t>
      </w:r>
      <w:r w:rsidR="00C45CA7" w:rsidRPr="00DF5439">
        <w:rPr>
          <w:rFonts w:ascii="Arial" w:hAnsi="Arial" w:cs="Arial"/>
          <w:color w:val="000000"/>
          <w:sz w:val="20"/>
          <w:szCs w:val="20"/>
        </w:rPr>
        <w:t xml:space="preserve"> </w:t>
      </w:r>
      <w:r w:rsidR="00C45CA7"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w:t>
      </w:r>
      <w:r w:rsidR="00174E0B" w:rsidRPr="00061EA1">
        <w:rPr>
          <w:rFonts w:ascii="Arial" w:hAnsi="Arial" w:cs="Arial"/>
          <w:color w:val="000000"/>
          <w:sz w:val="20"/>
          <w:szCs w:val="20"/>
        </w:rPr>
        <w:t xml:space="preserve">VSC 350 at [194]-[224] and </w:t>
      </w:r>
      <w:proofErr w:type="spellStart"/>
      <w:r w:rsidR="00174E0B" w:rsidRPr="00061EA1">
        <w:rPr>
          <w:rFonts w:ascii="Arial" w:hAnsi="Arial" w:cs="Arial"/>
          <w:i/>
          <w:color w:val="000000"/>
          <w:sz w:val="20"/>
          <w:szCs w:val="20"/>
        </w:rPr>
        <w:t>Dolheguy</w:t>
      </w:r>
      <w:proofErr w:type="spellEnd"/>
      <w:r w:rsidR="00174E0B" w:rsidRPr="00061EA1">
        <w:rPr>
          <w:rFonts w:ascii="Arial" w:hAnsi="Arial" w:cs="Arial"/>
          <w:i/>
          <w:color w:val="000000"/>
          <w:sz w:val="20"/>
          <w:szCs w:val="20"/>
        </w:rPr>
        <w:t xml:space="preserve"> v Lane </w:t>
      </w:r>
      <w:r w:rsidR="00174E0B" w:rsidRPr="00061EA1">
        <w:rPr>
          <w:rFonts w:ascii="Arial" w:hAnsi="Arial" w:cs="Arial"/>
          <w:color w:val="000000"/>
          <w:sz w:val="20"/>
          <w:szCs w:val="20"/>
        </w:rPr>
        <w:t>[2012] VSC 328 at [16]-[23].</w:t>
      </w:r>
      <w:r w:rsidR="00061EA1" w:rsidRPr="00061EA1">
        <w:rPr>
          <w:rFonts w:ascii="Arial" w:hAnsi="Arial" w:cs="Arial"/>
          <w:color w:val="000000"/>
          <w:sz w:val="20"/>
          <w:szCs w:val="20"/>
        </w:rPr>
        <w:t xml:space="preserve">  Further, see </w:t>
      </w:r>
      <w:r w:rsidR="00061EA1" w:rsidRPr="00061EA1">
        <w:rPr>
          <w:rFonts w:ascii="Arial" w:hAnsi="Arial" w:cs="Arial"/>
          <w:i/>
          <w:iCs/>
          <w:sz w:val="20"/>
          <w:szCs w:val="20"/>
        </w:rPr>
        <w:t>Smith v Trustees of the Christian Brothers; Pearce v The Corporation of the Society of the Missionaries of the Sacred Heart</w:t>
      </w:r>
      <w:r w:rsidR="00061EA1" w:rsidRPr="00061EA1">
        <w:rPr>
          <w:rFonts w:ascii="Arial" w:hAnsi="Arial" w:cs="Arial"/>
          <w:sz w:val="20"/>
          <w:szCs w:val="20"/>
        </w:rPr>
        <w:t xml:space="preserve"> [2022] VSC 343</w:t>
      </w:r>
      <w:r w:rsidR="00D665F1">
        <w:rPr>
          <w:rFonts w:ascii="Arial" w:hAnsi="Arial" w:cs="Arial"/>
          <w:sz w:val="20"/>
          <w:szCs w:val="20"/>
        </w:rPr>
        <w:t xml:space="preserve">; </w:t>
      </w:r>
      <w:r w:rsidR="00AE1290" w:rsidRPr="00012E45">
        <w:rPr>
          <w:rFonts w:ascii="Arial" w:hAnsi="Arial" w:cs="Arial"/>
          <w:i/>
          <w:iCs/>
          <w:sz w:val="20"/>
          <w:szCs w:val="20"/>
        </w:rPr>
        <w:t xml:space="preserve">Commissioner of the Australian Federal Police v Song &amp; </w:t>
      </w:r>
      <w:proofErr w:type="spellStart"/>
      <w:r w:rsidR="00AE1290" w:rsidRPr="00012E45">
        <w:rPr>
          <w:rFonts w:ascii="Arial" w:hAnsi="Arial" w:cs="Arial"/>
          <w:i/>
          <w:iCs/>
          <w:sz w:val="20"/>
          <w:szCs w:val="20"/>
        </w:rPr>
        <w:t>Ors</w:t>
      </w:r>
      <w:proofErr w:type="spellEnd"/>
      <w:r w:rsidR="00AE1290" w:rsidRPr="00012E45">
        <w:rPr>
          <w:rFonts w:ascii="Arial" w:hAnsi="Arial" w:cs="Arial"/>
          <w:i/>
          <w:iCs/>
          <w:sz w:val="20"/>
          <w:szCs w:val="20"/>
        </w:rPr>
        <w:t xml:space="preserve"> (Subpoena Objection)</w:t>
      </w:r>
      <w:r w:rsidR="00012E45">
        <w:rPr>
          <w:rFonts w:ascii="Arial" w:hAnsi="Arial" w:cs="Arial"/>
          <w:sz w:val="20"/>
          <w:szCs w:val="20"/>
        </w:rPr>
        <w:t xml:space="preserve"> [2023] VSC 273</w:t>
      </w:r>
      <w:r w:rsidR="005B1C54">
        <w:rPr>
          <w:rFonts w:ascii="Arial" w:hAnsi="Arial" w:cs="Arial"/>
          <w:sz w:val="20"/>
          <w:szCs w:val="20"/>
        </w:rPr>
        <w:t xml:space="preserve">; </w:t>
      </w:r>
      <w:proofErr w:type="spellStart"/>
      <w:r w:rsidR="005B1C54" w:rsidRPr="005B1C54">
        <w:rPr>
          <w:rFonts w:ascii="Arial" w:hAnsi="Arial" w:cs="Arial"/>
          <w:i/>
          <w:iCs/>
          <w:sz w:val="20"/>
          <w:szCs w:val="20"/>
        </w:rPr>
        <w:t>Madafferi</w:t>
      </w:r>
      <w:proofErr w:type="spellEnd"/>
      <w:r w:rsidR="005B1C54" w:rsidRPr="005B1C54">
        <w:rPr>
          <w:rFonts w:ascii="Arial" w:hAnsi="Arial" w:cs="Arial"/>
          <w:i/>
          <w:iCs/>
          <w:sz w:val="20"/>
          <w:szCs w:val="20"/>
        </w:rPr>
        <w:t xml:space="preserve"> v The King [No 2]</w:t>
      </w:r>
      <w:r w:rsidR="005B1C54">
        <w:rPr>
          <w:rFonts w:ascii="Arial" w:hAnsi="Arial" w:cs="Arial"/>
          <w:sz w:val="20"/>
          <w:szCs w:val="20"/>
        </w:rPr>
        <w:t xml:space="preserve"> [2024] VSCA 14</w:t>
      </w:r>
      <w:r w:rsidR="00D456A8">
        <w:rPr>
          <w:rFonts w:ascii="Arial" w:hAnsi="Arial" w:cs="Arial"/>
          <w:sz w:val="20"/>
          <w:szCs w:val="20"/>
        </w:rPr>
        <w:t xml:space="preserve">; </w:t>
      </w:r>
      <w:proofErr w:type="spellStart"/>
      <w:r w:rsidR="00D456A8" w:rsidRPr="00D456A8">
        <w:rPr>
          <w:rFonts w:ascii="Arial" w:hAnsi="Arial" w:cs="Arial"/>
          <w:i/>
          <w:iCs/>
          <w:sz w:val="20"/>
          <w:szCs w:val="20"/>
        </w:rPr>
        <w:t>Wawryk</w:t>
      </w:r>
      <w:proofErr w:type="spellEnd"/>
      <w:r w:rsidR="00D456A8" w:rsidRPr="00D456A8">
        <w:rPr>
          <w:rFonts w:ascii="Arial" w:hAnsi="Arial" w:cs="Arial"/>
          <w:i/>
          <w:iCs/>
          <w:sz w:val="20"/>
          <w:szCs w:val="20"/>
        </w:rPr>
        <w:t xml:space="preserve"> v Mercedes-Benz Australia/Pacific Pty Ltd (Subpoena Ruling)</w:t>
      </w:r>
      <w:r w:rsidR="00D456A8">
        <w:rPr>
          <w:rFonts w:ascii="Arial" w:hAnsi="Arial" w:cs="Arial"/>
          <w:sz w:val="20"/>
          <w:szCs w:val="20"/>
        </w:rPr>
        <w:t xml:space="preserve"> [2024] VSC 120 at [11]-[27].</w:t>
      </w:r>
    </w:p>
    <w:p w14:paraId="685E53BB" w14:textId="2A64AA87" w:rsidR="00B73B51" w:rsidRPr="000A70A8" w:rsidRDefault="00B73B51"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A13B31">
      <w:pPr>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r w:rsidRPr="005022CC">
        <w:rPr>
          <w:rFonts w:ascii="Arial" w:hAnsi="Arial" w:cs="Arial"/>
          <w:i/>
          <w:color w:val="000000"/>
          <w:sz w:val="20"/>
          <w:szCs w:val="20"/>
        </w:rPr>
        <w:t>Whistleblowers Protection Act 2001</w:t>
      </w:r>
      <w:r w:rsidRPr="005022CC">
        <w:rPr>
          <w:rFonts w:ascii="Arial" w:hAnsi="Arial" w:cs="Arial"/>
          <w:color w:val="000000"/>
          <w:sz w:val="20"/>
          <w:szCs w:val="20"/>
        </w:rPr>
        <w:t>] employed, the effect would be to prevent a whistleblower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2C45BF5B"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 xml:space="preserve">R v Cox &amp; </w:t>
      </w:r>
      <w:proofErr w:type="spellStart"/>
      <w:r w:rsidR="001A32B1" w:rsidRPr="0040353D">
        <w:rPr>
          <w:rFonts w:ascii="Arial" w:hAnsi="Arial" w:cs="Arial"/>
          <w:i/>
          <w:color w:val="000000"/>
          <w:sz w:val="20"/>
        </w:rPr>
        <w:t>Ors</w:t>
      </w:r>
      <w:proofErr w:type="spellEnd"/>
      <w:r w:rsidR="001A32B1" w:rsidRPr="0040353D">
        <w:rPr>
          <w:rFonts w:ascii="Arial" w:hAnsi="Arial" w:cs="Arial"/>
          <w:i/>
          <w:color w:val="000000"/>
          <w:sz w:val="20"/>
        </w:rPr>
        <w:t xml:space="preserve">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lastRenderedPageBreak/>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a number of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5217D172"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w:t>
      </w:r>
      <w:r w:rsidR="007961CE">
        <w:rPr>
          <w:rFonts w:ascii="Arial" w:hAnsi="Arial" w:cs="Arial"/>
          <w:sz w:val="20"/>
          <w:szCs w:val="20"/>
        </w:rPr>
        <w:t>.</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lastRenderedPageBreak/>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proofErr w:type="spellStart"/>
      <w:r w:rsidRPr="00813B7E">
        <w:rPr>
          <w:rFonts w:ascii="Arial" w:hAnsi="Arial" w:cs="Arial"/>
          <w:i/>
          <w:iCs/>
          <w:sz w:val="20"/>
          <w:szCs w:val="20"/>
        </w:rPr>
        <w:t>Zirilli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174 at [59d] citing </w:t>
      </w:r>
      <w:r w:rsidRPr="00813B7E">
        <w:rPr>
          <w:rFonts w:ascii="Arial" w:hAnsi="Arial" w:cs="Arial"/>
          <w:i/>
          <w:iCs/>
          <w:sz w:val="20"/>
          <w:szCs w:val="20"/>
        </w:rPr>
        <w:t xml:space="preserve">R v </w:t>
      </w:r>
      <w:proofErr w:type="spellStart"/>
      <w:r w:rsidRPr="00813B7E">
        <w:rPr>
          <w:rFonts w:ascii="Arial" w:hAnsi="Arial" w:cs="Arial"/>
          <w:i/>
          <w:iCs/>
          <w:sz w:val="20"/>
          <w:szCs w:val="20"/>
        </w:rPr>
        <w:t>Saleam</w:t>
      </w:r>
      <w:proofErr w:type="spellEnd"/>
      <w:r w:rsidRPr="00813B7E">
        <w:rPr>
          <w:rFonts w:ascii="Arial" w:hAnsi="Arial" w:cs="Arial"/>
          <w:sz w:val="20"/>
          <w:szCs w:val="20"/>
        </w:rPr>
        <w:t xml:space="preserve"> [1999] NSWCCA 86, [11] (Hunt J, Carruthers and Grove JJ agreeing); </w:t>
      </w:r>
      <w:proofErr w:type="spellStart"/>
      <w:r w:rsidRPr="00813B7E">
        <w:rPr>
          <w:rFonts w:ascii="Arial" w:hAnsi="Arial" w:cs="Arial"/>
          <w:i/>
          <w:iCs/>
          <w:sz w:val="20"/>
          <w:szCs w:val="20"/>
        </w:rPr>
        <w:t>Zirilli</w:t>
      </w:r>
      <w:proofErr w:type="spellEnd"/>
      <w:r w:rsidRPr="00813B7E">
        <w:rPr>
          <w:rFonts w:ascii="Arial" w:hAnsi="Arial" w:cs="Arial"/>
          <w:sz w:val="20"/>
          <w:szCs w:val="20"/>
        </w:rPr>
        <w:t xml:space="preserve"> (n 5) [2021] VSCA 2, [98]; </w:t>
      </w:r>
      <w:proofErr w:type="spellStart"/>
      <w:r w:rsidRPr="00813B7E">
        <w:rPr>
          <w:rFonts w:ascii="Arial" w:hAnsi="Arial" w:cs="Arial"/>
          <w:i/>
          <w:iCs/>
          <w:sz w:val="20"/>
          <w:szCs w:val="20"/>
        </w:rPr>
        <w:t>Madafferi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proofErr w:type="spellStart"/>
      <w:r w:rsidR="00D45643" w:rsidRPr="00D45643">
        <w:rPr>
          <w:rFonts w:ascii="Arial" w:hAnsi="Arial" w:cs="Arial"/>
          <w:i/>
          <w:iCs/>
          <w:sz w:val="20"/>
          <w:szCs w:val="20"/>
        </w:rPr>
        <w:t>Polimeni</w:t>
      </w:r>
      <w:proofErr w:type="spellEnd"/>
      <w:r w:rsidR="00D45643" w:rsidRPr="00D45643">
        <w:rPr>
          <w:rFonts w:ascii="Arial" w:hAnsi="Arial" w:cs="Arial"/>
          <w:i/>
          <w:iCs/>
          <w:sz w:val="20"/>
          <w:szCs w:val="20"/>
        </w:rPr>
        <w:t xml:space="preserve">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pPr>
        <w:numPr>
          <w:ilvl w:val="1"/>
          <w:numId w:val="55"/>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pPr>
        <w:numPr>
          <w:ilvl w:val="1"/>
          <w:numId w:val="55"/>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pPr>
        <w:numPr>
          <w:ilvl w:val="0"/>
          <w:numId w:val="56"/>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pPr>
        <w:numPr>
          <w:ilvl w:val="0"/>
          <w:numId w:val="56"/>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pPr>
        <w:numPr>
          <w:ilvl w:val="0"/>
          <w:numId w:val="56"/>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w:t>
      </w:r>
      <w:r w:rsidRPr="00954573">
        <w:rPr>
          <w:rFonts w:ascii="Arial" w:hAnsi="Arial" w:cs="Arial"/>
          <w:sz w:val="20"/>
          <w:szCs w:val="20"/>
        </w:rPr>
        <w:lastRenderedPageBreak/>
        <w:t xml:space="preserve">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r w:rsidRPr="00954573">
        <w:rPr>
          <w:rFonts w:ascii="Arial" w:eastAsia="Book Antiqua" w:hAnsi="Arial" w:cs="Arial"/>
          <w:i/>
          <w:sz w:val="20"/>
          <w:szCs w:val="20"/>
        </w:rPr>
        <w:t>Jarvie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r w:rsidR="007E5209" w:rsidRPr="0087543E">
        <w:rPr>
          <w:rFonts w:ascii="Arial" w:eastAsia="Book Antiqua" w:hAnsi="Arial" w:cs="Arial"/>
          <w:i/>
          <w:sz w:val="20"/>
          <w:szCs w:val="22"/>
        </w:rPr>
        <w:t>Jarvie</w:t>
      </w:r>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r w:rsidRPr="0001482B">
        <w:rPr>
          <w:rFonts w:ascii="Arial" w:eastAsia="Book Antiqua" w:hAnsi="Arial" w:cs="Arial"/>
          <w:i/>
          <w:sz w:val="20"/>
          <w:szCs w:val="20"/>
        </w:rPr>
        <w:t>Jarvie</w:t>
      </w:r>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lastRenderedPageBreak/>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1DE5A662" w14:textId="71D95067" w:rsidR="00A37C00" w:rsidRPr="002B76AE" w:rsidRDefault="002B76AE" w:rsidP="008F4302">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sidR="007E6250">
        <w:rPr>
          <w:rFonts w:ascii="Arial" w:hAnsi="Arial" w:cs="Arial"/>
          <w:sz w:val="20"/>
        </w:rPr>
        <w:t xml:space="preserve">also </w:t>
      </w:r>
      <w:r w:rsidR="007E6250" w:rsidRPr="007E6250">
        <w:rPr>
          <w:rFonts w:ascii="Arial" w:hAnsi="Arial" w:cs="Arial"/>
          <w:i/>
          <w:sz w:val="20"/>
        </w:rPr>
        <w:t xml:space="preserve">R v </w:t>
      </w:r>
      <w:proofErr w:type="spellStart"/>
      <w:r w:rsidR="007E6250" w:rsidRPr="007E6250">
        <w:rPr>
          <w:rFonts w:ascii="Arial" w:hAnsi="Arial" w:cs="Arial"/>
          <w:i/>
          <w:sz w:val="20"/>
        </w:rPr>
        <w:t>Benbrika</w:t>
      </w:r>
      <w:proofErr w:type="spellEnd"/>
      <w:r w:rsidR="007E6250" w:rsidRPr="007E6250">
        <w:rPr>
          <w:rFonts w:ascii="Arial" w:hAnsi="Arial" w:cs="Arial"/>
          <w:i/>
          <w:sz w:val="20"/>
        </w:rPr>
        <w:t xml:space="preserve"> (Ruling No 3)</w:t>
      </w:r>
      <w:r w:rsidR="007E6250">
        <w:rPr>
          <w:rFonts w:ascii="Arial" w:hAnsi="Arial" w:cs="Arial"/>
          <w:sz w:val="20"/>
        </w:rPr>
        <w:t xml:space="preserve"> [2007] VSC 283 at [11] &amp; [15]-[22] per </w:t>
      </w:r>
      <w:proofErr w:type="spellStart"/>
      <w:r w:rsidR="007E6250">
        <w:rPr>
          <w:rFonts w:ascii="Arial" w:hAnsi="Arial" w:cs="Arial"/>
          <w:sz w:val="20"/>
        </w:rPr>
        <w:t>Bongiorno</w:t>
      </w:r>
      <w:proofErr w:type="spellEnd"/>
      <w:r w:rsidR="007E6250">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73" w:name="_Hlk99437757"/>
      <w:proofErr w:type="spellStart"/>
      <w:r w:rsidR="00CA7C3F" w:rsidRPr="00CA7C3F">
        <w:rPr>
          <w:rFonts w:ascii="Arial" w:hAnsi="Arial" w:cs="Arial"/>
          <w:i/>
          <w:iCs/>
          <w:color w:val="000000"/>
          <w:sz w:val="20"/>
        </w:rPr>
        <w:t>Arico</w:t>
      </w:r>
      <w:proofErr w:type="spellEnd"/>
      <w:r w:rsidR="00CA7C3F" w:rsidRPr="00CA7C3F">
        <w:rPr>
          <w:rFonts w:ascii="Arial" w:hAnsi="Arial" w:cs="Arial"/>
          <w:i/>
          <w:iCs/>
          <w:color w:val="000000"/>
          <w:sz w:val="20"/>
        </w:rPr>
        <w:t xml:space="preserve"> v The Queen</w:t>
      </w:r>
      <w:r w:rsidR="00CA7C3F">
        <w:rPr>
          <w:rFonts w:ascii="Arial" w:hAnsi="Arial" w:cs="Arial"/>
          <w:color w:val="000000"/>
          <w:sz w:val="20"/>
        </w:rPr>
        <w:t xml:space="preserve"> [2022] VSCA 35 </w:t>
      </w:r>
      <w:bookmarkEnd w:id="773"/>
      <w:r w:rsidR="00CA7C3F">
        <w:rPr>
          <w:rFonts w:ascii="Arial" w:hAnsi="Arial" w:cs="Arial"/>
          <w:color w:val="000000"/>
          <w:sz w:val="20"/>
        </w:rPr>
        <w:t>per Beach JA</w:t>
      </w:r>
      <w:r w:rsidR="00F44997">
        <w:rPr>
          <w:rFonts w:ascii="Arial" w:hAnsi="Arial" w:cs="Arial"/>
          <w:color w:val="000000"/>
          <w:sz w:val="20"/>
        </w:rPr>
        <w:t xml:space="preserve">; </w:t>
      </w:r>
      <w:proofErr w:type="spellStart"/>
      <w:r w:rsidR="00F44997" w:rsidRPr="00F44997">
        <w:rPr>
          <w:rFonts w:ascii="Arial" w:hAnsi="Arial" w:cs="Arial"/>
          <w:i/>
          <w:iCs/>
          <w:color w:val="000000"/>
          <w:sz w:val="20"/>
        </w:rPr>
        <w:t>Zirilli</w:t>
      </w:r>
      <w:proofErr w:type="spellEnd"/>
      <w:r w:rsidR="00F44997" w:rsidRPr="00F44997">
        <w:rPr>
          <w:rFonts w:ascii="Arial" w:hAnsi="Arial" w:cs="Arial"/>
          <w:i/>
          <w:iCs/>
          <w:color w:val="000000"/>
          <w:sz w:val="20"/>
        </w:rPr>
        <w:t xml:space="preserve"> v The King</w:t>
      </w:r>
      <w:r w:rsidR="00F44997">
        <w:rPr>
          <w:rFonts w:ascii="Arial" w:hAnsi="Arial" w:cs="Arial"/>
          <w:color w:val="000000"/>
          <w:sz w:val="20"/>
        </w:rPr>
        <w:t xml:space="preserve"> [2023] VSCA 64</w:t>
      </w:r>
      <w:r w:rsidR="006B2259">
        <w:rPr>
          <w:rFonts w:ascii="Arial" w:hAnsi="Arial" w:cs="Arial"/>
          <w:color w:val="000000"/>
          <w:sz w:val="20"/>
        </w:rPr>
        <w:t xml:space="preserve">; </w:t>
      </w:r>
      <w:proofErr w:type="spellStart"/>
      <w:r w:rsidR="006B2259" w:rsidRPr="006B2259">
        <w:rPr>
          <w:rFonts w:ascii="Arial" w:hAnsi="Arial" w:cs="Arial"/>
          <w:i/>
          <w:iCs/>
          <w:sz w:val="20"/>
          <w:szCs w:val="20"/>
        </w:rPr>
        <w:t>Farac</w:t>
      </w:r>
      <w:r w:rsidR="006B2259">
        <w:rPr>
          <w:rFonts w:ascii="Arial" w:hAnsi="Arial" w:cs="Arial"/>
          <w:i/>
          <w:iCs/>
          <w:sz w:val="20"/>
          <w:szCs w:val="20"/>
        </w:rPr>
        <w:t>hi</w:t>
      </w:r>
      <w:proofErr w:type="spellEnd"/>
      <w:r w:rsidR="006B2259" w:rsidRPr="006B2259">
        <w:rPr>
          <w:rFonts w:ascii="Arial" w:hAnsi="Arial" w:cs="Arial"/>
          <w:i/>
          <w:iCs/>
          <w:sz w:val="20"/>
          <w:szCs w:val="20"/>
        </w:rPr>
        <w:t xml:space="preserve"> v The King</w:t>
      </w:r>
      <w:r w:rsidR="006B2259" w:rsidRPr="006B2259">
        <w:rPr>
          <w:rFonts w:ascii="Arial" w:hAnsi="Arial" w:cs="Arial"/>
          <w:sz w:val="20"/>
          <w:szCs w:val="20"/>
        </w:rPr>
        <w:t xml:space="preserve"> [2023] VSCA 253</w:t>
      </w:r>
      <w:r w:rsidR="004F5588">
        <w:rPr>
          <w:rFonts w:ascii="Arial" w:hAnsi="Arial" w:cs="Arial"/>
          <w:sz w:val="20"/>
          <w:szCs w:val="20"/>
        </w:rPr>
        <w:t xml:space="preserve">; </w:t>
      </w:r>
      <w:proofErr w:type="spellStart"/>
      <w:r w:rsidR="004F5588" w:rsidRPr="004F5588">
        <w:rPr>
          <w:rFonts w:ascii="Arial" w:hAnsi="Arial" w:cs="Arial"/>
          <w:i/>
          <w:iCs/>
          <w:sz w:val="20"/>
          <w:szCs w:val="20"/>
        </w:rPr>
        <w:t>Arico</w:t>
      </w:r>
      <w:proofErr w:type="spellEnd"/>
      <w:r w:rsidR="004F5588" w:rsidRPr="004F5588">
        <w:rPr>
          <w:rFonts w:ascii="Arial" w:hAnsi="Arial" w:cs="Arial"/>
          <w:i/>
          <w:iCs/>
          <w:sz w:val="20"/>
          <w:szCs w:val="20"/>
        </w:rPr>
        <w:t xml:space="preserve"> v The King</w:t>
      </w:r>
      <w:r w:rsidR="004F5588">
        <w:rPr>
          <w:rFonts w:ascii="Arial" w:hAnsi="Arial" w:cs="Arial"/>
          <w:sz w:val="20"/>
          <w:szCs w:val="20"/>
        </w:rPr>
        <w:t xml:space="preserve"> [2023] VSCA 268</w:t>
      </w:r>
      <w:r w:rsidR="00B43F52">
        <w:rPr>
          <w:rFonts w:ascii="Arial" w:hAnsi="Arial" w:cs="Arial"/>
          <w:sz w:val="20"/>
          <w:szCs w:val="20"/>
        </w:rPr>
        <w:t xml:space="preserve">; </w:t>
      </w:r>
      <w:r w:rsidR="00B43F52" w:rsidRPr="002275C3">
        <w:rPr>
          <w:rFonts w:ascii="Arial" w:hAnsi="Arial" w:cs="Arial"/>
          <w:i/>
          <w:iCs/>
          <w:sz w:val="20"/>
          <w:szCs w:val="20"/>
        </w:rPr>
        <w:t xml:space="preserve">Re </w:t>
      </w:r>
      <w:proofErr w:type="spellStart"/>
      <w:r w:rsidR="00B43F52" w:rsidRPr="002275C3">
        <w:rPr>
          <w:rFonts w:ascii="Arial" w:hAnsi="Arial" w:cs="Arial"/>
          <w:i/>
          <w:iCs/>
          <w:sz w:val="20"/>
          <w:szCs w:val="20"/>
        </w:rPr>
        <w:t>Mokbel</w:t>
      </w:r>
      <w:proofErr w:type="spellEnd"/>
      <w:r w:rsidR="00B43F52" w:rsidRPr="002275C3">
        <w:rPr>
          <w:rFonts w:ascii="Arial" w:hAnsi="Arial" w:cs="Arial"/>
          <w:i/>
          <w:iCs/>
          <w:sz w:val="20"/>
          <w:szCs w:val="20"/>
        </w:rPr>
        <w:t xml:space="preserve"> (Ruling No 1)</w:t>
      </w:r>
      <w:r w:rsidR="00B43F52">
        <w:rPr>
          <w:rFonts w:ascii="Arial" w:hAnsi="Arial" w:cs="Arial"/>
          <w:sz w:val="20"/>
          <w:szCs w:val="20"/>
        </w:rPr>
        <w:t xml:space="preserve"> [2024] VSC 26 at [22]-[35]</w:t>
      </w:r>
      <w:r>
        <w:rPr>
          <w:rFonts w:ascii="Arial" w:hAnsi="Arial" w:cs="Arial"/>
          <w:sz w:val="20"/>
          <w:szCs w:val="20"/>
        </w:rPr>
        <w:t xml:space="preserve">; </w:t>
      </w:r>
      <w:proofErr w:type="spellStart"/>
      <w:r w:rsidRPr="002B76AE">
        <w:rPr>
          <w:rFonts w:ascii="Arial" w:hAnsi="Arial" w:cs="Arial"/>
          <w:i/>
          <w:iCs/>
          <w:sz w:val="20"/>
        </w:rPr>
        <w:t>Madafferi</w:t>
      </w:r>
      <w:proofErr w:type="spellEnd"/>
      <w:r w:rsidRPr="002B76AE">
        <w:rPr>
          <w:rFonts w:ascii="Arial" w:hAnsi="Arial" w:cs="Arial"/>
          <w:i/>
          <w:iCs/>
          <w:sz w:val="20"/>
        </w:rPr>
        <w:t xml:space="preserve"> v The King [No 1]</w:t>
      </w:r>
      <w:r>
        <w:rPr>
          <w:rFonts w:ascii="Arial" w:hAnsi="Arial" w:cs="Arial"/>
          <w:sz w:val="20"/>
        </w:rPr>
        <w:t xml:space="preserve"> [2024] VSCA 12</w:t>
      </w:r>
      <w:r w:rsidR="00B43F52">
        <w:rPr>
          <w:rFonts w:ascii="Arial" w:hAnsi="Arial" w:cs="Arial"/>
          <w:sz w:val="20"/>
          <w:szCs w:val="20"/>
        </w:rPr>
        <w:t>.</w:t>
      </w:r>
    </w:p>
    <w:p w14:paraId="60EA21AF" w14:textId="77777777" w:rsidR="006B2259" w:rsidRDefault="006B2259"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 xml:space="preserve">Visy Board Pty Limited v Stephen D’Souza &amp; </w:t>
      </w:r>
      <w:proofErr w:type="spellStart"/>
      <w:r w:rsidRPr="00951DD0">
        <w:rPr>
          <w:rFonts w:ascii="Arial" w:hAnsi="Arial" w:cs="Arial"/>
          <w:i/>
          <w:sz w:val="20"/>
        </w:rPr>
        <w:t>Ors</w:t>
      </w:r>
      <w:proofErr w:type="spellEnd"/>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63B943AC" w:rsidR="001F1C85" w:rsidRDefault="001F1C85" w:rsidP="001F1C85">
      <w:pPr>
        <w:jc w:val="both"/>
        <w:rPr>
          <w:rFonts w:ascii="Arial" w:hAnsi="Arial" w:cs="Arial"/>
          <w:color w:val="000000"/>
          <w:sz w:val="20"/>
        </w:rPr>
      </w:pPr>
    </w:p>
    <w:p w14:paraId="08D15532" w14:textId="14929EE5" w:rsidR="00D32006" w:rsidRPr="00D32006" w:rsidRDefault="00D32006" w:rsidP="001F1C85">
      <w:pPr>
        <w:jc w:val="both"/>
        <w:rPr>
          <w:rFonts w:ascii="Arial" w:hAnsi="Arial" w:cs="Arial"/>
          <w:color w:val="000000"/>
          <w:sz w:val="20"/>
          <w:szCs w:val="20"/>
        </w:rPr>
      </w:pPr>
      <w:r w:rsidRPr="00D32006">
        <w:rPr>
          <w:rFonts w:ascii="Arial" w:hAnsi="Arial" w:cs="Arial"/>
          <w:color w:val="000000"/>
          <w:sz w:val="20"/>
          <w:szCs w:val="20"/>
        </w:rPr>
        <w:t xml:space="preserve">The Court </w:t>
      </w:r>
      <w:r w:rsidRPr="00D32006">
        <w:rPr>
          <w:rFonts w:ascii="Arial" w:hAnsi="Arial" w:cs="Arial"/>
          <w:sz w:val="20"/>
          <w:szCs w:val="20"/>
        </w:rPr>
        <w:t xml:space="preserve">may order the issuing party to pay the amount of any reasonable loss or expense incurred in complying with the subpoena. The Court may fix the amount or direct that it be fixed in accordance with the Court’s usual procedure in relation to costs.  See r.42.11 of the Supreme Court (General Civil Procedure) Rules 2015 (Vic), discussed and applied by Gorton J in </w:t>
      </w:r>
      <w:r w:rsidRPr="00D32006">
        <w:rPr>
          <w:rFonts w:ascii="Arial" w:hAnsi="Arial" w:cs="Arial"/>
          <w:i/>
          <w:iCs/>
          <w:sz w:val="20"/>
          <w:szCs w:val="20"/>
        </w:rPr>
        <w:t>Esposito v The Victorian Legal Services Board</w:t>
      </w:r>
      <w:r w:rsidRPr="00D32006">
        <w:rPr>
          <w:rFonts w:ascii="Arial" w:hAnsi="Arial" w:cs="Arial"/>
          <w:sz w:val="20"/>
          <w:szCs w:val="20"/>
        </w:rPr>
        <w:t xml:space="preserve"> and by </w:t>
      </w:r>
      <w:r>
        <w:rPr>
          <w:rFonts w:ascii="Arial" w:hAnsi="Arial" w:cs="Arial"/>
          <w:sz w:val="20"/>
          <w:szCs w:val="20"/>
        </w:rPr>
        <w:t xml:space="preserve">Irving </w:t>
      </w:r>
      <w:proofErr w:type="spellStart"/>
      <w:r w:rsidRPr="00D32006">
        <w:rPr>
          <w:rFonts w:ascii="Arial" w:hAnsi="Arial" w:cs="Arial"/>
          <w:sz w:val="20"/>
          <w:szCs w:val="20"/>
        </w:rPr>
        <w:t>AsJ</w:t>
      </w:r>
      <w:proofErr w:type="spellEnd"/>
      <w:r w:rsidRPr="00D32006">
        <w:rPr>
          <w:rFonts w:ascii="Arial" w:hAnsi="Arial" w:cs="Arial"/>
          <w:sz w:val="20"/>
          <w:szCs w:val="20"/>
        </w:rPr>
        <w:t xml:space="preserve"> in </w:t>
      </w:r>
      <w:r w:rsidRPr="00D32006">
        <w:rPr>
          <w:rFonts w:ascii="Arial" w:hAnsi="Arial" w:cs="Arial"/>
          <w:i/>
          <w:iCs/>
          <w:sz w:val="20"/>
          <w:szCs w:val="20"/>
        </w:rPr>
        <w:t>BEUT Property Pty Ltd v Bunnings Group Ltd</w:t>
      </w:r>
      <w:r w:rsidRPr="00D32006">
        <w:rPr>
          <w:rFonts w:ascii="Arial" w:hAnsi="Arial" w:cs="Arial"/>
          <w:sz w:val="20"/>
          <w:szCs w:val="20"/>
        </w:rPr>
        <w:t xml:space="preserve"> [2023] VSC </w:t>
      </w:r>
      <w:r>
        <w:rPr>
          <w:rFonts w:ascii="Arial" w:hAnsi="Arial" w:cs="Arial"/>
          <w:sz w:val="20"/>
          <w:szCs w:val="20"/>
        </w:rPr>
        <w:t>31</w:t>
      </w:r>
      <w:r w:rsidRPr="00D32006">
        <w:rPr>
          <w:rFonts w:ascii="Arial" w:hAnsi="Arial" w:cs="Arial"/>
          <w:sz w:val="20"/>
          <w:szCs w:val="20"/>
        </w:rPr>
        <w:t>.</w:t>
      </w:r>
    </w:p>
    <w:p w14:paraId="6AEA75DB" w14:textId="77777777" w:rsidR="00D32006" w:rsidRPr="00D32006" w:rsidRDefault="00D32006" w:rsidP="001F1C85">
      <w:pPr>
        <w:jc w:val="both"/>
        <w:rPr>
          <w:rFonts w:ascii="Arial" w:hAnsi="Arial" w:cs="Arial"/>
          <w:sz w:val="20"/>
          <w:szCs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74" w:name="_3.5.9.2__Pre-hearing"/>
      <w:bookmarkStart w:id="775" w:name="B3592"/>
      <w:bookmarkEnd w:id="774"/>
      <w:bookmarkEnd w:id="775"/>
      <w:r w:rsidRPr="009F25D4">
        <w:rPr>
          <w:rFonts w:ascii="Arial" w:hAnsi="Arial" w:cs="Arial"/>
          <w:b/>
          <w:bCs/>
          <w:color w:val="000000"/>
          <w:sz w:val="20"/>
        </w:rPr>
        <w:t>3.5.9.2  Pre-hearing disclosure in the Criminal Division</w:t>
      </w:r>
    </w:p>
    <w:p w14:paraId="67FFF1C2" w14:textId="48B2DCDF" w:rsidR="00F87038" w:rsidRPr="009F25D4" w:rsidRDefault="001E4091" w:rsidP="00C236AA">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7961CE" w:rsidRDefault="00F35C98" w:rsidP="0058166A">
      <w:pPr>
        <w:spacing w:before="60"/>
        <w:ind w:left="720" w:right="720"/>
        <w:jc w:val="both"/>
        <w:rPr>
          <w:rFonts w:ascii="Arial" w:hAnsi="Arial" w:cs="Arial"/>
          <w:iCs/>
          <w:sz w:val="18"/>
          <w:szCs w:val="18"/>
        </w:rPr>
      </w:pPr>
      <w:r w:rsidRPr="007961CE">
        <w:rPr>
          <w:rFonts w:ascii="Arial" w:hAnsi="Arial" w:cs="Arial"/>
          <w:iCs/>
          <w:sz w:val="18"/>
          <w:szCs w:val="18"/>
        </w:rPr>
        <w:t>‘</w:t>
      </w:r>
      <w:r w:rsidRPr="007961CE">
        <w:rPr>
          <w:rFonts w:ascii="Arial" w:hAnsi="Arial" w:cs="Arial"/>
          <w:sz w:val="18"/>
          <w:szCs w:val="18"/>
        </w:rPr>
        <w:t xml:space="preserve">It is fundamental that there must be full disclosure in criminal trials. It is a “golden rule”. </w:t>
      </w:r>
      <w:r w:rsidRPr="007961CE">
        <w:rPr>
          <w:rFonts w:ascii="Arial" w:hAnsi="Arial" w:cs="Arial"/>
          <w:b/>
          <w:bCs/>
          <w:sz w:val="18"/>
          <w:szCs w:val="18"/>
        </w:rPr>
        <w:t>The duty is to disclose all relevant material of help to an accused. It is owed to the court, not the accused. It is ongoing.</w:t>
      </w:r>
      <w:r w:rsidRPr="007961CE">
        <w:rPr>
          <w:rFonts w:ascii="Arial" w:hAnsi="Arial" w:cs="Arial"/>
          <w:sz w:val="18"/>
          <w:szCs w:val="18"/>
        </w:rPr>
        <w:t xml:space="preserve"> It includes, where appropriate, an obligation to make enquiries. It is imposed upon the Crown in its broadest sense. And a failure in its discharge can result in a miscarriage of justice.</w:t>
      </w:r>
      <w:r w:rsidR="0058166A" w:rsidRPr="007961CE">
        <w:rPr>
          <w:rFonts w:ascii="Arial" w:hAnsi="Arial" w:cs="Arial"/>
          <w:sz w:val="18"/>
          <w:szCs w:val="18"/>
        </w:rPr>
        <w:t>’</w:t>
      </w:r>
      <w:r w:rsidRPr="007961CE">
        <w:rPr>
          <w:rFonts w:ascii="Arial" w:hAnsi="Arial" w:cs="Arial"/>
          <w:sz w:val="18"/>
          <w:szCs w:val="18"/>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76" w:name="_3.5.9.3__Production"/>
      <w:bookmarkStart w:id="777" w:name="B3593"/>
      <w:bookmarkEnd w:id="776"/>
      <w:bookmarkEnd w:id="777"/>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8DD18C7"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proofErr w:type="spellStart"/>
      <w:r w:rsidRPr="00C42902">
        <w:rPr>
          <w:rFonts w:ascii="Arial" w:hAnsi="Arial" w:cs="Arial"/>
          <w:i/>
          <w:color w:val="000000"/>
          <w:sz w:val="20"/>
        </w:rPr>
        <w:t>Sobh</w:t>
      </w:r>
      <w:proofErr w:type="spellEnd"/>
      <w:r w:rsidRPr="00C42902">
        <w:rPr>
          <w:rFonts w:ascii="Arial" w:hAnsi="Arial" w:cs="Arial"/>
          <w:i/>
          <w:color w:val="000000"/>
          <w:sz w:val="20"/>
        </w:rPr>
        <w:t xml:space="preserve">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w:t>
      </w:r>
      <w:r w:rsidR="007961CE">
        <w:rPr>
          <w:rFonts w:ascii="Arial" w:hAnsi="Arial" w:cs="Arial"/>
          <w:color w:val="000000"/>
          <w:sz w:val="20"/>
        </w:rPr>
        <w:t> </w:t>
      </w:r>
      <w:r w:rsidRPr="00C42902">
        <w:rPr>
          <w:rFonts w:ascii="Arial" w:hAnsi="Arial" w:cs="Arial"/>
          <w:color w:val="000000"/>
          <w:sz w:val="20"/>
        </w:rPr>
        <w:t>pp.47-48 Brooking J said:</w:t>
      </w:r>
    </w:p>
    <w:p w14:paraId="0CB0E803" w14:textId="77777777" w:rsidR="00BD4A44" w:rsidRPr="007961CE" w:rsidRDefault="00BD4A44" w:rsidP="00C37348">
      <w:pPr>
        <w:spacing w:before="60"/>
        <w:ind w:left="907" w:right="454"/>
        <w:jc w:val="both"/>
        <w:rPr>
          <w:rFonts w:ascii="Arial" w:hAnsi="Arial" w:cs="Arial"/>
          <w:iCs/>
          <w:color w:val="000000"/>
          <w:sz w:val="20"/>
          <w:szCs w:val="20"/>
        </w:rPr>
      </w:pPr>
      <w:r w:rsidRPr="007961CE">
        <w:rPr>
          <w:rFonts w:ascii="Arial" w:hAnsi="Arial" w:cs="Arial"/>
          <w:iCs/>
          <w:color w:val="000000"/>
          <w:sz w:val="20"/>
          <w:szCs w:val="20"/>
        </w:rPr>
        <w:t xml:space="preserve">“That there is no right in an accused person to obtain discovery of all documents relevant to a charge undoubtedly remains correct: </w:t>
      </w:r>
      <w:r w:rsidRPr="007961CE">
        <w:rPr>
          <w:rFonts w:ascii="Arial" w:hAnsi="Arial" w:cs="Arial"/>
          <w:i/>
          <w:iCs/>
          <w:color w:val="000000"/>
          <w:sz w:val="20"/>
          <w:szCs w:val="20"/>
        </w:rPr>
        <w:t>R v Charlton</w:t>
      </w:r>
      <w:r w:rsidRPr="007961CE">
        <w:rPr>
          <w:rFonts w:ascii="Arial" w:hAnsi="Arial" w:cs="Arial"/>
          <w:iCs/>
          <w:color w:val="000000"/>
          <w:sz w:val="20"/>
          <w:szCs w:val="20"/>
        </w:rPr>
        <w:t xml:space="preserve"> [1972] VR 758; </w:t>
      </w:r>
      <w:r w:rsidRPr="007961CE">
        <w:rPr>
          <w:rFonts w:ascii="Arial" w:hAnsi="Arial" w:cs="Arial"/>
          <w:i/>
          <w:iCs/>
          <w:color w:val="000000"/>
          <w:sz w:val="20"/>
          <w:szCs w:val="20"/>
        </w:rPr>
        <w:t>Clarkson v DPP</w:t>
      </w:r>
      <w:r w:rsidRPr="007961CE">
        <w:rPr>
          <w:rFonts w:ascii="Arial" w:hAnsi="Arial" w:cs="Arial"/>
          <w:iCs/>
          <w:color w:val="000000"/>
          <w:sz w:val="20"/>
          <w:szCs w:val="20"/>
        </w:rPr>
        <w:t xml:space="preserve"> [1990] VR 745 at 759.  But it </w:t>
      </w:r>
      <w:r w:rsidR="000E7306" w:rsidRPr="007961CE">
        <w:rPr>
          <w:rFonts w:ascii="Arial" w:hAnsi="Arial" w:cs="Arial"/>
          <w:iCs/>
          <w:color w:val="000000"/>
          <w:sz w:val="20"/>
          <w:szCs w:val="20"/>
        </w:rPr>
        <w:t>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Wigmore might lead to a refusal to order production.”</w:t>
      </w:r>
    </w:p>
    <w:p w14:paraId="79C16E43" w14:textId="77777777" w:rsidR="00546E95" w:rsidRPr="009F25D4" w:rsidRDefault="00546E95" w:rsidP="007961CE">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 xml:space="preserve">the inherent power of the Court </w:t>
      </w:r>
      <w:proofErr w:type="spellStart"/>
      <w:r w:rsidRPr="009F25D4">
        <w:rPr>
          <w:rFonts w:ascii="Arial" w:hAnsi="Arial" w:cs="Arial"/>
          <w:color w:val="000000"/>
          <w:sz w:val="20"/>
        </w:rPr>
        <w:t>seised</w:t>
      </w:r>
      <w:proofErr w:type="spellEnd"/>
      <w:r w:rsidRPr="009F25D4">
        <w:rPr>
          <w:rFonts w:ascii="Arial" w:hAnsi="Arial" w:cs="Arial"/>
          <w:color w:val="000000"/>
          <w:sz w:val="20"/>
        </w:rPr>
        <w:t xml:space="preserve">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812268">
      <w:pPr>
        <w:spacing w:before="60"/>
        <w:ind w:left="454"/>
        <w:jc w:val="both"/>
        <w:rPr>
          <w:rFonts w:ascii="Arial" w:hAnsi="Arial" w:cs="Arial"/>
          <w:color w:val="000000"/>
          <w:sz w:val="20"/>
        </w:rPr>
      </w:pPr>
      <w:r w:rsidRPr="009F25D4">
        <w:rPr>
          <w:rFonts w:ascii="Arial" w:hAnsi="Arial" w:cs="Arial"/>
          <w:color w:val="000000"/>
          <w:sz w:val="20"/>
        </w:rPr>
        <w:lastRenderedPageBreak/>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5D5841AB" w:rsidR="00F730A1" w:rsidRDefault="00F730A1" w:rsidP="007C10BC">
      <w:pPr>
        <w:jc w:val="both"/>
        <w:rPr>
          <w:rFonts w:ascii="Arial" w:hAnsi="Arial" w:cs="Arial"/>
          <w:sz w:val="20"/>
        </w:rPr>
      </w:pPr>
      <w:r>
        <w:rPr>
          <w:rFonts w:ascii="Arial" w:hAnsi="Arial" w:cs="Arial"/>
          <w:sz w:val="20"/>
        </w:rPr>
        <w:t xml:space="preserve">As from </w:t>
      </w:r>
      <w:r w:rsidR="009B4872">
        <w:rPr>
          <w:rFonts w:ascii="Arial" w:hAnsi="Arial" w:cs="Arial"/>
          <w:sz w:val="20"/>
        </w:rPr>
        <w:t>20</w:t>
      </w:r>
      <w:r>
        <w:rPr>
          <w:rFonts w:ascii="Arial" w:hAnsi="Arial" w:cs="Arial"/>
          <w:sz w:val="20"/>
        </w:rPr>
        <w:t>/0</w:t>
      </w:r>
      <w:r w:rsidR="009B4872">
        <w:rPr>
          <w:rFonts w:ascii="Arial" w:hAnsi="Arial" w:cs="Arial"/>
          <w:sz w:val="20"/>
        </w:rPr>
        <w:t>3</w:t>
      </w:r>
      <w:r>
        <w:rPr>
          <w:rFonts w:ascii="Arial" w:hAnsi="Arial" w:cs="Arial"/>
          <w:sz w:val="20"/>
        </w:rPr>
        <w:t>/20</w:t>
      </w:r>
      <w:r w:rsidR="00C15213">
        <w:rPr>
          <w:rFonts w:ascii="Arial" w:hAnsi="Arial" w:cs="Arial"/>
          <w:sz w:val="20"/>
        </w:rPr>
        <w:t>2</w:t>
      </w:r>
      <w:r w:rsidR="009B4872">
        <w:rPr>
          <w:rFonts w:ascii="Arial" w:hAnsi="Arial" w:cs="Arial"/>
          <w:sz w:val="20"/>
        </w:rPr>
        <w:t>3</w:t>
      </w:r>
      <w:r>
        <w:rPr>
          <w:rFonts w:ascii="Arial" w:hAnsi="Arial" w:cs="Arial"/>
          <w:sz w:val="20"/>
        </w:rPr>
        <w:t xml:space="preserve"> Practice Direction No. </w:t>
      </w:r>
      <w:r w:rsidR="009B4872">
        <w:rPr>
          <w:rFonts w:ascii="Arial" w:hAnsi="Arial" w:cs="Arial"/>
          <w:sz w:val="20"/>
        </w:rPr>
        <w:t>1</w:t>
      </w:r>
      <w:r>
        <w:rPr>
          <w:rFonts w:ascii="Arial" w:hAnsi="Arial" w:cs="Arial"/>
          <w:sz w:val="20"/>
        </w:rPr>
        <w:t xml:space="preserve"> of 20</w:t>
      </w:r>
      <w:r w:rsidR="003F685D">
        <w:rPr>
          <w:rFonts w:ascii="Arial" w:hAnsi="Arial" w:cs="Arial"/>
          <w:sz w:val="20"/>
        </w:rPr>
        <w:t>2</w:t>
      </w:r>
      <w:r w:rsidR="009B4872">
        <w:rPr>
          <w:rFonts w:ascii="Arial" w:hAnsi="Arial" w:cs="Arial"/>
          <w:sz w:val="20"/>
        </w:rPr>
        <w:t>3</w:t>
      </w:r>
      <w:r>
        <w:rPr>
          <w:rFonts w:ascii="Arial" w:hAnsi="Arial" w:cs="Arial"/>
          <w:sz w:val="20"/>
        </w:rPr>
        <w:t xml:space="preserve"> provides</w:t>
      </w:r>
      <w:r w:rsidR="003F685D">
        <w:rPr>
          <w:rFonts w:ascii="Arial" w:hAnsi="Arial" w:cs="Arial"/>
          <w:sz w:val="20"/>
        </w:rPr>
        <w:t xml:space="preserve"> in paragraphs [26]-[27]</w:t>
      </w:r>
      <w:r>
        <w:rPr>
          <w:rFonts w:ascii="Arial" w:hAnsi="Arial" w:cs="Arial"/>
          <w:sz w:val="20"/>
        </w:rPr>
        <w:t>:</w:t>
      </w:r>
    </w:p>
    <w:p w14:paraId="2C3AF40D" w14:textId="3FEE39D0" w:rsidR="0011696D" w:rsidRDefault="0011696D" w:rsidP="0011696D">
      <w:pPr>
        <w:spacing w:before="60"/>
        <w:ind w:left="454"/>
        <w:jc w:val="both"/>
        <w:rPr>
          <w:rFonts w:ascii="Arial" w:hAnsi="Arial" w:cs="Arial"/>
          <w:sz w:val="20"/>
          <w:szCs w:val="20"/>
        </w:rPr>
      </w:pPr>
      <w:bookmarkStart w:id="778" w:name="_3.5.10_Children_as"/>
      <w:bookmarkStart w:id="779" w:name="B3510"/>
      <w:bookmarkEnd w:id="778"/>
      <w:bookmarkEnd w:id="779"/>
      <w:r>
        <w:rPr>
          <w:rFonts w:ascii="Arial" w:hAnsi="Arial" w:cs="Arial"/>
          <w:sz w:val="20"/>
          <w:szCs w:val="20"/>
        </w:rPr>
        <w:t>[26] “</w:t>
      </w:r>
      <w:r w:rsidR="003F685D" w:rsidRPr="003F685D">
        <w:rPr>
          <w:rFonts w:ascii="Arial" w:hAnsi="Arial" w:cs="Arial"/>
          <w:sz w:val="20"/>
          <w:szCs w:val="20"/>
        </w:rPr>
        <w:t>A party seeking an Order for the release of CRIS notes or updated CRIS notes or any other document(s) (proper</w:t>
      </w:r>
      <w:r>
        <w:rPr>
          <w:rFonts w:ascii="Arial" w:hAnsi="Arial" w:cs="Arial"/>
          <w:sz w:val="20"/>
          <w:szCs w:val="20"/>
        </w:rPr>
        <w:t>l</w:t>
      </w:r>
      <w:r w:rsidR="003F685D" w:rsidRPr="003F685D">
        <w:rPr>
          <w:rFonts w:ascii="Arial" w:hAnsi="Arial" w:cs="Arial"/>
          <w:sz w:val="20"/>
          <w:szCs w:val="20"/>
        </w:rPr>
        <w:t xml:space="preserve">y redacted), must do so as soon as practicable prior to the submissions hearing. </w:t>
      </w:r>
      <w:r w:rsidR="00C15213">
        <w:rPr>
          <w:rFonts w:ascii="Arial" w:hAnsi="Arial" w:cs="Arial"/>
          <w:sz w:val="20"/>
          <w:szCs w:val="20"/>
        </w:rPr>
        <w:t xml:space="preserve"> </w:t>
      </w:r>
      <w:r w:rsidR="003F685D" w:rsidRPr="003F685D">
        <w:rPr>
          <w:rFonts w:ascii="Arial" w:hAnsi="Arial" w:cs="Arial"/>
          <w:sz w:val="20"/>
          <w:szCs w:val="20"/>
        </w:rPr>
        <w:t xml:space="preserve">In the case of reserved submissions, the party seeking access to the CRIS notes should make an application for the release or retention of the CRIS notes when the matter is being adjourned for Reserved Submissions. </w:t>
      </w:r>
      <w:r w:rsidR="00287CDB">
        <w:rPr>
          <w:rFonts w:ascii="Arial" w:hAnsi="Arial" w:cs="Arial"/>
          <w:sz w:val="20"/>
          <w:szCs w:val="20"/>
        </w:rPr>
        <w:t xml:space="preserve"> </w:t>
      </w:r>
      <w:r w:rsidR="003F685D" w:rsidRPr="003F685D">
        <w:rPr>
          <w:rFonts w:ascii="Arial" w:hAnsi="Arial" w:cs="Arial"/>
          <w:sz w:val="20"/>
          <w:szCs w:val="20"/>
        </w:rPr>
        <w:t>Updated CRIS notes must be provided by DFFH to the parties or their legal representatives by midday of the Court working day preceding the Reserved Submissions.</w:t>
      </w:r>
    </w:p>
    <w:p w14:paraId="59FCD8A6" w14:textId="198AF06B" w:rsidR="003F685D" w:rsidRDefault="0011696D" w:rsidP="0011696D">
      <w:pPr>
        <w:spacing w:before="60"/>
        <w:ind w:left="454"/>
        <w:jc w:val="both"/>
        <w:rPr>
          <w:rFonts w:ascii="Arial" w:hAnsi="Arial" w:cs="Arial"/>
          <w:sz w:val="20"/>
          <w:szCs w:val="20"/>
        </w:rPr>
      </w:pPr>
      <w:r>
        <w:rPr>
          <w:rFonts w:ascii="Arial" w:hAnsi="Arial" w:cs="Arial"/>
          <w:sz w:val="20"/>
          <w:szCs w:val="20"/>
        </w:rPr>
        <w:t>[</w:t>
      </w:r>
      <w:r w:rsidR="003F685D" w:rsidRPr="003F685D">
        <w:rPr>
          <w:rFonts w:ascii="Arial" w:hAnsi="Arial" w:cs="Arial"/>
          <w:sz w:val="20"/>
          <w:szCs w:val="20"/>
        </w:rPr>
        <w:t>27</w:t>
      </w:r>
      <w:r>
        <w:rPr>
          <w:rFonts w:ascii="Arial" w:hAnsi="Arial" w:cs="Arial"/>
          <w:sz w:val="20"/>
          <w:szCs w:val="20"/>
        </w:rPr>
        <w:t>]</w:t>
      </w:r>
      <w:r w:rsidR="003F685D" w:rsidRPr="003F685D">
        <w:rPr>
          <w:rFonts w:ascii="Arial" w:hAnsi="Arial" w:cs="Arial"/>
          <w:sz w:val="20"/>
          <w:szCs w:val="20"/>
        </w:rPr>
        <w:t xml:space="preserve"> </w:t>
      </w:r>
      <w:r>
        <w:rPr>
          <w:rFonts w:ascii="Arial" w:hAnsi="Arial" w:cs="Arial"/>
          <w:sz w:val="20"/>
          <w:szCs w:val="20"/>
        </w:rPr>
        <w:t xml:space="preserve"> </w:t>
      </w:r>
      <w:r w:rsidR="003F685D" w:rsidRPr="003F685D">
        <w:rPr>
          <w:rFonts w:ascii="Arial" w:hAnsi="Arial" w:cs="Arial"/>
          <w:sz w:val="20"/>
          <w:szCs w:val="20"/>
        </w:rPr>
        <w:t>At the conclusion of the hearing, all electronic copies of the CRIS notes and other documents must be permanently deleted, and any hard copies returned to the legal representative of DFFH, unless the Court otherwise orders.</w:t>
      </w:r>
      <w:r>
        <w:rPr>
          <w:rFonts w:ascii="Arial" w:hAnsi="Arial" w:cs="Arial"/>
          <w:sz w:val="20"/>
          <w:szCs w:val="20"/>
        </w:rPr>
        <w:t>”</w:t>
      </w:r>
    </w:p>
    <w:p w14:paraId="5698CE2C" w14:textId="77777777" w:rsidR="00641166" w:rsidRPr="00836E86" w:rsidRDefault="00641166" w:rsidP="00641166">
      <w:pPr>
        <w:jc w:val="both"/>
        <w:rPr>
          <w:rFonts w:ascii="Arial" w:hAnsi="Arial" w:cs="Arial"/>
          <w:sz w:val="20"/>
        </w:rPr>
      </w:pPr>
    </w:p>
    <w:p w14:paraId="3F2A42BB"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34EC41E" w14:textId="77777777" w:rsidR="00641166" w:rsidRPr="00836E86" w:rsidRDefault="00641166" w:rsidP="00641166">
      <w:pPr>
        <w:rPr>
          <w:rFonts w:ascii="Arial" w:hAnsi="Arial" w:cs="Arial"/>
          <w:sz w:val="20"/>
        </w:rPr>
      </w:pPr>
    </w:p>
    <w:p w14:paraId="0FC697FB" w14:textId="77777777" w:rsidR="00641166" w:rsidRPr="00836E86" w:rsidRDefault="00641166" w:rsidP="00641166">
      <w:pPr>
        <w:pStyle w:val="ListParagraph"/>
        <w:numPr>
          <w:ilvl w:val="0"/>
          <w:numId w:val="79"/>
        </w:numPr>
        <w:rPr>
          <w:rFonts w:ascii="Arial" w:hAnsi="Arial" w:cs="Arial"/>
          <w:sz w:val="20"/>
        </w:rPr>
      </w:pPr>
      <w:r w:rsidRPr="00836E86">
        <w:rPr>
          <w:rFonts w:ascii="Arial" w:hAnsi="Arial" w:cs="Arial"/>
          <w:sz w:val="20"/>
        </w:rPr>
        <w:br w:type="page"/>
      </w:r>
    </w:p>
    <w:p w14:paraId="5B24FA61" w14:textId="481C078E" w:rsidR="00753D44" w:rsidRDefault="00753D44" w:rsidP="00753D44">
      <w:pPr>
        <w:pStyle w:val="Heading3"/>
        <w:keepNext/>
        <w:spacing w:line="240" w:lineRule="auto"/>
        <w:rPr>
          <w:rFonts w:ascii="Arial" w:hAnsi="Arial" w:cs="Arial"/>
          <w:b/>
          <w:bCs/>
          <w:sz w:val="20"/>
        </w:rPr>
      </w:pPr>
      <w:r>
        <w:rPr>
          <w:rFonts w:ascii="Arial" w:hAnsi="Arial" w:cs="Arial"/>
          <w:b/>
          <w:bCs/>
          <w:sz w:val="20"/>
        </w:rPr>
        <w:lastRenderedPageBreak/>
        <w:t>3.5.10</w:t>
      </w:r>
      <w:r w:rsidR="00B87E69">
        <w:rPr>
          <w:rFonts w:ascii="Arial" w:hAnsi="Arial" w:cs="Arial"/>
          <w:b/>
          <w:bCs/>
          <w:sz w:val="20"/>
        </w:rPr>
        <w:tab/>
      </w:r>
      <w:r w:rsidR="002307C4">
        <w:rPr>
          <w:rFonts w:ascii="Arial" w:hAnsi="Arial" w:cs="Arial"/>
          <w:b/>
          <w:bCs/>
          <w:sz w:val="20"/>
        </w:rPr>
        <w:t>W</w:t>
      </w:r>
      <w:r w:rsidR="00B87E69">
        <w:rPr>
          <w:rFonts w:ascii="Arial" w:hAnsi="Arial" w:cs="Arial"/>
          <w:b/>
          <w:bCs/>
          <w:sz w:val="20"/>
        </w:rPr>
        <w:t>itnesses in court cases</w:t>
      </w:r>
    </w:p>
    <w:p w14:paraId="1C9FF9DA" w14:textId="77777777" w:rsidR="007961CE" w:rsidRPr="00263A4E" w:rsidRDefault="007961CE" w:rsidP="007961CE">
      <w:pPr>
        <w:pStyle w:val="Heading3"/>
        <w:keepNext/>
        <w:spacing w:line="240" w:lineRule="auto"/>
        <w:rPr>
          <w:rFonts w:ascii="Arial" w:hAnsi="Arial" w:cs="Arial"/>
          <w:color w:val="000000"/>
          <w:sz w:val="20"/>
        </w:rPr>
      </w:pPr>
    </w:p>
    <w:p w14:paraId="7213BEF5" w14:textId="1D77985A" w:rsidR="002307C4" w:rsidRPr="008C3BC8" w:rsidRDefault="002307C4" w:rsidP="007961CE">
      <w:pPr>
        <w:pStyle w:val="Heading3"/>
        <w:keepNext/>
        <w:spacing w:line="240" w:lineRule="auto"/>
        <w:rPr>
          <w:rFonts w:ascii="Arial" w:hAnsi="Arial" w:cs="Arial"/>
          <w:b/>
          <w:bCs/>
          <w:color w:val="000000"/>
          <w:sz w:val="20"/>
        </w:rPr>
      </w:pPr>
      <w:bookmarkStart w:id="780" w:name="_3.5.10.1__Ensuring"/>
      <w:bookmarkEnd w:id="780"/>
      <w:r w:rsidRPr="008C3BC8">
        <w:rPr>
          <w:rFonts w:ascii="Arial" w:hAnsi="Arial" w:cs="Arial"/>
          <w:b/>
          <w:bCs/>
          <w:color w:val="000000"/>
          <w:sz w:val="20"/>
        </w:rPr>
        <w:t>3.5.1</w:t>
      </w:r>
      <w:r w:rsidR="007961CE">
        <w:rPr>
          <w:rFonts w:ascii="Arial" w:hAnsi="Arial" w:cs="Arial"/>
          <w:b/>
          <w:bCs/>
          <w:color w:val="000000"/>
          <w:sz w:val="20"/>
        </w:rPr>
        <w:t xml:space="preserve">0.1  </w:t>
      </w:r>
      <w:r>
        <w:rPr>
          <w:rFonts w:ascii="Arial" w:hAnsi="Arial" w:cs="Arial"/>
          <w:b/>
          <w:bCs/>
          <w:color w:val="000000"/>
          <w:sz w:val="20"/>
        </w:rPr>
        <w:t xml:space="preserve">Ensuring attendance of </w:t>
      </w:r>
      <w:r w:rsidR="009C036F">
        <w:rPr>
          <w:rFonts w:ascii="Arial" w:hAnsi="Arial" w:cs="Arial"/>
          <w:b/>
          <w:bCs/>
          <w:color w:val="000000"/>
          <w:sz w:val="20"/>
        </w:rPr>
        <w:t xml:space="preserve">a </w:t>
      </w:r>
      <w:r>
        <w:rPr>
          <w:rFonts w:ascii="Arial" w:hAnsi="Arial" w:cs="Arial"/>
          <w:b/>
          <w:bCs/>
          <w:color w:val="000000"/>
          <w:sz w:val="20"/>
        </w:rPr>
        <w:t xml:space="preserve">witness </w:t>
      </w:r>
      <w:r w:rsidR="005F285B">
        <w:rPr>
          <w:rFonts w:ascii="Arial" w:hAnsi="Arial" w:cs="Arial"/>
          <w:b/>
          <w:bCs/>
          <w:color w:val="000000"/>
          <w:sz w:val="20"/>
        </w:rPr>
        <w:t xml:space="preserve">and/or production of documents </w:t>
      </w:r>
      <w:r w:rsidR="004B5277">
        <w:rPr>
          <w:rFonts w:ascii="Arial" w:hAnsi="Arial" w:cs="Arial"/>
          <w:b/>
          <w:bCs/>
          <w:color w:val="000000"/>
          <w:sz w:val="20"/>
        </w:rPr>
        <w:t xml:space="preserve">or things </w:t>
      </w:r>
      <w:r>
        <w:rPr>
          <w:rFonts w:ascii="Arial" w:hAnsi="Arial" w:cs="Arial"/>
          <w:b/>
          <w:bCs/>
          <w:color w:val="000000"/>
          <w:sz w:val="20"/>
        </w:rPr>
        <w:t>at court</w:t>
      </w:r>
    </w:p>
    <w:p w14:paraId="0A5B57B9" w14:textId="5DF6C8F3" w:rsidR="007B1842" w:rsidRDefault="007B1842" w:rsidP="007B1842">
      <w:pPr>
        <w:spacing w:before="120"/>
        <w:jc w:val="both"/>
        <w:rPr>
          <w:rFonts w:ascii="Arial" w:hAnsi="Arial" w:cs="Arial"/>
          <w:color w:val="000000"/>
          <w:sz w:val="20"/>
        </w:rPr>
      </w:pPr>
      <w:r>
        <w:rPr>
          <w:rFonts w:ascii="Arial" w:hAnsi="Arial" w:cs="Arial"/>
          <w:color w:val="000000"/>
          <w:sz w:val="20"/>
        </w:rPr>
        <w:t xml:space="preserve">A party generally ensures the attendance of the party’s witness at court and/or the production of documents </w:t>
      </w:r>
      <w:r w:rsidR="004B5277">
        <w:rPr>
          <w:rFonts w:ascii="Arial" w:hAnsi="Arial" w:cs="Arial"/>
          <w:color w:val="000000"/>
          <w:sz w:val="20"/>
        </w:rPr>
        <w:t xml:space="preserve">or things </w:t>
      </w:r>
      <w:r>
        <w:rPr>
          <w:rFonts w:ascii="Arial" w:hAnsi="Arial" w:cs="Arial"/>
          <w:color w:val="000000"/>
          <w:sz w:val="20"/>
        </w:rPr>
        <w:t>by obtaining and serving a witness summons (also known as a subpoena).  The</w:t>
      </w:r>
      <w:r w:rsidR="004B5277">
        <w:rPr>
          <w:rFonts w:ascii="Arial" w:hAnsi="Arial" w:cs="Arial"/>
          <w:color w:val="000000"/>
          <w:sz w:val="20"/>
        </w:rPr>
        <w:t> </w:t>
      </w:r>
      <w:r w:rsidR="00FD05F8">
        <w:rPr>
          <w:rFonts w:ascii="Arial" w:hAnsi="Arial" w:cs="Arial"/>
          <w:color w:val="000000"/>
          <w:sz w:val="20"/>
        </w:rPr>
        <w:t xml:space="preserve">Family Division of the </w:t>
      </w:r>
      <w:r>
        <w:rPr>
          <w:rFonts w:ascii="Arial" w:hAnsi="Arial" w:cs="Arial"/>
          <w:color w:val="000000"/>
          <w:sz w:val="20"/>
        </w:rPr>
        <w:t xml:space="preserve">Children’s Court can also compel the attendance of a witness at court and/or the production of documents </w:t>
      </w:r>
      <w:r w:rsidR="004B5277">
        <w:rPr>
          <w:rFonts w:ascii="Arial" w:hAnsi="Arial" w:cs="Arial"/>
          <w:color w:val="000000"/>
          <w:sz w:val="20"/>
        </w:rPr>
        <w:t xml:space="preserve">or things </w:t>
      </w:r>
      <w:r>
        <w:rPr>
          <w:rFonts w:ascii="Arial" w:hAnsi="Arial" w:cs="Arial"/>
          <w:color w:val="000000"/>
          <w:sz w:val="20"/>
        </w:rPr>
        <w:t>on its own motion.</w:t>
      </w:r>
    </w:p>
    <w:p w14:paraId="742986B9" w14:textId="77777777" w:rsidR="007B1842" w:rsidRDefault="007B1842" w:rsidP="00725634">
      <w:pPr>
        <w:jc w:val="both"/>
        <w:rPr>
          <w:rFonts w:ascii="Arial" w:hAnsi="Arial" w:cs="Arial"/>
          <w:color w:val="000000"/>
          <w:sz w:val="20"/>
        </w:rPr>
      </w:pPr>
    </w:p>
    <w:p w14:paraId="41C2F898" w14:textId="33587ED9" w:rsidR="00725634" w:rsidRPr="001C6E0E" w:rsidRDefault="00725634" w:rsidP="005F285B">
      <w:pPr>
        <w:pStyle w:val="Heading3"/>
        <w:keepNext/>
        <w:keepLines/>
        <w:widowControl/>
        <w:spacing w:after="120" w:line="240" w:lineRule="auto"/>
        <w:ind w:left="284" w:hanging="284"/>
        <w:rPr>
          <w:rFonts w:ascii="Arial" w:hAnsi="Arial" w:cs="Arial"/>
          <w:b/>
          <w:bCs/>
          <w:color w:val="000000"/>
          <w:sz w:val="20"/>
        </w:rPr>
      </w:pPr>
      <w:bookmarkStart w:id="781" w:name="_A_WITNESS_SUMMONSES"/>
      <w:bookmarkEnd w:id="781"/>
      <w:r>
        <w:rPr>
          <w:rFonts w:ascii="Arial" w:hAnsi="Arial" w:cs="Arial"/>
          <w:b/>
          <w:color w:val="FFFFFF"/>
          <w:sz w:val="22"/>
          <w:shd w:val="clear" w:color="auto" w:fill="000000"/>
        </w:rPr>
        <w:t>A</w:t>
      </w:r>
      <w:r>
        <w:rPr>
          <w:rFonts w:ascii="Arial" w:hAnsi="Arial" w:cs="Arial"/>
          <w:b/>
          <w:color w:val="000000"/>
          <w:sz w:val="22"/>
        </w:rPr>
        <w:tab/>
      </w:r>
      <w:r>
        <w:rPr>
          <w:rFonts w:ascii="Arial" w:hAnsi="Arial" w:cs="Arial"/>
          <w:b/>
          <w:bCs/>
          <w:color w:val="FFFFFF" w:themeColor="background1"/>
          <w:sz w:val="20"/>
          <w:shd w:val="clear" w:color="auto" w:fill="000000" w:themeFill="text1"/>
        </w:rPr>
        <w:t>WITNESS SUMMONSE</w:t>
      </w:r>
      <w:r w:rsidR="00812268">
        <w:rPr>
          <w:rFonts w:ascii="Arial" w:hAnsi="Arial" w:cs="Arial"/>
          <w:b/>
          <w:bCs/>
          <w:color w:val="FFFFFF" w:themeColor="background1"/>
          <w:sz w:val="20"/>
          <w:shd w:val="clear" w:color="auto" w:fill="000000" w:themeFill="text1"/>
        </w:rPr>
        <w:t>S IN THE FAMILY DIVISION</w:t>
      </w:r>
    </w:p>
    <w:p w14:paraId="40BBD28A" w14:textId="4B95F61B" w:rsidR="002307C4" w:rsidRDefault="00725634" w:rsidP="005F285B">
      <w:pPr>
        <w:jc w:val="both"/>
        <w:rPr>
          <w:rFonts w:ascii="Arial" w:hAnsi="Arial" w:cs="Arial"/>
          <w:color w:val="000000"/>
          <w:sz w:val="20"/>
        </w:rPr>
      </w:pPr>
      <w:r>
        <w:rPr>
          <w:rFonts w:ascii="Arial" w:hAnsi="Arial" w:cs="Arial"/>
          <w:color w:val="000000"/>
          <w:sz w:val="20"/>
        </w:rPr>
        <w:t>Section 532 of the CYFA provide</w:t>
      </w:r>
      <w:r w:rsidR="00263A4E">
        <w:rPr>
          <w:rFonts w:ascii="Arial" w:hAnsi="Arial" w:cs="Arial"/>
          <w:color w:val="000000"/>
          <w:sz w:val="20"/>
        </w:rPr>
        <w:t>s</w:t>
      </w:r>
      <w:r w:rsidR="00812268">
        <w:rPr>
          <w:rFonts w:ascii="Arial" w:hAnsi="Arial" w:cs="Arial"/>
          <w:color w:val="000000"/>
          <w:sz w:val="20"/>
        </w:rPr>
        <w:t>:</w:t>
      </w:r>
    </w:p>
    <w:p w14:paraId="0088D905" w14:textId="1155C67E" w:rsidR="002307C4" w:rsidRPr="00812268" w:rsidRDefault="00812268" w:rsidP="00263A4E">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The Family Division (on the application of a party or without that application) or a registrar may issue the following witness summonses</w:t>
      </w:r>
      <w:r>
        <w:rPr>
          <w:rFonts w:ascii="Arial" w:hAnsi="Arial" w:cs="Arial"/>
          <w:color w:val="000000"/>
          <w:sz w:val="20"/>
        </w:rPr>
        <w:t>–</w:t>
      </w:r>
    </w:p>
    <w:p w14:paraId="7A48D370" w14:textId="2045E9A1" w:rsidR="007961CE"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give evidence;</w:t>
      </w:r>
    </w:p>
    <w:p w14:paraId="35208301" w14:textId="6BC08746" w:rsidR="00812268"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produce documents or things;</w:t>
      </w:r>
    </w:p>
    <w:p w14:paraId="54126B42" w14:textId="063DF93B" w:rsidR="00812268" w:rsidRPr="00812268" w:rsidRDefault="00812268">
      <w:pPr>
        <w:pStyle w:val="ListParagraph"/>
        <w:numPr>
          <w:ilvl w:val="0"/>
          <w:numId w:val="107"/>
        </w:numPr>
        <w:ind w:left="1475" w:right="567" w:hanging="454"/>
        <w:jc w:val="both"/>
        <w:rPr>
          <w:rFonts w:ascii="Arial" w:hAnsi="Arial" w:cs="Arial"/>
          <w:color w:val="000000"/>
          <w:sz w:val="20"/>
        </w:rPr>
      </w:pPr>
      <w:r>
        <w:rPr>
          <w:rFonts w:ascii="Arial" w:hAnsi="Arial" w:cs="Arial"/>
          <w:color w:val="000000"/>
          <w:sz w:val="20"/>
        </w:rPr>
        <w:t>summons to give evidence and produce documents or things.</w:t>
      </w:r>
    </w:p>
    <w:p w14:paraId="60C907E8" w14:textId="4F55296D" w:rsidR="00812268" w:rsidRPr="00812268" w:rsidRDefault="00812268" w:rsidP="00263A4E">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Any party to a proceeding in the Family Division may apply for the issue of a witness summons.</w:t>
      </w:r>
    </w:p>
    <w:p w14:paraId="16A1FD31" w14:textId="33DD82BE" w:rsidR="00812268" w:rsidRDefault="00812268" w:rsidP="00263A4E">
      <w:pPr>
        <w:spacing w:before="60"/>
        <w:ind w:left="1021" w:right="567" w:hanging="454"/>
        <w:jc w:val="both"/>
        <w:rPr>
          <w:rFonts w:ascii="Arial" w:hAnsi="Arial" w:cs="Arial"/>
          <w:sz w:val="20"/>
          <w:szCs w:val="20"/>
        </w:rPr>
      </w:pPr>
      <w:r>
        <w:rPr>
          <w:rFonts w:ascii="Arial" w:hAnsi="Arial" w:cs="Arial"/>
          <w:sz w:val="20"/>
        </w:rPr>
        <w:t>(3)</w:t>
      </w:r>
      <w:r>
        <w:rPr>
          <w:rFonts w:ascii="Arial" w:hAnsi="Arial" w:cs="Arial"/>
          <w:sz w:val="20"/>
        </w:rPr>
        <w:tab/>
        <w:t xml:space="preserve">A witness summons may be directed to any person who appears </w:t>
      </w:r>
      <w:r w:rsidR="00263A4E" w:rsidRPr="00263A4E">
        <w:rPr>
          <w:rFonts w:ascii="Arial" w:hAnsi="Arial" w:cs="Arial"/>
          <w:sz w:val="20"/>
          <w:szCs w:val="20"/>
        </w:rPr>
        <w:t>to the Court or registrar issuing the summons to be likely—</w:t>
      </w:r>
    </w:p>
    <w:p w14:paraId="695DC0A7" w14:textId="13262940"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to be able to give material evidence for any party to the proceeding or the Court; or</w:t>
      </w:r>
    </w:p>
    <w:p w14:paraId="4CB4AB72" w14:textId="3A09495A"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to have in the person's possession or control any documents or things which may be relevant on the hearing of the proceeding; or</w:t>
      </w:r>
    </w:p>
    <w:p w14:paraId="4A221A04" w14:textId="114FD804"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(c)</w:t>
      </w:r>
      <w:r w:rsidRPr="00263A4E">
        <w:rPr>
          <w:rFonts w:ascii="Arial" w:hAnsi="Arial" w:cs="Arial"/>
          <w:sz w:val="20"/>
        </w:rPr>
        <w:tab/>
        <w:t>both to be able to give material evidence and to have in the person's possession or control any relevant documents or things.</w:t>
      </w:r>
    </w:p>
    <w:p w14:paraId="3DBD6CD4" w14:textId="34D2622A" w:rsidR="00812268" w:rsidRPr="00812268" w:rsidRDefault="00812268" w:rsidP="00263A4E">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r>
      <w:r w:rsidR="00263A4E" w:rsidRPr="00263A4E">
        <w:rPr>
          <w:rFonts w:ascii="Arial" w:hAnsi="Arial" w:cs="Arial"/>
          <w:sz w:val="20"/>
          <w:szCs w:val="20"/>
        </w:rPr>
        <w:t>A witness summons must require the person to whom it is directed to attend at a specified venue of the Court on a certain date and at a certain time—</w:t>
      </w:r>
    </w:p>
    <w:p w14:paraId="3B1E3D68" w14:textId="39244E51"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to give evidence in the proceeding; or</w:t>
      </w:r>
    </w:p>
    <w:p w14:paraId="6B1C1B90" w14:textId="40DD3A64"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to produce for examination at the hearing any documents or things described in the summons that are in the person's possession or control; or</w:t>
      </w:r>
    </w:p>
    <w:p w14:paraId="16C26F77" w14:textId="1C74D7D5" w:rsidR="00263A4E" w:rsidRPr="00263A4E" w:rsidRDefault="00263A4E" w:rsidP="00263A4E">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(c)</w:t>
      </w:r>
      <w:r w:rsidRPr="00263A4E">
        <w:rPr>
          <w:rFonts w:ascii="Arial" w:hAnsi="Arial" w:cs="Arial"/>
          <w:sz w:val="20"/>
        </w:rPr>
        <w:tab/>
        <w:t>both to give evidence and produce for examination any documents or things described in the summons that are in the person's possession or control.</w:t>
      </w:r>
    </w:p>
    <w:p w14:paraId="1AD5592F" w14:textId="5DBC373C"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(5)</w:t>
      </w:r>
      <w:r w:rsidRPr="00263A4E">
        <w:rPr>
          <w:rFonts w:ascii="Arial" w:hAnsi="Arial" w:cs="Arial"/>
          <w:sz w:val="20"/>
          <w:szCs w:val="20"/>
        </w:rPr>
        <w:tab/>
        <w:t>A witness summons must be served on a person a reasonable time before the return date by—</w:t>
      </w:r>
    </w:p>
    <w:p w14:paraId="4785BBB2" w14:textId="6E90121A" w:rsidR="00180C61" w:rsidRPr="00263A4E" w:rsidRDefault="00263A4E" w:rsidP="00180C61">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t>delivering a copy of the summons to the person personally; or</w:t>
      </w:r>
    </w:p>
    <w:p w14:paraId="3E9CA577" w14:textId="28136DB4" w:rsidR="00180C61" w:rsidRPr="00263A4E" w:rsidRDefault="00263A4E" w:rsidP="00180C61">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t>leaving a copy of the summons for the person at the person's last or most usual place of residence or of business with a person who apparently resides or works there and who apparently is not less than 16 years of age.</w:t>
      </w:r>
    </w:p>
    <w:p w14:paraId="72352CA1" w14:textId="3B29A96D"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(6)</w:t>
      </w:r>
      <w:r w:rsidRPr="00263A4E">
        <w:rPr>
          <w:rFonts w:ascii="Arial" w:hAnsi="Arial" w:cs="Arial"/>
          <w:sz w:val="20"/>
          <w:szCs w:val="20"/>
        </w:rPr>
        <w:tab/>
        <w:t xml:space="preserve">If it appears to the Court, by evidence on oath </w:t>
      </w:r>
      <w:r w:rsidRPr="00263A4E">
        <w:rPr>
          <w:rFonts w:ascii="Arial" w:hAnsi="Arial" w:cs="Arial"/>
          <w:sz w:val="20"/>
          <w:szCs w:val="20"/>
          <w:lang w:eastAsia="en-AU"/>
        </w:rPr>
        <w:t>or by affirmation</w:t>
      </w:r>
      <w:r w:rsidRPr="00263A4E">
        <w:rPr>
          <w:rFonts w:ascii="Arial" w:hAnsi="Arial" w:cs="Arial"/>
          <w:sz w:val="20"/>
          <w:szCs w:val="20"/>
        </w:rPr>
        <w:t xml:space="preserve"> or by affidavit, that service cannot be promptly effected, the Court may make an order for substituted service.</w:t>
      </w:r>
    </w:p>
    <w:p w14:paraId="48558B25" w14:textId="3BA8499A"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(7)</w:t>
      </w:r>
      <w:r w:rsidRPr="00263A4E">
        <w:rPr>
          <w:rFonts w:ascii="Arial" w:hAnsi="Arial" w:cs="Arial"/>
          <w:sz w:val="20"/>
          <w:szCs w:val="20"/>
        </w:rPr>
        <w:tab/>
        <w:t>If the person to be served with the witness summons is a company or registered body (within</w:t>
      </w:r>
      <w:r w:rsidRPr="00263A4E">
        <w:rPr>
          <w:rFonts w:ascii="Arial" w:hAnsi="Arial" w:cs="Arial"/>
          <w:b/>
          <w:sz w:val="20"/>
          <w:szCs w:val="20"/>
        </w:rPr>
        <w:t> </w:t>
      </w:r>
      <w:r w:rsidRPr="00263A4E">
        <w:rPr>
          <w:rFonts w:ascii="Arial" w:hAnsi="Arial" w:cs="Arial"/>
          <w:sz w:val="20"/>
          <w:szCs w:val="20"/>
        </w:rPr>
        <w:t>the meaning of the Corporations Act), the</w:t>
      </w:r>
      <w:r w:rsidRPr="00263A4E">
        <w:rPr>
          <w:rFonts w:ascii="Arial" w:hAnsi="Arial" w:cs="Arial"/>
          <w:b/>
          <w:sz w:val="20"/>
          <w:szCs w:val="20"/>
        </w:rPr>
        <w:t> </w:t>
      </w:r>
      <w:r w:rsidRPr="00263A4E">
        <w:rPr>
          <w:rFonts w:ascii="Arial" w:hAnsi="Arial" w:cs="Arial"/>
          <w:sz w:val="20"/>
          <w:szCs w:val="20"/>
        </w:rPr>
        <w:t>summons may be served on that person in accordance with section 109X or 601CX of that Act, as the case requires.</w:t>
      </w:r>
    </w:p>
    <w:p w14:paraId="421C75EE" w14:textId="08EAE86E" w:rsidR="00180C61" w:rsidRPr="00812268" w:rsidRDefault="00263A4E" w:rsidP="00180C61">
      <w:pPr>
        <w:spacing w:before="60"/>
        <w:ind w:left="1021" w:right="567" w:hanging="454"/>
        <w:jc w:val="both"/>
        <w:rPr>
          <w:rFonts w:ascii="Arial" w:hAnsi="Arial" w:cs="Arial"/>
          <w:sz w:val="20"/>
        </w:rPr>
      </w:pPr>
      <w:r w:rsidRPr="00263A4E">
        <w:rPr>
          <w:rFonts w:ascii="Arial" w:hAnsi="Arial" w:cs="Arial"/>
          <w:sz w:val="20"/>
          <w:szCs w:val="20"/>
        </w:rPr>
        <w:t>(8)</w:t>
      </w:r>
      <w:r w:rsidRPr="00263A4E">
        <w:rPr>
          <w:rFonts w:ascii="Arial" w:hAnsi="Arial" w:cs="Arial"/>
          <w:sz w:val="20"/>
          <w:szCs w:val="20"/>
        </w:rPr>
        <w:tab/>
        <w:t>A person to whom a witness summons is directed is, subject to subsection (9), excused from complying with the summons unless conduct money is given or tendered to the person at the time of service of the summons or a reasonable time before the return date.</w:t>
      </w:r>
    </w:p>
    <w:p w14:paraId="34481AB4" w14:textId="0D40D60B" w:rsidR="009C036F" w:rsidRPr="00812268" w:rsidRDefault="00263A4E" w:rsidP="009C036F">
      <w:pPr>
        <w:spacing w:before="60"/>
        <w:ind w:left="1021" w:right="567" w:hanging="454"/>
        <w:jc w:val="both"/>
        <w:rPr>
          <w:rFonts w:ascii="Arial" w:hAnsi="Arial" w:cs="Arial"/>
          <w:sz w:val="20"/>
        </w:rPr>
      </w:pPr>
      <w:r w:rsidRPr="00263A4E">
        <w:rPr>
          <w:rFonts w:ascii="Arial" w:hAnsi="Arial" w:cs="Arial"/>
          <w:sz w:val="20"/>
          <w:szCs w:val="20"/>
        </w:rPr>
        <w:t>(9)</w:t>
      </w:r>
      <w:r w:rsidRPr="00263A4E">
        <w:rPr>
          <w:rFonts w:ascii="Arial" w:hAnsi="Arial" w:cs="Arial"/>
          <w:sz w:val="20"/>
          <w:szCs w:val="20"/>
        </w:rPr>
        <w:tab/>
        <w:t>It is not necessary to give or tender conduct money to a person to whom a witness summons is directed if the person will not reasonably incur any expenses in complying with the summons.</w:t>
      </w:r>
    </w:p>
    <w:p w14:paraId="206BA51C" w14:textId="167C2E99" w:rsidR="009C036F" w:rsidRPr="00812268" w:rsidRDefault="00263A4E" w:rsidP="009C036F">
      <w:pPr>
        <w:spacing w:before="60"/>
        <w:ind w:left="1021" w:right="567" w:hanging="454"/>
        <w:jc w:val="both"/>
        <w:rPr>
          <w:rFonts w:ascii="Arial" w:hAnsi="Arial" w:cs="Arial"/>
          <w:sz w:val="20"/>
        </w:rPr>
      </w:pPr>
      <w:r w:rsidRPr="00263A4E">
        <w:rPr>
          <w:rFonts w:ascii="Arial" w:hAnsi="Arial" w:cs="Arial"/>
          <w:sz w:val="20"/>
          <w:szCs w:val="20"/>
        </w:rPr>
        <w:t>(10)</w:t>
      </w:r>
      <w:r w:rsidRPr="00263A4E">
        <w:rPr>
          <w:rFonts w:ascii="Arial" w:hAnsi="Arial" w:cs="Arial"/>
          <w:sz w:val="20"/>
          <w:szCs w:val="20"/>
        </w:rPr>
        <w:tab/>
        <w:t xml:space="preserve">Unless the Court or the registrar issuing the summons otherwise directs, a summons to produce documents or things or a summons to give evidence and produce documents or things permits the person to whom the summons is directed, instead of producing the document or thing at the hearing, to produce it, together with a copy of the summons, to the </w:t>
      </w:r>
      <w:r w:rsidR="005F285B">
        <w:rPr>
          <w:rFonts w:ascii="Arial" w:hAnsi="Arial" w:cs="Arial"/>
          <w:sz w:val="20"/>
          <w:szCs w:val="20"/>
        </w:rPr>
        <w:t>Court</w:t>
      </w:r>
      <w:r w:rsidRPr="00263A4E">
        <w:rPr>
          <w:rFonts w:ascii="Arial" w:hAnsi="Arial" w:cs="Arial"/>
          <w:sz w:val="20"/>
          <w:szCs w:val="20"/>
        </w:rPr>
        <w:t xml:space="preserve"> not later than 2 days before the first day on which production is required.</w:t>
      </w:r>
    </w:p>
    <w:p w14:paraId="525CE71D" w14:textId="38F9D24D"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t>(11)</w:t>
      </w:r>
      <w:r w:rsidRPr="00263A4E">
        <w:rPr>
          <w:rFonts w:ascii="Arial" w:hAnsi="Arial" w:cs="Arial"/>
          <w:sz w:val="20"/>
          <w:szCs w:val="20"/>
        </w:rPr>
        <w:tab/>
        <w:t xml:space="preserve">If </w:t>
      </w:r>
      <w:r w:rsidR="004B5277" w:rsidRPr="00263A4E">
        <w:rPr>
          <w:rFonts w:ascii="Arial" w:hAnsi="Arial" w:cs="Arial"/>
          <w:sz w:val="20"/>
          <w:szCs w:val="20"/>
        </w:rPr>
        <w:t>requested to do so</w:t>
      </w:r>
      <w:r w:rsidR="004B5277">
        <w:rPr>
          <w:rFonts w:ascii="Arial" w:hAnsi="Arial" w:cs="Arial"/>
          <w:sz w:val="20"/>
          <w:szCs w:val="20"/>
        </w:rPr>
        <w:t>, the Court must give a receipt to a person who produces</w:t>
      </w:r>
      <w:r w:rsidR="004B5277" w:rsidRPr="00263A4E">
        <w:rPr>
          <w:rFonts w:ascii="Arial" w:hAnsi="Arial" w:cs="Arial"/>
          <w:sz w:val="20"/>
          <w:szCs w:val="20"/>
        </w:rPr>
        <w:t xml:space="preserve"> </w:t>
      </w:r>
      <w:r w:rsidRPr="00263A4E">
        <w:rPr>
          <w:rFonts w:ascii="Arial" w:hAnsi="Arial" w:cs="Arial"/>
          <w:sz w:val="20"/>
          <w:szCs w:val="20"/>
        </w:rPr>
        <w:t xml:space="preserve">a document or thing </w:t>
      </w:r>
      <w:r w:rsidR="004B5277">
        <w:rPr>
          <w:rFonts w:ascii="Arial" w:hAnsi="Arial" w:cs="Arial"/>
          <w:sz w:val="20"/>
          <w:szCs w:val="20"/>
        </w:rPr>
        <w:t>to the Court under subsection (10).</w:t>
      </w:r>
    </w:p>
    <w:p w14:paraId="1BC67512" w14:textId="55EAC779"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lastRenderedPageBreak/>
        <w:t>(12)</w:t>
      </w:r>
      <w:r w:rsidRPr="00263A4E">
        <w:rPr>
          <w:rFonts w:ascii="Arial" w:hAnsi="Arial" w:cs="Arial"/>
          <w:sz w:val="20"/>
          <w:szCs w:val="20"/>
        </w:rPr>
        <w:tab/>
        <w:t xml:space="preserve">The production of a document or thing to the </w:t>
      </w:r>
      <w:r w:rsidR="004B5277">
        <w:rPr>
          <w:rFonts w:ascii="Arial" w:hAnsi="Arial" w:cs="Arial"/>
          <w:sz w:val="20"/>
          <w:szCs w:val="20"/>
        </w:rPr>
        <w:t>Court</w:t>
      </w:r>
      <w:r w:rsidRPr="00263A4E">
        <w:rPr>
          <w:rFonts w:ascii="Arial" w:hAnsi="Arial" w:cs="Arial"/>
          <w:sz w:val="20"/>
          <w:szCs w:val="20"/>
        </w:rPr>
        <w:t xml:space="preserve"> under subsection (10) in answer to a summons to give evidence and produce documents or things does not remove the requirement on the person to whom the summons is directed to attend for the purpose of giving evidence.</w:t>
      </w:r>
    </w:p>
    <w:p w14:paraId="39507499" w14:textId="77777777" w:rsidR="00033752" w:rsidRPr="00812268" w:rsidRDefault="00263A4E" w:rsidP="00033752">
      <w:pPr>
        <w:spacing w:before="60"/>
        <w:ind w:left="1021" w:right="567" w:hanging="454"/>
        <w:jc w:val="both"/>
        <w:rPr>
          <w:rFonts w:ascii="Arial" w:hAnsi="Arial" w:cs="Arial"/>
          <w:sz w:val="20"/>
        </w:rPr>
      </w:pPr>
      <w:r w:rsidRPr="00263A4E">
        <w:rPr>
          <w:rFonts w:ascii="Arial" w:hAnsi="Arial" w:cs="Arial"/>
          <w:sz w:val="20"/>
          <w:szCs w:val="20"/>
        </w:rPr>
        <w:t>(13)</w:t>
      </w:r>
      <w:r w:rsidRPr="00263A4E">
        <w:rPr>
          <w:rFonts w:ascii="Arial" w:hAnsi="Arial" w:cs="Arial"/>
          <w:sz w:val="20"/>
          <w:szCs w:val="20"/>
        </w:rPr>
        <w:tab/>
        <w:t>The Court may direct that a witness who has attended before the Court in answer to a witness summons is entitled to receive from the party who applied for the issue of the witness summons conduct money for each day of attendance.</w:t>
      </w:r>
    </w:p>
    <w:p w14:paraId="3564A337" w14:textId="745AB74F" w:rsidR="00033752" w:rsidRPr="004B5277" w:rsidRDefault="00263A4E" w:rsidP="00033752">
      <w:pPr>
        <w:spacing w:before="60"/>
        <w:ind w:left="1021" w:right="567" w:hanging="454"/>
        <w:jc w:val="both"/>
        <w:rPr>
          <w:rFonts w:ascii="Arial" w:hAnsi="Arial" w:cs="Arial"/>
          <w:sz w:val="20"/>
          <w:szCs w:val="20"/>
        </w:rPr>
      </w:pPr>
      <w:r w:rsidRPr="004B5277">
        <w:rPr>
          <w:rFonts w:ascii="Arial" w:hAnsi="Arial" w:cs="Arial"/>
          <w:sz w:val="20"/>
          <w:szCs w:val="20"/>
        </w:rPr>
        <w:t>(14)</w:t>
      </w:r>
      <w:r w:rsidRPr="004B5277">
        <w:rPr>
          <w:rFonts w:ascii="Arial" w:hAnsi="Arial" w:cs="Arial"/>
          <w:sz w:val="20"/>
          <w:szCs w:val="20"/>
        </w:rPr>
        <w:tab/>
        <w:t>Nothing in this section</w:t>
      </w:r>
      <w:r w:rsidR="004B5277" w:rsidRPr="004B5277">
        <w:rPr>
          <w:rFonts w:ascii="Arial" w:hAnsi="Arial" w:cs="Arial"/>
          <w:sz w:val="20"/>
          <w:szCs w:val="20"/>
        </w:rPr>
        <w:t xml:space="preserve"> derogates from the power of the Court to certify that a witness be paid his or her expenses of attending before the Court.</w:t>
      </w:r>
      <w:r w:rsidR="00E2760C">
        <w:rPr>
          <w:rFonts w:ascii="Arial" w:hAnsi="Arial" w:cs="Arial"/>
          <w:sz w:val="20"/>
          <w:szCs w:val="20"/>
        </w:rPr>
        <w:t>”</w:t>
      </w:r>
    </w:p>
    <w:p w14:paraId="29342E04" w14:textId="38944C10" w:rsidR="00263A4E" w:rsidRDefault="00263A4E" w:rsidP="00CF7950">
      <w:pPr>
        <w:rPr>
          <w:rFonts w:ascii="Arial" w:hAnsi="Arial" w:cs="Arial"/>
          <w:sz w:val="20"/>
          <w:szCs w:val="20"/>
        </w:rPr>
      </w:pPr>
    </w:p>
    <w:p w14:paraId="2C36C134" w14:textId="66644935" w:rsidR="00CF7950" w:rsidRDefault="00CF7950" w:rsidP="00CF7950">
      <w:pPr>
        <w:jc w:val="both"/>
        <w:rPr>
          <w:rFonts w:ascii="Arial" w:hAnsi="Arial" w:cs="Arial"/>
          <w:sz w:val="20"/>
          <w:szCs w:val="20"/>
        </w:rPr>
      </w:pPr>
      <w:r w:rsidRPr="00CF7950">
        <w:rPr>
          <w:rFonts w:ascii="Arial" w:hAnsi="Arial" w:cs="Arial"/>
          <w:sz w:val="20"/>
          <w:szCs w:val="20"/>
        </w:rPr>
        <w:t xml:space="preserve">The following prescribed forms are contained in the </w:t>
      </w:r>
      <w:bookmarkStart w:id="782" w:name="tpActTitle"/>
      <w:r w:rsidRPr="00CF7950">
        <w:rPr>
          <w:rFonts w:ascii="Arial" w:hAnsi="Arial" w:cs="Arial"/>
          <w:i/>
          <w:iCs/>
          <w:sz w:val="20"/>
          <w:szCs w:val="20"/>
        </w:rPr>
        <w:t>Children, Youth and Families (Children's Court Family Division) Rules</w:t>
      </w:r>
      <w:r>
        <w:rPr>
          <w:rFonts w:ascii="Arial" w:hAnsi="Arial" w:cs="Arial"/>
          <w:i/>
          <w:iCs/>
          <w:sz w:val="20"/>
          <w:szCs w:val="20"/>
        </w:rPr>
        <w:t xml:space="preserve"> </w:t>
      </w:r>
      <w:r w:rsidRPr="00CF7950">
        <w:rPr>
          <w:rFonts w:ascii="Arial" w:hAnsi="Arial" w:cs="Arial"/>
          <w:i/>
          <w:iCs/>
          <w:sz w:val="20"/>
          <w:szCs w:val="20"/>
        </w:rPr>
        <w:t>2017</w:t>
      </w:r>
      <w:r>
        <w:rPr>
          <w:rFonts w:ascii="Arial" w:hAnsi="Arial" w:cs="Arial"/>
          <w:sz w:val="20"/>
          <w:szCs w:val="20"/>
        </w:rPr>
        <w:t xml:space="preserve"> [</w:t>
      </w:r>
      <w:bookmarkEnd w:id="782"/>
      <w:r>
        <w:rPr>
          <w:rFonts w:ascii="Arial" w:hAnsi="Arial" w:cs="Arial"/>
          <w:sz w:val="20"/>
          <w:szCs w:val="20"/>
        </w:rPr>
        <w:t>S</w:t>
      </w:r>
      <w:r w:rsidRPr="00CF7950">
        <w:rPr>
          <w:rFonts w:ascii="Arial" w:hAnsi="Arial" w:cs="Arial"/>
          <w:sz w:val="20"/>
          <w:szCs w:val="20"/>
        </w:rPr>
        <w:t>.R. No. 20/2017</w:t>
      </w:r>
      <w:r>
        <w:rPr>
          <w:rFonts w:ascii="Arial" w:hAnsi="Arial" w:cs="Arial"/>
          <w:sz w:val="20"/>
          <w:szCs w:val="20"/>
        </w:rPr>
        <w:t>]:</w:t>
      </w:r>
    </w:p>
    <w:p w14:paraId="30595DCE" w14:textId="5CFAC1E9" w:rsidR="00CF7950" w:rsidRDefault="00CF7950" w:rsidP="00CF7950">
      <w:pPr>
        <w:ind w:left="1191" w:hanging="624"/>
        <w:jc w:val="both"/>
        <w:rPr>
          <w:rFonts w:ascii="Arial" w:hAnsi="Arial" w:cs="Arial"/>
          <w:color w:val="000000"/>
          <w:sz w:val="20"/>
        </w:rPr>
      </w:pPr>
      <w:r>
        <w:rPr>
          <w:rFonts w:ascii="Arial" w:hAnsi="Arial" w:cs="Arial"/>
          <w:sz w:val="20"/>
          <w:szCs w:val="20"/>
        </w:rPr>
        <w:t>Form 41</w:t>
      </w:r>
      <w:r>
        <w:rPr>
          <w:rFonts w:ascii="Arial" w:hAnsi="Arial" w:cs="Arial"/>
          <w:sz w:val="20"/>
          <w:szCs w:val="20"/>
        </w:rPr>
        <w:tab/>
        <w:t xml:space="preserve"> </w:t>
      </w:r>
      <w:r>
        <w:rPr>
          <w:rFonts w:ascii="Arial" w:hAnsi="Arial" w:cs="Arial"/>
          <w:color w:val="000000"/>
          <w:sz w:val="20"/>
        </w:rPr>
        <w:t>Witness summons to attend to give evidence</w:t>
      </w:r>
    </w:p>
    <w:p w14:paraId="2F27B724" w14:textId="013EB036" w:rsidR="00CF7950" w:rsidRPr="00CF7950" w:rsidRDefault="00CF7950" w:rsidP="00CF7950">
      <w:pPr>
        <w:ind w:left="567"/>
        <w:jc w:val="both"/>
        <w:rPr>
          <w:rFonts w:ascii="Arial" w:hAnsi="Arial" w:cs="Arial"/>
          <w:sz w:val="20"/>
          <w:szCs w:val="20"/>
        </w:rPr>
      </w:pPr>
      <w:r>
        <w:rPr>
          <w:rFonts w:ascii="Arial" w:hAnsi="Arial" w:cs="Arial"/>
          <w:color w:val="000000"/>
          <w:sz w:val="20"/>
        </w:rPr>
        <w:t>Form 41A</w:t>
      </w:r>
      <w:r>
        <w:rPr>
          <w:rFonts w:ascii="Arial" w:hAnsi="Arial" w:cs="Arial"/>
          <w:color w:val="000000"/>
          <w:sz w:val="20"/>
        </w:rPr>
        <w:tab/>
        <w:t xml:space="preserve"> Witness summons to produce</w:t>
      </w:r>
    </w:p>
    <w:p w14:paraId="0DE0DA49" w14:textId="0BDDF1BD" w:rsidR="00CF7950" w:rsidRPr="00CF7950" w:rsidRDefault="00CF7950" w:rsidP="00CF7950">
      <w:pPr>
        <w:ind w:left="567"/>
        <w:jc w:val="both"/>
        <w:rPr>
          <w:rFonts w:ascii="Arial" w:hAnsi="Arial" w:cs="Arial"/>
          <w:sz w:val="20"/>
          <w:szCs w:val="20"/>
        </w:rPr>
      </w:pPr>
      <w:r>
        <w:rPr>
          <w:rFonts w:ascii="Arial" w:hAnsi="Arial" w:cs="Arial"/>
          <w:color w:val="000000"/>
          <w:sz w:val="20"/>
        </w:rPr>
        <w:t>Form 41B</w:t>
      </w:r>
      <w:r>
        <w:rPr>
          <w:rFonts w:ascii="Arial" w:hAnsi="Arial" w:cs="Arial"/>
          <w:color w:val="000000"/>
          <w:sz w:val="20"/>
        </w:rPr>
        <w:tab/>
        <w:t xml:space="preserve"> Witness summons to produce and to attend to give evidence</w:t>
      </w:r>
    </w:p>
    <w:p w14:paraId="5BA9E745" w14:textId="201A1D1B" w:rsidR="00CF7950" w:rsidRDefault="00CF7950" w:rsidP="00CF7950">
      <w:pPr>
        <w:rPr>
          <w:rFonts w:ascii="Arial" w:hAnsi="Arial" w:cs="Arial"/>
          <w:sz w:val="20"/>
          <w:szCs w:val="20"/>
        </w:rPr>
      </w:pPr>
    </w:p>
    <w:p w14:paraId="1FA4D6EC" w14:textId="5F519D86" w:rsidR="00E84D09" w:rsidRPr="001C6E0E" w:rsidRDefault="00E84D09" w:rsidP="00E84D09">
      <w:pPr>
        <w:pStyle w:val="Heading3"/>
        <w:keepNext/>
        <w:keepLines/>
        <w:widowControl/>
        <w:spacing w:after="120" w:line="240" w:lineRule="auto"/>
        <w:ind w:left="284" w:hanging="284"/>
        <w:rPr>
          <w:rFonts w:ascii="Arial" w:hAnsi="Arial" w:cs="Arial"/>
          <w:b/>
          <w:bCs/>
          <w:color w:val="000000"/>
          <w:sz w:val="20"/>
        </w:rPr>
      </w:pPr>
      <w:bookmarkStart w:id="783" w:name="_B_WITNESS_SUMMONSES"/>
      <w:bookmarkEnd w:id="783"/>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bCs/>
          <w:color w:val="FFFFFF" w:themeColor="background1"/>
          <w:sz w:val="20"/>
          <w:shd w:val="clear" w:color="auto" w:fill="000000" w:themeFill="text1"/>
        </w:rPr>
        <w:t>WITNESS SUMMONSES IN THE CRIMINAL DIVISION</w:t>
      </w:r>
    </w:p>
    <w:p w14:paraId="24106255" w14:textId="0DDB9653" w:rsidR="00FD05F8" w:rsidRPr="00812268" w:rsidRDefault="006C0E70" w:rsidP="001C4AC1">
      <w:pPr>
        <w:spacing w:before="60"/>
        <w:rPr>
          <w:rFonts w:ascii="Arial" w:hAnsi="Arial" w:cs="Arial"/>
          <w:sz w:val="20"/>
        </w:rPr>
      </w:pPr>
      <w:r>
        <w:rPr>
          <w:rFonts w:ascii="Arial" w:hAnsi="Arial" w:cs="Arial"/>
          <w:sz w:val="20"/>
        </w:rPr>
        <w:t xml:space="preserve">Pursuant to s.43 of the </w:t>
      </w:r>
      <w:r w:rsidRPr="006C0E70">
        <w:rPr>
          <w:rFonts w:ascii="Arial" w:hAnsi="Arial" w:cs="Arial"/>
          <w:i/>
          <w:iCs/>
          <w:sz w:val="20"/>
        </w:rPr>
        <w:t>Magistrates’ Court Act 1989</w:t>
      </w:r>
      <w:r>
        <w:rPr>
          <w:rFonts w:ascii="Arial" w:hAnsi="Arial" w:cs="Arial"/>
          <w:sz w:val="20"/>
        </w:rPr>
        <w:t xml:space="preserve"> – read in conjunction with s.528(2)(a) of the CYFA – the </w:t>
      </w:r>
      <w:r w:rsidR="00FD05F8">
        <w:rPr>
          <w:rFonts w:ascii="Arial" w:hAnsi="Arial" w:cs="Arial"/>
          <w:sz w:val="20"/>
        </w:rPr>
        <w:t>Criminal Division may also issue the following witness summonses</w:t>
      </w:r>
      <w:r w:rsidR="00FD05F8">
        <w:rPr>
          <w:rFonts w:ascii="Arial" w:hAnsi="Arial" w:cs="Arial"/>
          <w:color w:val="000000"/>
          <w:sz w:val="20"/>
        </w:rPr>
        <w:t>–</w:t>
      </w:r>
    </w:p>
    <w:p w14:paraId="23992721" w14:textId="77777777" w:rsidR="00FD05F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give evidence;</w:t>
      </w:r>
    </w:p>
    <w:p w14:paraId="457EE512" w14:textId="77777777" w:rsidR="00FD05F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produce documents or things;</w:t>
      </w:r>
    </w:p>
    <w:p w14:paraId="3026B357" w14:textId="77777777" w:rsidR="00FD05F8" w:rsidRPr="00812268" w:rsidRDefault="00FD05F8">
      <w:pPr>
        <w:pStyle w:val="ListParagraph"/>
        <w:numPr>
          <w:ilvl w:val="0"/>
          <w:numId w:val="108"/>
        </w:numPr>
        <w:ind w:left="454" w:hanging="454"/>
        <w:jc w:val="both"/>
        <w:rPr>
          <w:rFonts w:ascii="Arial" w:hAnsi="Arial" w:cs="Arial"/>
          <w:color w:val="000000"/>
          <w:sz w:val="20"/>
        </w:rPr>
      </w:pPr>
      <w:r>
        <w:rPr>
          <w:rFonts w:ascii="Arial" w:hAnsi="Arial" w:cs="Arial"/>
          <w:color w:val="000000"/>
          <w:sz w:val="20"/>
        </w:rPr>
        <w:t>summons to give evidence and produce documents or things.</w:t>
      </w:r>
    </w:p>
    <w:p w14:paraId="2E2AE0E2" w14:textId="3C229950" w:rsidR="009B4872" w:rsidRDefault="009B4872" w:rsidP="009B4872">
      <w:pPr>
        <w:rPr>
          <w:rFonts w:ascii="Arial" w:hAnsi="Arial" w:cs="Arial"/>
          <w:sz w:val="20"/>
        </w:rPr>
      </w:pPr>
    </w:p>
    <w:p w14:paraId="16605D85" w14:textId="73E071BB" w:rsidR="006C0E70" w:rsidRDefault="006C0E70" w:rsidP="00DB4F35">
      <w:pPr>
        <w:jc w:val="both"/>
        <w:rPr>
          <w:rFonts w:ascii="Arial" w:hAnsi="Arial" w:cs="Arial"/>
          <w:sz w:val="20"/>
        </w:rPr>
      </w:pPr>
      <w:r>
        <w:rPr>
          <w:rFonts w:ascii="Arial" w:hAnsi="Arial" w:cs="Arial"/>
          <w:sz w:val="20"/>
        </w:rPr>
        <w:t>Section 43 of the Magistrates’ Court Act 1989 is in generally similar terms to s.532 of the CYFA</w:t>
      </w:r>
      <w:r w:rsidR="00DB4F35">
        <w:rPr>
          <w:rFonts w:ascii="Arial" w:hAnsi="Arial" w:cs="Arial"/>
          <w:sz w:val="20"/>
        </w:rPr>
        <w:t xml:space="preserve"> but it does not permit the Court to compel the attendance of </w:t>
      </w:r>
      <w:r w:rsidR="00DB4F35">
        <w:rPr>
          <w:rFonts w:ascii="Arial" w:hAnsi="Arial" w:cs="Arial"/>
          <w:color w:val="000000"/>
          <w:sz w:val="20"/>
        </w:rPr>
        <w:t>a witness at court and/or the production of documents or things on its own motion.</w:t>
      </w:r>
    </w:p>
    <w:p w14:paraId="66BC653C" w14:textId="5A440D08" w:rsidR="006C0E70" w:rsidRDefault="006C0E70" w:rsidP="009B4872">
      <w:pPr>
        <w:rPr>
          <w:rFonts w:ascii="Arial" w:hAnsi="Arial" w:cs="Arial"/>
          <w:sz w:val="20"/>
        </w:rPr>
      </w:pPr>
    </w:p>
    <w:p w14:paraId="01B174AC" w14:textId="51732AEC" w:rsidR="009B4872" w:rsidRDefault="009B4872" w:rsidP="009B4872">
      <w:pPr>
        <w:jc w:val="both"/>
        <w:rPr>
          <w:rFonts w:ascii="Arial" w:hAnsi="Arial" w:cs="Arial"/>
          <w:sz w:val="20"/>
          <w:szCs w:val="20"/>
        </w:rPr>
      </w:pPr>
      <w:r>
        <w:rPr>
          <w:rFonts w:ascii="Arial" w:hAnsi="Arial" w:cs="Arial"/>
          <w:sz w:val="20"/>
          <w:szCs w:val="20"/>
        </w:rPr>
        <w:t xml:space="preserve">Under rule 2.03 of the </w:t>
      </w:r>
      <w:r w:rsidRPr="00CF7950">
        <w:rPr>
          <w:rFonts w:ascii="Arial" w:hAnsi="Arial" w:cs="Arial"/>
          <w:i/>
          <w:iCs/>
          <w:sz w:val="20"/>
          <w:szCs w:val="20"/>
        </w:rPr>
        <w:t>Children</w:t>
      </w:r>
      <w:r>
        <w:rPr>
          <w:rFonts w:ascii="Arial" w:hAnsi="Arial" w:cs="Arial"/>
          <w:i/>
          <w:iCs/>
          <w:sz w:val="20"/>
          <w:szCs w:val="20"/>
        </w:rPr>
        <w:t>’s Court Criminal Procedure</w:t>
      </w:r>
      <w:r w:rsidRPr="00CF7950">
        <w:rPr>
          <w:rFonts w:ascii="Arial" w:hAnsi="Arial" w:cs="Arial"/>
          <w:i/>
          <w:iCs/>
          <w:sz w:val="20"/>
          <w:szCs w:val="20"/>
        </w:rPr>
        <w:t xml:space="preserve"> Rules</w:t>
      </w:r>
      <w:r>
        <w:rPr>
          <w:rFonts w:ascii="Arial" w:hAnsi="Arial" w:cs="Arial"/>
          <w:i/>
          <w:iCs/>
          <w:sz w:val="20"/>
          <w:szCs w:val="20"/>
        </w:rPr>
        <w:t xml:space="preserve"> </w:t>
      </w:r>
      <w:r w:rsidRPr="00CF7950">
        <w:rPr>
          <w:rFonts w:ascii="Arial" w:hAnsi="Arial" w:cs="Arial"/>
          <w:i/>
          <w:iCs/>
          <w:sz w:val="20"/>
          <w:szCs w:val="20"/>
        </w:rPr>
        <w:t>201</w:t>
      </w:r>
      <w:r>
        <w:rPr>
          <w:rFonts w:ascii="Arial" w:hAnsi="Arial" w:cs="Arial"/>
          <w:i/>
          <w:iCs/>
          <w:sz w:val="20"/>
          <w:szCs w:val="20"/>
        </w:rPr>
        <w:t>9</w:t>
      </w:r>
      <w:r>
        <w:rPr>
          <w:rFonts w:ascii="Arial" w:hAnsi="Arial" w:cs="Arial"/>
          <w:sz w:val="20"/>
          <w:szCs w:val="20"/>
        </w:rPr>
        <w:t xml:space="preserve"> [S</w:t>
      </w:r>
      <w:r w:rsidRPr="00CF7950">
        <w:rPr>
          <w:rFonts w:ascii="Arial" w:hAnsi="Arial" w:cs="Arial"/>
          <w:sz w:val="20"/>
          <w:szCs w:val="20"/>
        </w:rPr>
        <w:t xml:space="preserve">.R. No. </w:t>
      </w:r>
      <w:r>
        <w:rPr>
          <w:rFonts w:ascii="Arial" w:hAnsi="Arial" w:cs="Arial"/>
          <w:sz w:val="20"/>
          <w:szCs w:val="20"/>
        </w:rPr>
        <w:t>161</w:t>
      </w:r>
      <w:r w:rsidRPr="00CF7950">
        <w:rPr>
          <w:rFonts w:ascii="Arial" w:hAnsi="Arial" w:cs="Arial"/>
          <w:sz w:val="20"/>
          <w:szCs w:val="20"/>
        </w:rPr>
        <w:t>/201</w:t>
      </w:r>
      <w:r>
        <w:rPr>
          <w:rFonts w:ascii="Arial" w:hAnsi="Arial" w:cs="Arial"/>
          <w:sz w:val="20"/>
          <w:szCs w:val="20"/>
        </w:rPr>
        <w:t>9], a witness summons in the Criminal Division must be in prescribed Form 3 and must be directed to one person.</w:t>
      </w:r>
    </w:p>
    <w:p w14:paraId="1342B89F" w14:textId="77777777" w:rsidR="009B4872" w:rsidRPr="009B4872" w:rsidRDefault="009B4872" w:rsidP="009B4872">
      <w:pPr>
        <w:rPr>
          <w:rFonts w:ascii="Arial" w:hAnsi="Arial" w:cs="Arial"/>
          <w:sz w:val="20"/>
        </w:rPr>
      </w:pPr>
    </w:p>
    <w:p w14:paraId="11D5E937" w14:textId="28F51E95" w:rsidR="00E84D09" w:rsidRPr="001C6E0E" w:rsidRDefault="00E84D09" w:rsidP="00E84D09">
      <w:pPr>
        <w:pStyle w:val="Heading3"/>
        <w:keepNext/>
        <w:keepLines/>
        <w:widowControl/>
        <w:spacing w:after="120" w:line="240" w:lineRule="auto"/>
        <w:ind w:left="284" w:hanging="284"/>
        <w:rPr>
          <w:rFonts w:ascii="Arial" w:hAnsi="Arial" w:cs="Arial"/>
          <w:b/>
          <w:bCs/>
          <w:color w:val="000000"/>
          <w:sz w:val="20"/>
        </w:rPr>
      </w:pPr>
      <w:bookmarkStart w:id="784" w:name="_C_NOTICES_TO"/>
      <w:bookmarkEnd w:id="784"/>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bCs/>
          <w:color w:val="FFFFFF" w:themeColor="background1"/>
          <w:sz w:val="20"/>
          <w:shd w:val="clear" w:color="auto" w:fill="000000" w:themeFill="text1"/>
        </w:rPr>
        <w:t>NOTICES TO AUTHORS OF REPORTS IN BOTH DIVISIONS</w:t>
      </w:r>
    </w:p>
    <w:p w14:paraId="08BBFC88" w14:textId="767B7D64" w:rsidR="00812268" w:rsidRDefault="00DB4F35" w:rsidP="002307C4">
      <w:pPr>
        <w:jc w:val="both"/>
        <w:rPr>
          <w:rFonts w:ascii="Arial" w:hAnsi="Arial" w:cs="Arial"/>
          <w:color w:val="000000"/>
          <w:sz w:val="20"/>
        </w:rPr>
      </w:pPr>
      <w:r>
        <w:rPr>
          <w:rFonts w:ascii="Arial" w:hAnsi="Arial" w:cs="Arial"/>
          <w:color w:val="000000"/>
          <w:sz w:val="20"/>
        </w:rPr>
        <w:t xml:space="preserve">Part 7.8 of the CYFA applies to the following types of </w:t>
      </w:r>
      <w:r w:rsidR="00FA798E">
        <w:rPr>
          <w:rFonts w:ascii="Arial" w:hAnsi="Arial" w:cs="Arial"/>
          <w:color w:val="000000"/>
          <w:sz w:val="20"/>
        </w:rPr>
        <w:t>Family Division reports</w:t>
      </w:r>
      <w:r w:rsidR="00FA798E">
        <w:rPr>
          <w:rFonts w:ascii="Arial" w:hAnsi="Arial" w:cs="Arial"/>
          <w:sz w:val="20"/>
        </w:rPr>
        <w:t>–</w:t>
      </w:r>
    </w:p>
    <w:p w14:paraId="47E8201A"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protection reports;</w:t>
      </w:r>
    </w:p>
    <w:p w14:paraId="2F245C07"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disposition reports;</w:t>
      </w:r>
    </w:p>
    <w:p w14:paraId="20EB3AC8" w14:textId="77777777"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additional reports, including Children’s Court Clinic reports;</w:t>
      </w:r>
    </w:p>
    <w:p w14:paraId="7B3AD402" w14:textId="3526BB31" w:rsidR="002307C4" w:rsidRPr="00B8543F"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(d)</w:t>
      </w:r>
      <w:r w:rsidRPr="00B8543F">
        <w:rPr>
          <w:rFonts w:ascii="Arial" w:hAnsi="Arial" w:cs="Arial"/>
          <w:color w:val="000000"/>
          <w:sz w:val="20"/>
        </w:rPr>
        <w:tab/>
        <w:t>therapeutic tr</w:t>
      </w:r>
      <w:r>
        <w:rPr>
          <w:rFonts w:ascii="Arial" w:hAnsi="Arial" w:cs="Arial"/>
          <w:color w:val="000000"/>
          <w:sz w:val="20"/>
        </w:rPr>
        <w:t>eatment application reports;</w:t>
      </w:r>
      <w:r w:rsidR="00FA798E">
        <w:rPr>
          <w:rFonts w:ascii="Arial" w:hAnsi="Arial" w:cs="Arial"/>
          <w:color w:val="000000"/>
          <w:sz w:val="20"/>
        </w:rPr>
        <w:t xml:space="preserve"> and</w:t>
      </w:r>
    </w:p>
    <w:p w14:paraId="1AE44A43" w14:textId="378452D0" w:rsidR="002307C4" w:rsidRDefault="002307C4" w:rsidP="00FA798E">
      <w:pPr>
        <w:tabs>
          <w:tab w:val="left" w:pos="363"/>
        </w:tabs>
        <w:ind w:left="454" w:hanging="454"/>
        <w:jc w:val="both"/>
        <w:rPr>
          <w:rFonts w:ascii="Arial" w:hAnsi="Arial" w:cs="Arial"/>
          <w:color w:val="000000"/>
          <w:sz w:val="20"/>
        </w:rPr>
      </w:pPr>
      <w:r w:rsidRPr="00B8543F">
        <w:rPr>
          <w:rFonts w:ascii="Arial" w:hAnsi="Arial" w:cs="Arial"/>
          <w:color w:val="000000"/>
          <w:sz w:val="20"/>
        </w:rPr>
        <w:t>(e)</w:t>
      </w:r>
      <w:r w:rsidRPr="00B8543F">
        <w:rPr>
          <w:rFonts w:ascii="Arial" w:hAnsi="Arial" w:cs="Arial"/>
          <w:color w:val="000000"/>
          <w:sz w:val="20"/>
        </w:rPr>
        <w:tab/>
        <w:t>therapeutic treatment (placement) reports</w:t>
      </w:r>
      <w:r w:rsidR="00FA798E">
        <w:rPr>
          <w:rFonts w:ascii="Arial" w:hAnsi="Arial" w:cs="Arial"/>
          <w:color w:val="000000"/>
          <w:sz w:val="20"/>
        </w:rPr>
        <w:t>.</w:t>
      </w:r>
    </w:p>
    <w:p w14:paraId="6A69C6A2" w14:textId="76F62338" w:rsidR="00FA798E" w:rsidRDefault="00FA798E" w:rsidP="00FA798E">
      <w:pPr>
        <w:tabs>
          <w:tab w:val="left" w:pos="363"/>
        </w:tabs>
        <w:ind w:left="454" w:hanging="454"/>
        <w:jc w:val="both"/>
        <w:rPr>
          <w:rFonts w:ascii="Arial" w:hAnsi="Arial" w:cs="Arial"/>
          <w:color w:val="000000"/>
          <w:sz w:val="20"/>
        </w:rPr>
      </w:pPr>
    </w:p>
    <w:p w14:paraId="5BB20A89" w14:textId="52F2E2A5"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It also applies to the following types of Criminal Division reports</w:t>
      </w:r>
      <w:r>
        <w:rPr>
          <w:rFonts w:ascii="Arial" w:hAnsi="Arial" w:cs="Arial"/>
          <w:sz w:val="20"/>
        </w:rPr>
        <w:t>–</w:t>
      </w:r>
    </w:p>
    <w:p w14:paraId="4301B7CB" w14:textId="4ABB7261" w:rsidR="002307C4"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pre-sentence reports;</w:t>
      </w:r>
    </w:p>
    <w:p w14:paraId="141FDFBD" w14:textId="706178DE"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group conference reports;</w:t>
      </w:r>
    </w:p>
    <w:p w14:paraId="6666D0EF" w14:textId="760621D6"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progress reports;</w:t>
      </w:r>
    </w:p>
    <w:p w14:paraId="644D0D5E" w14:textId="6DD9B296" w:rsidR="00FA798E"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youth control order planning meeting reports; and</w:t>
      </w:r>
    </w:p>
    <w:p w14:paraId="53A51ACE" w14:textId="746D7CCF" w:rsidR="00FA798E" w:rsidRPr="00B8543F" w:rsidRDefault="00FA798E" w:rsidP="00FA798E">
      <w:pPr>
        <w:tabs>
          <w:tab w:val="left" w:pos="363"/>
        </w:tabs>
        <w:ind w:left="454" w:hanging="454"/>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reports under s.409L(3) (child’s compliance with youth control order).</w:t>
      </w:r>
    </w:p>
    <w:p w14:paraId="33F4BD37" w14:textId="77777777" w:rsidR="002307C4" w:rsidRDefault="002307C4" w:rsidP="002307C4">
      <w:pPr>
        <w:jc w:val="both"/>
        <w:rPr>
          <w:rFonts w:ascii="Arial" w:hAnsi="Arial" w:cs="Arial"/>
          <w:color w:val="000000"/>
          <w:sz w:val="20"/>
        </w:rPr>
      </w:pPr>
    </w:p>
    <w:p w14:paraId="4F0BB1FC" w14:textId="411DDF04" w:rsidR="002307C4" w:rsidRDefault="00FA798E" w:rsidP="002307C4">
      <w:pPr>
        <w:jc w:val="both"/>
        <w:rPr>
          <w:rFonts w:ascii="Arial" w:hAnsi="Arial" w:cs="Arial"/>
          <w:color w:val="000000"/>
          <w:sz w:val="20"/>
        </w:rPr>
      </w:pPr>
      <w:r>
        <w:rPr>
          <w:rFonts w:ascii="Arial" w:hAnsi="Arial" w:cs="Arial"/>
          <w:color w:val="000000"/>
          <w:sz w:val="20"/>
        </w:rPr>
        <w:t xml:space="preserve">Section 550 of the CYFA </w:t>
      </w:r>
      <w:r w:rsidR="00382B52">
        <w:rPr>
          <w:rFonts w:ascii="Arial" w:hAnsi="Arial" w:cs="Arial"/>
          <w:color w:val="000000"/>
          <w:sz w:val="20"/>
        </w:rPr>
        <w:t>governs</w:t>
      </w:r>
      <w:r w:rsidR="00E2760C">
        <w:rPr>
          <w:rFonts w:ascii="Arial" w:hAnsi="Arial" w:cs="Arial"/>
          <w:color w:val="000000"/>
          <w:sz w:val="20"/>
        </w:rPr>
        <w:t xml:space="preserve"> the attendance at court of the author of any of the above reports.  It</w:t>
      </w:r>
      <w:r w:rsidR="00382B52">
        <w:rPr>
          <w:rFonts w:ascii="Arial" w:hAnsi="Arial" w:cs="Arial"/>
          <w:color w:val="000000"/>
          <w:sz w:val="20"/>
        </w:rPr>
        <w:t> </w:t>
      </w:r>
      <w:r w:rsidR="00E2760C">
        <w:rPr>
          <w:rFonts w:ascii="Arial" w:hAnsi="Arial" w:cs="Arial"/>
          <w:color w:val="000000"/>
          <w:sz w:val="20"/>
        </w:rPr>
        <w:t>provides:</w:t>
      </w:r>
    </w:p>
    <w:p w14:paraId="05109F00" w14:textId="06304BC5" w:rsidR="00E2760C" w:rsidRPr="00812268" w:rsidRDefault="00E2760C" w:rsidP="00E2760C">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The author of a report to which this Part applies may be required to attend to give evidence at the hearing of the proceeding to which the report is relevant by a notice given in accordance with subsection (2) by</w:t>
      </w:r>
      <w:r>
        <w:rPr>
          <w:rFonts w:ascii="Arial" w:hAnsi="Arial" w:cs="Arial"/>
          <w:color w:val="000000"/>
          <w:sz w:val="20"/>
        </w:rPr>
        <w:t>–</w:t>
      </w:r>
    </w:p>
    <w:p w14:paraId="69B08589" w14:textId="0746685B"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child in respect of whom the report has been prepared;</w:t>
      </w:r>
    </w:p>
    <w:p w14:paraId="33FFBE00" w14:textId="5AD2EA44"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a parent of that child;</w:t>
      </w:r>
    </w:p>
    <w:p w14:paraId="7528C8AF" w14:textId="46751FCE" w:rsidR="00E2760C"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Secretary DFFH; or</w:t>
      </w:r>
    </w:p>
    <w:p w14:paraId="35011802" w14:textId="79754A91" w:rsidR="00E2760C" w:rsidRPr="00812268" w:rsidRDefault="00E2760C">
      <w:pPr>
        <w:pStyle w:val="ListParagraph"/>
        <w:numPr>
          <w:ilvl w:val="0"/>
          <w:numId w:val="109"/>
        </w:numPr>
        <w:ind w:left="1475" w:right="567" w:hanging="454"/>
        <w:jc w:val="both"/>
        <w:rPr>
          <w:rFonts w:ascii="Arial" w:hAnsi="Arial" w:cs="Arial"/>
          <w:color w:val="000000"/>
          <w:sz w:val="20"/>
        </w:rPr>
      </w:pPr>
      <w:r>
        <w:rPr>
          <w:rFonts w:ascii="Arial" w:hAnsi="Arial" w:cs="Arial"/>
          <w:color w:val="000000"/>
          <w:sz w:val="20"/>
        </w:rPr>
        <w:t>the Court.</w:t>
      </w:r>
    </w:p>
    <w:p w14:paraId="1999378C" w14:textId="2F12F7BA" w:rsidR="00E2760C" w:rsidRDefault="00E2760C" w:rsidP="00E2760C">
      <w:pPr>
        <w:spacing w:before="60"/>
        <w:ind w:left="1021" w:right="567" w:hanging="454"/>
        <w:jc w:val="both"/>
        <w:rPr>
          <w:rFonts w:ascii="Arial" w:hAnsi="Arial" w:cs="Arial"/>
          <w:sz w:val="20"/>
          <w:szCs w:val="20"/>
        </w:rPr>
      </w:pPr>
      <w:r>
        <w:rPr>
          <w:rFonts w:ascii="Arial" w:hAnsi="Arial" w:cs="Arial"/>
          <w:sz w:val="20"/>
        </w:rPr>
        <w:t>(2)</w:t>
      </w:r>
      <w:r>
        <w:rPr>
          <w:rFonts w:ascii="Arial" w:hAnsi="Arial" w:cs="Arial"/>
          <w:sz w:val="20"/>
        </w:rPr>
        <w:tab/>
        <w:t>A notice under subsection (1) must be</w:t>
      </w:r>
      <w:r w:rsidRPr="00263A4E">
        <w:rPr>
          <w:rFonts w:ascii="Arial" w:hAnsi="Arial" w:cs="Arial"/>
          <w:sz w:val="20"/>
          <w:szCs w:val="20"/>
        </w:rPr>
        <w:t>—</w:t>
      </w:r>
    </w:p>
    <w:p w14:paraId="25F4A404" w14:textId="0DB43BEC" w:rsidR="00E2760C" w:rsidRPr="00263A4E" w:rsidRDefault="00E2760C" w:rsidP="00E2760C">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(a)</w:t>
      </w:r>
      <w:r w:rsidRPr="00263A4E">
        <w:rPr>
          <w:rFonts w:ascii="Arial" w:hAnsi="Arial" w:cs="Arial"/>
          <w:sz w:val="20"/>
        </w:rPr>
        <w:tab/>
      </w:r>
      <w:r>
        <w:rPr>
          <w:rFonts w:ascii="Arial" w:hAnsi="Arial" w:cs="Arial"/>
          <w:sz w:val="20"/>
        </w:rPr>
        <w:t>in writing; and</w:t>
      </w:r>
    </w:p>
    <w:p w14:paraId="35450319" w14:textId="1D34663D" w:rsidR="00E2760C" w:rsidRPr="00263A4E" w:rsidRDefault="00E2760C" w:rsidP="00E2760C">
      <w:pPr>
        <w:pStyle w:val="DraftHeading3"/>
        <w:tabs>
          <w:tab w:val="right" w:pos="1758"/>
        </w:tabs>
        <w:spacing w:before="0"/>
        <w:ind w:left="1475" w:right="567" w:hanging="454"/>
        <w:jc w:val="both"/>
        <w:rPr>
          <w:rFonts w:ascii="Arial" w:hAnsi="Arial" w:cs="Arial"/>
          <w:sz w:val="20"/>
        </w:rPr>
      </w:pPr>
      <w:r w:rsidRPr="00263A4E">
        <w:rPr>
          <w:rFonts w:ascii="Arial" w:hAnsi="Arial" w:cs="Arial"/>
          <w:sz w:val="20"/>
        </w:rPr>
        <w:t>(b)</w:t>
      </w:r>
      <w:r w:rsidRPr="00263A4E">
        <w:rPr>
          <w:rFonts w:ascii="Arial" w:hAnsi="Arial" w:cs="Arial"/>
          <w:sz w:val="20"/>
        </w:rPr>
        <w:tab/>
      </w:r>
      <w:r>
        <w:rPr>
          <w:rFonts w:ascii="Arial" w:hAnsi="Arial" w:cs="Arial"/>
          <w:sz w:val="20"/>
        </w:rPr>
        <w:t>filed in the Court as soon as possible and, if practicable, not later than 2 working days before the hearing.</w:t>
      </w:r>
    </w:p>
    <w:p w14:paraId="702414F1" w14:textId="67493002" w:rsidR="00E2760C" w:rsidRPr="00812268" w:rsidRDefault="00E2760C" w:rsidP="00E2760C">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On the filing of a notice under subsection (1) the Court must immediately notify the author of the report that the author’s attendance is required on the return date.</w:t>
      </w:r>
    </w:p>
    <w:p w14:paraId="67F77BE2" w14:textId="7048E8F3" w:rsidR="00E2760C" w:rsidRPr="00812268" w:rsidRDefault="00E2760C" w:rsidP="00E2760C">
      <w:pPr>
        <w:spacing w:before="60"/>
        <w:ind w:left="1021" w:right="567" w:hanging="454"/>
        <w:jc w:val="both"/>
        <w:rPr>
          <w:rFonts w:ascii="Arial" w:hAnsi="Arial" w:cs="Arial"/>
          <w:sz w:val="20"/>
        </w:rPr>
      </w:pPr>
      <w:r>
        <w:rPr>
          <w:rFonts w:ascii="Arial" w:hAnsi="Arial" w:cs="Arial"/>
          <w:sz w:val="20"/>
        </w:rPr>
        <w:lastRenderedPageBreak/>
        <w:t>(4)</w:t>
      </w:r>
      <w:r>
        <w:rPr>
          <w:rFonts w:ascii="Arial" w:hAnsi="Arial" w:cs="Arial"/>
          <w:sz w:val="20"/>
        </w:rPr>
        <w:tab/>
      </w:r>
      <w:r w:rsidRPr="00263A4E">
        <w:rPr>
          <w:rFonts w:ascii="Arial" w:hAnsi="Arial" w:cs="Arial"/>
          <w:sz w:val="20"/>
          <w:szCs w:val="20"/>
        </w:rPr>
        <w:t xml:space="preserve">A </w:t>
      </w:r>
      <w:r>
        <w:rPr>
          <w:rFonts w:ascii="Arial" w:hAnsi="Arial" w:cs="Arial"/>
          <w:sz w:val="20"/>
          <w:szCs w:val="20"/>
        </w:rPr>
        <w:t xml:space="preserve">person is guilty of contempt of court </w:t>
      </w:r>
      <w:r w:rsidR="00195E9F">
        <w:rPr>
          <w:rFonts w:ascii="Arial" w:hAnsi="Arial" w:cs="Arial"/>
          <w:sz w:val="20"/>
          <w:szCs w:val="20"/>
        </w:rPr>
        <w:t>if, being the author of a report who has been required to attend the Court under subsection (1), he or she fails, without sufficient excuse, to attend as required.</w:t>
      </w:r>
    </w:p>
    <w:p w14:paraId="11977C93" w14:textId="5CEEEA0D" w:rsidR="00195E9F" w:rsidRPr="00812268" w:rsidRDefault="00195E9F" w:rsidP="00195E9F">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r>
      <w:r>
        <w:rPr>
          <w:rFonts w:ascii="Arial" w:hAnsi="Arial" w:cs="Arial"/>
          <w:sz w:val="20"/>
          <w:szCs w:val="20"/>
        </w:rPr>
        <w:t>The author of a report who has been required under subsection (1) by the child or a parent of the child or the Secretary to attend at the hearing of a proceeding must, if required by the child or the parent or the Secretary (as the case requires), be called as a witness and may be cross-examined on the contents of the report.”</w:t>
      </w:r>
    </w:p>
    <w:p w14:paraId="7A9DDBCC" w14:textId="77777777" w:rsidR="00725634" w:rsidRDefault="00725634" w:rsidP="00725634">
      <w:pPr>
        <w:jc w:val="both"/>
        <w:rPr>
          <w:rFonts w:ascii="Arial" w:hAnsi="Arial" w:cs="Arial"/>
          <w:sz w:val="20"/>
        </w:rPr>
      </w:pPr>
    </w:p>
    <w:p w14:paraId="15060930" w14:textId="77777777" w:rsidR="00725634" w:rsidRDefault="00725634" w:rsidP="00725634">
      <w:pPr>
        <w:pStyle w:val="Heading3"/>
        <w:widowControl/>
        <w:spacing w:line="240" w:lineRule="auto"/>
        <w:rPr>
          <w:rFonts w:ascii="Arial" w:hAnsi="Arial" w:cs="Arial"/>
          <w:b/>
          <w:bCs/>
          <w:sz w:val="20"/>
        </w:rPr>
      </w:pPr>
      <w:bookmarkStart w:id="785" w:name="_3.5.10.2__Compellability"/>
      <w:bookmarkEnd w:id="785"/>
      <w:r>
        <w:rPr>
          <w:rFonts w:ascii="Arial" w:hAnsi="Arial" w:cs="Arial"/>
          <w:b/>
          <w:bCs/>
          <w:sz w:val="20"/>
        </w:rPr>
        <w:t>3.5.10.2  Competence and compellability</w:t>
      </w:r>
    </w:p>
    <w:p w14:paraId="5BEBF098" w14:textId="2CAAEF5A" w:rsidR="00B40317" w:rsidRDefault="00B40317" w:rsidP="00725634">
      <w:pPr>
        <w:spacing w:before="120"/>
        <w:jc w:val="both"/>
        <w:rPr>
          <w:rFonts w:ascii="Arial" w:hAnsi="Arial" w:cs="Arial"/>
          <w:sz w:val="20"/>
        </w:rPr>
      </w:pPr>
      <w:r>
        <w:rPr>
          <w:rFonts w:ascii="Arial" w:hAnsi="Arial" w:cs="Arial"/>
          <w:sz w:val="20"/>
        </w:rPr>
        <w:t xml:space="preserve">Section 12 of the </w:t>
      </w:r>
      <w:r w:rsidRPr="00A82F40">
        <w:rPr>
          <w:rFonts w:ascii="Arial" w:hAnsi="Arial" w:cs="Arial"/>
          <w:i/>
          <w:iCs/>
          <w:sz w:val="20"/>
        </w:rPr>
        <w:t xml:space="preserve">Evidence Act 2008 </w:t>
      </w:r>
      <w:r>
        <w:rPr>
          <w:rFonts w:ascii="Arial" w:hAnsi="Arial" w:cs="Arial"/>
          <w:sz w:val="20"/>
        </w:rPr>
        <w:t>provides:</w:t>
      </w:r>
    </w:p>
    <w:p w14:paraId="0579D87B" w14:textId="77777777" w:rsidR="00B40317" w:rsidRDefault="00B40317" w:rsidP="00B40317">
      <w:pPr>
        <w:ind w:left="567" w:right="567"/>
        <w:jc w:val="both"/>
        <w:rPr>
          <w:rFonts w:ascii="Arial" w:hAnsi="Arial" w:cs="Arial"/>
          <w:sz w:val="20"/>
        </w:rPr>
      </w:pPr>
      <w:r>
        <w:rPr>
          <w:rFonts w:ascii="Arial" w:hAnsi="Arial" w:cs="Arial"/>
          <w:sz w:val="20"/>
        </w:rPr>
        <w:t>“Except as otherwise provided by this Act-</w:t>
      </w:r>
    </w:p>
    <w:p w14:paraId="2E729152" w14:textId="77777777" w:rsidR="00B40317" w:rsidRDefault="00B40317" w:rsidP="00B40317">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7C3DB7D3" w14:textId="77777777" w:rsidR="00B40317" w:rsidRDefault="00B40317" w:rsidP="00B40317">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50DA25E0" w14:textId="77777777" w:rsidR="00B40317" w:rsidRDefault="00B40317" w:rsidP="00B40317">
      <w:pPr>
        <w:jc w:val="both"/>
        <w:rPr>
          <w:rFonts w:ascii="Arial" w:hAnsi="Arial" w:cs="Arial"/>
          <w:sz w:val="20"/>
        </w:rPr>
      </w:pPr>
    </w:p>
    <w:p w14:paraId="27B3BEE9" w14:textId="4C721D48" w:rsidR="004D3636" w:rsidRDefault="00CD014B" w:rsidP="00B40317">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 xml:space="preserve">Kirk v Industrial Relations Commission of New South Wales; Kirk Group Holdings Pty Ltd v </w:t>
      </w:r>
      <w:proofErr w:type="spellStart"/>
      <w:r w:rsidRPr="00CD014B">
        <w:rPr>
          <w:rFonts w:ascii="Arial" w:hAnsi="Arial" w:cs="Arial"/>
          <w:i/>
          <w:iCs/>
          <w:color w:val="000000"/>
          <w:sz w:val="20"/>
          <w:szCs w:val="20"/>
        </w:rPr>
        <w:t>WorkCover</w:t>
      </w:r>
      <w:proofErr w:type="spellEnd"/>
      <w:r w:rsidRPr="00CD014B">
        <w:rPr>
          <w:rFonts w:ascii="Arial" w:hAnsi="Arial" w:cs="Arial"/>
          <w:i/>
          <w:iCs/>
          <w:color w:val="000000"/>
          <w:sz w:val="20"/>
          <w:szCs w:val="20"/>
        </w:rPr>
        <w:t xml:space="preserve">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77DCD2CA" w14:textId="77777777" w:rsidR="00725634" w:rsidRDefault="00725634" w:rsidP="00725634">
      <w:pPr>
        <w:jc w:val="both"/>
        <w:rPr>
          <w:rFonts w:ascii="Arial" w:hAnsi="Arial" w:cs="Arial"/>
          <w:color w:val="000000"/>
          <w:sz w:val="20"/>
        </w:rPr>
      </w:pPr>
    </w:p>
    <w:p w14:paraId="6D8F99B3" w14:textId="3DB6DF78" w:rsidR="00725634" w:rsidRPr="001C6E0E" w:rsidRDefault="00725634" w:rsidP="00725634">
      <w:pPr>
        <w:pStyle w:val="Heading3"/>
        <w:keepNext/>
        <w:keepLines/>
        <w:widowControl/>
        <w:spacing w:after="120" w:line="240" w:lineRule="auto"/>
        <w:ind w:left="284" w:hanging="284"/>
        <w:rPr>
          <w:rFonts w:ascii="Arial" w:hAnsi="Arial" w:cs="Arial"/>
          <w:b/>
          <w:bCs/>
          <w:color w:val="000000"/>
          <w:sz w:val="20"/>
        </w:rPr>
      </w:pPr>
      <w:bookmarkStart w:id="786" w:name="_B_ATTEMPTED_ARMED"/>
      <w:bookmarkEnd w:id="786"/>
      <w:r>
        <w:rPr>
          <w:rFonts w:ascii="Arial" w:hAnsi="Arial" w:cs="Arial"/>
          <w:b/>
          <w:color w:val="FFFFFF"/>
          <w:sz w:val="22"/>
          <w:shd w:val="clear" w:color="auto" w:fill="000000"/>
        </w:rPr>
        <w:t>A</w:t>
      </w:r>
      <w:r>
        <w:rPr>
          <w:rFonts w:ascii="Arial" w:hAnsi="Arial" w:cs="Arial"/>
          <w:b/>
          <w:color w:val="000000"/>
          <w:sz w:val="22"/>
        </w:rPr>
        <w:tab/>
      </w:r>
      <w:r>
        <w:rPr>
          <w:rFonts w:ascii="Arial" w:hAnsi="Arial" w:cs="Arial"/>
          <w:b/>
          <w:bCs/>
          <w:color w:val="FFFFFF" w:themeColor="background1"/>
          <w:sz w:val="20"/>
          <w:shd w:val="clear" w:color="auto" w:fill="000000" w:themeFill="text1"/>
        </w:rPr>
        <w:t>COMPETENCE</w:t>
      </w:r>
    </w:p>
    <w:p w14:paraId="67AC97C5" w14:textId="455DDDCB" w:rsidR="00704499" w:rsidRDefault="00704499" w:rsidP="007021C7">
      <w:pPr>
        <w:spacing w:before="120"/>
        <w:jc w:val="both"/>
        <w:rPr>
          <w:rFonts w:ascii="Arial" w:hAnsi="Arial" w:cs="Arial"/>
          <w:sz w:val="20"/>
        </w:rPr>
      </w:pPr>
      <w:bookmarkStart w:id="787" w:name="_3.5.10.1__Competence"/>
      <w:bookmarkStart w:id="788" w:name="B35101"/>
      <w:bookmarkEnd w:id="787"/>
      <w:bookmarkEnd w:id="788"/>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lastRenderedPageBreak/>
        <w:t>For the purposes of determining a question arising under this section, the court may inform itself as it thinks fit, including by obtaining information from a person who has relevant specialised knowledge based on the person’s training, study or experience.</w:t>
      </w:r>
    </w:p>
    <w:p w14:paraId="37FEFE4F" w14:textId="2F9D62F9" w:rsidR="00B40317" w:rsidRDefault="00B40317" w:rsidP="00E5300B">
      <w:pPr>
        <w:jc w:val="both"/>
        <w:rPr>
          <w:rFonts w:ascii="Arial" w:hAnsi="Arial" w:cs="Arial"/>
          <w:sz w:val="20"/>
        </w:rPr>
      </w:pPr>
    </w:p>
    <w:p w14:paraId="43EAC725" w14:textId="4468020D" w:rsidR="00294C4B" w:rsidRPr="00294C4B" w:rsidRDefault="00294C4B" w:rsidP="00E5300B">
      <w:pPr>
        <w:jc w:val="both"/>
        <w:rPr>
          <w:rFonts w:ascii="Arial" w:hAnsi="Arial" w:cs="Arial"/>
          <w:sz w:val="20"/>
          <w:szCs w:val="20"/>
        </w:rPr>
      </w:pPr>
      <w:r w:rsidRPr="00294C4B">
        <w:rPr>
          <w:rFonts w:ascii="Arial" w:hAnsi="Arial" w:cs="Arial"/>
          <w:sz w:val="20"/>
          <w:szCs w:val="20"/>
        </w:rPr>
        <w:t xml:space="preserve">See </w:t>
      </w:r>
      <w:r w:rsidRPr="00294C4B">
        <w:rPr>
          <w:rFonts w:ascii="Arial" w:hAnsi="Arial" w:cs="Arial"/>
          <w:i/>
          <w:iCs/>
          <w:sz w:val="20"/>
          <w:szCs w:val="20"/>
        </w:rPr>
        <w:t xml:space="preserve">Martin v </w:t>
      </w:r>
      <w:proofErr w:type="spellStart"/>
      <w:r w:rsidRPr="00294C4B">
        <w:rPr>
          <w:rFonts w:ascii="Arial" w:hAnsi="Arial" w:cs="Arial"/>
          <w:i/>
          <w:iCs/>
          <w:sz w:val="20"/>
          <w:szCs w:val="20"/>
        </w:rPr>
        <w:t>Amaca</w:t>
      </w:r>
      <w:proofErr w:type="spellEnd"/>
      <w:r w:rsidRPr="00294C4B">
        <w:rPr>
          <w:rFonts w:ascii="Arial" w:hAnsi="Arial" w:cs="Arial"/>
          <w:i/>
          <w:iCs/>
          <w:sz w:val="20"/>
          <w:szCs w:val="20"/>
        </w:rPr>
        <w:t xml:space="preserve"> Pty Ltd &amp; </w:t>
      </w:r>
      <w:proofErr w:type="spellStart"/>
      <w:r w:rsidRPr="00294C4B">
        <w:rPr>
          <w:rFonts w:ascii="Arial" w:hAnsi="Arial" w:cs="Arial"/>
          <w:i/>
          <w:iCs/>
          <w:sz w:val="20"/>
          <w:szCs w:val="20"/>
        </w:rPr>
        <w:t>Ors</w:t>
      </w:r>
      <w:proofErr w:type="spellEnd"/>
      <w:r w:rsidRPr="00294C4B">
        <w:rPr>
          <w:rFonts w:ascii="Arial" w:hAnsi="Arial" w:cs="Arial"/>
          <w:sz w:val="20"/>
          <w:szCs w:val="20"/>
        </w:rPr>
        <w:t xml:space="preserve"> [2023] VSC 1</w:t>
      </w:r>
      <w:r>
        <w:rPr>
          <w:rFonts w:ascii="Arial" w:hAnsi="Arial" w:cs="Arial"/>
          <w:sz w:val="20"/>
          <w:szCs w:val="20"/>
        </w:rPr>
        <w:t>6</w:t>
      </w:r>
      <w:r w:rsidRPr="00294C4B">
        <w:rPr>
          <w:rFonts w:ascii="Arial" w:hAnsi="Arial" w:cs="Arial"/>
          <w:sz w:val="20"/>
          <w:szCs w:val="20"/>
        </w:rPr>
        <w:t>5.</w:t>
      </w:r>
    </w:p>
    <w:p w14:paraId="241685ED" w14:textId="77777777" w:rsidR="00725634" w:rsidRDefault="00725634" w:rsidP="00725634">
      <w:pPr>
        <w:jc w:val="both"/>
        <w:rPr>
          <w:rFonts w:ascii="Arial" w:hAnsi="Arial" w:cs="Arial"/>
          <w:color w:val="000000"/>
          <w:sz w:val="20"/>
        </w:rPr>
      </w:pPr>
    </w:p>
    <w:p w14:paraId="0F1C9A8F" w14:textId="7F251E54" w:rsidR="00725634" w:rsidRPr="001C6E0E" w:rsidRDefault="00725634" w:rsidP="00725634">
      <w:pPr>
        <w:pStyle w:val="Heading3"/>
        <w:keepNext/>
        <w:keepLines/>
        <w:widowControl/>
        <w:spacing w:after="120" w:line="240" w:lineRule="auto"/>
        <w:ind w:left="284" w:hanging="284"/>
        <w:rPr>
          <w:rFonts w:ascii="Arial" w:hAnsi="Arial" w:cs="Arial"/>
          <w:b/>
          <w:bCs/>
          <w:color w:val="000000"/>
          <w:sz w:val="20"/>
        </w:rPr>
      </w:pPr>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bCs/>
          <w:color w:val="FFFFFF" w:themeColor="background1"/>
          <w:sz w:val="20"/>
          <w:shd w:val="clear" w:color="auto" w:fill="000000" w:themeFill="text1"/>
        </w:rPr>
        <w:t>COMPELLABILITY</w:t>
      </w:r>
    </w:p>
    <w:p w14:paraId="417F7B5E" w14:textId="77777777" w:rsidR="00725634" w:rsidRDefault="00725634" w:rsidP="00725634">
      <w:pPr>
        <w:spacing w:before="120"/>
        <w:jc w:val="both"/>
        <w:rPr>
          <w:rFonts w:ascii="Arial" w:hAnsi="Arial" w:cs="Arial"/>
          <w:sz w:val="20"/>
        </w:rPr>
      </w:pPr>
      <w:r>
        <w:rPr>
          <w:rFonts w:ascii="Arial" w:hAnsi="Arial" w:cs="Arial"/>
          <w:sz w:val="20"/>
        </w:rPr>
        <w:t xml:space="preserve">As stated above. s.12 of the </w:t>
      </w:r>
      <w:r w:rsidRPr="00A82F40">
        <w:rPr>
          <w:rFonts w:ascii="Arial" w:hAnsi="Arial" w:cs="Arial"/>
          <w:i/>
          <w:iCs/>
          <w:sz w:val="20"/>
        </w:rPr>
        <w:t>Evidence Act 2008</w:t>
      </w:r>
      <w:r>
        <w:rPr>
          <w:rFonts w:ascii="Arial" w:hAnsi="Arial" w:cs="Arial"/>
          <w:i/>
          <w:iCs/>
          <w:sz w:val="20"/>
        </w:rPr>
        <w:t xml:space="preserve"> </w:t>
      </w:r>
      <w:r w:rsidRPr="00720966">
        <w:rPr>
          <w:rFonts w:ascii="Arial" w:hAnsi="Arial" w:cs="Arial"/>
          <w:sz w:val="20"/>
        </w:rPr>
        <w:t xml:space="preserve">provides that except as provided by that Act a person who is competent to give evidence about a fact is </w:t>
      </w:r>
      <w:r w:rsidRPr="00033752">
        <w:rPr>
          <w:rFonts w:ascii="Arial" w:hAnsi="Arial" w:cs="Arial"/>
          <w:b/>
          <w:bCs/>
          <w:sz w:val="20"/>
        </w:rPr>
        <w:t>compellable</w:t>
      </w:r>
      <w:r w:rsidRPr="00720966">
        <w:rPr>
          <w:rFonts w:ascii="Arial" w:hAnsi="Arial" w:cs="Arial"/>
          <w:sz w:val="20"/>
        </w:rPr>
        <w:t xml:space="preserve"> to give that evidence.</w:t>
      </w:r>
    </w:p>
    <w:p w14:paraId="7D7246E4" w14:textId="77777777" w:rsidR="00725634" w:rsidRDefault="00725634" w:rsidP="00720966">
      <w:pPr>
        <w:jc w:val="both"/>
        <w:rPr>
          <w:rFonts w:ascii="Arial" w:hAnsi="Arial" w:cs="Arial"/>
          <w:sz w:val="20"/>
        </w:rPr>
      </w:pPr>
    </w:p>
    <w:p w14:paraId="64774998" w14:textId="2FE8928A" w:rsidR="00720966" w:rsidRDefault="00E91EA7" w:rsidP="00720966">
      <w:pPr>
        <w:jc w:val="both"/>
        <w:rPr>
          <w:rFonts w:ascii="Arial" w:hAnsi="Arial" w:cs="Arial"/>
          <w:sz w:val="20"/>
        </w:rPr>
      </w:pPr>
      <w:r w:rsidRPr="00ED2572">
        <w:rPr>
          <w:rFonts w:ascii="Arial" w:hAnsi="Arial" w:cs="Arial"/>
          <w:sz w:val="20"/>
          <w:szCs w:val="20"/>
        </w:rPr>
        <w:t xml:space="preserve">In </w:t>
      </w:r>
      <w:r w:rsidRPr="00ED2572">
        <w:rPr>
          <w:rFonts w:ascii="Arial" w:hAnsi="Arial" w:cs="Arial"/>
          <w:i/>
          <w:iCs/>
          <w:sz w:val="20"/>
          <w:szCs w:val="20"/>
        </w:rPr>
        <w:t xml:space="preserve">DPP v Roberts (Ruling No </w:t>
      </w:r>
      <w:r>
        <w:rPr>
          <w:rFonts w:ascii="Arial" w:hAnsi="Arial" w:cs="Arial"/>
          <w:i/>
          <w:iCs/>
          <w:sz w:val="20"/>
          <w:szCs w:val="20"/>
        </w:rPr>
        <w:t>10</w:t>
      </w:r>
      <w:r w:rsidRPr="00ED2572">
        <w:rPr>
          <w:rFonts w:ascii="Arial" w:hAnsi="Arial" w:cs="Arial"/>
          <w:i/>
          <w:iCs/>
          <w:sz w:val="20"/>
          <w:szCs w:val="20"/>
        </w:rPr>
        <w:t>)</w:t>
      </w:r>
      <w:r w:rsidRPr="00ED2572">
        <w:rPr>
          <w:rFonts w:ascii="Arial" w:hAnsi="Arial" w:cs="Arial"/>
          <w:sz w:val="20"/>
          <w:szCs w:val="20"/>
        </w:rPr>
        <w:t xml:space="preserve"> [2022] VSC </w:t>
      </w:r>
      <w:r>
        <w:rPr>
          <w:rFonts w:ascii="Arial" w:hAnsi="Arial" w:cs="Arial"/>
          <w:sz w:val="20"/>
          <w:szCs w:val="20"/>
        </w:rPr>
        <w:t>96</w:t>
      </w:r>
      <w:r w:rsidRPr="00ED2572">
        <w:rPr>
          <w:rFonts w:ascii="Arial" w:hAnsi="Arial" w:cs="Arial"/>
          <w:sz w:val="20"/>
          <w:szCs w:val="20"/>
        </w:rPr>
        <w:t xml:space="preserve"> </w:t>
      </w:r>
      <w:r>
        <w:rPr>
          <w:rFonts w:ascii="Arial" w:hAnsi="Arial" w:cs="Arial"/>
          <w:sz w:val="20"/>
          <w:szCs w:val="20"/>
        </w:rPr>
        <w:t>– prior to the retrial of Mr Roberts who had been convicted of the murder of two police officers some 20 years before – a witness Mr Graham Thwaites sought to be excused from giving evidence on the basis of mental ill health dating back to being a witness at the scene of the killing of two police officer colleagues.  In rejecting the submission made on behalf of Mr Thwaites to be excused from giving evidence Kaye JA said at [2] &amp; [</w:t>
      </w:r>
      <w:r w:rsidR="005927BD">
        <w:rPr>
          <w:rFonts w:ascii="Arial" w:hAnsi="Arial" w:cs="Arial"/>
          <w:sz w:val="20"/>
          <w:szCs w:val="20"/>
        </w:rPr>
        <w:t>11</w:t>
      </w:r>
      <w:r>
        <w:rPr>
          <w:rFonts w:ascii="Arial" w:hAnsi="Arial" w:cs="Arial"/>
          <w:sz w:val="20"/>
          <w:szCs w:val="20"/>
        </w:rPr>
        <w:t>]</w:t>
      </w:r>
      <w:r w:rsidR="005927BD">
        <w:rPr>
          <w:rFonts w:ascii="Arial" w:hAnsi="Arial" w:cs="Arial"/>
          <w:sz w:val="20"/>
          <w:szCs w:val="20"/>
        </w:rPr>
        <w:t>-[15]</w:t>
      </w:r>
      <w:r>
        <w:rPr>
          <w:rFonts w:ascii="Arial" w:hAnsi="Arial" w:cs="Arial"/>
          <w:sz w:val="20"/>
          <w:szCs w:val="20"/>
        </w:rPr>
        <w:t xml:space="preserve">: </w:t>
      </w:r>
    </w:p>
    <w:p w14:paraId="7BEDFA8B" w14:textId="30B3556D" w:rsidR="00AE0B9B" w:rsidRDefault="005927BD" w:rsidP="005927BD">
      <w:pPr>
        <w:spacing w:before="60"/>
        <w:ind w:left="567" w:right="567"/>
        <w:jc w:val="both"/>
        <w:rPr>
          <w:rFonts w:ascii="Arial" w:hAnsi="Arial" w:cs="Arial"/>
          <w:sz w:val="20"/>
          <w:szCs w:val="20"/>
        </w:rPr>
      </w:pPr>
      <w:r>
        <w:rPr>
          <w:rFonts w:ascii="Arial" w:hAnsi="Arial" w:cs="Arial"/>
          <w:sz w:val="20"/>
        </w:rPr>
        <w:t>[2] “</w:t>
      </w:r>
      <w:r w:rsidRPr="005927BD">
        <w:rPr>
          <w:rFonts w:ascii="Arial" w:hAnsi="Arial" w:cs="Arial"/>
          <w:sz w:val="20"/>
          <w:szCs w:val="20"/>
        </w:rPr>
        <w:t>The evidence of Mr Thwaites is plainly relevant to the trial and important to the issues that will be raised during the trial. He, with then Senior Constable Poke, attended the dying Senior Constable Miller shortly after they arrived at the scene</w:t>
      </w:r>
      <w:r>
        <w:rPr>
          <w:rFonts w:ascii="Arial" w:hAnsi="Arial" w:cs="Arial"/>
          <w:sz w:val="20"/>
          <w:szCs w:val="20"/>
        </w:rPr>
        <w:t>…</w:t>
      </w:r>
    </w:p>
    <w:p w14:paraId="08E72865" w14:textId="77777777" w:rsidR="005927BD" w:rsidRDefault="005927BD" w:rsidP="005927BD">
      <w:pPr>
        <w:spacing w:before="60"/>
        <w:ind w:left="567" w:right="567"/>
        <w:jc w:val="both"/>
        <w:rPr>
          <w:rFonts w:ascii="Arial" w:hAnsi="Arial" w:cs="Arial"/>
          <w:sz w:val="20"/>
          <w:szCs w:val="20"/>
        </w:rPr>
      </w:pPr>
      <w:r>
        <w:rPr>
          <w:rFonts w:ascii="Arial" w:hAnsi="Arial" w:cs="Arial"/>
          <w:sz w:val="20"/>
          <w:szCs w:val="20"/>
        </w:rPr>
        <w:t xml:space="preserve">[11] However, [counsel appearing for Mr Thwaites] </w:t>
      </w:r>
      <w:r w:rsidRPr="005927BD">
        <w:rPr>
          <w:rFonts w:ascii="Arial" w:hAnsi="Arial" w:cs="Arial"/>
          <w:sz w:val="20"/>
          <w:szCs w:val="20"/>
        </w:rPr>
        <w:t>has submitted that if I were to find that the witness were unavailable then in some way I could declare that he should be excluded from being subpoenaed</w:t>
      </w:r>
    </w:p>
    <w:p w14:paraId="4EB5A6BC" w14:textId="77777777" w:rsidR="00F35320" w:rsidRDefault="005927BD" w:rsidP="005927BD">
      <w:pPr>
        <w:spacing w:before="60"/>
        <w:ind w:left="567" w:right="567"/>
        <w:jc w:val="both"/>
        <w:rPr>
          <w:rFonts w:ascii="Arial" w:hAnsi="Arial" w:cs="Arial"/>
          <w:sz w:val="20"/>
          <w:szCs w:val="20"/>
        </w:rPr>
      </w:pPr>
      <w:r>
        <w:rPr>
          <w:rFonts w:ascii="Arial" w:hAnsi="Arial" w:cs="Arial"/>
          <w:sz w:val="20"/>
          <w:szCs w:val="20"/>
        </w:rPr>
        <w:t>[</w:t>
      </w:r>
      <w:r w:rsidRPr="005927BD">
        <w:rPr>
          <w:rFonts w:ascii="Arial" w:hAnsi="Arial" w:cs="Arial"/>
          <w:sz w:val="20"/>
          <w:szCs w:val="20"/>
        </w:rPr>
        <w:t>12</w:t>
      </w:r>
      <w:r>
        <w:rPr>
          <w:rFonts w:ascii="Arial" w:hAnsi="Arial" w:cs="Arial"/>
          <w:sz w:val="20"/>
          <w:szCs w:val="20"/>
        </w:rPr>
        <w:t>]</w:t>
      </w:r>
      <w:r w:rsidRPr="005927BD">
        <w:rPr>
          <w:rFonts w:ascii="Arial" w:hAnsi="Arial" w:cs="Arial"/>
          <w:sz w:val="20"/>
          <w:szCs w:val="20"/>
        </w:rPr>
        <w:t xml:space="preserve"> In my view there is no authority that supports such a submission and it is I consider against the scheme of the whole of the </w:t>
      </w:r>
      <w:r w:rsidRPr="00F35320">
        <w:rPr>
          <w:rFonts w:ascii="Arial" w:hAnsi="Arial" w:cs="Arial"/>
          <w:i/>
          <w:iCs/>
          <w:sz w:val="20"/>
          <w:szCs w:val="20"/>
        </w:rPr>
        <w:t>Evidence Act</w:t>
      </w:r>
      <w:r w:rsidRPr="005927BD">
        <w:rPr>
          <w:rFonts w:ascii="Arial" w:hAnsi="Arial" w:cs="Arial"/>
          <w:sz w:val="20"/>
          <w:szCs w:val="20"/>
        </w:rPr>
        <w:t>. As I said, s 12 describes which categories of witnesses are compellable to give evidence.</w:t>
      </w:r>
    </w:p>
    <w:p w14:paraId="079F7A78"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13</w:t>
      </w:r>
      <w:r>
        <w:rPr>
          <w:rFonts w:ascii="Arial" w:hAnsi="Arial" w:cs="Arial"/>
          <w:sz w:val="20"/>
          <w:szCs w:val="20"/>
        </w:rPr>
        <w:t>]</w:t>
      </w:r>
      <w:r w:rsidR="005927BD" w:rsidRPr="005927BD">
        <w:rPr>
          <w:rFonts w:ascii="Arial" w:hAnsi="Arial" w:cs="Arial"/>
          <w:sz w:val="20"/>
          <w:szCs w:val="20"/>
        </w:rPr>
        <w:t xml:space="preserve"> Mr Thwaites falls within that category and one could not by proper statutory construction define some form of implicit power to excuse a witness who is compellable on the basis that he is unavailable.</w:t>
      </w:r>
    </w:p>
    <w:p w14:paraId="445BEA25"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14</w:t>
      </w:r>
      <w:r>
        <w:rPr>
          <w:rFonts w:ascii="Arial" w:hAnsi="Arial" w:cs="Arial"/>
          <w:sz w:val="20"/>
          <w:szCs w:val="20"/>
        </w:rPr>
        <w:t>]</w:t>
      </w:r>
      <w:r w:rsidR="005927BD" w:rsidRPr="005927BD">
        <w:rPr>
          <w:rFonts w:ascii="Arial" w:hAnsi="Arial" w:cs="Arial"/>
          <w:sz w:val="20"/>
          <w:szCs w:val="20"/>
        </w:rPr>
        <w:t xml:space="preserve"> In reaching the conclusion, that Mr Thwaites is compellable, I have particular sympathy for his position and the distress he is suffering and has suffered over the last 24 years. That distress is understandable and is a matter of concern. </w:t>
      </w:r>
    </w:p>
    <w:p w14:paraId="6AE10B30" w14:textId="7D7295C5" w:rsidR="005927BD" w:rsidRDefault="00F35320" w:rsidP="00065668">
      <w:pPr>
        <w:spacing w:before="60"/>
        <w:ind w:left="567" w:right="567"/>
        <w:jc w:val="both"/>
        <w:rPr>
          <w:rFonts w:ascii="Arial" w:hAnsi="Arial" w:cs="Arial"/>
          <w:sz w:val="20"/>
        </w:rPr>
      </w:pPr>
      <w:r>
        <w:rPr>
          <w:rFonts w:ascii="Arial" w:hAnsi="Arial" w:cs="Arial"/>
          <w:sz w:val="20"/>
          <w:szCs w:val="20"/>
        </w:rPr>
        <w:t>[</w:t>
      </w:r>
      <w:r w:rsidR="005927BD" w:rsidRPr="005927BD">
        <w:rPr>
          <w:rFonts w:ascii="Arial" w:hAnsi="Arial" w:cs="Arial"/>
          <w:sz w:val="20"/>
          <w:szCs w:val="20"/>
        </w:rPr>
        <w:t>15</w:t>
      </w:r>
      <w:r>
        <w:rPr>
          <w:rFonts w:ascii="Arial" w:hAnsi="Arial" w:cs="Arial"/>
          <w:sz w:val="20"/>
          <w:szCs w:val="20"/>
        </w:rPr>
        <w:t>]</w:t>
      </w:r>
      <w:r w:rsidR="005927BD" w:rsidRPr="005927BD">
        <w:rPr>
          <w:rFonts w:ascii="Arial" w:hAnsi="Arial" w:cs="Arial"/>
          <w:sz w:val="20"/>
          <w:szCs w:val="20"/>
        </w:rPr>
        <w:t xml:space="preserve"> There are steps which we will take to endeavour to alleviate that distress. First as discussed it is my intention that Mr Thwaites give evidence this week by audio visual link that will be pre-recorded without the presence of a jury.</w:t>
      </w:r>
      <w:r>
        <w:rPr>
          <w:rFonts w:ascii="Arial" w:hAnsi="Arial" w:cs="Arial"/>
          <w:sz w:val="20"/>
          <w:szCs w:val="20"/>
        </w:rPr>
        <w:t>”</w:t>
      </w:r>
    </w:p>
    <w:p w14:paraId="5E1E774E" w14:textId="77777777" w:rsidR="00065668" w:rsidRDefault="00065668" w:rsidP="00065668">
      <w:pPr>
        <w:jc w:val="both"/>
        <w:rPr>
          <w:rFonts w:ascii="Arial" w:hAnsi="Arial" w:cs="Arial"/>
          <w:sz w:val="20"/>
        </w:rPr>
      </w:pPr>
    </w:p>
    <w:p w14:paraId="51D3CEFD" w14:textId="7C803B2F" w:rsidR="00065668" w:rsidRDefault="00065668" w:rsidP="00065668">
      <w:pPr>
        <w:jc w:val="both"/>
        <w:rPr>
          <w:rFonts w:ascii="Arial" w:hAnsi="Arial" w:cs="Arial"/>
          <w:sz w:val="20"/>
        </w:rPr>
      </w:pPr>
      <w:r>
        <w:rPr>
          <w:rFonts w:ascii="Arial" w:hAnsi="Arial" w:cs="Arial"/>
          <w:sz w:val="20"/>
        </w:rPr>
        <w:t xml:space="preserve">Section 14 of the </w:t>
      </w:r>
      <w:r w:rsidRPr="00065668">
        <w:rPr>
          <w:rFonts w:ascii="Arial" w:hAnsi="Arial" w:cs="Arial"/>
          <w:i/>
          <w:iCs/>
          <w:sz w:val="20"/>
        </w:rPr>
        <w:t>Evidence Act 2008</w:t>
      </w:r>
      <w:r>
        <w:rPr>
          <w:rFonts w:ascii="Arial" w:hAnsi="Arial" w:cs="Arial"/>
          <w:sz w:val="20"/>
        </w:rPr>
        <w:t xml:space="preserve"> – under the heading “</w:t>
      </w:r>
      <w:r w:rsidRPr="00065668">
        <w:rPr>
          <w:rFonts w:ascii="Arial" w:hAnsi="Arial" w:cs="Arial"/>
          <w:b/>
          <w:bCs/>
          <w:sz w:val="20"/>
        </w:rPr>
        <w:t>Compellability – reduced capacity</w:t>
      </w:r>
      <w:r>
        <w:rPr>
          <w:rFonts w:ascii="Arial" w:hAnsi="Arial" w:cs="Arial"/>
          <w:sz w:val="20"/>
        </w:rPr>
        <w:t>” provides:</w:t>
      </w:r>
    </w:p>
    <w:p w14:paraId="5D4AD654" w14:textId="4377014D" w:rsidR="00065668" w:rsidRDefault="00065668" w:rsidP="00065668">
      <w:pPr>
        <w:tabs>
          <w:tab w:val="left" w:pos="567"/>
        </w:tabs>
        <w:spacing w:before="80"/>
        <w:ind w:left="567" w:right="567"/>
        <w:jc w:val="both"/>
        <w:rPr>
          <w:rFonts w:ascii="Arial" w:hAnsi="Arial" w:cs="Arial"/>
          <w:sz w:val="20"/>
        </w:rPr>
      </w:pPr>
      <w:r>
        <w:rPr>
          <w:rFonts w:ascii="Arial" w:hAnsi="Arial" w:cs="Arial"/>
          <w:sz w:val="20"/>
        </w:rPr>
        <w:t>“A person is not compellable to give evidence on a particular matter if the court is satisfied that-</w:t>
      </w:r>
    </w:p>
    <w:p w14:paraId="1B0D36AD" w14:textId="1262FEFF" w:rsidR="00065668" w:rsidRDefault="00065668">
      <w:pPr>
        <w:numPr>
          <w:ilvl w:val="1"/>
          <w:numId w:val="90"/>
        </w:numPr>
        <w:ind w:left="1021" w:right="567" w:hanging="454"/>
        <w:jc w:val="both"/>
        <w:rPr>
          <w:rFonts w:ascii="Arial" w:hAnsi="Arial" w:cs="Arial"/>
          <w:sz w:val="20"/>
        </w:rPr>
      </w:pPr>
      <w:r>
        <w:rPr>
          <w:rFonts w:ascii="Arial" w:hAnsi="Arial" w:cs="Arial"/>
          <w:sz w:val="20"/>
        </w:rPr>
        <w:t xml:space="preserve">substantial cost of delay would be </w:t>
      </w:r>
      <w:r w:rsidR="003568B4">
        <w:rPr>
          <w:rFonts w:ascii="Arial" w:hAnsi="Arial" w:cs="Arial"/>
          <w:sz w:val="20"/>
        </w:rPr>
        <w:t xml:space="preserve">incurred in ensuing that </w:t>
      </w:r>
      <w:r>
        <w:rPr>
          <w:rFonts w:ascii="Arial" w:hAnsi="Arial" w:cs="Arial"/>
          <w:sz w:val="20"/>
        </w:rPr>
        <w:t>the person</w:t>
      </w:r>
      <w:r w:rsidR="003568B4">
        <w:rPr>
          <w:rFonts w:ascii="Arial" w:hAnsi="Arial" w:cs="Arial"/>
          <w:sz w:val="20"/>
        </w:rPr>
        <w:t xml:space="preserve"> would have the capacity to understand a question about the matter or to give an answer that can be understood to a question about the matter</w:t>
      </w:r>
      <w:r>
        <w:rPr>
          <w:rFonts w:ascii="Arial" w:hAnsi="Arial" w:cs="Arial"/>
          <w:sz w:val="20"/>
        </w:rPr>
        <w:t xml:space="preserve">; </w:t>
      </w:r>
      <w:r w:rsidR="003568B4">
        <w:rPr>
          <w:rFonts w:ascii="Arial" w:hAnsi="Arial" w:cs="Arial"/>
          <w:sz w:val="20"/>
        </w:rPr>
        <w:t>and</w:t>
      </w:r>
    </w:p>
    <w:p w14:paraId="46ECD1E1" w14:textId="5C373248" w:rsidR="003568B4" w:rsidRDefault="003568B4">
      <w:pPr>
        <w:numPr>
          <w:ilvl w:val="1"/>
          <w:numId w:val="90"/>
        </w:numPr>
        <w:ind w:left="1021" w:right="567" w:hanging="454"/>
        <w:jc w:val="both"/>
        <w:rPr>
          <w:rFonts w:ascii="Arial" w:hAnsi="Arial" w:cs="Arial"/>
          <w:sz w:val="20"/>
        </w:rPr>
      </w:pPr>
      <w:r>
        <w:rPr>
          <w:rFonts w:ascii="Arial" w:hAnsi="Arial" w:cs="Arial"/>
          <w:sz w:val="20"/>
        </w:rPr>
        <w:t>adequate evidence on that matter has been given, or will be able to be given, from one or more other persons or sources.”</w:t>
      </w:r>
    </w:p>
    <w:p w14:paraId="56B44DEE" w14:textId="4C90EC0B" w:rsidR="00065668" w:rsidRDefault="00065668" w:rsidP="00D9242C">
      <w:pPr>
        <w:jc w:val="both"/>
        <w:rPr>
          <w:rFonts w:ascii="Arial" w:hAnsi="Arial" w:cs="Arial"/>
          <w:sz w:val="20"/>
        </w:rPr>
      </w:pPr>
    </w:p>
    <w:p w14:paraId="6EBC2D72" w14:textId="6218FFD2" w:rsidR="003568B4" w:rsidRDefault="003568B4" w:rsidP="00D9242C">
      <w:pPr>
        <w:jc w:val="both"/>
        <w:rPr>
          <w:rFonts w:ascii="Arial" w:hAnsi="Arial" w:cs="Arial"/>
          <w:sz w:val="20"/>
        </w:rPr>
      </w:pPr>
      <w:r>
        <w:rPr>
          <w:rFonts w:ascii="Arial" w:hAnsi="Arial" w:cs="Arial"/>
          <w:sz w:val="20"/>
        </w:rPr>
        <w:t xml:space="preserve">Section 15 provides that the sovereign and </w:t>
      </w:r>
      <w:r w:rsidR="00A80955">
        <w:rPr>
          <w:rFonts w:ascii="Arial" w:hAnsi="Arial" w:cs="Arial"/>
          <w:sz w:val="20"/>
        </w:rPr>
        <w:t>nominated</w:t>
      </w:r>
      <w:r>
        <w:rPr>
          <w:rFonts w:ascii="Arial" w:hAnsi="Arial" w:cs="Arial"/>
          <w:sz w:val="20"/>
        </w:rPr>
        <w:t xml:space="preserve"> others are not compellable.  Section 16 deals with the competence and compellability of judges and jurors in a proceeding.</w:t>
      </w:r>
    </w:p>
    <w:p w14:paraId="5DA71B0A" w14:textId="77777777" w:rsidR="003568B4" w:rsidRDefault="003568B4" w:rsidP="00D9242C">
      <w:pPr>
        <w:jc w:val="both"/>
        <w:rPr>
          <w:rFonts w:ascii="Arial" w:hAnsi="Arial" w:cs="Arial"/>
          <w:sz w:val="20"/>
        </w:rPr>
      </w:pPr>
    </w:p>
    <w:p w14:paraId="70C19BF6" w14:textId="77777777" w:rsidR="00D9242C" w:rsidRDefault="00D9242C" w:rsidP="00183219">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Pr>
          <w:rFonts w:ascii="Arial" w:hAnsi="Arial" w:cs="Arial"/>
          <w:i/>
          <w:iCs/>
          <w:sz w:val="20"/>
        </w:rPr>
        <w:t xml:space="preserve"> </w:t>
      </w:r>
      <w:r>
        <w:rPr>
          <w:rFonts w:ascii="Arial" w:hAnsi="Arial" w:cs="Arial"/>
          <w:sz w:val="20"/>
        </w:rPr>
        <w:t>which applies only in a criminal proceeding provides that-</w:t>
      </w:r>
    </w:p>
    <w:p w14:paraId="4E891724" w14:textId="77777777" w:rsidR="00D9242C" w:rsidRDefault="00D9242C" w:rsidP="00D9242C">
      <w:pPr>
        <w:numPr>
          <w:ilvl w:val="0"/>
          <w:numId w:val="25"/>
        </w:numPr>
        <w:jc w:val="both"/>
        <w:rPr>
          <w:rFonts w:ascii="Arial" w:hAnsi="Arial" w:cs="Arial"/>
          <w:sz w:val="20"/>
        </w:rPr>
      </w:pPr>
      <w:r>
        <w:rPr>
          <w:rFonts w:ascii="Arial" w:hAnsi="Arial" w:cs="Arial"/>
          <w:sz w:val="20"/>
        </w:rPr>
        <w:t>A defendant is not competent to give evidence for the prosecution.</w:t>
      </w:r>
    </w:p>
    <w:p w14:paraId="7C4993C5" w14:textId="77777777" w:rsidR="00D9242C" w:rsidRDefault="00D9242C" w:rsidP="00D9242C">
      <w:pPr>
        <w:numPr>
          <w:ilvl w:val="0"/>
          <w:numId w:val="25"/>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3259F25E" w14:textId="77777777" w:rsidR="00D9242C" w:rsidRDefault="00D9242C" w:rsidP="00720966">
      <w:pPr>
        <w:jc w:val="both"/>
        <w:rPr>
          <w:rFonts w:ascii="Arial" w:hAnsi="Arial" w:cs="Arial"/>
          <w:sz w:val="20"/>
        </w:rPr>
      </w:pPr>
    </w:p>
    <w:p w14:paraId="0FA39BFE" w14:textId="70155C9A" w:rsidR="001C735B" w:rsidRDefault="004D3636" w:rsidP="00720966">
      <w:pPr>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3D7DEC">
      <w:pPr>
        <w:numPr>
          <w:ilvl w:val="0"/>
          <w:numId w:val="26"/>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CDEE2F1"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r w:rsidR="001F5308">
        <w:rPr>
          <w:rFonts w:ascii="Arial" w:hAnsi="Arial" w:cs="Arial"/>
          <w:sz w:val="20"/>
        </w:rPr>
        <w:t xml:space="preserve">  See </w:t>
      </w:r>
      <w:r w:rsidR="000059C5" w:rsidRPr="000059C5">
        <w:rPr>
          <w:rFonts w:ascii="Arial" w:hAnsi="Arial" w:cs="Arial"/>
          <w:i/>
          <w:iCs/>
          <w:sz w:val="20"/>
        </w:rPr>
        <w:t>DPP v Fuller (a pseudonym)</w:t>
      </w:r>
      <w:r w:rsidR="000059C5">
        <w:rPr>
          <w:rFonts w:ascii="Arial" w:hAnsi="Arial" w:cs="Arial"/>
          <w:sz w:val="20"/>
        </w:rPr>
        <w:t xml:space="preserve"> [2023] VSCA 121.</w:t>
      </w:r>
    </w:p>
    <w:p w14:paraId="0C319031" w14:textId="0DB542C5"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lastRenderedPageBreak/>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502A5776" w14:textId="4F6E09CF" w:rsidR="00D13FB8" w:rsidRDefault="00D13FB8" w:rsidP="00D13FB8">
      <w:pPr>
        <w:jc w:val="both"/>
        <w:rPr>
          <w:rFonts w:ascii="Arial" w:hAnsi="Arial" w:cs="Arial"/>
          <w:sz w:val="20"/>
        </w:rPr>
      </w:pPr>
    </w:p>
    <w:p w14:paraId="5BA64300" w14:textId="77777777" w:rsidR="00B87E69" w:rsidRDefault="00B87E69" w:rsidP="00B87E69">
      <w:pPr>
        <w:pStyle w:val="Heading3"/>
        <w:keepNext/>
        <w:spacing w:after="120" w:line="240" w:lineRule="auto"/>
        <w:rPr>
          <w:rFonts w:ascii="Arial" w:hAnsi="Arial" w:cs="Arial"/>
          <w:b/>
          <w:bCs/>
          <w:sz w:val="20"/>
        </w:rPr>
      </w:pPr>
      <w:bookmarkStart w:id="789" w:name="_3.5.10.3__Children"/>
      <w:bookmarkEnd w:id="789"/>
      <w:r>
        <w:rPr>
          <w:rFonts w:ascii="Arial" w:hAnsi="Arial" w:cs="Arial"/>
          <w:b/>
          <w:bCs/>
          <w:sz w:val="20"/>
        </w:rPr>
        <w:t>3.5.10.3</w:t>
      </w:r>
      <w:r>
        <w:rPr>
          <w:rFonts w:ascii="Arial" w:hAnsi="Arial" w:cs="Arial"/>
          <w:b/>
          <w:bCs/>
          <w:sz w:val="20"/>
        </w:rPr>
        <w:tab/>
        <w:t xml:space="preserve"> Children as witnesses in court cases</w:t>
      </w:r>
    </w:p>
    <w:p w14:paraId="366BFDC1" w14:textId="099582F7" w:rsidR="00065668" w:rsidRDefault="00B87E69" w:rsidP="00065668">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xml:space="preserve">, there were specific requirements about which the presiding judicial officer had to be satisfied before accepting the evidence of a child witness.  Although there was no fixed age below which a child was deemed incompetent to give evidence on oath nor was there any precise rule as to the degree of knowledge or intelligence which would exclude such evidence, the common law test for the competency of a child depended on whether the child possesses “a sufficient knowledge of the nature and consequences of [the] oath [and] on the sense and reason they entertain of the dangers and impiety of falsehood”.  See e.g. </w:t>
      </w:r>
      <w:r w:rsidRPr="006C654A">
        <w:rPr>
          <w:rFonts w:ascii="Arial" w:hAnsi="Arial" w:cs="Arial"/>
          <w:i/>
          <w:sz w:val="20"/>
        </w:rPr>
        <w:t>R v Brasier</w:t>
      </w:r>
      <w:r>
        <w:rPr>
          <w:rFonts w:ascii="Arial" w:hAnsi="Arial" w:cs="Arial"/>
          <w:sz w:val="20"/>
        </w:rPr>
        <w:t xml:space="preserve"> (1779) 1 Leach 199 at 200; </w:t>
      </w:r>
      <w:r w:rsidRPr="00622F7B">
        <w:rPr>
          <w:rFonts w:ascii="Arial" w:hAnsi="Arial" w:cs="Arial"/>
          <w:i/>
          <w:sz w:val="20"/>
        </w:rPr>
        <w:t xml:space="preserve">R v </w:t>
      </w:r>
      <w:smartTag w:uri="urn:schemas-microsoft-com:office:smarttags" w:element="place">
        <w:smartTag w:uri="urn:schemas-microsoft-com:office:smarttags" w:element="City">
          <w:r w:rsidRPr="00622F7B">
            <w:rPr>
              <w:rFonts w:ascii="Arial" w:hAnsi="Arial" w:cs="Arial"/>
              <w:i/>
              <w:sz w:val="20"/>
            </w:rPr>
            <w:t>Lyons</w:t>
          </w:r>
        </w:smartTag>
      </w:smartTag>
      <w:r>
        <w:rPr>
          <w:rFonts w:ascii="Arial" w:hAnsi="Arial" w:cs="Arial"/>
          <w:sz w:val="20"/>
        </w:rPr>
        <w:t xml:space="preserve"> (1889) 15 VLR 15</w:t>
      </w:r>
      <w:r>
        <w:rPr>
          <w:rFonts w:ascii="Arial" w:hAnsi="Arial" w:cs="Arial"/>
          <w:i/>
          <w:sz w:val="20"/>
        </w:rPr>
        <w:t xml:space="preserve">; </w:t>
      </w:r>
      <w:r w:rsidRPr="006B4665">
        <w:rPr>
          <w:rFonts w:ascii="Arial" w:hAnsi="Arial" w:cs="Arial"/>
          <w:i/>
          <w:sz w:val="20"/>
        </w:rPr>
        <w:t>R v Brooks</w:t>
      </w:r>
      <w:r>
        <w:rPr>
          <w:rFonts w:ascii="Arial" w:hAnsi="Arial" w:cs="Arial"/>
          <w:sz w:val="20"/>
        </w:rPr>
        <w:t xml:space="preserve"> (1998) 44 NSWLR 121 at 124 per Grove J.  This is no longer the law in Victoria.</w:t>
      </w:r>
      <w:r w:rsidR="00A80955">
        <w:rPr>
          <w:rFonts w:ascii="Arial" w:hAnsi="Arial" w:cs="Arial"/>
          <w:sz w:val="20"/>
        </w:rPr>
        <w:t xml:space="preserve">  </w:t>
      </w:r>
      <w:r w:rsidR="00065668">
        <w:rPr>
          <w:rFonts w:ascii="Arial" w:hAnsi="Arial" w:cs="Arial"/>
          <w:sz w:val="20"/>
        </w:rPr>
        <w:t xml:space="preserve">There is no longer any special category of “child witness” as far as competence </w:t>
      </w:r>
      <w:r w:rsidR="00265EDD">
        <w:rPr>
          <w:rFonts w:ascii="Arial" w:hAnsi="Arial" w:cs="Arial"/>
          <w:sz w:val="20"/>
        </w:rPr>
        <w:t>and</w:t>
      </w:r>
      <w:r w:rsidR="00065668">
        <w:rPr>
          <w:rFonts w:ascii="Arial" w:hAnsi="Arial" w:cs="Arial"/>
          <w:sz w:val="20"/>
        </w:rPr>
        <w:t xml:space="preserve"> compellability is concerned</w:t>
      </w:r>
      <w:r w:rsidR="00A80955">
        <w:rPr>
          <w:rFonts w:ascii="Arial" w:hAnsi="Arial" w:cs="Arial"/>
          <w:sz w:val="20"/>
        </w:rPr>
        <w:t xml:space="preserve"> and ss.12 &amp; 13 apply to both child and adult witnesses.</w:t>
      </w:r>
    </w:p>
    <w:p w14:paraId="0FAA2FB3" w14:textId="77777777" w:rsidR="00812268" w:rsidRPr="00836E86" w:rsidRDefault="00812268" w:rsidP="00812268">
      <w:pPr>
        <w:jc w:val="both"/>
        <w:rPr>
          <w:rFonts w:ascii="Arial" w:hAnsi="Arial" w:cs="Arial"/>
          <w:sz w:val="20"/>
        </w:rPr>
      </w:pPr>
      <w:bookmarkStart w:id="790" w:name="_3.5.10.3__Claim"/>
      <w:bookmarkEnd w:id="790"/>
    </w:p>
    <w:p w14:paraId="036A28A8" w14:textId="128EED55" w:rsidR="00D13FB8" w:rsidRDefault="00D13FB8" w:rsidP="00D13FB8">
      <w:pPr>
        <w:pStyle w:val="Heading3"/>
        <w:keepNext/>
        <w:spacing w:line="240" w:lineRule="auto"/>
        <w:rPr>
          <w:rFonts w:ascii="Arial" w:hAnsi="Arial" w:cs="Arial"/>
          <w:b/>
          <w:bCs/>
          <w:sz w:val="20"/>
        </w:rPr>
      </w:pPr>
      <w:r>
        <w:rPr>
          <w:rFonts w:ascii="Arial" w:hAnsi="Arial" w:cs="Arial"/>
          <w:b/>
          <w:bCs/>
          <w:sz w:val="20"/>
        </w:rPr>
        <w:t>3.5.10.</w:t>
      </w:r>
      <w:r w:rsidR="00B87E69">
        <w:rPr>
          <w:rFonts w:ascii="Arial" w:hAnsi="Arial" w:cs="Arial"/>
          <w:b/>
          <w:bCs/>
          <w:sz w:val="20"/>
        </w:rPr>
        <w:t>4</w:t>
      </w:r>
      <w:r>
        <w:rPr>
          <w:rFonts w:ascii="Arial" w:hAnsi="Arial" w:cs="Arial"/>
          <w:b/>
          <w:bCs/>
          <w:sz w:val="20"/>
        </w:rPr>
        <w:t xml:space="preserve">  Claim of privilege by a witness</w:t>
      </w:r>
    </w:p>
    <w:p w14:paraId="675CCFFC" w14:textId="5CB3E71F" w:rsidR="009B592C" w:rsidRDefault="00D13FB8" w:rsidP="00720966">
      <w:pPr>
        <w:spacing w:before="120"/>
        <w:jc w:val="both"/>
        <w:rPr>
          <w:rFonts w:ascii="Arial" w:hAnsi="Arial" w:cs="Arial"/>
          <w:color w:val="000000"/>
          <w:sz w:val="20"/>
        </w:rPr>
      </w:pPr>
      <w:r>
        <w:rPr>
          <w:rFonts w:ascii="Arial" w:hAnsi="Arial" w:cs="Arial"/>
          <w:color w:val="000000"/>
          <w:sz w:val="20"/>
        </w:rPr>
        <w:t>In paragraph 3.5.9.1</w:t>
      </w:r>
      <w:r w:rsidR="009B592C">
        <w:rPr>
          <w:rFonts w:ascii="Arial" w:hAnsi="Arial" w:cs="Arial"/>
          <w:color w:val="000000"/>
          <w:sz w:val="20"/>
        </w:rPr>
        <w:t xml:space="preserve"> – in the context of the production of documents under sub-poena – the writer referred to Part </w:t>
      </w:r>
      <w:r>
        <w:rPr>
          <w:rFonts w:ascii="Arial" w:hAnsi="Arial" w:cs="Arial"/>
          <w:color w:val="000000"/>
          <w:sz w:val="20"/>
        </w:rPr>
        <w:t xml:space="preserve">3.10 of the </w:t>
      </w:r>
      <w:r w:rsidRPr="003B3AA1">
        <w:rPr>
          <w:rFonts w:ascii="Arial" w:hAnsi="Arial" w:cs="Arial"/>
          <w:i/>
          <w:iCs/>
          <w:color w:val="000000"/>
          <w:sz w:val="20"/>
        </w:rPr>
        <w:t>Evidence Act 2008</w:t>
      </w:r>
      <w:r>
        <w:rPr>
          <w:rFonts w:ascii="Arial" w:hAnsi="Arial" w:cs="Arial"/>
          <w:color w:val="000000"/>
          <w:sz w:val="20"/>
        </w:rPr>
        <w:t xml:space="preserve"> (Vic)</w:t>
      </w:r>
      <w:r w:rsidR="009B592C">
        <w:rPr>
          <w:rFonts w:ascii="Arial" w:hAnsi="Arial" w:cs="Arial"/>
          <w:color w:val="000000"/>
          <w:sz w:val="20"/>
        </w:rPr>
        <w:t xml:space="preserve"> which </w:t>
      </w:r>
      <w:r>
        <w:rPr>
          <w:rFonts w:ascii="Arial" w:hAnsi="Arial" w:cs="Arial"/>
          <w:color w:val="000000"/>
          <w:sz w:val="20"/>
        </w:rPr>
        <w:t xml:space="preserve">details various privileges which may be claimed by persons seeking that production of particular documents not be ordered.  </w:t>
      </w:r>
      <w:r w:rsidR="009B592C">
        <w:rPr>
          <w:rFonts w:ascii="Arial" w:hAnsi="Arial" w:cs="Arial"/>
          <w:color w:val="000000"/>
          <w:sz w:val="20"/>
        </w:rPr>
        <w:t>The same provisions also apply to a claim of privilege by a witness giving evidence in court proceedings.</w:t>
      </w:r>
    </w:p>
    <w:p w14:paraId="5E60BCCB" w14:textId="77777777" w:rsidR="009B592C" w:rsidRDefault="009B592C" w:rsidP="00D13FB8">
      <w:pPr>
        <w:jc w:val="both"/>
        <w:rPr>
          <w:rFonts w:ascii="Arial" w:hAnsi="Arial" w:cs="Arial"/>
          <w:color w:val="000000"/>
          <w:sz w:val="20"/>
        </w:rPr>
      </w:pPr>
    </w:p>
    <w:p w14:paraId="173B73F9" w14:textId="61A2C166" w:rsidR="00D13FB8" w:rsidRDefault="00D13FB8" w:rsidP="00D13FB8">
      <w:pPr>
        <w:jc w:val="both"/>
        <w:rPr>
          <w:rFonts w:ascii="Arial" w:hAnsi="Arial" w:cs="Arial"/>
          <w:color w:val="000000"/>
          <w:sz w:val="20"/>
        </w:rPr>
      </w:pPr>
      <w:r>
        <w:rPr>
          <w:rFonts w:ascii="Arial" w:hAnsi="Arial" w:cs="Arial"/>
          <w:color w:val="000000"/>
          <w:sz w:val="20"/>
        </w:rPr>
        <w:t>Sections 117-126 deal with ‘Client legal privilege’ formerly known as ‘legal professional privilege’</w:t>
      </w:r>
      <w:r w:rsidR="004E7A72">
        <w:rPr>
          <w:rFonts w:ascii="Arial" w:hAnsi="Arial" w:cs="Arial"/>
          <w:color w:val="000000"/>
          <w:sz w:val="20"/>
        </w:rPr>
        <w:t xml:space="preserve">: see </w:t>
      </w:r>
      <w:proofErr w:type="gramStart"/>
      <w:r w:rsidR="004E7A72">
        <w:rPr>
          <w:rFonts w:ascii="Arial" w:hAnsi="Arial" w:cs="Arial"/>
          <w:color w:val="000000"/>
          <w:sz w:val="20"/>
        </w:rPr>
        <w:t>e.g.</w:t>
      </w:r>
      <w:proofErr w:type="gramEnd"/>
      <w:r w:rsidR="004E7A72">
        <w:rPr>
          <w:rFonts w:ascii="Arial" w:hAnsi="Arial" w:cs="Arial"/>
          <w:color w:val="000000"/>
          <w:sz w:val="20"/>
        </w:rPr>
        <w:t xml:space="preserve"> </w:t>
      </w:r>
      <w:r w:rsidR="004E7A72" w:rsidRPr="00021517">
        <w:rPr>
          <w:rFonts w:ascii="Arial" w:hAnsi="Arial" w:cs="Arial"/>
          <w:i/>
          <w:iCs/>
          <w:sz w:val="20"/>
          <w:szCs w:val="20"/>
        </w:rPr>
        <w:t>Re </w:t>
      </w:r>
      <w:proofErr w:type="spellStart"/>
      <w:r w:rsidR="004E7A72" w:rsidRPr="00021517">
        <w:rPr>
          <w:rFonts w:ascii="Arial" w:hAnsi="Arial" w:cs="Arial"/>
          <w:i/>
          <w:iCs/>
          <w:sz w:val="20"/>
          <w:szCs w:val="20"/>
        </w:rPr>
        <w:t>Mokbel</w:t>
      </w:r>
      <w:proofErr w:type="spellEnd"/>
      <w:r w:rsidR="004E7A72" w:rsidRPr="00021517">
        <w:rPr>
          <w:rFonts w:ascii="Arial" w:hAnsi="Arial" w:cs="Arial"/>
          <w:i/>
          <w:iCs/>
          <w:sz w:val="20"/>
          <w:szCs w:val="20"/>
        </w:rPr>
        <w:t xml:space="preserve"> (No </w:t>
      </w:r>
      <w:r w:rsidR="004E7A72">
        <w:rPr>
          <w:rFonts w:ascii="Arial" w:hAnsi="Arial" w:cs="Arial"/>
          <w:i/>
          <w:iCs/>
          <w:sz w:val="20"/>
          <w:szCs w:val="20"/>
        </w:rPr>
        <w:t>4</w:t>
      </w:r>
      <w:r w:rsidR="004E7A72" w:rsidRPr="00021517">
        <w:rPr>
          <w:rFonts w:ascii="Arial" w:hAnsi="Arial" w:cs="Arial"/>
          <w:i/>
          <w:iCs/>
          <w:sz w:val="20"/>
          <w:szCs w:val="20"/>
        </w:rPr>
        <w:t>)</w:t>
      </w:r>
      <w:r w:rsidR="004E7A72">
        <w:rPr>
          <w:rFonts w:ascii="Arial" w:hAnsi="Arial" w:cs="Arial"/>
          <w:sz w:val="20"/>
          <w:szCs w:val="20"/>
        </w:rPr>
        <w:t xml:space="preserve"> [2024] VSC 68 at [49]</w:t>
      </w:r>
      <w:r>
        <w:rPr>
          <w:rFonts w:ascii="Arial" w:hAnsi="Arial" w:cs="Arial"/>
          <w:color w:val="000000"/>
          <w:sz w:val="20"/>
        </w:rPr>
        <w:t>.  Section 127 deals with religious confessions.  Sections 128 &amp; 128A deal with privilege in respect of self-incrimination</w:t>
      </w:r>
      <w:r w:rsidR="00CC2208">
        <w:rPr>
          <w:rFonts w:ascii="Arial" w:hAnsi="Arial" w:cs="Arial"/>
          <w:color w:val="000000"/>
          <w:sz w:val="20"/>
        </w:rPr>
        <w:t xml:space="preserve">: see </w:t>
      </w:r>
      <w:r w:rsidR="00CC2208" w:rsidRPr="00CC2208">
        <w:rPr>
          <w:rFonts w:ascii="Arial" w:hAnsi="Arial" w:cs="Arial"/>
          <w:i/>
          <w:iCs/>
          <w:sz w:val="20"/>
          <w:szCs w:val="20"/>
        </w:rPr>
        <w:t xml:space="preserve">Timeless Sunrise Pty Ltd v </w:t>
      </w:r>
      <w:proofErr w:type="spellStart"/>
      <w:r w:rsidR="00CC2208" w:rsidRPr="00CC2208">
        <w:rPr>
          <w:rFonts w:ascii="Arial" w:hAnsi="Arial" w:cs="Arial"/>
          <w:i/>
          <w:iCs/>
          <w:sz w:val="20"/>
          <w:szCs w:val="20"/>
        </w:rPr>
        <w:t>BigJ</w:t>
      </w:r>
      <w:proofErr w:type="spellEnd"/>
      <w:r w:rsidR="00CC2208" w:rsidRPr="00CC2208">
        <w:rPr>
          <w:rFonts w:ascii="Arial" w:hAnsi="Arial" w:cs="Arial"/>
          <w:i/>
          <w:iCs/>
          <w:sz w:val="20"/>
          <w:szCs w:val="20"/>
        </w:rPr>
        <w:t xml:space="preserve"> Enterprises Pty Ltd (No 7)</w:t>
      </w:r>
      <w:r w:rsidR="00CC2208" w:rsidRPr="00CC2208">
        <w:rPr>
          <w:rFonts w:ascii="Arial" w:hAnsi="Arial" w:cs="Arial"/>
          <w:sz w:val="20"/>
          <w:szCs w:val="20"/>
        </w:rPr>
        <w:t xml:space="preserve"> [2022] VSC 549</w:t>
      </w:r>
      <w:r w:rsidR="00021517">
        <w:rPr>
          <w:rFonts w:ascii="Arial" w:hAnsi="Arial" w:cs="Arial"/>
          <w:sz w:val="20"/>
          <w:szCs w:val="20"/>
        </w:rPr>
        <w:t xml:space="preserve">; </w:t>
      </w:r>
      <w:r w:rsidR="00021517" w:rsidRPr="00021517">
        <w:rPr>
          <w:rFonts w:ascii="Arial" w:hAnsi="Arial" w:cs="Arial"/>
          <w:i/>
          <w:iCs/>
          <w:sz w:val="20"/>
          <w:szCs w:val="20"/>
        </w:rPr>
        <w:t>Re </w:t>
      </w:r>
      <w:proofErr w:type="spellStart"/>
      <w:r w:rsidR="00021517" w:rsidRPr="00021517">
        <w:rPr>
          <w:rFonts w:ascii="Arial" w:hAnsi="Arial" w:cs="Arial"/>
          <w:i/>
          <w:iCs/>
          <w:sz w:val="20"/>
          <w:szCs w:val="20"/>
        </w:rPr>
        <w:t>Mokbel</w:t>
      </w:r>
      <w:proofErr w:type="spellEnd"/>
      <w:r w:rsidR="00021517" w:rsidRPr="00021517">
        <w:rPr>
          <w:rFonts w:ascii="Arial" w:hAnsi="Arial" w:cs="Arial"/>
          <w:i/>
          <w:iCs/>
          <w:sz w:val="20"/>
          <w:szCs w:val="20"/>
        </w:rPr>
        <w:t xml:space="preserve"> (No 3)</w:t>
      </w:r>
      <w:r w:rsidR="00021517">
        <w:rPr>
          <w:rFonts w:ascii="Arial" w:hAnsi="Arial" w:cs="Arial"/>
          <w:sz w:val="20"/>
          <w:szCs w:val="20"/>
        </w:rPr>
        <w:t xml:space="preserve"> [2024] VSC 50</w:t>
      </w:r>
      <w:r w:rsidRPr="00CC2208">
        <w:rPr>
          <w:rFonts w:ascii="Arial" w:hAnsi="Arial" w:cs="Arial"/>
          <w:color w:val="000000"/>
          <w:sz w:val="20"/>
          <w:szCs w:val="20"/>
        </w:rPr>
        <w:t>.</w:t>
      </w:r>
      <w:r>
        <w:rPr>
          <w:rFonts w:ascii="Arial" w:hAnsi="Arial" w:cs="Arial"/>
          <w:color w:val="000000"/>
          <w:sz w:val="20"/>
        </w:rPr>
        <w:t xml:space="preserve">  Sections 129-131 deals with evidence sought to be ‘excluded in the public interest’, </w:t>
      </w:r>
      <w:r w:rsidR="00F44997">
        <w:rPr>
          <w:rFonts w:ascii="Arial" w:hAnsi="Arial" w:cs="Arial"/>
          <w:color w:val="000000"/>
          <w:sz w:val="20"/>
        </w:rPr>
        <w:t>also</w:t>
      </w:r>
      <w:r>
        <w:rPr>
          <w:rFonts w:ascii="Arial" w:hAnsi="Arial" w:cs="Arial"/>
          <w:color w:val="000000"/>
          <w:sz w:val="20"/>
        </w:rPr>
        <w:t xml:space="preserve"> known as ‘public interest immunity’.</w:t>
      </w:r>
    </w:p>
    <w:p w14:paraId="5EDCC8AF" w14:textId="1477828C" w:rsidR="00D13FB8" w:rsidRDefault="00D13FB8" w:rsidP="00D13FB8">
      <w:pPr>
        <w:jc w:val="both"/>
        <w:rPr>
          <w:rFonts w:ascii="Arial" w:hAnsi="Arial" w:cs="Arial"/>
          <w:color w:val="000000"/>
          <w:sz w:val="20"/>
        </w:rPr>
      </w:pPr>
    </w:p>
    <w:p w14:paraId="532B8F75" w14:textId="2319426D" w:rsidR="00255E07" w:rsidRPr="00E25A51" w:rsidRDefault="009B592C" w:rsidP="00255E07">
      <w:pPr>
        <w:jc w:val="both"/>
        <w:rPr>
          <w:rFonts w:ascii="Arial" w:hAnsi="Arial" w:cs="Arial"/>
          <w:sz w:val="20"/>
          <w:szCs w:val="20"/>
        </w:rPr>
      </w:pPr>
      <w:r w:rsidRPr="00ED2572">
        <w:rPr>
          <w:rFonts w:ascii="Arial" w:hAnsi="Arial" w:cs="Arial"/>
          <w:sz w:val="20"/>
          <w:szCs w:val="20"/>
        </w:rPr>
        <w:t xml:space="preserve">In </w:t>
      </w:r>
      <w:r w:rsidR="00ED2572" w:rsidRPr="00ED2572">
        <w:rPr>
          <w:rFonts w:ascii="Arial" w:hAnsi="Arial" w:cs="Arial"/>
          <w:i/>
          <w:iCs/>
          <w:sz w:val="20"/>
          <w:szCs w:val="20"/>
        </w:rPr>
        <w:t>DPP v Roberts (Ruling No 7)</w:t>
      </w:r>
      <w:r w:rsidR="00ED2572" w:rsidRPr="00ED2572">
        <w:rPr>
          <w:rFonts w:ascii="Arial" w:hAnsi="Arial" w:cs="Arial"/>
          <w:sz w:val="20"/>
          <w:szCs w:val="20"/>
        </w:rPr>
        <w:t xml:space="preserve"> [2022] VSC 60 </w:t>
      </w:r>
      <w:r w:rsidR="00ED2572">
        <w:rPr>
          <w:rFonts w:ascii="Arial" w:hAnsi="Arial" w:cs="Arial"/>
          <w:sz w:val="20"/>
          <w:szCs w:val="20"/>
        </w:rPr>
        <w:t xml:space="preserve">– prior to the retrial of Mr Roberts who had been convicted of the murder of two police officers some 20 years before – a witness Mr George </w:t>
      </w:r>
      <w:proofErr w:type="spellStart"/>
      <w:r w:rsidR="00ED2572">
        <w:rPr>
          <w:rFonts w:ascii="Arial" w:hAnsi="Arial" w:cs="Arial"/>
          <w:sz w:val="20"/>
          <w:szCs w:val="20"/>
        </w:rPr>
        <w:t>Buchhorn</w:t>
      </w:r>
      <w:proofErr w:type="spellEnd"/>
      <w:r w:rsidR="00ED2572">
        <w:rPr>
          <w:rFonts w:ascii="Arial" w:hAnsi="Arial" w:cs="Arial"/>
          <w:sz w:val="20"/>
          <w:szCs w:val="20"/>
        </w:rPr>
        <w:t xml:space="preserve"> had objected, pursuant to s.128(1) of the </w:t>
      </w:r>
      <w:r w:rsidR="00ED2572" w:rsidRPr="00ED2572">
        <w:rPr>
          <w:rFonts w:ascii="Arial" w:hAnsi="Arial" w:cs="Arial"/>
          <w:i/>
          <w:iCs/>
          <w:sz w:val="20"/>
          <w:szCs w:val="20"/>
        </w:rPr>
        <w:t>Evidence Act 2008</w:t>
      </w:r>
      <w:r w:rsidR="00ED2572">
        <w:rPr>
          <w:rFonts w:ascii="Arial" w:hAnsi="Arial" w:cs="Arial"/>
          <w:sz w:val="20"/>
          <w:szCs w:val="20"/>
        </w:rPr>
        <w:t xml:space="preserve">, </w:t>
      </w:r>
      <w:r w:rsidR="00ED2572" w:rsidRPr="00ED2572">
        <w:rPr>
          <w:rFonts w:ascii="Arial" w:hAnsi="Arial" w:cs="Arial"/>
          <w:sz w:val="20"/>
          <w:szCs w:val="20"/>
        </w:rPr>
        <w:t>to giving evidence on the ground that it may tend to prove that he ha</w:t>
      </w:r>
      <w:r w:rsidR="00ED2572">
        <w:rPr>
          <w:rFonts w:ascii="Arial" w:hAnsi="Arial" w:cs="Arial"/>
          <w:sz w:val="20"/>
          <w:szCs w:val="20"/>
        </w:rPr>
        <w:t>d</w:t>
      </w:r>
      <w:r w:rsidR="00ED2572" w:rsidRPr="00ED2572">
        <w:rPr>
          <w:rFonts w:ascii="Arial" w:hAnsi="Arial" w:cs="Arial"/>
          <w:sz w:val="20"/>
          <w:szCs w:val="20"/>
        </w:rPr>
        <w:t xml:space="preserve"> committed an offence arising under an Australian law.</w:t>
      </w:r>
      <w:r w:rsidR="00ED2572">
        <w:rPr>
          <w:rFonts w:ascii="Arial" w:hAnsi="Arial" w:cs="Arial"/>
          <w:sz w:val="20"/>
          <w:szCs w:val="20"/>
        </w:rPr>
        <w:t xml:space="preserve">  Prior to the first trial Mr </w:t>
      </w:r>
      <w:proofErr w:type="spellStart"/>
      <w:r w:rsidR="00ED2572">
        <w:rPr>
          <w:rFonts w:ascii="Arial" w:hAnsi="Arial" w:cs="Arial"/>
          <w:sz w:val="20"/>
          <w:szCs w:val="20"/>
        </w:rPr>
        <w:t>Buchhorn</w:t>
      </w:r>
      <w:proofErr w:type="spellEnd"/>
      <w:r w:rsidR="00ED2572">
        <w:rPr>
          <w:rFonts w:ascii="Arial" w:hAnsi="Arial" w:cs="Arial"/>
          <w:sz w:val="20"/>
          <w:szCs w:val="20"/>
        </w:rPr>
        <w:t xml:space="preserve"> had been a Detective Sergeant of police stationed at the Homicide Squad whose duties included the </w:t>
      </w:r>
      <w:r w:rsidR="00ED2572" w:rsidRPr="00ED2572">
        <w:rPr>
          <w:rFonts w:ascii="Arial" w:hAnsi="Arial" w:cs="Arial"/>
          <w:sz w:val="20"/>
          <w:szCs w:val="20"/>
        </w:rPr>
        <w:t>preparation of a prosecution brief which itself involved the coordination of witness statements and evidence.</w:t>
      </w:r>
      <w:r w:rsidR="00ED2572">
        <w:rPr>
          <w:rFonts w:ascii="Arial" w:hAnsi="Arial" w:cs="Arial"/>
          <w:sz w:val="20"/>
          <w:szCs w:val="20"/>
        </w:rPr>
        <w:t xml:space="preserve">  He had given evidence in a compulsory examination before the Independent Broad-based Anti-corruption Commission which had </w:t>
      </w:r>
      <w:r w:rsidR="00255E07" w:rsidRPr="00255E07">
        <w:rPr>
          <w:rFonts w:ascii="Arial" w:hAnsi="Arial" w:cs="Arial"/>
          <w:sz w:val="20"/>
          <w:szCs w:val="20"/>
        </w:rPr>
        <w:t xml:space="preserve">conducted an investigation into the compilation of statements by the police members who gave evidence relating to the dying declarations of Senior Constable Miller, and in particular, concerning relevant alterations that had been made to those statements before they were included in the police brief. The findings made by IBAC, and the evidence that was adduced before it, constituted the basis of </w:t>
      </w:r>
      <w:r w:rsidR="00255E07">
        <w:rPr>
          <w:rFonts w:ascii="Arial" w:hAnsi="Arial" w:cs="Arial"/>
          <w:sz w:val="20"/>
          <w:szCs w:val="20"/>
        </w:rPr>
        <w:t>Mr Roberts’</w:t>
      </w:r>
      <w:r w:rsidR="00255E07" w:rsidRPr="00255E07">
        <w:rPr>
          <w:rFonts w:ascii="Arial" w:hAnsi="Arial" w:cs="Arial"/>
          <w:sz w:val="20"/>
          <w:szCs w:val="20"/>
        </w:rPr>
        <w:t xml:space="preserve"> second and successful appeal to the Court of Appeal against his conviction for the murders of Sergeant Silk and Senior Constable Miller</w:t>
      </w:r>
      <w:r w:rsidR="00255E07">
        <w:rPr>
          <w:rFonts w:ascii="Arial" w:hAnsi="Arial" w:cs="Arial"/>
          <w:sz w:val="20"/>
          <w:szCs w:val="20"/>
        </w:rPr>
        <w:t>: see [2020] VSCA 277, especially at [149]</w:t>
      </w:r>
      <w:r w:rsidR="00255E07" w:rsidRPr="00255E07">
        <w:rPr>
          <w:rFonts w:ascii="Arial" w:hAnsi="Arial" w:cs="Arial"/>
          <w:sz w:val="20"/>
          <w:szCs w:val="20"/>
        </w:rPr>
        <w:t>.</w:t>
      </w:r>
      <w:r w:rsidR="00255E07">
        <w:rPr>
          <w:rFonts w:ascii="Arial" w:hAnsi="Arial" w:cs="Arial"/>
          <w:sz w:val="20"/>
          <w:szCs w:val="20"/>
        </w:rPr>
        <w:t xml:space="preserve">  In </w:t>
      </w:r>
      <w:r w:rsidR="00255E07" w:rsidRPr="00255E07">
        <w:rPr>
          <w:rFonts w:ascii="Arial" w:hAnsi="Arial" w:cs="Arial"/>
          <w:i/>
          <w:iCs/>
          <w:sz w:val="20"/>
          <w:szCs w:val="20"/>
        </w:rPr>
        <w:t>Ruling No 7</w:t>
      </w:r>
      <w:r w:rsidR="00255E07">
        <w:rPr>
          <w:rFonts w:ascii="Arial" w:hAnsi="Arial" w:cs="Arial"/>
          <w:sz w:val="20"/>
          <w:szCs w:val="20"/>
        </w:rPr>
        <w:t xml:space="preserve"> Kaye JA </w:t>
      </w:r>
      <w:r w:rsidR="006D2666">
        <w:rPr>
          <w:rFonts w:ascii="Arial" w:hAnsi="Arial" w:cs="Arial"/>
          <w:sz w:val="20"/>
          <w:szCs w:val="20"/>
        </w:rPr>
        <w:t xml:space="preserve">held at [38]-[39] that </w:t>
      </w:r>
      <w:r w:rsidR="00E25A51">
        <w:rPr>
          <w:rFonts w:ascii="Arial" w:hAnsi="Arial" w:cs="Arial"/>
          <w:sz w:val="20"/>
          <w:szCs w:val="20"/>
        </w:rPr>
        <w:t>if counsel for Mr</w:t>
      </w:r>
      <w:r w:rsidR="000C6EB9">
        <w:rPr>
          <w:rFonts w:ascii="Arial" w:hAnsi="Arial" w:cs="Arial"/>
          <w:sz w:val="20"/>
          <w:szCs w:val="20"/>
        </w:rPr>
        <w:t> </w:t>
      </w:r>
      <w:r w:rsidR="00E25A51">
        <w:rPr>
          <w:rFonts w:ascii="Arial" w:hAnsi="Arial" w:cs="Arial"/>
          <w:sz w:val="20"/>
          <w:szCs w:val="20"/>
        </w:rPr>
        <w:t xml:space="preserve">Roberts were precluded from questioning Mr </w:t>
      </w:r>
      <w:proofErr w:type="spellStart"/>
      <w:r w:rsidR="00E25A51">
        <w:rPr>
          <w:rFonts w:ascii="Arial" w:hAnsi="Arial" w:cs="Arial"/>
          <w:sz w:val="20"/>
          <w:szCs w:val="20"/>
        </w:rPr>
        <w:t>Buchorn</w:t>
      </w:r>
      <w:proofErr w:type="spellEnd"/>
      <w:r w:rsidR="00E25A51">
        <w:rPr>
          <w:rFonts w:ascii="Arial" w:hAnsi="Arial" w:cs="Arial"/>
          <w:sz w:val="20"/>
          <w:szCs w:val="20"/>
        </w:rPr>
        <w:t xml:space="preserve"> in relation to the matters that are the subject of objection, Mr Roberts would not be afforded a fair trial.  Accordingly, the interests of justice require</w:t>
      </w:r>
      <w:r w:rsidR="000C6EB9">
        <w:rPr>
          <w:rFonts w:ascii="Arial" w:hAnsi="Arial" w:cs="Arial"/>
          <w:sz w:val="20"/>
          <w:szCs w:val="20"/>
        </w:rPr>
        <w:t>d</w:t>
      </w:r>
      <w:r w:rsidR="00E25A51">
        <w:rPr>
          <w:rFonts w:ascii="Arial" w:hAnsi="Arial" w:cs="Arial"/>
          <w:sz w:val="20"/>
          <w:szCs w:val="20"/>
        </w:rPr>
        <w:t xml:space="preserve"> that Mr </w:t>
      </w:r>
      <w:proofErr w:type="spellStart"/>
      <w:r w:rsidR="00E25A51">
        <w:rPr>
          <w:rFonts w:ascii="Arial" w:hAnsi="Arial" w:cs="Arial"/>
          <w:sz w:val="20"/>
          <w:szCs w:val="20"/>
        </w:rPr>
        <w:t>Buchhorn</w:t>
      </w:r>
      <w:proofErr w:type="spellEnd"/>
      <w:r w:rsidR="00E25A51">
        <w:rPr>
          <w:rFonts w:ascii="Arial" w:hAnsi="Arial" w:cs="Arial"/>
          <w:sz w:val="20"/>
          <w:szCs w:val="20"/>
        </w:rPr>
        <w:t xml:space="preserve"> give evidence concerning each of those matters.  His Honour concluded at</w:t>
      </w:r>
      <w:r w:rsidR="00255E07">
        <w:rPr>
          <w:rFonts w:ascii="Arial" w:hAnsi="Arial" w:cs="Arial"/>
          <w:sz w:val="20"/>
          <w:szCs w:val="20"/>
        </w:rPr>
        <w:t xml:space="preserve"> [40]:</w:t>
      </w:r>
    </w:p>
    <w:p w14:paraId="401A40F7" w14:textId="446EF2AF" w:rsidR="00255E07" w:rsidRPr="00255E07" w:rsidRDefault="00255E07">
      <w:pPr>
        <w:pStyle w:val="ListParagraph"/>
        <w:numPr>
          <w:ilvl w:val="0"/>
          <w:numId w:val="88"/>
        </w:numPr>
        <w:spacing w:before="60"/>
        <w:ind w:left="924" w:right="567" w:hanging="357"/>
        <w:jc w:val="both"/>
        <w:rPr>
          <w:rFonts w:ascii="Arial" w:hAnsi="Arial" w:cs="Arial"/>
          <w:sz w:val="16"/>
          <w:szCs w:val="16"/>
        </w:rPr>
      </w:pPr>
      <w:r w:rsidRPr="00255E07">
        <w:rPr>
          <w:rFonts w:ascii="Arial" w:hAnsi="Arial" w:cs="Arial"/>
          <w:sz w:val="20"/>
        </w:rPr>
        <w:t xml:space="preserve">I uphold the objection by Mr </w:t>
      </w:r>
      <w:proofErr w:type="spellStart"/>
      <w:r w:rsidRPr="00255E07">
        <w:rPr>
          <w:rFonts w:ascii="Arial" w:hAnsi="Arial" w:cs="Arial"/>
          <w:sz w:val="20"/>
        </w:rPr>
        <w:t>Buchhorn</w:t>
      </w:r>
      <w:proofErr w:type="spellEnd"/>
      <w:r w:rsidRPr="00255E07">
        <w:rPr>
          <w:rFonts w:ascii="Arial" w:hAnsi="Arial" w:cs="Arial"/>
          <w:sz w:val="20"/>
        </w:rPr>
        <w:t xml:space="preserve"> to giving evidence in relation to the nine matters specified in paragraph 14 of these reasons.</w:t>
      </w:r>
    </w:p>
    <w:p w14:paraId="09701DA1" w14:textId="49C7C8CE" w:rsidR="00255E07" w:rsidRPr="00255E07" w:rsidRDefault="00255E07">
      <w:pPr>
        <w:pStyle w:val="ListParagraph"/>
        <w:numPr>
          <w:ilvl w:val="0"/>
          <w:numId w:val="88"/>
        </w:numPr>
        <w:spacing w:before="60"/>
        <w:ind w:left="924" w:right="567" w:hanging="357"/>
        <w:jc w:val="both"/>
        <w:rPr>
          <w:rFonts w:ascii="Arial" w:hAnsi="Arial" w:cs="Arial"/>
          <w:sz w:val="16"/>
          <w:szCs w:val="16"/>
        </w:rPr>
      </w:pPr>
      <w:r w:rsidRPr="00255E07">
        <w:rPr>
          <w:rFonts w:ascii="Arial" w:hAnsi="Arial" w:cs="Arial"/>
          <w:sz w:val="20"/>
        </w:rPr>
        <w:t xml:space="preserve">It is in the interests of justice that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give evidence concerning each of those matters. </w:t>
      </w:r>
      <w:r>
        <w:rPr>
          <w:rFonts w:ascii="Arial" w:hAnsi="Arial" w:cs="Arial"/>
          <w:sz w:val="20"/>
        </w:rPr>
        <w:t xml:space="preserve"> </w:t>
      </w:r>
      <w:r w:rsidRPr="00255E07">
        <w:rPr>
          <w:rFonts w:ascii="Arial" w:hAnsi="Arial" w:cs="Arial"/>
          <w:sz w:val="20"/>
        </w:rPr>
        <w:t xml:space="preserve">Accordingly, I direct that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be required to give evidence in relation to those matters, and I shall cause </w:t>
      </w:r>
      <w:r>
        <w:rPr>
          <w:rFonts w:ascii="Arial" w:hAnsi="Arial" w:cs="Arial"/>
          <w:sz w:val="20"/>
        </w:rPr>
        <w:t xml:space="preserve">Mr </w:t>
      </w:r>
      <w:proofErr w:type="spellStart"/>
      <w:r w:rsidRPr="00255E07">
        <w:rPr>
          <w:rFonts w:ascii="Arial" w:hAnsi="Arial" w:cs="Arial"/>
          <w:sz w:val="20"/>
        </w:rPr>
        <w:t>Buchhorn</w:t>
      </w:r>
      <w:proofErr w:type="spellEnd"/>
      <w:r w:rsidRPr="00255E07">
        <w:rPr>
          <w:rFonts w:ascii="Arial" w:hAnsi="Arial" w:cs="Arial"/>
          <w:sz w:val="20"/>
        </w:rPr>
        <w:t xml:space="preserve"> to be given a certificate under s 128 of the </w:t>
      </w:r>
      <w:r w:rsidRPr="00255E07">
        <w:rPr>
          <w:rFonts w:ascii="Arial" w:hAnsi="Arial" w:cs="Arial"/>
          <w:i/>
          <w:iCs/>
          <w:sz w:val="20"/>
        </w:rPr>
        <w:t>Evidence Act</w:t>
      </w:r>
      <w:r w:rsidRPr="00255E07">
        <w:rPr>
          <w:rFonts w:ascii="Arial" w:hAnsi="Arial" w:cs="Arial"/>
          <w:sz w:val="20"/>
        </w:rPr>
        <w:t xml:space="preserve"> in respect of that evidence.</w:t>
      </w:r>
    </w:p>
    <w:p w14:paraId="67665E71" w14:textId="479EF448" w:rsidR="00255E07" w:rsidRDefault="00255E07" w:rsidP="00CA55B0">
      <w:pPr>
        <w:jc w:val="both"/>
        <w:rPr>
          <w:rFonts w:ascii="Arial" w:hAnsi="Arial" w:cs="Arial"/>
          <w:sz w:val="20"/>
        </w:rPr>
      </w:pPr>
    </w:p>
    <w:p w14:paraId="380E4D64" w14:textId="4BFEFA45" w:rsidR="007672DA" w:rsidRDefault="007672DA" w:rsidP="00CA55B0">
      <w:pPr>
        <w:jc w:val="both"/>
        <w:rPr>
          <w:rFonts w:ascii="Arial" w:hAnsi="Arial" w:cs="Arial"/>
          <w:sz w:val="20"/>
        </w:rPr>
      </w:pPr>
      <w:r>
        <w:rPr>
          <w:rFonts w:ascii="Arial" w:hAnsi="Arial" w:cs="Arial"/>
          <w:sz w:val="20"/>
        </w:rPr>
        <w:t xml:space="preserve">See also </w:t>
      </w:r>
      <w:r w:rsidRPr="007672DA">
        <w:rPr>
          <w:rFonts w:ascii="Arial" w:hAnsi="Arial" w:cs="Arial"/>
          <w:i/>
          <w:iCs/>
          <w:sz w:val="20"/>
        </w:rPr>
        <w:t>X7 v Australian Crime Commission</w:t>
      </w:r>
      <w:r>
        <w:rPr>
          <w:rFonts w:ascii="Arial" w:hAnsi="Arial" w:cs="Arial"/>
          <w:sz w:val="20"/>
        </w:rPr>
        <w:t xml:space="preserve"> (2013) 248 CLR 92; </w:t>
      </w:r>
      <w:proofErr w:type="spellStart"/>
      <w:r w:rsidR="00595FF5">
        <w:rPr>
          <w:rFonts w:ascii="Arial" w:hAnsi="Arial" w:cs="Arial"/>
          <w:i/>
          <w:iCs/>
          <w:sz w:val="20"/>
        </w:rPr>
        <w:t>Villan</w:t>
      </w:r>
      <w:proofErr w:type="spellEnd"/>
      <w:r w:rsidR="00595FF5">
        <w:rPr>
          <w:rFonts w:ascii="Arial" w:hAnsi="Arial" w:cs="Arial"/>
          <w:i/>
          <w:iCs/>
          <w:sz w:val="20"/>
        </w:rPr>
        <w:t xml:space="preserve"> v State of Victoria </w:t>
      </w:r>
      <w:r w:rsidR="00595FF5" w:rsidRPr="00595FF5">
        <w:rPr>
          <w:rFonts w:ascii="Arial" w:hAnsi="Arial" w:cs="Arial"/>
          <w:sz w:val="20"/>
        </w:rPr>
        <w:t xml:space="preserve">[2021] VSC 354 &amp; </w:t>
      </w:r>
      <w:r w:rsidR="00595FF5">
        <w:rPr>
          <w:rFonts w:ascii="Arial" w:hAnsi="Arial" w:cs="Arial"/>
          <w:i/>
          <w:iCs/>
          <w:sz w:val="20"/>
        </w:rPr>
        <w:t>S</w:t>
      </w:r>
      <w:r w:rsidRPr="007672DA">
        <w:rPr>
          <w:rFonts w:ascii="Arial" w:hAnsi="Arial" w:cs="Arial"/>
          <w:i/>
          <w:iCs/>
          <w:sz w:val="20"/>
        </w:rPr>
        <w:t>tate of Victoria</w:t>
      </w:r>
      <w:r>
        <w:rPr>
          <w:rFonts w:ascii="Arial" w:hAnsi="Arial" w:cs="Arial"/>
          <w:sz w:val="20"/>
        </w:rPr>
        <w:t xml:space="preserve"> </w:t>
      </w:r>
      <w:r w:rsidR="00595FF5" w:rsidRPr="00595FF5">
        <w:rPr>
          <w:rFonts w:ascii="Arial" w:hAnsi="Arial" w:cs="Arial"/>
          <w:i/>
          <w:iCs/>
          <w:sz w:val="20"/>
        </w:rPr>
        <w:t xml:space="preserve">v </w:t>
      </w:r>
      <w:proofErr w:type="spellStart"/>
      <w:r w:rsidR="00595FF5" w:rsidRPr="00595FF5">
        <w:rPr>
          <w:rFonts w:ascii="Arial" w:hAnsi="Arial" w:cs="Arial"/>
          <w:i/>
          <w:iCs/>
          <w:sz w:val="20"/>
        </w:rPr>
        <w:t>Villan</w:t>
      </w:r>
      <w:proofErr w:type="spellEnd"/>
      <w:r w:rsidR="00595FF5" w:rsidRPr="00595FF5">
        <w:rPr>
          <w:rFonts w:ascii="Arial" w:hAnsi="Arial" w:cs="Arial"/>
          <w:i/>
          <w:iCs/>
          <w:sz w:val="20"/>
        </w:rPr>
        <w:t xml:space="preserve"> </w:t>
      </w:r>
      <w:r>
        <w:rPr>
          <w:rFonts w:ascii="Arial" w:hAnsi="Arial" w:cs="Arial"/>
          <w:sz w:val="20"/>
        </w:rPr>
        <w:t>[202</w:t>
      </w:r>
      <w:r w:rsidR="00595FF5">
        <w:rPr>
          <w:rFonts w:ascii="Arial" w:hAnsi="Arial" w:cs="Arial"/>
          <w:sz w:val="20"/>
        </w:rPr>
        <w:t>2</w:t>
      </w:r>
      <w:r>
        <w:rPr>
          <w:rFonts w:ascii="Arial" w:hAnsi="Arial" w:cs="Arial"/>
          <w:sz w:val="20"/>
        </w:rPr>
        <w:t>] VSC</w:t>
      </w:r>
      <w:r w:rsidR="00595FF5">
        <w:rPr>
          <w:rFonts w:ascii="Arial" w:hAnsi="Arial" w:cs="Arial"/>
          <w:sz w:val="20"/>
        </w:rPr>
        <w:t>A</w:t>
      </w:r>
      <w:r>
        <w:rPr>
          <w:rFonts w:ascii="Arial" w:hAnsi="Arial" w:cs="Arial"/>
          <w:sz w:val="20"/>
        </w:rPr>
        <w:t xml:space="preserve"> </w:t>
      </w:r>
      <w:r w:rsidR="00595FF5">
        <w:rPr>
          <w:rFonts w:ascii="Arial" w:hAnsi="Arial" w:cs="Arial"/>
          <w:sz w:val="20"/>
        </w:rPr>
        <w:t>106</w:t>
      </w:r>
      <w:r>
        <w:rPr>
          <w:rFonts w:ascii="Arial" w:hAnsi="Arial" w:cs="Arial"/>
          <w:sz w:val="20"/>
        </w:rPr>
        <w:t xml:space="preserve">; </w:t>
      </w:r>
      <w:r w:rsidR="00595FF5" w:rsidRPr="00595FF5">
        <w:rPr>
          <w:rFonts w:ascii="Arial" w:hAnsi="Arial" w:cs="Arial"/>
          <w:i/>
          <w:iCs/>
          <w:sz w:val="20"/>
        </w:rPr>
        <w:t>Lucciano v R</w:t>
      </w:r>
      <w:r w:rsidR="00595FF5">
        <w:rPr>
          <w:rFonts w:ascii="Arial" w:hAnsi="Arial" w:cs="Arial"/>
          <w:sz w:val="20"/>
        </w:rPr>
        <w:t xml:space="preserve"> [2021] VSCA 12; </w:t>
      </w:r>
      <w:proofErr w:type="spellStart"/>
      <w:r w:rsidRPr="007672DA">
        <w:rPr>
          <w:rFonts w:ascii="Arial" w:hAnsi="Arial" w:cs="Arial"/>
          <w:i/>
          <w:iCs/>
          <w:sz w:val="20"/>
        </w:rPr>
        <w:t>Kontis</w:t>
      </w:r>
      <w:proofErr w:type="spellEnd"/>
      <w:r w:rsidRPr="007672DA">
        <w:rPr>
          <w:rFonts w:ascii="Arial" w:hAnsi="Arial" w:cs="Arial"/>
          <w:i/>
          <w:iCs/>
          <w:sz w:val="20"/>
        </w:rPr>
        <w:t xml:space="preserve"> &amp; Anor v Coroners Court of Victoria</w:t>
      </w:r>
      <w:r>
        <w:rPr>
          <w:rFonts w:ascii="Arial" w:hAnsi="Arial" w:cs="Arial"/>
          <w:sz w:val="20"/>
        </w:rPr>
        <w:t xml:space="preserve"> [2022] VSC 422 esp. at [142]</w:t>
      </w:r>
      <w:r w:rsidR="00595FF5">
        <w:rPr>
          <w:rFonts w:ascii="Arial" w:hAnsi="Arial" w:cs="Arial"/>
          <w:sz w:val="20"/>
        </w:rPr>
        <w:t>.</w:t>
      </w:r>
    </w:p>
    <w:p w14:paraId="0A20E818" w14:textId="0FD40801" w:rsidR="007672DA" w:rsidRDefault="007672DA" w:rsidP="00CA55B0">
      <w:pPr>
        <w:jc w:val="both"/>
        <w:rPr>
          <w:rFonts w:ascii="Arial" w:hAnsi="Arial" w:cs="Arial"/>
          <w:sz w:val="20"/>
        </w:rPr>
      </w:pPr>
    </w:p>
    <w:p w14:paraId="78ABA1FA" w14:textId="77777777" w:rsidR="00CA55B0" w:rsidRDefault="009A6B9B" w:rsidP="00641166">
      <w:pPr>
        <w:pStyle w:val="Heading3"/>
        <w:keepNext/>
        <w:keepLines/>
        <w:widowControl/>
        <w:spacing w:line="240" w:lineRule="auto"/>
        <w:rPr>
          <w:rFonts w:ascii="Arial" w:hAnsi="Arial" w:cs="Arial"/>
          <w:b/>
          <w:bCs/>
          <w:sz w:val="20"/>
        </w:rPr>
      </w:pPr>
      <w:bookmarkStart w:id="791" w:name="_3.5.10.5__Leave"/>
      <w:bookmarkStart w:id="792" w:name="_3.5.11_Oaths_and"/>
      <w:bookmarkStart w:id="793" w:name="B3511"/>
      <w:bookmarkEnd w:id="791"/>
      <w:bookmarkEnd w:id="792"/>
      <w:bookmarkEnd w:id="793"/>
      <w:r>
        <w:rPr>
          <w:rFonts w:ascii="Arial" w:hAnsi="Arial" w:cs="Arial"/>
          <w:b/>
          <w:bCs/>
          <w:sz w:val="20"/>
        </w:rPr>
        <w:lastRenderedPageBreak/>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EA0261">
      <w:pPr>
        <w:keepNext/>
        <w:keepLines/>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pPr>
        <w:numPr>
          <w:ilvl w:val="0"/>
          <w:numId w:val="58"/>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pPr>
        <w:numPr>
          <w:ilvl w:val="0"/>
          <w:numId w:val="58"/>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183219">
      <w:pPr>
        <w:pStyle w:val="Heading3"/>
        <w:keepNext/>
        <w:keepLines/>
        <w:widowControl/>
        <w:spacing w:after="120" w:line="240" w:lineRule="auto"/>
        <w:rPr>
          <w:rFonts w:ascii="Arial" w:hAnsi="Arial" w:cs="Arial"/>
          <w:b/>
          <w:bCs/>
          <w:sz w:val="20"/>
        </w:rPr>
      </w:pPr>
      <w:bookmarkStart w:id="794" w:name="_3.5.12_Appearance_or"/>
      <w:bookmarkStart w:id="795" w:name="B3512"/>
      <w:bookmarkEnd w:id="794"/>
      <w:bookmarkEnd w:id="795"/>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 xml:space="preserve">Appearance or giving evidence in other than the traditional </w:t>
      </w:r>
      <w:proofErr w:type="gramStart"/>
      <w:r w:rsidR="00C144CF">
        <w:rPr>
          <w:rFonts w:ascii="Arial" w:hAnsi="Arial" w:cs="Arial"/>
          <w:b/>
          <w:bCs/>
          <w:sz w:val="20"/>
        </w:rPr>
        <w:t>manner</w:t>
      </w:r>
      <w:proofErr w:type="gramEnd"/>
    </w:p>
    <w:p w14:paraId="0FBDE5F3" w14:textId="2761C2B6" w:rsidR="002D140D" w:rsidRDefault="005B06C8" w:rsidP="0020725F">
      <w:pPr>
        <w:jc w:val="both"/>
        <w:rPr>
          <w:rFonts w:ascii="Arial" w:hAnsi="Arial" w:cs="Arial"/>
          <w:sz w:val="20"/>
        </w:rPr>
      </w:pPr>
      <w:r>
        <w:rPr>
          <w:rFonts w:ascii="Arial" w:hAnsi="Arial" w:cs="Arial"/>
          <w:sz w:val="20"/>
        </w:rPr>
        <w:t>In addition to</w:t>
      </w:r>
      <w:r w:rsidR="002D140D">
        <w:rPr>
          <w:rFonts w:ascii="Arial" w:hAnsi="Arial" w:cs="Arial"/>
          <w:sz w:val="20"/>
        </w:rPr>
        <w:t xml:space="preserve"> the provisions (discussed in </w:t>
      </w:r>
      <w:r w:rsidRPr="005B06C8">
        <w:rPr>
          <w:rFonts w:ascii="Arial" w:hAnsi="Arial" w:cs="Arial"/>
          <w:b/>
          <w:bCs/>
          <w:sz w:val="20"/>
          <w:shd w:val="clear" w:color="auto" w:fill="C5E0B3"/>
        </w:rPr>
        <w:t>sections 3.5.5 &amp; 3.5.8</w:t>
      </w:r>
      <w:r w:rsidR="002D140D">
        <w:rPr>
          <w:rFonts w:ascii="Arial" w:hAnsi="Arial" w:cs="Arial"/>
          <w:sz w:val="20"/>
        </w:rPr>
        <w:t xml:space="preserve">) which relate to the giving of evidence by </w:t>
      </w:r>
      <w:proofErr w:type="gramStart"/>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w:t>
      </w:r>
      <w:proofErr w:type="gramEnd"/>
      <w:r w:rsidR="00556BDC">
        <w:rPr>
          <w:rFonts w:ascii="Arial" w:hAnsi="Arial" w:cs="Arial"/>
          <w:sz w:val="20"/>
        </w:rPr>
        <w:t xml:space="preserve"> recording in certain cases</w:t>
      </w:r>
      <w:r w:rsidR="002D140D">
        <w:rPr>
          <w:rFonts w:ascii="Arial" w:hAnsi="Arial" w:cs="Arial"/>
          <w:sz w:val="20"/>
        </w:rPr>
        <w:t xml:space="preserve">, there are three sets of </w:t>
      </w:r>
      <w:r w:rsidR="00556BDC">
        <w:rPr>
          <w:rFonts w:ascii="Arial" w:hAnsi="Arial" w:cs="Arial"/>
          <w:sz w:val="20"/>
        </w:rPr>
        <w:t xml:space="preserve">legislative </w:t>
      </w:r>
      <w:r w:rsidR="002D140D">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pPr>
        <w:pStyle w:val="ListParagraph"/>
        <w:numPr>
          <w:ilvl w:val="0"/>
          <w:numId w:val="57"/>
        </w:numPr>
        <w:ind w:left="357" w:hanging="357"/>
        <w:jc w:val="both"/>
        <w:rPr>
          <w:rFonts w:ascii="Arial" w:hAnsi="Arial" w:cs="Arial"/>
          <w:bCs/>
          <w:sz w:val="22"/>
          <w:szCs w:val="22"/>
        </w:rPr>
      </w:pPr>
      <w:r w:rsidRPr="004B696B">
        <w:rPr>
          <w:rFonts w:ascii="Arial" w:hAnsi="Arial" w:cs="Arial"/>
          <w:b/>
          <w:sz w:val="20"/>
          <w:shd w:val="clear" w:color="auto" w:fill="000000"/>
        </w:rPr>
        <w:t>A child who is not an accused</w:t>
      </w:r>
      <w:r w:rsidRPr="00D92FEB">
        <w:rPr>
          <w:rFonts w:ascii="Arial" w:hAnsi="Arial" w:cs="Arial"/>
          <w:bCs/>
          <w:sz w:val="20"/>
        </w:rPr>
        <w:t xml:space="preserve"> may not be directed to appear, give </w:t>
      </w:r>
      <w:proofErr w:type="gramStart"/>
      <w:r w:rsidRPr="00D92FEB">
        <w:rPr>
          <w:rFonts w:ascii="Arial" w:hAnsi="Arial" w:cs="Arial"/>
          <w:bCs/>
          <w:sz w:val="20"/>
        </w:rPr>
        <w:t>evidence</w:t>
      </w:r>
      <w:proofErr w:type="gramEnd"/>
      <w:r w:rsidRPr="00D92FEB">
        <w:rPr>
          <w:rFonts w:ascii="Arial" w:hAnsi="Arial" w:cs="Arial"/>
          <w:bCs/>
          <w:sz w:val="20"/>
        </w:rPr>
        <w:t xml:space="preserv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pPr>
        <w:pStyle w:val="ListParagraph"/>
        <w:numPr>
          <w:ilvl w:val="0"/>
          <w:numId w:val="57"/>
        </w:numPr>
        <w:ind w:left="357" w:hanging="357"/>
        <w:jc w:val="both"/>
        <w:rPr>
          <w:rFonts w:ascii="Arial" w:hAnsi="Arial" w:cs="Arial"/>
          <w:bCs/>
          <w:sz w:val="22"/>
          <w:szCs w:val="22"/>
        </w:rPr>
      </w:pPr>
      <w:r w:rsidRPr="004B696B">
        <w:rPr>
          <w:rFonts w:ascii="Arial" w:hAnsi="Arial" w:cs="Arial"/>
          <w:b/>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pPr>
        <w:pStyle w:val="ListParagraph"/>
        <w:numPr>
          <w:ilvl w:val="0"/>
          <w:numId w:val="57"/>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96" w:name="_3.5.12.1__Appearance"/>
      <w:bookmarkStart w:id="797" w:name="B35121"/>
      <w:bookmarkEnd w:id="796"/>
      <w:bookmarkEnd w:id="797"/>
      <w:r>
        <w:rPr>
          <w:rFonts w:ascii="Arial" w:hAnsi="Arial" w:cs="Arial"/>
          <w:b/>
          <w:bCs/>
          <w:sz w:val="20"/>
        </w:rPr>
        <w:lastRenderedPageBreak/>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r w:rsidRPr="00B97656">
        <w:rPr>
          <w:rFonts w:ascii="Arial" w:hAnsi="Arial" w:cs="Arial"/>
          <w:i/>
          <w:sz w:val="20"/>
          <w:szCs w:val="20"/>
        </w:rPr>
        <w:t>Jarvie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witnesses who would otherwise be reluctant to give evidence in open court in the presence of an accused person”.  Adopting the above propositions of law which had been set out by Kaye J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98" w:name="_3.5.12.2__Appearance"/>
      <w:bookmarkStart w:id="799" w:name="B35122"/>
      <w:bookmarkEnd w:id="798"/>
      <w:bookmarkEnd w:id="799"/>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3D7DEC">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800" w:name="_3.5.12.3__Alternative"/>
      <w:bookmarkStart w:id="801" w:name="B35123"/>
      <w:bookmarkEnd w:id="800"/>
      <w:bookmarkEnd w:id="801"/>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pPr>
        <w:pStyle w:val="ListParagraph"/>
        <w:numPr>
          <w:ilvl w:val="0"/>
          <w:numId w:val="82"/>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pPr>
        <w:pStyle w:val="ListParagraph"/>
        <w:numPr>
          <w:ilvl w:val="0"/>
          <w:numId w:val="82"/>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pPr>
        <w:pStyle w:val="ListParagraph"/>
        <w:numPr>
          <w:ilvl w:val="0"/>
          <w:numId w:val="83"/>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pPr>
        <w:pStyle w:val="ListParagraph"/>
        <w:numPr>
          <w:ilvl w:val="0"/>
          <w:numId w:val="83"/>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pPr>
        <w:pStyle w:val="ListParagraph"/>
        <w:numPr>
          <w:ilvl w:val="0"/>
          <w:numId w:val="84"/>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pPr>
        <w:pStyle w:val="ListParagraph"/>
        <w:numPr>
          <w:ilvl w:val="0"/>
          <w:numId w:val="84"/>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lastRenderedPageBreak/>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802" w:name="_3.5.13_The_rule"/>
      <w:bookmarkStart w:id="803" w:name="B3513"/>
      <w:bookmarkEnd w:id="802"/>
      <w:bookmarkEnd w:id="803"/>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EA0261">
      <w:pPr>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w:t>
      </w:r>
      <w:proofErr w:type="spellStart"/>
      <w:r w:rsidRPr="005444DA">
        <w:rPr>
          <w:rFonts w:ascii="Arial" w:hAnsi="Arial" w:cs="Arial"/>
          <w:sz w:val="20"/>
          <w:szCs w:val="20"/>
        </w:rPr>
        <w:t>there</w:t>
      </w:r>
      <w:proofErr w:type="spellEnd"/>
      <w:r w:rsidRPr="005444DA">
        <w:rPr>
          <w:rFonts w:ascii="Arial" w:hAnsi="Arial" w:cs="Arial"/>
          <w:sz w:val="20"/>
          <w:szCs w:val="20"/>
        </w:rPr>
        <w:t xml:space="preserv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EA0261">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w:t>
      </w:r>
      <w:proofErr w:type="spellStart"/>
      <w:r w:rsidRPr="00F81B96">
        <w:rPr>
          <w:rFonts w:ascii="Arial" w:hAnsi="Arial" w:cs="Arial"/>
          <w:color w:val="000000"/>
          <w:sz w:val="20"/>
          <w:szCs w:val="20"/>
        </w:rPr>
        <w:t>Qd</w:t>
      </w:r>
      <w:proofErr w:type="spellEnd"/>
      <w:r w:rsidRPr="00F81B96">
        <w:rPr>
          <w:rFonts w:ascii="Arial" w:hAnsi="Arial" w:cs="Arial"/>
          <w:color w:val="000000"/>
          <w:sz w:val="20"/>
          <w:szCs w:val="20"/>
        </w:rPr>
        <w:t xml:space="preserve">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w:t>
      </w:r>
      <w:proofErr w:type="spellStart"/>
      <w:r w:rsidRPr="00F81B96">
        <w:rPr>
          <w:rFonts w:ascii="Arial" w:hAnsi="Arial" w:cs="Arial"/>
          <w:color w:val="000000"/>
          <w:sz w:val="20"/>
          <w:szCs w:val="20"/>
        </w:rPr>
        <w:t>puttage</w:t>
      </w:r>
      <w:proofErr w:type="spellEnd"/>
      <w:r w:rsidRPr="00F81B96">
        <w:rPr>
          <w:rFonts w:ascii="Arial" w:hAnsi="Arial" w:cs="Arial"/>
          <w:color w:val="000000"/>
          <w:sz w:val="20"/>
          <w:szCs w:val="20"/>
        </w:rPr>
        <w:t xml:space="preserv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181DE74D"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000A6838">
        <w:rPr>
          <w:rFonts w:ascii="Arial" w:hAnsi="Arial" w:cs="Arial"/>
          <w:color w:val="000000"/>
          <w:sz w:val="20"/>
          <w:szCs w:val="20"/>
        </w:rPr>
        <w:t xml:space="preserve">; </w:t>
      </w:r>
      <w:bookmarkStart w:id="804" w:name="_Hlk151359053"/>
      <w:r w:rsidR="000A6838" w:rsidRPr="000A6838">
        <w:rPr>
          <w:rFonts w:ascii="Arial" w:hAnsi="Arial" w:cs="Arial"/>
          <w:i/>
          <w:iCs/>
          <w:color w:val="000000"/>
          <w:sz w:val="20"/>
          <w:szCs w:val="20"/>
        </w:rPr>
        <w:t xml:space="preserve">Wilson (a pseudonym) </w:t>
      </w:r>
      <w:r w:rsidR="000A6838" w:rsidRPr="00241E82">
        <w:rPr>
          <w:rFonts w:ascii="Arial" w:hAnsi="Arial" w:cs="Arial"/>
          <w:i/>
          <w:iCs/>
          <w:color w:val="000000"/>
          <w:sz w:val="20"/>
          <w:szCs w:val="20"/>
        </w:rPr>
        <w:t>v The King</w:t>
      </w:r>
      <w:r w:rsidR="000A6838" w:rsidRPr="00241E82">
        <w:rPr>
          <w:rFonts w:ascii="Arial" w:hAnsi="Arial" w:cs="Arial"/>
          <w:color w:val="000000"/>
          <w:sz w:val="20"/>
          <w:szCs w:val="20"/>
        </w:rPr>
        <w:t xml:space="preserve"> [2023] VSC 276 at [43]-[64]</w:t>
      </w:r>
      <w:r w:rsidR="00241E82" w:rsidRPr="00241E82">
        <w:rPr>
          <w:rFonts w:ascii="Arial" w:hAnsi="Arial" w:cs="Arial"/>
          <w:color w:val="000000"/>
          <w:sz w:val="20"/>
          <w:szCs w:val="20"/>
        </w:rPr>
        <w:t>.</w:t>
      </w:r>
      <w:bookmarkEnd w:id="804"/>
      <w:r w:rsidRPr="00241E82">
        <w:rPr>
          <w:rFonts w:ascii="Arial" w:hAnsi="Arial" w:cs="Arial"/>
          <w:color w:val="000000"/>
          <w:sz w:val="20"/>
          <w:szCs w:val="20"/>
        </w:rPr>
        <w:t xml:space="preserve">  See also </w:t>
      </w:r>
      <w:r w:rsidR="0045772C" w:rsidRPr="00241E82">
        <w:rPr>
          <w:rFonts w:ascii="Arial" w:hAnsi="Arial" w:cs="Arial"/>
          <w:i/>
          <w:color w:val="000000"/>
          <w:sz w:val="20"/>
          <w:szCs w:val="20"/>
        </w:rPr>
        <w:t>R</w:t>
      </w:r>
      <w:r w:rsidR="004F16FC" w:rsidRPr="00241E82">
        <w:rPr>
          <w:rFonts w:ascii="Arial" w:hAnsi="Arial" w:cs="Arial"/>
          <w:i/>
          <w:color w:val="000000"/>
          <w:sz w:val="20"/>
          <w:szCs w:val="20"/>
        </w:rPr>
        <w:t> </w:t>
      </w:r>
      <w:r w:rsidR="0045772C" w:rsidRPr="00241E82">
        <w:rPr>
          <w:rFonts w:ascii="Arial" w:hAnsi="Arial" w:cs="Arial"/>
          <w:i/>
          <w:color w:val="000000"/>
          <w:sz w:val="20"/>
          <w:szCs w:val="20"/>
        </w:rPr>
        <w:t>v Morrow</w:t>
      </w:r>
      <w:r w:rsidR="0045772C" w:rsidRPr="00241E82">
        <w:rPr>
          <w:rFonts w:ascii="Arial" w:hAnsi="Arial" w:cs="Arial"/>
          <w:color w:val="000000"/>
          <w:sz w:val="20"/>
          <w:szCs w:val="20"/>
        </w:rPr>
        <w:t xml:space="preserve"> [2009] VSCA 291 at [2]-[6] per Nettle JA, [36]-[71] per Redlich JA and in particular</w:t>
      </w:r>
      <w:r w:rsidR="0045772C" w:rsidRPr="00EE27CA">
        <w:rPr>
          <w:rFonts w:ascii="Arial" w:hAnsi="Arial" w:cs="Arial"/>
          <w:color w:val="000000"/>
          <w:sz w:val="20"/>
        </w:rPr>
        <w:t xml:space="preserve">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805" w:name="_3.5.14_The_rule"/>
      <w:bookmarkEnd w:id="805"/>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A616AE">
      <w:pPr>
        <w:spacing w:before="6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Default="00B8085D" w:rsidP="00B8085D">
      <w:pPr>
        <w:jc w:val="both"/>
        <w:rPr>
          <w:rFonts w:ascii="Arial" w:hAnsi="Arial" w:cs="Arial"/>
          <w:color w:val="000000"/>
          <w:sz w:val="20"/>
        </w:rPr>
      </w:pPr>
    </w:p>
    <w:p w14:paraId="31A12D11" w14:textId="068154BE" w:rsidR="000E5165" w:rsidRPr="000E5165" w:rsidRDefault="000E5165" w:rsidP="00B8085D">
      <w:pPr>
        <w:jc w:val="both"/>
        <w:rPr>
          <w:rFonts w:ascii="Arial" w:hAnsi="Arial" w:cs="Arial"/>
          <w:color w:val="000000"/>
          <w:sz w:val="20"/>
          <w:szCs w:val="20"/>
        </w:rPr>
      </w:pPr>
      <w:r w:rsidRPr="000E5165">
        <w:rPr>
          <w:rFonts w:ascii="Arial" w:hAnsi="Arial" w:cs="Arial"/>
          <w:color w:val="000000"/>
          <w:sz w:val="20"/>
          <w:szCs w:val="20"/>
        </w:rPr>
        <w:lastRenderedPageBreak/>
        <w:t xml:space="preserve">In </w:t>
      </w:r>
      <w:r w:rsidRPr="000E5165">
        <w:rPr>
          <w:rFonts w:ascii="Arial" w:hAnsi="Arial" w:cs="Arial"/>
          <w:i/>
          <w:iCs/>
          <w:color w:val="000000"/>
          <w:sz w:val="20"/>
          <w:szCs w:val="20"/>
        </w:rPr>
        <w:t>Kuhl v Zurich Financial Services Australia Ltd</w:t>
      </w:r>
      <w:r w:rsidRPr="000E5165">
        <w:rPr>
          <w:rFonts w:ascii="Arial" w:hAnsi="Arial" w:cs="Arial"/>
          <w:color w:val="000000"/>
          <w:sz w:val="20"/>
          <w:szCs w:val="20"/>
        </w:rPr>
        <w:t xml:space="preserve"> (2011) </w:t>
      </w:r>
      <w:r w:rsidRPr="000E5165">
        <w:rPr>
          <w:rFonts w:ascii="Arial" w:hAnsi="Arial" w:cs="Arial"/>
          <w:sz w:val="20"/>
          <w:szCs w:val="20"/>
        </w:rPr>
        <w:t xml:space="preserve">243 CLR 361, 384-385, </w:t>
      </w:r>
      <w:r w:rsidR="00E4755A">
        <w:rPr>
          <w:rFonts w:ascii="Arial" w:hAnsi="Arial" w:cs="Arial"/>
          <w:sz w:val="20"/>
          <w:szCs w:val="20"/>
        </w:rPr>
        <w:t>the plurality (</w:t>
      </w:r>
      <w:proofErr w:type="spellStart"/>
      <w:r w:rsidRPr="000E5165">
        <w:rPr>
          <w:rFonts w:ascii="Arial" w:hAnsi="Arial" w:cs="Arial"/>
          <w:sz w:val="20"/>
          <w:szCs w:val="20"/>
        </w:rPr>
        <w:t>Heydon</w:t>
      </w:r>
      <w:proofErr w:type="spellEnd"/>
      <w:r w:rsidRPr="000E5165">
        <w:rPr>
          <w:rFonts w:ascii="Arial" w:hAnsi="Arial" w:cs="Arial"/>
          <w:sz w:val="20"/>
          <w:szCs w:val="20"/>
        </w:rPr>
        <w:t xml:space="preserve">, </w:t>
      </w:r>
      <w:proofErr w:type="spellStart"/>
      <w:r w:rsidRPr="000E5165">
        <w:rPr>
          <w:rFonts w:ascii="Arial" w:hAnsi="Arial" w:cs="Arial"/>
          <w:sz w:val="20"/>
          <w:szCs w:val="20"/>
        </w:rPr>
        <w:t>Crennan</w:t>
      </w:r>
      <w:proofErr w:type="spellEnd"/>
      <w:r w:rsidRPr="000E5165">
        <w:rPr>
          <w:rFonts w:ascii="Arial" w:hAnsi="Arial" w:cs="Arial"/>
          <w:sz w:val="20"/>
          <w:szCs w:val="20"/>
        </w:rPr>
        <w:t xml:space="preserve"> </w:t>
      </w:r>
      <w:r w:rsidR="00E4755A">
        <w:rPr>
          <w:rFonts w:ascii="Arial" w:hAnsi="Arial" w:cs="Arial"/>
          <w:sz w:val="20"/>
          <w:szCs w:val="20"/>
        </w:rPr>
        <w:t xml:space="preserve">&amp; </w:t>
      </w:r>
      <w:r w:rsidRPr="000E5165">
        <w:rPr>
          <w:rFonts w:ascii="Arial" w:hAnsi="Arial" w:cs="Arial"/>
          <w:sz w:val="20"/>
          <w:szCs w:val="20"/>
        </w:rPr>
        <w:t>Bell JJ)</w:t>
      </w:r>
      <w:r>
        <w:rPr>
          <w:rFonts w:ascii="Arial" w:hAnsi="Arial" w:cs="Arial"/>
          <w:sz w:val="20"/>
          <w:szCs w:val="20"/>
        </w:rPr>
        <w:t xml:space="preserve"> described the rule as follows</w:t>
      </w:r>
      <w:r w:rsidR="00A616AE">
        <w:rPr>
          <w:rFonts w:ascii="Arial" w:hAnsi="Arial" w:cs="Arial"/>
          <w:sz w:val="20"/>
          <w:szCs w:val="20"/>
        </w:rPr>
        <w:t xml:space="preserve"> at [63]-[64]</w:t>
      </w:r>
      <w:r>
        <w:rPr>
          <w:rFonts w:ascii="Arial" w:hAnsi="Arial" w:cs="Arial"/>
          <w:sz w:val="20"/>
          <w:szCs w:val="20"/>
        </w:rPr>
        <w:t>:</w:t>
      </w:r>
    </w:p>
    <w:p w14:paraId="3C4CFFAA" w14:textId="38AA0324" w:rsidR="000E5165" w:rsidRPr="00E4755A" w:rsidRDefault="000E5165" w:rsidP="00A616AE">
      <w:pPr>
        <w:spacing w:before="60"/>
        <w:ind w:left="567" w:right="567"/>
        <w:jc w:val="both"/>
        <w:rPr>
          <w:rFonts w:ascii="Arial" w:hAnsi="Arial" w:cs="Arial"/>
          <w:color w:val="000000" w:themeColor="text1"/>
          <w:sz w:val="20"/>
          <w:szCs w:val="20"/>
        </w:rPr>
      </w:pPr>
      <w:r w:rsidRPr="00E4755A">
        <w:rPr>
          <w:rFonts w:ascii="Arial" w:hAnsi="Arial" w:cs="Arial"/>
          <w:color w:val="000000"/>
          <w:sz w:val="20"/>
          <w:szCs w:val="20"/>
        </w:rPr>
        <w:t>“</w:t>
      </w:r>
      <w:r w:rsidRPr="00E4755A">
        <w:rPr>
          <w:rFonts w:ascii="Arial" w:hAnsi="Arial" w:cs="Arial"/>
          <w:sz w:val="20"/>
          <w:szCs w:val="20"/>
        </w:rPr>
        <w:t xml:space="preserve">The rule in </w:t>
      </w:r>
      <w:r w:rsidRPr="00E4755A">
        <w:rPr>
          <w:rFonts w:ascii="Arial" w:hAnsi="Arial" w:cs="Arial"/>
          <w:i/>
          <w:iCs/>
          <w:sz w:val="20"/>
          <w:szCs w:val="20"/>
        </w:rPr>
        <w:t>Jones v Dunkel</w:t>
      </w:r>
      <w:r w:rsidRPr="00E4755A">
        <w:rPr>
          <w:rFonts w:ascii="Arial" w:hAnsi="Arial" w:cs="Arial"/>
          <w:sz w:val="20"/>
          <w:szCs w:val="20"/>
        </w:rPr>
        <w:t xml:space="preserve"> is that the unexplained failure by a party to call a witness may in appropriate circumstances support an inference that the uncalled evidence would not have assisted the party's case. That is particularly so where it is the party which is the uncalled witness</w:t>
      </w:r>
      <w:r w:rsidR="00E4755A" w:rsidRPr="00E4755A">
        <w:rPr>
          <w:rFonts w:ascii="Arial" w:hAnsi="Arial" w:cs="Arial"/>
          <w:sz w:val="20"/>
          <w:szCs w:val="20"/>
        </w:rPr>
        <w:t xml:space="preserve">: </w:t>
      </w:r>
      <w:proofErr w:type="spellStart"/>
      <w:r w:rsidR="00E4755A" w:rsidRPr="00E4755A">
        <w:rPr>
          <w:rFonts w:ascii="Arial" w:hAnsi="Arial" w:cs="Arial"/>
          <w:i/>
          <w:iCs/>
          <w:color w:val="000000"/>
          <w:sz w:val="20"/>
          <w:szCs w:val="20"/>
        </w:rPr>
        <w:t>Dilosa</w:t>
      </w:r>
      <w:proofErr w:type="spellEnd"/>
      <w:r w:rsidR="00E4755A" w:rsidRPr="00E4755A">
        <w:rPr>
          <w:rFonts w:ascii="Arial" w:hAnsi="Arial" w:cs="Arial"/>
          <w:i/>
          <w:iCs/>
          <w:color w:val="000000"/>
          <w:sz w:val="20"/>
          <w:szCs w:val="20"/>
        </w:rPr>
        <w:t xml:space="preserve"> v </w:t>
      </w:r>
      <w:proofErr w:type="spellStart"/>
      <w:r w:rsidR="00E4755A" w:rsidRPr="00E4755A">
        <w:rPr>
          <w:rFonts w:ascii="Arial" w:hAnsi="Arial" w:cs="Arial"/>
          <w:i/>
          <w:iCs/>
          <w:color w:val="000000"/>
          <w:sz w:val="20"/>
          <w:szCs w:val="20"/>
        </w:rPr>
        <w:t>Latec</w:t>
      </w:r>
      <w:proofErr w:type="spellEnd"/>
      <w:r w:rsidR="00E4755A" w:rsidRPr="00E4755A">
        <w:rPr>
          <w:rFonts w:ascii="Arial" w:hAnsi="Arial" w:cs="Arial"/>
          <w:i/>
          <w:iCs/>
          <w:color w:val="000000"/>
          <w:sz w:val="20"/>
          <w:szCs w:val="20"/>
        </w:rPr>
        <w:t xml:space="preserve"> Finance Pty Ltd</w:t>
      </w:r>
      <w:r w:rsidR="00E4755A" w:rsidRPr="00E4755A">
        <w:rPr>
          <w:rFonts w:ascii="Arial" w:hAnsi="Arial" w:cs="Arial"/>
          <w:color w:val="000000"/>
          <w:sz w:val="20"/>
          <w:szCs w:val="20"/>
        </w:rPr>
        <w:t> (1966) 84 WN (Pt 1) (NSW) 557 at 582.</w:t>
      </w:r>
      <w:r w:rsidRPr="00E4755A">
        <w:rPr>
          <w:rFonts w:ascii="Arial" w:hAnsi="Arial" w:cs="Arial"/>
          <w:sz w:val="20"/>
          <w:szCs w:val="20"/>
        </w:rPr>
        <w:t xml:space="preserve"> The failure to call a witness may also permit the court to draw, with greater confidence, any inference unfavourable to the party that failed to call the witness, if that uncalled witness appears to be in a position to cast light on whether the inference should be drawn</w:t>
      </w:r>
      <w:r w:rsidR="00E4755A">
        <w:rPr>
          <w:rFonts w:ascii="Arial" w:hAnsi="Arial" w:cs="Arial"/>
          <w:sz w:val="20"/>
          <w:szCs w:val="20"/>
        </w:rPr>
        <w:t xml:space="preserve">: </w:t>
      </w:r>
      <w:hyperlink r:id="rId43" w:history="1">
        <w:r w:rsidR="00E4755A" w:rsidRPr="00E4755A">
          <w:rPr>
            <w:rStyle w:val="Hyperlink"/>
            <w:rFonts w:ascii="Arial" w:hAnsi="Arial" w:cs="Arial"/>
            <w:i/>
            <w:iCs/>
            <w:color w:val="000000" w:themeColor="text1"/>
            <w:sz w:val="20"/>
            <w:szCs w:val="20"/>
            <w:u w:val="none"/>
          </w:rPr>
          <w:t>Australian Securities and Investments Commission v Fortescue Metals Group Ltd (No</w:t>
        </w:r>
        <w:r w:rsidR="00E4755A">
          <w:rPr>
            <w:rStyle w:val="Hyperlink"/>
            <w:rFonts w:ascii="Arial" w:hAnsi="Arial" w:cs="Arial"/>
            <w:i/>
            <w:iCs/>
            <w:color w:val="000000" w:themeColor="text1"/>
            <w:sz w:val="20"/>
            <w:szCs w:val="20"/>
            <w:u w:val="none"/>
          </w:rPr>
          <w:t> </w:t>
        </w:r>
        <w:r w:rsidR="00E4755A" w:rsidRPr="00E4755A">
          <w:rPr>
            <w:rStyle w:val="Hyperlink"/>
            <w:rFonts w:ascii="Arial" w:hAnsi="Arial" w:cs="Arial"/>
            <w:i/>
            <w:iCs/>
            <w:color w:val="000000" w:themeColor="text1"/>
            <w:sz w:val="20"/>
            <w:szCs w:val="20"/>
            <w:u w:val="none"/>
          </w:rPr>
          <w:t>5)</w:t>
        </w:r>
      </w:hyperlink>
      <w:r w:rsidR="00E4755A" w:rsidRPr="00E4755A">
        <w:rPr>
          <w:rFonts w:ascii="Arial" w:hAnsi="Arial" w:cs="Arial"/>
          <w:color w:val="000000" w:themeColor="text1"/>
          <w:sz w:val="20"/>
          <w:szCs w:val="20"/>
        </w:rPr>
        <w:t> (2009) 264 ALR 201 at </w:t>
      </w:r>
      <w:hyperlink r:id="rId44" w:history="1">
        <w:r w:rsidR="00E4755A" w:rsidRPr="00E4755A">
          <w:rPr>
            <w:rStyle w:val="Hyperlink"/>
            <w:rFonts w:ascii="Arial" w:hAnsi="Arial" w:cs="Arial"/>
            <w:color w:val="000000" w:themeColor="text1"/>
            <w:sz w:val="20"/>
            <w:szCs w:val="20"/>
            <w:u w:val="none"/>
          </w:rPr>
          <w:t>225</w:t>
        </w:r>
      </w:hyperlink>
      <w:r w:rsidR="00E4755A" w:rsidRPr="00E4755A">
        <w:rPr>
          <w:rFonts w:ascii="Arial" w:hAnsi="Arial" w:cs="Arial"/>
          <w:color w:val="000000" w:themeColor="text1"/>
          <w:sz w:val="20"/>
          <w:szCs w:val="20"/>
        </w:rPr>
        <w:t> </w:t>
      </w:r>
      <w:hyperlink r:id="rId45" w:history="1">
        <w:r w:rsidR="00E4755A" w:rsidRPr="00E4755A">
          <w:rPr>
            <w:rStyle w:val="Hyperlink"/>
            <w:rFonts w:ascii="Arial" w:hAnsi="Arial" w:cs="Arial"/>
            <w:color w:val="000000" w:themeColor="text1"/>
            <w:sz w:val="20"/>
            <w:szCs w:val="20"/>
            <w:u w:val="none"/>
          </w:rPr>
          <w:t>[102]</w:t>
        </w:r>
      </w:hyperlink>
      <w:r w:rsidR="00E4755A" w:rsidRPr="00E4755A">
        <w:rPr>
          <w:rFonts w:ascii="Arial" w:hAnsi="Arial" w:cs="Arial"/>
          <w:color w:val="000000" w:themeColor="text1"/>
          <w:sz w:val="20"/>
          <w:szCs w:val="20"/>
        </w:rPr>
        <w:t>.</w:t>
      </w:r>
      <w:r w:rsidR="00E4755A">
        <w:rPr>
          <w:rFonts w:ascii="Arial" w:hAnsi="Arial" w:cs="Arial"/>
          <w:color w:val="000000" w:themeColor="text1"/>
          <w:sz w:val="20"/>
          <w:szCs w:val="20"/>
        </w:rPr>
        <w:t xml:space="preserve"> </w:t>
      </w:r>
      <w:r w:rsidRPr="00E4755A">
        <w:rPr>
          <w:rFonts w:ascii="Arial" w:hAnsi="Arial" w:cs="Arial"/>
          <w:color w:val="000000" w:themeColor="text1"/>
          <w:sz w:val="20"/>
          <w:szCs w:val="20"/>
        </w:rPr>
        <w:t xml:space="preserve"> </w:t>
      </w:r>
      <w:r w:rsidR="00E4755A" w:rsidRPr="00E4755A">
        <w:rPr>
          <w:rFonts w:ascii="Arial" w:hAnsi="Arial" w:cs="Arial"/>
          <w:color w:val="000000"/>
          <w:sz w:val="20"/>
          <w:szCs w:val="20"/>
        </w:rPr>
        <w:t xml:space="preserve">These principles have been extended from instances where a witness has not been called at all to instances where a witness has been called but not questioned on </w:t>
      </w:r>
      <w:proofErr w:type="gramStart"/>
      <w:r w:rsidR="00E4755A" w:rsidRPr="00E4755A">
        <w:rPr>
          <w:rFonts w:ascii="Arial" w:hAnsi="Arial" w:cs="Arial"/>
          <w:color w:val="000000"/>
          <w:sz w:val="20"/>
          <w:szCs w:val="20"/>
        </w:rPr>
        <w:t>particular topics</w:t>
      </w:r>
      <w:proofErr w:type="gramEnd"/>
      <w:r w:rsidR="00E4755A" w:rsidRPr="00E4755A">
        <w:rPr>
          <w:rFonts w:ascii="Arial" w:hAnsi="Arial" w:cs="Arial"/>
          <w:color w:val="000000"/>
          <w:sz w:val="20"/>
          <w:szCs w:val="20"/>
        </w:rPr>
        <w:t>.</w:t>
      </w:r>
      <w:r w:rsidR="00E4755A">
        <w:rPr>
          <w:rFonts w:ascii="Arial" w:hAnsi="Arial" w:cs="Arial"/>
          <w:color w:val="000000"/>
          <w:sz w:val="20"/>
          <w:szCs w:val="20"/>
        </w:rPr>
        <w:t xml:space="preserve">  </w:t>
      </w:r>
      <w:r w:rsidR="00E4755A" w:rsidRPr="00E4755A">
        <w:rPr>
          <w:rFonts w:ascii="Arial" w:hAnsi="Arial" w:cs="Arial"/>
          <w:color w:val="000000"/>
          <w:sz w:val="20"/>
          <w:szCs w:val="20"/>
        </w:rPr>
        <w:t xml:space="preserve">Where counsel for a party has refrained from </w:t>
      </w:r>
      <w:r w:rsidR="00E4755A" w:rsidRPr="00E4755A">
        <w:rPr>
          <w:rFonts w:ascii="Arial" w:hAnsi="Arial" w:cs="Arial"/>
          <w:color w:val="000000" w:themeColor="text1"/>
          <w:sz w:val="20"/>
          <w:szCs w:val="20"/>
        </w:rPr>
        <w:t>asking a witness whom that party has called particular questions on an issue, the court will be less likely to draw inferences favourable to that party from other evidence in relation to that issue</w:t>
      </w:r>
      <w:bookmarkStart w:id="806" w:name="_ftnref50"/>
      <w:r w:rsidR="00E4755A" w:rsidRPr="00E4755A">
        <w:rPr>
          <w:rFonts w:ascii="Arial" w:hAnsi="Arial" w:cs="Arial"/>
          <w:color w:val="000000" w:themeColor="text1"/>
          <w:sz w:val="20"/>
          <w:szCs w:val="20"/>
        </w:rPr>
        <w:t xml:space="preserve">: </w:t>
      </w:r>
      <w:hyperlink r:id="rId46" w:history="1">
        <w:r w:rsidR="00E4755A" w:rsidRPr="00E4755A">
          <w:rPr>
            <w:rStyle w:val="Hyperlink"/>
            <w:rFonts w:ascii="Arial" w:hAnsi="Arial" w:cs="Arial"/>
            <w:i/>
            <w:iCs/>
            <w:color w:val="000000" w:themeColor="text1"/>
            <w:sz w:val="20"/>
            <w:szCs w:val="20"/>
            <w:u w:val="none"/>
          </w:rPr>
          <w:t xml:space="preserve">Commercial Union Assurance Co of Australia Ltd v </w:t>
        </w:r>
        <w:proofErr w:type="spellStart"/>
        <w:r w:rsidR="00E4755A" w:rsidRPr="00E4755A">
          <w:rPr>
            <w:rStyle w:val="Hyperlink"/>
            <w:rFonts w:ascii="Arial" w:hAnsi="Arial" w:cs="Arial"/>
            <w:i/>
            <w:iCs/>
            <w:color w:val="000000" w:themeColor="text1"/>
            <w:sz w:val="20"/>
            <w:szCs w:val="20"/>
            <w:u w:val="none"/>
          </w:rPr>
          <w:t>Ferrcom</w:t>
        </w:r>
        <w:proofErr w:type="spellEnd"/>
        <w:r w:rsidR="00E4755A" w:rsidRPr="00E4755A">
          <w:rPr>
            <w:rStyle w:val="Hyperlink"/>
            <w:rFonts w:ascii="Arial" w:hAnsi="Arial" w:cs="Arial"/>
            <w:i/>
            <w:iCs/>
            <w:color w:val="000000" w:themeColor="text1"/>
            <w:sz w:val="20"/>
            <w:szCs w:val="20"/>
            <w:u w:val="none"/>
          </w:rPr>
          <w:t xml:space="preserve"> Pty Ltd</w:t>
        </w:r>
      </w:hyperlink>
      <w:r w:rsidR="00E4755A" w:rsidRPr="00E4755A">
        <w:rPr>
          <w:rFonts w:ascii="Arial" w:hAnsi="Arial" w:cs="Arial"/>
          <w:color w:val="000000" w:themeColor="text1"/>
          <w:sz w:val="20"/>
          <w:szCs w:val="20"/>
        </w:rPr>
        <w:t> (1991) 22 NSWLR 389 at </w:t>
      </w:r>
      <w:hyperlink r:id="rId47" w:history="1">
        <w:r w:rsidR="00E4755A" w:rsidRPr="00E4755A">
          <w:rPr>
            <w:rStyle w:val="Hyperlink"/>
            <w:rFonts w:ascii="Arial" w:hAnsi="Arial" w:cs="Arial"/>
            <w:color w:val="000000" w:themeColor="text1"/>
            <w:sz w:val="20"/>
            <w:szCs w:val="20"/>
            <w:u w:val="none"/>
          </w:rPr>
          <w:t>418-419</w:t>
        </w:r>
      </w:hyperlink>
      <w:r w:rsidR="00E4755A" w:rsidRPr="00E4755A">
        <w:rPr>
          <w:rFonts w:ascii="Arial" w:hAnsi="Arial" w:cs="Arial"/>
          <w:color w:val="000000" w:themeColor="text1"/>
          <w:sz w:val="20"/>
          <w:szCs w:val="20"/>
        </w:rPr>
        <w:t>. Handley JA stated some stronger propositions in those passages, but what he said is at least authority for what is stated above.</w:t>
      </w:r>
      <w:bookmarkEnd w:id="806"/>
      <w:r w:rsidR="00E4755A" w:rsidRPr="00E4755A">
        <w:rPr>
          <w:rFonts w:ascii="Arial" w:hAnsi="Arial" w:cs="Arial"/>
          <w:color w:val="000000" w:themeColor="text1"/>
          <w:sz w:val="20"/>
          <w:szCs w:val="20"/>
        </w:rPr>
        <w:t xml:space="preserve"> That problem did not arise here. The plaintiff's counsel did ask the plaintiff relevant questions.</w:t>
      </w:r>
    </w:p>
    <w:p w14:paraId="3F110A49" w14:textId="045FBBDD" w:rsidR="000E5165" w:rsidRPr="00E4755A" w:rsidRDefault="000E5165" w:rsidP="00A616AE">
      <w:pPr>
        <w:spacing w:before="60"/>
        <w:ind w:left="567" w:right="567"/>
        <w:jc w:val="both"/>
        <w:rPr>
          <w:rFonts w:ascii="Arial" w:hAnsi="Arial" w:cs="Arial"/>
          <w:color w:val="000000"/>
          <w:sz w:val="20"/>
          <w:szCs w:val="20"/>
        </w:rPr>
      </w:pPr>
      <w:r w:rsidRPr="00E4755A">
        <w:rPr>
          <w:rFonts w:ascii="Arial" w:hAnsi="Arial" w:cs="Arial"/>
          <w:sz w:val="20"/>
          <w:szCs w:val="20"/>
        </w:rPr>
        <w:t xml:space="preserve">The rule in </w:t>
      </w:r>
      <w:r w:rsidRPr="00E4755A">
        <w:rPr>
          <w:rFonts w:ascii="Arial" w:hAnsi="Arial" w:cs="Arial"/>
          <w:i/>
          <w:iCs/>
          <w:sz w:val="20"/>
          <w:szCs w:val="20"/>
        </w:rPr>
        <w:t>Jones v Dunkel</w:t>
      </w:r>
      <w:r w:rsidRPr="00E4755A">
        <w:rPr>
          <w:rFonts w:ascii="Arial" w:hAnsi="Arial" w:cs="Arial"/>
          <w:sz w:val="20"/>
          <w:szCs w:val="20"/>
        </w:rPr>
        <w:t xml:space="preserve"> permits an inference, not that evidence not called by a party would have been </w:t>
      </w:r>
      <w:proofErr w:type="gramStart"/>
      <w:r w:rsidRPr="00E4755A">
        <w:rPr>
          <w:rFonts w:ascii="Arial" w:hAnsi="Arial" w:cs="Arial"/>
          <w:sz w:val="20"/>
          <w:szCs w:val="20"/>
        </w:rPr>
        <w:t>adverse</w:t>
      </w:r>
      <w:proofErr w:type="gramEnd"/>
      <w:r w:rsidRPr="00E4755A">
        <w:rPr>
          <w:rFonts w:ascii="Arial" w:hAnsi="Arial" w:cs="Arial"/>
          <w:sz w:val="20"/>
          <w:szCs w:val="20"/>
        </w:rPr>
        <w:t xml:space="preserve"> to the party, but that it would not have assisted the party</w:t>
      </w:r>
      <w:r w:rsidR="00E4755A" w:rsidRPr="00E4755A">
        <w:rPr>
          <w:rFonts w:ascii="Arial" w:hAnsi="Arial" w:cs="Arial"/>
          <w:sz w:val="20"/>
          <w:szCs w:val="20"/>
        </w:rPr>
        <w:t xml:space="preserve">: </w:t>
      </w:r>
      <w:proofErr w:type="spellStart"/>
      <w:r w:rsidR="00E4755A" w:rsidRPr="00E4755A">
        <w:rPr>
          <w:rFonts w:ascii="Arial" w:hAnsi="Arial" w:cs="Arial"/>
          <w:i/>
          <w:iCs/>
          <w:color w:val="000000"/>
          <w:sz w:val="20"/>
          <w:szCs w:val="20"/>
          <w:shd w:val="clear" w:color="auto" w:fill="FFFFFF"/>
        </w:rPr>
        <w:t>Dilosa</w:t>
      </w:r>
      <w:proofErr w:type="spellEnd"/>
      <w:r w:rsidR="00E4755A" w:rsidRPr="00E4755A">
        <w:rPr>
          <w:rFonts w:ascii="Arial" w:hAnsi="Arial" w:cs="Arial"/>
          <w:i/>
          <w:iCs/>
          <w:color w:val="000000"/>
          <w:sz w:val="20"/>
          <w:szCs w:val="20"/>
          <w:shd w:val="clear" w:color="auto" w:fill="FFFFFF"/>
        </w:rPr>
        <w:t xml:space="preserve"> v </w:t>
      </w:r>
      <w:proofErr w:type="spellStart"/>
      <w:r w:rsidR="00E4755A" w:rsidRPr="00E4755A">
        <w:rPr>
          <w:rFonts w:ascii="Arial" w:hAnsi="Arial" w:cs="Arial"/>
          <w:i/>
          <w:iCs/>
          <w:color w:val="000000"/>
          <w:sz w:val="20"/>
          <w:szCs w:val="20"/>
          <w:shd w:val="clear" w:color="auto" w:fill="FFFFFF"/>
        </w:rPr>
        <w:t>Latec</w:t>
      </w:r>
      <w:proofErr w:type="spellEnd"/>
      <w:r w:rsidR="00E4755A" w:rsidRPr="00E4755A">
        <w:rPr>
          <w:rFonts w:ascii="Arial" w:hAnsi="Arial" w:cs="Arial"/>
          <w:i/>
          <w:iCs/>
          <w:color w:val="000000"/>
          <w:sz w:val="20"/>
          <w:szCs w:val="20"/>
          <w:shd w:val="clear" w:color="auto" w:fill="FFFFFF"/>
        </w:rPr>
        <w:t xml:space="preserve"> Finance Pty Ltd</w:t>
      </w:r>
      <w:r w:rsidR="00E4755A" w:rsidRPr="00E4755A">
        <w:rPr>
          <w:rFonts w:ascii="Arial" w:hAnsi="Arial" w:cs="Arial"/>
          <w:color w:val="000000"/>
          <w:sz w:val="20"/>
          <w:szCs w:val="20"/>
          <w:shd w:val="clear" w:color="auto" w:fill="FFFFFF"/>
        </w:rPr>
        <w:t> (1966) 84 WN (Pt 1) (NSW) 557 at 582</w:t>
      </w:r>
      <w:r w:rsidR="00A616AE">
        <w:rPr>
          <w:rFonts w:ascii="Arial" w:hAnsi="Arial" w:cs="Arial"/>
          <w:color w:val="000000"/>
          <w:sz w:val="20"/>
          <w:szCs w:val="20"/>
          <w:shd w:val="clear" w:color="auto" w:fill="FFFFFF"/>
        </w:rPr>
        <w:t>…</w:t>
      </w:r>
      <w:r w:rsidR="00E4755A" w:rsidRPr="00E4755A">
        <w:rPr>
          <w:rFonts w:ascii="Arial" w:hAnsi="Arial" w:cs="Arial"/>
          <w:color w:val="000000"/>
          <w:sz w:val="20"/>
          <w:szCs w:val="20"/>
          <w:shd w:val="clear" w:color="auto" w:fill="FFFFFF"/>
        </w:rPr>
        <w:t>”</w:t>
      </w:r>
    </w:p>
    <w:p w14:paraId="59664D02" w14:textId="77777777" w:rsidR="000E5165" w:rsidRPr="00A616AE" w:rsidRDefault="000E5165" w:rsidP="00B8085D">
      <w:pPr>
        <w:jc w:val="both"/>
        <w:rPr>
          <w:rFonts w:ascii="Arial" w:hAnsi="Arial" w:cs="Arial"/>
          <w:sz w:val="20"/>
          <w:szCs w:val="20"/>
        </w:rPr>
      </w:pPr>
    </w:p>
    <w:p w14:paraId="3B8D0195" w14:textId="77777777" w:rsidR="00B45D30" w:rsidRPr="008C3BC8" w:rsidRDefault="00B45D30" w:rsidP="00254D99">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 xml:space="preserve">[W]here a party without explanation fails to call as a witness a person whom he might reasonably be expected to call, if that person’s evidence would be favourable to him, then, although the jury may not treat as evidence what they may as a matter of speculation think </w:t>
      </w:r>
      <w:r w:rsidRPr="008C3BC8">
        <w:rPr>
          <w:rFonts w:ascii="Arial" w:hAnsi="Arial" w:cs="Arial"/>
          <w:color w:val="000000"/>
          <w:sz w:val="20"/>
          <w:szCs w:val="22"/>
        </w:rPr>
        <w:lastRenderedPageBreak/>
        <w:t>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A616AE" w:rsidRDefault="00BB66CE" w:rsidP="00306886">
      <w:pPr>
        <w:pStyle w:val="Quote1"/>
        <w:widowControl/>
        <w:spacing w:after="0" w:line="240" w:lineRule="auto"/>
        <w:ind w:left="1134" w:right="1134" w:firstLine="0"/>
        <w:rPr>
          <w:rFonts w:ascii="Arial" w:hAnsi="Arial" w:cs="Arial"/>
          <w:color w:val="000000"/>
          <w:sz w:val="18"/>
          <w:szCs w:val="18"/>
        </w:rPr>
      </w:pPr>
      <w:r w:rsidRPr="00A616AE">
        <w:rPr>
          <w:rFonts w:ascii="Arial" w:hAnsi="Arial" w:cs="Arial"/>
          <w:color w:val="000000"/>
          <w:sz w:val="18"/>
          <w:szCs w:val="18"/>
        </w:rPr>
        <w:t>“</w:t>
      </w:r>
      <w:r w:rsidR="002F575D" w:rsidRPr="00A616AE">
        <w:rPr>
          <w:rFonts w:ascii="Arial" w:hAnsi="Arial" w:cs="Arial"/>
          <w:color w:val="000000"/>
          <w:sz w:val="18"/>
          <w:szCs w:val="18"/>
        </w:rPr>
        <w:t>Doubts about the reliability of witnesses or about the inferences to be drawn from the evidence may be more readily discounted in the absence of contradictory evidence from a party who might have been expected to give or call it.</w:t>
      </w:r>
      <w:r w:rsidRPr="00A616AE">
        <w:rPr>
          <w:rFonts w:ascii="Arial" w:hAnsi="Arial" w:cs="Arial"/>
          <w:color w:val="000000"/>
          <w:sz w:val="18"/>
          <w:szCs w:val="18"/>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7DEDF543" w14:textId="763ED7A2" w:rsidR="00F26DDA" w:rsidRDefault="001357C7" w:rsidP="00407EDF">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75F1D7C" w14:textId="63E351DE" w:rsidR="00F26DDA" w:rsidRDefault="00F26DDA" w:rsidP="00DE0CC3">
      <w:pPr>
        <w:jc w:val="both"/>
        <w:rPr>
          <w:rFonts w:ascii="Arial" w:hAnsi="Arial" w:cs="Arial"/>
          <w:color w:val="000000"/>
          <w:sz w:val="20"/>
        </w:rPr>
      </w:pPr>
    </w:p>
    <w:p w14:paraId="1A5C0F6E" w14:textId="47571190" w:rsidR="00F26DDA" w:rsidRDefault="00F26DDA" w:rsidP="00F26DDA">
      <w:pPr>
        <w:jc w:val="both"/>
        <w:rPr>
          <w:rFonts w:ascii="Arial" w:hAnsi="Arial" w:cs="Arial"/>
          <w:color w:val="000000"/>
          <w:sz w:val="20"/>
        </w:rPr>
      </w:pPr>
      <w:r>
        <w:rPr>
          <w:rFonts w:ascii="Arial" w:hAnsi="Arial" w:cs="Arial"/>
          <w:color w:val="000000"/>
          <w:sz w:val="20"/>
        </w:rPr>
        <w:t xml:space="preserve">In </w:t>
      </w:r>
      <w:r w:rsidRPr="00E4035E">
        <w:rPr>
          <w:rFonts w:ascii="Arial" w:hAnsi="Arial" w:cs="Arial"/>
          <w:i/>
          <w:iCs/>
          <w:color w:val="000000"/>
          <w:sz w:val="20"/>
        </w:rPr>
        <w:t>DFFH v West (a pseudonym)</w:t>
      </w:r>
      <w:r>
        <w:rPr>
          <w:rFonts w:ascii="Arial" w:hAnsi="Arial" w:cs="Arial"/>
          <w:color w:val="000000"/>
          <w:sz w:val="20"/>
        </w:rPr>
        <w:t xml:space="preserve"> [2022] </w:t>
      </w:r>
      <w:proofErr w:type="spellStart"/>
      <w:r>
        <w:rPr>
          <w:rFonts w:ascii="Arial" w:hAnsi="Arial" w:cs="Arial"/>
          <w:color w:val="000000"/>
          <w:sz w:val="20"/>
        </w:rPr>
        <w:t>VChC</w:t>
      </w:r>
      <w:proofErr w:type="spellEnd"/>
      <w:r>
        <w:rPr>
          <w:rFonts w:ascii="Arial" w:hAnsi="Arial" w:cs="Arial"/>
          <w:color w:val="000000"/>
          <w:sz w:val="20"/>
        </w:rPr>
        <w:t xml:space="preserve"> 2 the </w:t>
      </w:r>
      <w:r w:rsidR="00407EDF">
        <w:rPr>
          <w:rFonts w:ascii="Arial" w:hAnsi="Arial" w:cs="Arial"/>
          <w:color w:val="000000"/>
          <w:sz w:val="20"/>
        </w:rPr>
        <w:t xml:space="preserve">central </w:t>
      </w:r>
      <w:r>
        <w:rPr>
          <w:rFonts w:ascii="Arial" w:hAnsi="Arial" w:cs="Arial"/>
          <w:color w:val="000000"/>
          <w:sz w:val="20"/>
        </w:rPr>
        <w:t xml:space="preserve">issue was the cause of a fractured rib found on each of two non-identical twins.  The underlying </w:t>
      </w:r>
      <w:r w:rsidR="00407EDF">
        <w:rPr>
          <w:rFonts w:ascii="Arial" w:hAnsi="Arial" w:cs="Arial"/>
          <w:color w:val="000000"/>
          <w:sz w:val="20"/>
        </w:rPr>
        <w:t>fact</w:t>
      </w:r>
      <w:r>
        <w:rPr>
          <w:rFonts w:ascii="Arial" w:hAnsi="Arial" w:cs="Arial"/>
          <w:color w:val="000000"/>
          <w:sz w:val="20"/>
        </w:rPr>
        <w:t xml:space="preserve">s are set out in </w:t>
      </w:r>
      <w:r w:rsidRPr="00A975E6">
        <w:rPr>
          <w:rFonts w:ascii="Arial" w:hAnsi="Arial" w:cs="Arial"/>
          <w:b/>
          <w:bCs/>
          <w:color w:val="000000"/>
          <w:sz w:val="20"/>
          <w:shd w:val="clear" w:color="auto" w:fill="C5E0B3" w:themeFill="accent6" w:themeFillTint="66"/>
        </w:rPr>
        <w:t>section 5.5.3</w:t>
      </w:r>
      <w:r>
        <w:rPr>
          <w:rFonts w:ascii="Arial" w:hAnsi="Arial" w:cs="Arial"/>
          <w:color w:val="000000"/>
          <w:sz w:val="20"/>
        </w:rPr>
        <w:t xml:space="preserve"> below.  The evidentiary contest essentially involved a number of medical professionals.  In dismissing the protection applications Stead M also rejected the DFFH’s submission that an adverse </w:t>
      </w:r>
      <w:r w:rsidRPr="00F26DDA">
        <w:rPr>
          <w:rFonts w:ascii="Arial" w:hAnsi="Arial" w:cs="Arial"/>
          <w:i/>
          <w:iCs/>
          <w:color w:val="000000"/>
          <w:sz w:val="20"/>
        </w:rPr>
        <w:t>Jones v Dunkel</w:t>
      </w:r>
      <w:r>
        <w:rPr>
          <w:rFonts w:ascii="Arial" w:hAnsi="Arial" w:cs="Arial"/>
          <w:color w:val="000000"/>
          <w:sz w:val="20"/>
        </w:rPr>
        <w:t xml:space="preserve"> inference should be drawn against the parents for not giving evidence.</w:t>
      </w:r>
      <w:r w:rsidR="00407EDF">
        <w:rPr>
          <w:rFonts w:ascii="Arial" w:hAnsi="Arial" w:cs="Arial"/>
          <w:color w:val="000000"/>
          <w:sz w:val="20"/>
        </w:rPr>
        <w:t xml:space="preserve">  At [138] her Honour said:</w:t>
      </w:r>
    </w:p>
    <w:p w14:paraId="0F5B20ED" w14:textId="6ED84D64" w:rsidR="00F26DDA" w:rsidRDefault="00407EDF" w:rsidP="00407EDF">
      <w:pPr>
        <w:spacing w:before="120"/>
        <w:ind w:left="567" w:right="567"/>
        <w:jc w:val="both"/>
        <w:rPr>
          <w:rFonts w:ascii="Arial" w:hAnsi="Arial" w:cs="Arial"/>
          <w:sz w:val="20"/>
          <w:szCs w:val="20"/>
        </w:rPr>
      </w:pPr>
      <w:r>
        <w:rPr>
          <w:rFonts w:ascii="Arial" w:hAnsi="Arial" w:cs="Arial"/>
          <w:sz w:val="20"/>
          <w:szCs w:val="20"/>
        </w:rPr>
        <w:t>“</w:t>
      </w:r>
      <w:r w:rsidR="00F26DDA" w:rsidRPr="00FF7B4C">
        <w:rPr>
          <w:rFonts w:ascii="Arial" w:hAnsi="Arial" w:cs="Arial"/>
          <w:sz w:val="20"/>
          <w:szCs w:val="20"/>
        </w:rPr>
        <w:t xml:space="preserve">In the circumstances where the objective evidence does not support an adverse finding against the parents, I do not draw an adverse inference against either of them. The onus of proof rests with the Secretary. It is not for the parents to disprove the suspicions of the Secretary, nor to fill in any deficiencies of the Secretary’s evidence. </w:t>
      </w:r>
      <w:r w:rsidR="00F26DDA">
        <w:rPr>
          <w:rFonts w:ascii="Arial" w:hAnsi="Arial" w:cs="Arial"/>
          <w:sz w:val="20"/>
          <w:szCs w:val="20"/>
        </w:rPr>
        <w:t>T</w:t>
      </w:r>
      <w:r w:rsidR="00F26DDA" w:rsidRPr="00D66F73">
        <w:rPr>
          <w:rFonts w:ascii="Arial" w:hAnsi="Arial" w:cs="Arial"/>
          <w:sz w:val="20"/>
          <w:szCs w:val="20"/>
        </w:rPr>
        <w:t xml:space="preserve">he precedent in </w:t>
      </w:r>
      <w:r w:rsidR="00F26DDA" w:rsidRPr="00D66F73">
        <w:rPr>
          <w:rFonts w:ascii="Arial" w:hAnsi="Arial" w:cs="Arial"/>
          <w:i/>
          <w:iCs/>
          <w:sz w:val="20"/>
          <w:szCs w:val="20"/>
        </w:rPr>
        <w:t>Jones v Dunkel</w:t>
      </w:r>
      <w:r w:rsidR="00F26DDA" w:rsidRPr="00D66F73">
        <w:rPr>
          <w:rFonts w:ascii="Arial" w:hAnsi="Arial" w:cs="Arial"/>
          <w:sz w:val="20"/>
          <w:szCs w:val="20"/>
        </w:rPr>
        <w:t xml:space="preserve"> as set out by Menzies J (at </w:t>
      </w:r>
      <w:r w:rsidR="00F26DDA">
        <w:rPr>
          <w:rFonts w:ascii="Arial" w:hAnsi="Arial" w:cs="Arial"/>
          <w:sz w:val="20"/>
          <w:szCs w:val="20"/>
        </w:rPr>
        <w:t>p.</w:t>
      </w:r>
      <w:r w:rsidR="00F26DDA" w:rsidRPr="00D66F73">
        <w:rPr>
          <w:rFonts w:ascii="Arial" w:hAnsi="Arial" w:cs="Arial"/>
          <w:sz w:val="20"/>
          <w:szCs w:val="20"/>
        </w:rPr>
        <w:t>312)</w:t>
      </w:r>
      <w:r w:rsidR="00F26DDA">
        <w:rPr>
          <w:rFonts w:ascii="Arial" w:hAnsi="Arial" w:cs="Arial"/>
          <w:sz w:val="20"/>
          <w:szCs w:val="20"/>
        </w:rPr>
        <w:t xml:space="preserve"> is:</w:t>
      </w:r>
    </w:p>
    <w:p w14:paraId="360AE73C" w14:textId="77777777" w:rsidR="00F26DDA"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t>‘(i)</w:t>
      </w:r>
      <w:r>
        <w:rPr>
          <w:rFonts w:ascii="Arial" w:hAnsi="Arial" w:cs="Arial"/>
          <w:sz w:val="18"/>
          <w:szCs w:val="18"/>
        </w:rPr>
        <w:tab/>
      </w:r>
      <w:r w:rsidRPr="00D66F73">
        <w:rPr>
          <w:rFonts w:ascii="Arial" w:hAnsi="Arial" w:cs="Arial"/>
          <w:sz w:val="18"/>
          <w:szCs w:val="18"/>
        </w:rPr>
        <w:t>that the absence of the defendant … as a witness cannot be used to make up any deficiency of evidence;</w:t>
      </w:r>
    </w:p>
    <w:p w14:paraId="5B55B90B" w14:textId="77777777" w:rsidR="00F26DDA" w:rsidRDefault="00F26DDA" w:rsidP="00F26DDA">
      <w:pPr>
        <w:pStyle w:val="ListParagraph"/>
        <w:spacing w:before="60"/>
        <w:ind w:left="1264" w:right="907" w:hanging="357"/>
        <w:contextualSpacing/>
        <w:jc w:val="both"/>
        <w:rPr>
          <w:rFonts w:ascii="Arial" w:hAnsi="Arial" w:cs="Arial"/>
          <w:sz w:val="18"/>
          <w:szCs w:val="18"/>
        </w:rPr>
      </w:pPr>
      <w:r>
        <w:rPr>
          <w:rFonts w:ascii="Arial" w:hAnsi="Arial" w:cs="Arial"/>
          <w:sz w:val="18"/>
          <w:szCs w:val="18"/>
        </w:rPr>
        <w:t>(</w:t>
      </w:r>
      <w:r w:rsidRPr="00D66F73">
        <w:rPr>
          <w:rFonts w:ascii="Arial" w:hAnsi="Arial" w:cs="Arial"/>
          <w:sz w:val="18"/>
          <w:szCs w:val="18"/>
        </w:rPr>
        <w:t>ii)</w:t>
      </w:r>
      <w:r>
        <w:rPr>
          <w:rFonts w:ascii="Arial" w:hAnsi="Arial" w:cs="Arial"/>
          <w:sz w:val="18"/>
          <w:szCs w:val="18"/>
        </w:rPr>
        <w:tab/>
      </w:r>
      <w:r w:rsidRPr="00D66F73">
        <w:rPr>
          <w:rFonts w:ascii="Arial" w:hAnsi="Arial" w:cs="Arial"/>
          <w:sz w:val="18"/>
          <w:szCs w:val="18"/>
        </w:rPr>
        <w:t>that evidence which might have been contradicted by the defendant can be accepted the more readily if the defendant fails to give evidence;</w:t>
      </w:r>
    </w:p>
    <w:p w14:paraId="02A8C972" w14:textId="77777777" w:rsidR="00F26DDA" w:rsidRPr="00D66F73"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lastRenderedPageBreak/>
        <w:t>(iii)</w:t>
      </w:r>
      <w:r>
        <w:rPr>
          <w:rFonts w:ascii="Arial" w:hAnsi="Arial" w:cs="Arial"/>
          <w:sz w:val="18"/>
          <w:szCs w:val="18"/>
        </w:rPr>
        <w:tab/>
      </w:r>
      <w:r w:rsidRPr="00D66F73">
        <w:rPr>
          <w:rFonts w:ascii="Arial" w:hAnsi="Arial" w:cs="Arial"/>
          <w:sz w:val="18"/>
          <w:szCs w:val="18"/>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r>
        <w:rPr>
          <w:rFonts w:ascii="Arial" w:hAnsi="Arial" w:cs="Arial"/>
          <w:sz w:val="18"/>
          <w:szCs w:val="18"/>
        </w:rPr>
        <w:t>’</w:t>
      </w:r>
    </w:p>
    <w:p w14:paraId="2044C3DA" w14:textId="5440220B" w:rsidR="00F26DDA" w:rsidRDefault="00F26DDA" w:rsidP="00F26DDA">
      <w:pPr>
        <w:spacing w:before="60"/>
        <w:ind w:left="454" w:right="454"/>
        <w:jc w:val="both"/>
        <w:rPr>
          <w:rFonts w:ascii="Arial" w:hAnsi="Arial" w:cs="Arial"/>
          <w:sz w:val="20"/>
          <w:szCs w:val="20"/>
        </w:rPr>
      </w:pPr>
      <w:r w:rsidRPr="00FF7B4C">
        <w:rPr>
          <w:rFonts w:ascii="Arial" w:hAnsi="Arial" w:cs="Arial"/>
          <w:sz w:val="20"/>
          <w:szCs w:val="20"/>
        </w:rPr>
        <w:t>There are cases where direct evidence presented by the Secretary invites inferential reasoning that may tend to support the Secretary’s assertions. In such cases if the parents can contradict this evidence and fail to do so, the inference may be more confidently made. This is not such a case.</w:t>
      </w:r>
      <w:r w:rsidR="00407EDF">
        <w:rPr>
          <w:rFonts w:ascii="Arial" w:hAnsi="Arial" w:cs="Arial"/>
          <w:sz w:val="20"/>
          <w:szCs w:val="20"/>
        </w:rPr>
        <w:t>”</w:t>
      </w:r>
    </w:p>
    <w:p w14:paraId="0DA5D3F8" w14:textId="77777777" w:rsidR="00F26DDA" w:rsidRDefault="00F26DDA" w:rsidP="00DE0CC3">
      <w:pPr>
        <w:jc w:val="both"/>
        <w:rPr>
          <w:rFonts w:ascii="Arial" w:hAnsi="Arial" w:cs="Arial"/>
          <w:color w:val="000000"/>
          <w:sz w:val="20"/>
        </w:rPr>
      </w:pPr>
    </w:p>
    <w:p w14:paraId="79739108" w14:textId="0368010F" w:rsidR="006B6441" w:rsidRPr="00CB1286" w:rsidRDefault="006B6441" w:rsidP="00DE0CC3">
      <w:pPr>
        <w:jc w:val="both"/>
        <w:rPr>
          <w:rFonts w:ascii="Arial" w:hAnsi="Arial" w:cs="Arial"/>
          <w:color w:val="000000"/>
          <w:sz w:val="20"/>
          <w:szCs w:val="20"/>
        </w:rPr>
      </w:pPr>
      <w:r w:rsidRPr="00CB1286">
        <w:rPr>
          <w:rFonts w:ascii="Arial" w:hAnsi="Arial" w:cs="Arial"/>
          <w:color w:val="000000"/>
          <w:sz w:val="20"/>
          <w:szCs w:val="20"/>
        </w:rPr>
        <w:t xml:space="preserve">See also </w:t>
      </w:r>
      <w:proofErr w:type="spellStart"/>
      <w:r w:rsidRPr="00CB1286">
        <w:rPr>
          <w:rFonts w:ascii="Arial" w:hAnsi="Arial" w:cs="Arial"/>
          <w:i/>
          <w:iCs/>
          <w:color w:val="000000"/>
          <w:sz w:val="20"/>
          <w:szCs w:val="20"/>
        </w:rPr>
        <w:t>Cayford</w:t>
      </w:r>
      <w:proofErr w:type="spellEnd"/>
      <w:r w:rsidRPr="00CB1286">
        <w:rPr>
          <w:rFonts w:ascii="Arial" w:hAnsi="Arial" w:cs="Arial"/>
          <w:i/>
          <w:iCs/>
          <w:color w:val="000000"/>
          <w:sz w:val="20"/>
          <w:szCs w:val="20"/>
        </w:rPr>
        <w:t xml:space="preserve"> v Let Danny Do It Pty Ltd</w:t>
      </w:r>
      <w:r w:rsidRPr="00CB1286">
        <w:rPr>
          <w:rFonts w:ascii="Arial" w:hAnsi="Arial" w:cs="Arial"/>
          <w:color w:val="000000"/>
          <w:sz w:val="20"/>
          <w:szCs w:val="20"/>
        </w:rPr>
        <w:t xml:space="preserve"> [2021] VSC 707</w:t>
      </w:r>
      <w:r w:rsidR="00EF2FCA" w:rsidRPr="00CB1286">
        <w:rPr>
          <w:rFonts w:ascii="Arial" w:hAnsi="Arial" w:cs="Arial"/>
          <w:color w:val="000000"/>
          <w:sz w:val="20"/>
          <w:szCs w:val="20"/>
        </w:rPr>
        <w:t xml:space="preserve">; </w:t>
      </w:r>
      <w:r w:rsidR="00EF2FCA" w:rsidRPr="00CB1286">
        <w:rPr>
          <w:rFonts w:ascii="Arial" w:hAnsi="Arial" w:cs="Arial"/>
          <w:i/>
          <w:iCs/>
          <w:color w:val="000000"/>
          <w:sz w:val="20"/>
          <w:szCs w:val="20"/>
        </w:rPr>
        <w:t>Archer v Garcia</w:t>
      </w:r>
      <w:r w:rsidR="00EF2FCA" w:rsidRPr="00CB1286">
        <w:rPr>
          <w:rFonts w:ascii="Arial" w:hAnsi="Arial" w:cs="Arial"/>
          <w:color w:val="000000"/>
          <w:sz w:val="20"/>
          <w:szCs w:val="20"/>
        </w:rPr>
        <w:t xml:space="preserve"> [2022] VSC 57 at [73]</w:t>
      </w:r>
      <w:r w:rsidR="00EF2FCA" w:rsidRPr="00CB1286">
        <w:rPr>
          <w:rFonts w:ascii="Arial" w:hAnsi="Arial" w:cs="Arial"/>
          <w:color w:val="000000"/>
          <w:sz w:val="20"/>
          <w:szCs w:val="20"/>
        </w:rPr>
        <w:noBreakHyphen/>
      </w:r>
      <w:r w:rsidR="00F62AFF" w:rsidRPr="00CB1286">
        <w:rPr>
          <w:rFonts w:ascii="Arial" w:hAnsi="Arial" w:cs="Arial"/>
          <w:color w:val="000000"/>
          <w:sz w:val="20"/>
          <w:szCs w:val="20"/>
        </w:rPr>
        <w:t>[</w:t>
      </w:r>
      <w:r w:rsidR="00EF2FCA" w:rsidRPr="00CB1286">
        <w:rPr>
          <w:rFonts w:ascii="Arial" w:hAnsi="Arial" w:cs="Arial"/>
          <w:color w:val="000000"/>
          <w:sz w:val="20"/>
          <w:szCs w:val="20"/>
        </w:rPr>
        <w:t>86]</w:t>
      </w:r>
      <w:r w:rsidR="00551DD9" w:rsidRPr="00CB1286">
        <w:rPr>
          <w:rFonts w:ascii="Arial" w:hAnsi="Arial" w:cs="Arial"/>
          <w:color w:val="000000"/>
          <w:sz w:val="20"/>
          <w:szCs w:val="20"/>
        </w:rPr>
        <w:t xml:space="preserve">; </w:t>
      </w:r>
      <w:r w:rsidR="00551DD9" w:rsidRPr="00CB1286">
        <w:rPr>
          <w:rFonts w:ascii="Arial" w:hAnsi="Arial" w:cs="Arial"/>
          <w:i/>
          <w:iCs/>
          <w:sz w:val="20"/>
          <w:szCs w:val="20"/>
        </w:rPr>
        <w:t xml:space="preserve">Re </w:t>
      </w:r>
      <w:proofErr w:type="spellStart"/>
      <w:r w:rsidR="00551DD9" w:rsidRPr="00CB1286">
        <w:rPr>
          <w:rFonts w:ascii="Arial" w:hAnsi="Arial" w:cs="Arial"/>
          <w:i/>
          <w:iCs/>
          <w:sz w:val="20"/>
          <w:szCs w:val="20"/>
        </w:rPr>
        <w:t>Cassar</w:t>
      </w:r>
      <w:proofErr w:type="spellEnd"/>
      <w:r w:rsidR="00551DD9" w:rsidRPr="00CB1286">
        <w:rPr>
          <w:rFonts w:ascii="Arial" w:hAnsi="Arial" w:cs="Arial"/>
          <w:sz w:val="20"/>
          <w:szCs w:val="20"/>
        </w:rPr>
        <w:t xml:space="preserve"> [2022] VSC 126 at [282]-[290]</w:t>
      </w:r>
      <w:r w:rsidR="00FC55B7" w:rsidRPr="00CB1286">
        <w:rPr>
          <w:rFonts w:ascii="Arial" w:hAnsi="Arial" w:cs="Arial"/>
          <w:sz w:val="20"/>
          <w:szCs w:val="20"/>
        </w:rPr>
        <w:t xml:space="preserve">; </w:t>
      </w:r>
      <w:r w:rsidR="00FC55B7" w:rsidRPr="00CB1286">
        <w:rPr>
          <w:rFonts w:ascii="Arial" w:hAnsi="Arial" w:cs="Arial"/>
          <w:i/>
          <w:iCs/>
          <w:sz w:val="20"/>
          <w:szCs w:val="20"/>
        </w:rPr>
        <w:t>Reynolds v Patel</w:t>
      </w:r>
      <w:r w:rsidR="00FC55B7" w:rsidRPr="00CB1286">
        <w:rPr>
          <w:rFonts w:ascii="Arial" w:hAnsi="Arial" w:cs="Arial"/>
          <w:sz w:val="20"/>
          <w:szCs w:val="20"/>
        </w:rPr>
        <w:t xml:space="preserve"> [2022] VSC 211 at [31]-[52]</w:t>
      </w:r>
      <w:r w:rsidR="004045F7" w:rsidRPr="00CB1286">
        <w:rPr>
          <w:rFonts w:ascii="Arial" w:hAnsi="Arial" w:cs="Arial"/>
          <w:sz w:val="20"/>
          <w:szCs w:val="20"/>
        </w:rPr>
        <w:t xml:space="preserve">; </w:t>
      </w:r>
      <w:bookmarkStart w:id="807" w:name="_Hlk106622075"/>
      <w:r w:rsidR="004045F7" w:rsidRPr="00CB1286">
        <w:rPr>
          <w:rFonts w:ascii="Arial" w:hAnsi="Arial" w:cs="Arial"/>
          <w:i/>
          <w:iCs/>
          <w:sz w:val="20"/>
          <w:szCs w:val="20"/>
        </w:rPr>
        <w:t xml:space="preserve">National Express Group Australia (Bayside Trains) Pty Ltd v McDonald </w:t>
      </w:r>
      <w:r w:rsidR="004045F7" w:rsidRPr="00CB1286">
        <w:rPr>
          <w:rFonts w:ascii="Arial" w:hAnsi="Arial" w:cs="Arial"/>
          <w:sz w:val="20"/>
          <w:szCs w:val="20"/>
        </w:rPr>
        <w:t>[2022] VSCA 109 at [39]-[41]</w:t>
      </w:r>
      <w:r w:rsidR="009F6288" w:rsidRPr="00CB1286">
        <w:rPr>
          <w:rFonts w:ascii="Arial" w:hAnsi="Arial" w:cs="Arial"/>
          <w:sz w:val="20"/>
          <w:szCs w:val="20"/>
        </w:rPr>
        <w:t xml:space="preserve">; </w:t>
      </w:r>
      <w:r w:rsidR="009F6288" w:rsidRPr="00CB1286">
        <w:rPr>
          <w:rFonts w:ascii="Arial" w:hAnsi="Arial" w:cs="Arial"/>
          <w:i/>
          <w:iCs/>
          <w:sz w:val="20"/>
          <w:szCs w:val="20"/>
        </w:rPr>
        <w:t>Thompson v Marks</w:t>
      </w:r>
      <w:r w:rsidR="009F6288" w:rsidRPr="00CB1286">
        <w:rPr>
          <w:rFonts w:ascii="Arial" w:hAnsi="Arial" w:cs="Arial"/>
          <w:sz w:val="20"/>
          <w:szCs w:val="20"/>
        </w:rPr>
        <w:t xml:space="preserve"> [2002] VMC 25 at [10]-[25]</w:t>
      </w:r>
      <w:r w:rsidR="00CB1286" w:rsidRPr="00CB1286">
        <w:rPr>
          <w:rFonts w:ascii="Arial" w:hAnsi="Arial" w:cs="Arial"/>
          <w:sz w:val="20"/>
          <w:szCs w:val="20"/>
        </w:rPr>
        <w:t xml:space="preserve">; </w:t>
      </w:r>
      <w:r w:rsidR="00CB1286" w:rsidRPr="00CB1286">
        <w:rPr>
          <w:rFonts w:ascii="Arial" w:hAnsi="Arial" w:cs="Arial"/>
          <w:i/>
          <w:iCs/>
          <w:sz w:val="20"/>
          <w:szCs w:val="20"/>
        </w:rPr>
        <w:t>China Insurance Group Finance Company Limited v Kingston (No</w:t>
      </w:r>
      <w:r w:rsidR="00A616AE">
        <w:rPr>
          <w:rFonts w:ascii="Arial" w:hAnsi="Arial" w:cs="Arial"/>
          <w:i/>
          <w:iCs/>
          <w:sz w:val="20"/>
          <w:szCs w:val="20"/>
        </w:rPr>
        <w:t> </w:t>
      </w:r>
      <w:r w:rsidR="00CB1286" w:rsidRPr="00CB1286">
        <w:rPr>
          <w:rFonts w:ascii="Arial" w:hAnsi="Arial" w:cs="Arial"/>
          <w:i/>
          <w:iCs/>
          <w:sz w:val="20"/>
          <w:szCs w:val="20"/>
        </w:rPr>
        <w:t>3)</w:t>
      </w:r>
      <w:r w:rsidR="00CB1286" w:rsidRPr="00CB1286">
        <w:rPr>
          <w:rFonts w:ascii="Arial" w:hAnsi="Arial" w:cs="Arial"/>
          <w:sz w:val="20"/>
          <w:szCs w:val="20"/>
        </w:rPr>
        <w:t xml:space="preserve"> [2023] VSC 6 at [343]-[353]</w:t>
      </w:r>
      <w:r w:rsidR="00057181">
        <w:rPr>
          <w:rFonts w:ascii="Arial" w:hAnsi="Arial" w:cs="Arial"/>
          <w:sz w:val="20"/>
          <w:szCs w:val="20"/>
        </w:rPr>
        <w:t xml:space="preserve">; </w:t>
      </w:r>
      <w:proofErr w:type="spellStart"/>
      <w:r w:rsidR="00057181" w:rsidRPr="00057181">
        <w:rPr>
          <w:rFonts w:ascii="Arial" w:hAnsi="Arial" w:cs="Arial"/>
          <w:i/>
          <w:iCs/>
          <w:sz w:val="20"/>
          <w:szCs w:val="20"/>
        </w:rPr>
        <w:t>Gunawardana</w:t>
      </w:r>
      <w:proofErr w:type="spellEnd"/>
      <w:r w:rsidR="00057181" w:rsidRPr="00057181">
        <w:rPr>
          <w:rFonts w:ascii="Arial" w:hAnsi="Arial" w:cs="Arial"/>
          <w:i/>
          <w:iCs/>
          <w:sz w:val="20"/>
          <w:szCs w:val="20"/>
        </w:rPr>
        <w:t xml:space="preserve"> v GMA Environmental Services Pty Ltd</w:t>
      </w:r>
      <w:r w:rsidR="00057181">
        <w:rPr>
          <w:rFonts w:ascii="Arial" w:hAnsi="Arial" w:cs="Arial"/>
          <w:sz w:val="20"/>
          <w:szCs w:val="20"/>
        </w:rPr>
        <w:t xml:space="preserve"> [2023] VSC 281 at [73]-[81]</w:t>
      </w:r>
      <w:r w:rsidR="00D743B8">
        <w:rPr>
          <w:rFonts w:ascii="Arial" w:hAnsi="Arial" w:cs="Arial"/>
          <w:sz w:val="20"/>
          <w:szCs w:val="20"/>
        </w:rPr>
        <w:t>;</w:t>
      </w:r>
      <w:bookmarkEnd w:id="807"/>
      <w:r w:rsidR="00D743B8">
        <w:rPr>
          <w:rFonts w:ascii="Arial" w:hAnsi="Arial" w:cs="Arial"/>
          <w:sz w:val="20"/>
          <w:szCs w:val="20"/>
        </w:rPr>
        <w:t xml:space="preserve"> </w:t>
      </w:r>
      <w:r w:rsidR="00D743B8" w:rsidRPr="00D743B8">
        <w:rPr>
          <w:rFonts w:ascii="Arial" w:hAnsi="Arial" w:cs="Arial"/>
          <w:i/>
          <w:iCs/>
          <w:sz w:val="20"/>
          <w:szCs w:val="20"/>
        </w:rPr>
        <w:t>Alphington Developments Pty Ltd v Amcor Pty Ltd (No 5)</w:t>
      </w:r>
      <w:r w:rsidR="00D743B8">
        <w:rPr>
          <w:rFonts w:ascii="Arial" w:hAnsi="Arial" w:cs="Arial"/>
          <w:sz w:val="20"/>
          <w:szCs w:val="20"/>
        </w:rPr>
        <w:t xml:space="preserve"> [2023] VSC 637 at [569]-[586]</w:t>
      </w:r>
      <w:r w:rsidR="00165700">
        <w:rPr>
          <w:rFonts w:ascii="Arial" w:hAnsi="Arial" w:cs="Arial"/>
          <w:sz w:val="20"/>
          <w:szCs w:val="20"/>
        </w:rPr>
        <w:t xml:space="preserve">; </w:t>
      </w:r>
      <w:r w:rsidR="00165700" w:rsidRPr="00165700">
        <w:rPr>
          <w:rFonts w:ascii="Arial" w:hAnsi="Arial" w:cs="Arial"/>
          <w:i/>
          <w:iCs/>
          <w:sz w:val="20"/>
          <w:szCs w:val="20"/>
        </w:rPr>
        <w:t xml:space="preserve">Moore v </w:t>
      </w:r>
      <w:proofErr w:type="spellStart"/>
      <w:r w:rsidR="00165700" w:rsidRPr="00165700">
        <w:rPr>
          <w:rFonts w:ascii="Arial" w:hAnsi="Arial" w:cs="Arial"/>
          <w:i/>
          <w:iCs/>
          <w:sz w:val="20"/>
          <w:szCs w:val="20"/>
        </w:rPr>
        <w:t>Goldhagen</w:t>
      </w:r>
      <w:proofErr w:type="spellEnd"/>
      <w:r w:rsidR="00165700">
        <w:rPr>
          <w:rFonts w:ascii="Arial" w:hAnsi="Arial" w:cs="Arial"/>
          <w:sz w:val="20"/>
          <w:szCs w:val="20"/>
        </w:rPr>
        <w:t xml:space="preserve"> [2024] VSCA 25 at [79]-[91]</w:t>
      </w:r>
      <w:r w:rsidR="000E5165">
        <w:rPr>
          <w:rFonts w:ascii="Arial" w:hAnsi="Arial" w:cs="Arial"/>
          <w:sz w:val="20"/>
          <w:szCs w:val="20"/>
        </w:rPr>
        <w:t xml:space="preserve">; </w:t>
      </w:r>
      <w:r w:rsidR="000E5165" w:rsidRPr="000E5165">
        <w:rPr>
          <w:rFonts w:ascii="Arial" w:hAnsi="Arial" w:cs="Arial"/>
          <w:i/>
          <w:iCs/>
          <w:sz w:val="20"/>
          <w:szCs w:val="20"/>
        </w:rPr>
        <w:t xml:space="preserve">Transonic Travel Pty Ltd v </w:t>
      </w:r>
      <w:proofErr w:type="spellStart"/>
      <w:r w:rsidR="000E5165" w:rsidRPr="000E5165">
        <w:rPr>
          <w:rFonts w:ascii="Arial" w:hAnsi="Arial" w:cs="Arial"/>
          <w:i/>
          <w:iCs/>
          <w:sz w:val="20"/>
          <w:szCs w:val="20"/>
        </w:rPr>
        <w:t>Tilakee</w:t>
      </w:r>
      <w:proofErr w:type="spellEnd"/>
      <w:r w:rsidR="000E5165" w:rsidRPr="000E5165">
        <w:rPr>
          <w:rFonts w:ascii="Arial" w:hAnsi="Arial" w:cs="Arial"/>
          <w:i/>
          <w:iCs/>
          <w:sz w:val="20"/>
          <w:szCs w:val="20"/>
        </w:rPr>
        <w:t xml:space="preserve"> Nominees Pty Ltd &amp; </w:t>
      </w:r>
      <w:proofErr w:type="spellStart"/>
      <w:r w:rsidR="000E5165" w:rsidRPr="000E5165">
        <w:rPr>
          <w:rFonts w:ascii="Arial" w:hAnsi="Arial" w:cs="Arial"/>
          <w:i/>
          <w:iCs/>
          <w:sz w:val="20"/>
          <w:szCs w:val="20"/>
        </w:rPr>
        <w:t>Ors</w:t>
      </w:r>
      <w:proofErr w:type="spellEnd"/>
      <w:r w:rsidR="000E5165">
        <w:rPr>
          <w:rFonts w:ascii="Arial" w:hAnsi="Arial" w:cs="Arial"/>
          <w:sz w:val="20"/>
          <w:szCs w:val="20"/>
        </w:rPr>
        <w:t xml:space="preserve"> [2024] VSC 86 at [679]-[685]</w:t>
      </w:r>
      <w:r w:rsidR="00D743B8">
        <w:rPr>
          <w:rFonts w:ascii="Arial" w:hAnsi="Arial" w:cs="Arial"/>
          <w:sz w:val="20"/>
          <w:szCs w:val="20"/>
        </w:rPr>
        <w:t>.</w:t>
      </w:r>
    </w:p>
    <w:p w14:paraId="3CAD586A" w14:textId="77777777" w:rsidR="00D743B8" w:rsidRDefault="00D743B8"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808" w:name="_3.5.15_Unfavourable_witnesses"/>
      <w:bookmarkStart w:id="809" w:name="B3515"/>
      <w:bookmarkEnd w:id="808"/>
      <w:bookmarkEnd w:id="809"/>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4724BF25" w:rsidR="00AD17E2" w:rsidRDefault="00AD17E2" w:rsidP="00C1540D">
      <w:pPr>
        <w:jc w:val="both"/>
        <w:rPr>
          <w:rFonts w:ascii="Arial" w:hAnsi="Arial" w:cs="Arial"/>
          <w:color w:val="000000"/>
          <w:sz w:val="20"/>
        </w:rPr>
      </w:pPr>
    </w:p>
    <w:p w14:paraId="05DB9D93" w14:textId="3E998589" w:rsidR="00B21DA4" w:rsidRDefault="00382B52">
      <w:pPr>
        <w:pBdr>
          <w:top w:val="single" w:sz="4" w:space="1" w:color="auto"/>
          <w:left w:val="single" w:sz="4" w:space="4" w:color="auto"/>
          <w:bottom w:val="single" w:sz="4" w:space="1" w:color="auto"/>
          <w:right w:val="single" w:sz="4" w:space="4" w:color="auto"/>
        </w:pBdr>
        <w:jc w:val="both"/>
        <w:rPr>
          <w:rFonts w:ascii="Arial" w:hAnsi="Arial" w:cs="Arial"/>
          <w:sz w:val="20"/>
        </w:rPr>
      </w:pPr>
      <w:r w:rsidRPr="00382B52">
        <w:rPr>
          <w:rFonts w:ascii="Arial" w:hAnsi="Arial" w:cs="Arial"/>
          <w:b/>
          <w:bCs/>
          <w:sz w:val="20"/>
        </w:rPr>
        <w:t>Part 3.5</w:t>
      </w:r>
      <w:r w:rsidR="00B21DA4">
        <w:rPr>
          <w:rFonts w:ascii="Arial" w:hAnsi="Arial" w:cs="Arial"/>
          <w:sz w:val="20"/>
        </w:rPr>
        <w:t xml:space="preserve"> is a simplified summary of the Court process.  For more details about Court hearings, see </w:t>
      </w:r>
      <w:smartTag w:uri="urn:schemas-microsoft-com:office:smarttags" w:element="Street">
        <w:smartTag w:uri="urn:schemas-microsoft-com:office:smarttags" w:element="address">
          <w:r w:rsidR="00B21DA4">
            <w:rPr>
              <w:rFonts w:ascii="Arial" w:hAnsi="Arial" w:cs="Arial"/>
              <w:b/>
              <w:bCs/>
              <w:sz w:val="20"/>
            </w:rPr>
            <w:t>4.9 Family Division Court</w:t>
          </w:r>
        </w:smartTag>
      </w:smartTag>
      <w:r w:rsidR="00B21DA4">
        <w:rPr>
          <w:rFonts w:ascii="Arial" w:hAnsi="Arial" w:cs="Arial"/>
          <w:b/>
          <w:bCs/>
          <w:sz w:val="20"/>
        </w:rPr>
        <w:t xml:space="preserve"> hearings</w:t>
      </w:r>
      <w:r w:rsidR="00B21DA4">
        <w:rPr>
          <w:rFonts w:ascii="Arial" w:hAnsi="Arial" w:cs="Arial"/>
          <w:sz w:val="20"/>
        </w:rPr>
        <w:t xml:space="preserve"> or </w:t>
      </w:r>
      <w:r w:rsidR="00B21DA4">
        <w:rPr>
          <w:rFonts w:ascii="Arial" w:hAnsi="Arial" w:cs="Arial"/>
          <w:b/>
          <w:bCs/>
          <w:sz w:val="20"/>
        </w:rPr>
        <w:t>10.3 Criminal Division summary proceedings</w:t>
      </w:r>
      <w:r w:rsidR="00B21DA4">
        <w:rPr>
          <w:rFonts w:ascii="Arial" w:hAnsi="Arial" w:cs="Arial"/>
          <w:sz w:val="20"/>
        </w:rPr>
        <w:t>.</w:t>
      </w:r>
    </w:p>
    <w:p w14:paraId="64F58E4D" w14:textId="77777777" w:rsidR="002C0A9F" w:rsidRDefault="002C0A9F" w:rsidP="002C0A9F">
      <w:pPr>
        <w:jc w:val="both"/>
        <w:rPr>
          <w:rFonts w:ascii="Arial" w:hAnsi="Arial" w:cs="Arial"/>
          <w:sz w:val="20"/>
        </w:rPr>
      </w:pPr>
      <w:bookmarkStart w:id="810" w:name="_3.6_Statutory_interpretation"/>
      <w:bookmarkStart w:id="811" w:name="B36"/>
      <w:bookmarkStart w:id="812" w:name="_Toc30608808"/>
      <w:bookmarkStart w:id="813" w:name="_Toc30610022"/>
      <w:bookmarkStart w:id="814" w:name="_Toc30610266"/>
      <w:bookmarkStart w:id="815" w:name="_Toc30638420"/>
      <w:bookmarkStart w:id="816" w:name="_Toc30644229"/>
      <w:bookmarkStart w:id="817" w:name="_Toc30644632"/>
      <w:bookmarkStart w:id="818" w:name="_Toc30645182"/>
      <w:bookmarkStart w:id="819" w:name="_Toc30646393"/>
      <w:bookmarkStart w:id="820" w:name="_Toc30646688"/>
      <w:bookmarkStart w:id="821" w:name="_Toc30646799"/>
      <w:bookmarkStart w:id="822" w:name="_Toc30648156"/>
      <w:bookmarkStart w:id="823" w:name="_Toc30649054"/>
      <w:bookmarkStart w:id="824" w:name="_Toc30649130"/>
      <w:bookmarkStart w:id="825" w:name="_Toc30649391"/>
      <w:bookmarkStart w:id="826" w:name="_Toc30649716"/>
      <w:bookmarkStart w:id="827" w:name="_Toc30651656"/>
      <w:bookmarkStart w:id="828" w:name="_Toc30652640"/>
      <w:bookmarkStart w:id="829" w:name="_Toc30652738"/>
      <w:bookmarkStart w:id="830" w:name="_Toc30654083"/>
      <w:bookmarkStart w:id="831" w:name="_Toc30654434"/>
      <w:bookmarkStart w:id="832" w:name="_Toc30655053"/>
      <w:bookmarkStart w:id="833" w:name="_Toc30655310"/>
      <w:bookmarkStart w:id="834" w:name="_Toc30656988"/>
      <w:bookmarkStart w:id="835" w:name="_Toc30661737"/>
      <w:bookmarkStart w:id="836" w:name="_Toc30666425"/>
      <w:bookmarkStart w:id="837" w:name="_Toc30666655"/>
      <w:bookmarkStart w:id="838" w:name="_Toc30667830"/>
      <w:bookmarkStart w:id="839" w:name="_Toc30669208"/>
      <w:bookmarkStart w:id="840" w:name="_Toc30671424"/>
      <w:bookmarkStart w:id="841" w:name="_Toc30673951"/>
      <w:bookmarkStart w:id="842" w:name="_Toc30691173"/>
      <w:bookmarkStart w:id="843" w:name="_Toc30691544"/>
      <w:bookmarkStart w:id="844" w:name="_Toc30691924"/>
      <w:bookmarkStart w:id="845" w:name="_Toc30692683"/>
      <w:bookmarkStart w:id="846" w:name="_Toc30693062"/>
      <w:bookmarkStart w:id="847" w:name="_Toc30693440"/>
      <w:bookmarkStart w:id="848" w:name="_Toc30693819"/>
      <w:bookmarkStart w:id="849" w:name="_Toc30694200"/>
      <w:bookmarkStart w:id="850" w:name="_Toc30698789"/>
      <w:bookmarkStart w:id="851" w:name="_Toc30699167"/>
      <w:bookmarkStart w:id="852" w:name="_Toc30699552"/>
      <w:bookmarkStart w:id="853" w:name="_Toc30700707"/>
      <w:bookmarkStart w:id="854" w:name="_Toc30701094"/>
      <w:bookmarkStart w:id="855" w:name="_Toc30743703"/>
      <w:bookmarkStart w:id="856" w:name="_Toc30754525"/>
      <w:bookmarkStart w:id="857" w:name="_Toc30756965"/>
      <w:bookmarkStart w:id="858" w:name="_Toc30757514"/>
      <w:bookmarkStart w:id="859" w:name="_Toc30757914"/>
      <w:bookmarkStart w:id="860" w:name="_Toc30762675"/>
      <w:bookmarkStart w:id="861" w:name="_Toc30767329"/>
      <w:bookmarkStart w:id="862" w:name="_Toc34823345"/>
      <w:bookmarkStart w:id="863" w:name="_Toc58831507"/>
      <w:bookmarkEnd w:id="810"/>
      <w:bookmarkEnd w:id="811"/>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64" w:name="_3.6_Statutory_interpretation_1"/>
      <w:bookmarkEnd w:id="864"/>
      <w:r>
        <w:rPr>
          <w:rFonts w:ascii="Arial" w:hAnsi="Arial" w:cs="Arial"/>
          <w:b/>
          <w:bCs/>
        </w:rPr>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w:t>
      </w:r>
      <w:r w:rsidR="00177B34">
        <w:rPr>
          <w:rFonts w:ascii="Arial" w:hAnsi="Arial" w:cs="Arial"/>
          <w:sz w:val="20"/>
        </w:rPr>
        <w:lastRenderedPageBreak/>
        <w:t xml:space="preserve">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Dodds-Streeton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Pr="00A616AE" w:rsidRDefault="00177B34" w:rsidP="007809A5">
      <w:pPr>
        <w:spacing w:before="60"/>
        <w:ind w:left="1134" w:right="1134"/>
        <w:jc w:val="both"/>
        <w:rPr>
          <w:rFonts w:ascii="Arial" w:hAnsi="Arial" w:cs="Arial"/>
          <w:sz w:val="18"/>
          <w:szCs w:val="18"/>
        </w:rPr>
      </w:pPr>
      <w:r w:rsidRPr="00A616AE">
        <w:rPr>
          <w:rFonts w:ascii="Arial" w:hAnsi="Arial" w:cs="Arial"/>
          <w:sz w:val="18"/>
          <w:szCs w:val="18"/>
        </w:rPr>
        <w:t xml:space="preserve">‘[T]he primary object of statutory construction is to construe the relevant provision so that it is consistent with the language and purpose of all the provisions of the statute. (See </w:t>
      </w:r>
      <w:r w:rsidRPr="00A616AE">
        <w:rPr>
          <w:rFonts w:ascii="Arial" w:hAnsi="Arial" w:cs="Arial"/>
          <w:i/>
          <w:sz w:val="18"/>
          <w:szCs w:val="18"/>
        </w:rPr>
        <w:t>Taylor v Public Service Board (NSW)</w:t>
      </w:r>
      <w:r w:rsidRPr="00A616AE">
        <w:rPr>
          <w:rFonts w:ascii="Arial" w:hAnsi="Arial" w:cs="Arial"/>
          <w:sz w:val="18"/>
          <w:szCs w:val="18"/>
        </w:rPr>
        <w:t xml:space="preserve"> (1976) 137 CLR 208 at 213 per Barwick CJ).  The meaning of the provision must be determined “by reference to the language of the instrument viewed as a whole” (</w:t>
      </w:r>
      <w:r w:rsidRPr="00A616AE">
        <w:rPr>
          <w:rFonts w:ascii="Arial" w:hAnsi="Arial" w:cs="Arial"/>
          <w:i/>
          <w:sz w:val="18"/>
          <w:szCs w:val="18"/>
        </w:rPr>
        <w:t>Cooper Brookes (Wollongong) Pty Ltd v Federal Commissioner of Taxation</w:t>
      </w:r>
      <w:r w:rsidRPr="00A616AE">
        <w:rPr>
          <w:rFonts w:ascii="Arial" w:hAnsi="Arial" w:cs="Arial"/>
          <w:sz w:val="18"/>
          <w:szCs w:val="18"/>
        </w:rPr>
        <w:t xml:space="preserve"> (1981) 147 CLR 297 at 320 per Mason and Wilson JJ.  See also </w:t>
      </w:r>
      <w:proofErr w:type="gramStart"/>
      <w:r w:rsidRPr="00A616AE">
        <w:rPr>
          <w:rFonts w:ascii="Arial" w:hAnsi="Arial" w:cs="Arial"/>
          <w:i/>
          <w:sz w:val="18"/>
          <w:szCs w:val="18"/>
        </w:rPr>
        <w:t>South West</w:t>
      </w:r>
      <w:proofErr w:type="gramEnd"/>
      <w:r w:rsidRPr="00A616AE">
        <w:rPr>
          <w:rFonts w:ascii="Arial" w:hAnsi="Arial" w:cs="Arial"/>
          <w:i/>
          <w:sz w:val="18"/>
          <w:szCs w:val="18"/>
        </w:rPr>
        <w:t xml:space="preserve"> Water Authority v Rumble's</w:t>
      </w:r>
      <w:r w:rsidRPr="00A616AE">
        <w:rPr>
          <w:rFonts w:ascii="Arial" w:hAnsi="Arial" w:cs="Arial"/>
          <w:sz w:val="18"/>
          <w:szCs w:val="18"/>
        </w:rPr>
        <w:t xml:space="preserve"> [1985] AC 609 at 617 per Lord Scarman, "in the context of the legislation read as a whole".)  In </w:t>
      </w:r>
      <w:r w:rsidRPr="00A616AE">
        <w:rPr>
          <w:rFonts w:ascii="Arial" w:hAnsi="Arial" w:cs="Arial"/>
          <w:i/>
          <w:sz w:val="18"/>
          <w:szCs w:val="18"/>
        </w:rPr>
        <w:t xml:space="preserve">Commissioner for Railways (NSW) v </w:t>
      </w:r>
      <w:proofErr w:type="spellStart"/>
      <w:r w:rsidRPr="00A616AE">
        <w:rPr>
          <w:rFonts w:ascii="Arial" w:hAnsi="Arial" w:cs="Arial"/>
          <w:i/>
          <w:sz w:val="18"/>
          <w:szCs w:val="18"/>
        </w:rPr>
        <w:t>Aqalianos</w:t>
      </w:r>
      <w:proofErr w:type="spellEnd"/>
      <w:r w:rsidRPr="00A616AE">
        <w:rPr>
          <w:rFonts w:ascii="Arial" w:hAnsi="Arial" w:cs="Arial"/>
          <w:sz w:val="18"/>
          <w:szCs w:val="18"/>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A616AE">
        <w:rPr>
          <w:rFonts w:ascii="Arial" w:hAnsi="Arial" w:cs="Arial"/>
          <w:i/>
          <w:sz w:val="18"/>
          <w:szCs w:val="18"/>
        </w:rPr>
        <w:t>Toronto Suburban Railway Co v Toronto Corporation</w:t>
      </w:r>
      <w:r w:rsidRPr="00A616AE">
        <w:rPr>
          <w:rFonts w:ascii="Arial" w:hAnsi="Arial" w:cs="Arial"/>
          <w:sz w:val="18"/>
          <w:szCs w:val="18"/>
        </w:rPr>
        <w:t xml:space="preserve"> [1915] AC 590 at 597; </w:t>
      </w:r>
      <w:r w:rsidRPr="00A616AE">
        <w:rPr>
          <w:rFonts w:ascii="Arial" w:hAnsi="Arial" w:cs="Arial"/>
          <w:i/>
          <w:sz w:val="18"/>
          <w:szCs w:val="18"/>
        </w:rPr>
        <w:t>Minister for Lands (NSW) v Jeremias</w:t>
      </w:r>
      <w:r w:rsidRPr="00A616AE">
        <w:rPr>
          <w:rFonts w:ascii="Arial" w:hAnsi="Arial" w:cs="Arial"/>
          <w:sz w:val="18"/>
          <w:szCs w:val="18"/>
        </w:rPr>
        <w:t xml:space="preserve"> (1917) 23 CLR 322 at 332; </w:t>
      </w:r>
      <w:r w:rsidRPr="00A616AE">
        <w:rPr>
          <w:rFonts w:ascii="Arial" w:hAnsi="Arial" w:cs="Arial"/>
          <w:i/>
          <w:sz w:val="18"/>
          <w:szCs w:val="18"/>
        </w:rPr>
        <w:t>K &amp; S Lake City Freighters Pty Ltd v Gordon &amp; Gotch Ltd</w:t>
      </w:r>
      <w:r w:rsidRPr="00A616AE">
        <w:rPr>
          <w:rFonts w:ascii="Arial" w:hAnsi="Arial" w:cs="Arial"/>
          <w:sz w:val="18"/>
          <w:szCs w:val="18"/>
        </w:rPr>
        <w:t xml:space="preserve"> (1985) 157 CLR 309 at 312 per Gibbs CJ, 315 per Mason J, 321 per Deane J).</w:t>
      </w:r>
    </w:p>
    <w:p w14:paraId="74E68C5D" w14:textId="77777777" w:rsidR="007809A5" w:rsidRPr="00A616AE" w:rsidRDefault="007E32CC" w:rsidP="00A616AE">
      <w:pPr>
        <w:spacing w:before="60"/>
        <w:ind w:left="1134" w:right="1134"/>
        <w:jc w:val="both"/>
        <w:rPr>
          <w:rFonts w:ascii="Arial" w:hAnsi="Arial" w:cs="Arial"/>
          <w:sz w:val="18"/>
          <w:szCs w:val="18"/>
        </w:rPr>
      </w:pPr>
      <w:r w:rsidRPr="00A616AE">
        <w:rPr>
          <w:rFonts w:ascii="Arial" w:hAnsi="Arial" w:cs="Arial"/>
          <w:sz w:val="18"/>
          <w:szCs w:val="18"/>
        </w:rPr>
        <w:t>A legislative instrument must be construed on the prima facie basis that its provisions are intended to give effect to harmonious goals. (</w:t>
      </w:r>
      <w:r w:rsidRPr="00A616AE">
        <w:rPr>
          <w:rFonts w:ascii="Arial" w:hAnsi="Arial" w:cs="Arial"/>
          <w:i/>
          <w:sz w:val="18"/>
          <w:szCs w:val="18"/>
        </w:rPr>
        <w:t>Ross v The Queen</w:t>
      </w:r>
      <w:r w:rsidRPr="00A616AE">
        <w:rPr>
          <w:rFonts w:ascii="Arial" w:hAnsi="Arial" w:cs="Arial"/>
          <w:sz w:val="18"/>
          <w:szCs w:val="18"/>
        </w:rPr>
        <w:t xml:space="preserve"> (1979) 141 CLR 432 at 440 per Gibbs J).</w:t>
      </w:r>
      <w:r w:rsidR="00351A45" w:rsidRPr="00A616AE">
        <w:rPr>
          <w:rFonts w:ascii="Arial" w:hAnsi="Arial" w:cs="Arial"/>
          <w:sz w:val="18"/>
          <w:szCs w:val="18"/>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 xml:space="preserve">that where provisions of an Act appear, </w:t>
      </w:r>
      <w:proofErr w:type="gramStart"/>
      <w:r w:rsidRPr="007E32CC">
        <w:rPr>
          <w:rFonts w:ascii="Arial" w:hAnsi="Arial" w:cs="Arial"/>
          <w:sz w:val="20"/>
        </w:rPr>
        <w:t>on the basis of</w:t>
      </w:r>
      <w:proofErr w:type="gramEnd"/>
      <w:r w:rsidRPr="007E32CC">
        <w:rPr>
          <w:rFonts w:ascii="Arial" w:hAnsi="Arial" w:cs="Arial"/>
          <w:sz w:val="20"/>
        </w:rPr>
        <w:t xml:space="preserve"> their language, to conflict, conflict must be alleviated to the extent possible by adjusting the meaning of the competing provisions to:</w:t>
      </w:r>
    </w:p>
    <w:p w14:paraId="6329596F" w14:textId="77777777" w:rsidR="007E32CC" w:rsidRPr="00A616AE" w:rsidRDefault="00AD587C" w:rsidP="002C0A9F">
      <w:pPr>
        <w:spacing w:before="60"/>
        <w:ind w:left="1134" w:right="1134"/>
        <w:jc w:val="both"/>
        <w:rPr>
          <w:rFonts w:ascii="Arial" w:hAnsi="Arial" w:cs="Arial"/>
          <w:sz w:val="18"/>
          <w:szCs w:val="18"/>
        </w:rPr>
      </w:pPr>
      <w:r w:rsidRPr="00A616AE">
        <w:rPr>
          <w:rFonts w:ascii="Arial" w:hAnsi="Arial" w:cs="Arial"/>
          <w:sz w:val="18"/>
          <w:szCs w:val="18"/>
        </w:rPr>
        <w:t>‘</w:t>
      </w:r>
      <w:proofErr w:type="gramStart"/>
      <w:r w:rsidR="00A87525" w:rsidRPr="00A616AE">
        <w:rPr>
          <w:rFonts w:ascii="Arial" w:hAnsi="Arial" w:cs="Arial"/>
          <w:sz w:val="18"/>
          <w:szCs w:val="18"/>
        </w:rPr>
        <w:t>best</w:t>
      </w:r>
      <w:proofErr w:type="gramEnd"/>
      <w:r w:rsidR="00A87525" w:rsidRPr="00A616AE">
        <w:rPr>
          <w:rFonts w:ascii="Arial" w:hAnsi="Arial" w:cs="Arial"/>
          <w:sz w:val="18"/>
          <w:szCs w:val="18"/>
        </w:rPr>
        <w:t xml:space="preserve"> give effect to the purpose and language of those provisions while maintaining the unity of all the statutory provisions.  (See </w:t>
      </w:r>
      <w:r w:rsidR="00A87525" w:rsidRPr="00A616AE">
        <w:rPr>
          <w:rFonts w:ascii="Arial" w:hAnsi="Arial" w:cs="Arial"/>
          <w:i/>
          <w:sz w:val="18"/>
          <w:szCs w:val="18"/>
        </w:rPr>
        <w:t>Australian Alliance Assurance Co Ltd v Attorney-General of Queensland</w:t>
      </w:r>
      <w:r w:rsidR="00A87525" w:rsidRPr="00A616AE">
        <w:rPr>
          <w:rFonts w:ascii="Arial" w:hAnsi="Arial" w:cs="Arial"/>
          <w:sz w:val="18"/>
          <w:szCs w:val="18"/>
        </w:rPr>
        <w:t xml:space="preserve"> [1916] St R </w:t>
      </w:r>
      <w:proofErr w:type="spellStart"/>
      <w:r w:rsidR="00A87525" w:rsidRPr="00A616AE">
        <w:rPr>
          <w:rFonts w:ascii="Arial" w:hAnsi="Arial" w:cs="Arial"/>
          <w:sz w:val="18"/>
          <w:szCs w:val="18"/>
        </w:rPr>
        <w:t>Qd</w:t>
      </w:r>
      <w:proofErr w:type="spellEnd"/>
      <w:r w:rsidR="00A87525" w:rsidRPr="00A616AE">
        <w:rPr>
          <w:rFonts w:ascii="Arial" w:hAnsi="Arial" w:cs="Arial"/>
          <w:sz w:val="18"/>
          <w:szCs w:val="18"/>
        </w:rPr>
        <w:t xml:space="preserve"> 135 at 161 per Cooper CJ; </w:t>
      </w:r>
      <w:r w:rsidR="00A87525" w:rsidRPr="00A616AE">
        <w:rPr>
          <w:rFonts w:ascii="Arial" w:hAnsi="Arial" w:cs="Arial"/>
          <w:i/>
          <w:sz w:val="18"/>
          <w:szCs w:val="18"/>
        </w:rPr>
        <w:t>Minister for Resources v Dover Fisheries</w:t>
      </w:r>
      <w:r w:rsidR="00A87525" w:rsidRPr="00A616AE">
        <w:rPr>
          <w:rFonts w:ascii="Arial" w:hAnsi="Arial" w:cs="Arial"/>
          <w:sz w:val="18"/>
          <w:szCs w:val="18"/>
        </w:rPr>
        <w:t xml:space="preserve"> (1993) 43 FCR 565 at 574 per </w:t>
      </w:r>
      <w:proofErr w:type="spellStart"/>
      <w:r w:rsidR="00A87525" w:rsidRPr="00A616AE">
        <w:rPr>
          <w:rFonts w:ascii="Arial" w:hAnsi="Arial" w:cs="Arial"/>
          <w:sz w:val="18"/>
          <w:szCs w:val="18"/>
        </w:rPr>
        <w:t>Gummow</w:t>
      </w:r>
      <w:proofErr w:type="spellEnd"/>
      <w:r w:rsidR="00A87525" w:rsidRPr="00A616AE">
        <w:rPr>
          <w:rFonts w:ascii="Arial" w:hAnsi="Arial" w:cs="Arial"/>
          <w:sz w:val="18"/>
          <w:szCs w:val="18"/>
        </w:rPr>
        <w:t xml:space="preserve"> J; 116 ALR 54 at 63).</w:t>
      </w:r>
      <w:r w:rsidRPr="00A616AE">
        <w:rPr>
          <w:rFonts w:ascii="Arial" w:hAnsi="Arial" w:cs="Arial"/>
          <w:sz w:val="18"/>
          <w:szCs w:val="18"/>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Pr="00A616AE" w:rsidRDefault="00AD587C" w:rsidP="00A87525">
      <w:pPr>
        <w:spacing w:before="60"/>
        <w:ind w:left="1134" w:right="1134"/>
        <w:jc w:val="both"/>
        <w:rPr>
          <w:rFonts w:ascii="Arial" w:hAnsi="Arial" w:cs="Arial"/>
          <w:sz w:val="18"/>
          <w:szCs w:val="18"/>
        </w:rPr>
      </w:pPr>
      <w:r w:rsidRPr="00A616AE">
        <w:rPr>
          <w:rFonts w:ascii="Arial" w:hAnsi="Arial" w:cs="Arial"/>
          <w:sz w:val="18"/>
          <w:szCs w:val="18"/>
        </w:rPr>
        <w:t>‘</w:t>
      </w:r>
      <w:r w:rsidR="00A87525" w:rsidRPr="00A616AE">
        <w:rPr>
          <w:rFonts w:ascii="Arial" w:hAnsi="Arial" w:cs="Arial"/>
          <w:sz w:val="18"/>
          <w:szCs w:val="18"/>
        </w:rPr>
        <w:t>a court construing a statutory provision must strive to give meaning to every word of the provision.  (</w:t>
      </w:r>
      <w:r w:rsidR="00A87525" w:rsidRPr="00A616AE">
        <w:rPr>
          <w:rFonts w:ascii="Arial" w:hAnsi="Arial" w:cs="Arial"/>
          <w:i/>
          <w:sz w:val="18"/>
          <w:szCs w:val="18"/>
        </w:rPr>
        <w:t>The Commonwealth v Baume</w:t>
      </w:r>
      <w:r w:rsidR="00A87525" w:rsidRPr="00A616AE">
        <w:rPr>
          <w:rFonts w:ascii="Arial" w:hAnsi="Arial" w:cs="Arial"/>
          <w:sz w:val="18"/>
          <w:szCs w:val="18"/>
        </w:rPr>
        <w:t xml:space="preserve"> (1905) 2 CLR 405 at 414 per Griffith CJ, 419 per O'Connor J; </w:t>
      </w:r>
      <w:r w:rsidR="00A87525" w:rsidRPr="00A616AE">
        <w:rPr>
          <w:rFonts w:ascii="Arial" w:hAnsi="Arial" w:cs="Arial"/>
          <w:i/>
          <w:sz w:val="18"/>
          <w:szCs w:val="18"/>
        </w:rPr>
        <w:t>Chu Kheng Lim v Minister for Immigration</w:t>
      </w:r>
      <w:r w:rsidR="00A87525" w:rsidRPr="00A616AE">
        <w:rPr>
          <w:rFonts w:ascii="Arial" w:hAnsi="Arial" w:cs="Arial"/>
          <w:sz w:val="18"/>
          <w:szCs w:val="18"/>
        </w:rPr>
        <w:t xml:space="preserve"> (1992) 176 CLR 1 at 12-13 per Mason CJ).</w:t>
      </w:r>
      <w:r w:rsidRPr="00A616AE">
        <w:rPr>
          <w:rFonts w:ascii="Arial" w:hAnsi="Arial" w:cs="Arial"/>
          <w:sz w:val="18"/>
          <w:szCs w:val="18"/>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Pr="00A616AE" w:rsidRDefault="00A87525" w:rsidP="00A87525">
      <w:pPr>
        <w:spacing w:before="60"/>
        <w:ind w:left="1134" w:right="1134"/>
        <w:jc w:val="both"/>
        <w:rPr>
          <w:rFonts w:ascii="Arial" w:hAnsi="Arial" w:cs="Arial"/>
          <w:sz w:val="18"/>
          <w:szCs w:val="18"/>
        </w:rPr>
      </w:pPr>
      <w:r w:rsidRPr="00A616AE">
        <w:rPr>
          <w:rFonts w:ascii="Arial" w:hAnsi="Arial" w:cs="Arial"/>
          <w:sz w:val="18"/>
          <w:szCs w:val="18"/>
        </w:rPr>
        <w:t>‘</w:t>
      </w:r>
      <w:r w:rsidRPr="00A616AE">
        <w:rPr>
          <w:rFonts w:ascii="Arial" w:hAnsi="Arial" w:cs="Arial"/>
          <w:sz w:val="18"/>
          <w:szCs w:val="18"/>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616AE">
        <w:rPr>
          <w:rStyle w:val="italic1"/>
          <w:rFonts w:ascii="Arial" w:hAnsi="Arial" w:cs="Arial"/>
          <w:color w:val="000000"/>
          <w:sz w:val="18"/>
          <w:szCs w:val="18"/>
          <w:lang w:val="en"/>
        </w:rPr>
        <w:t xml:space="preserve">Isherwood v Butler </w:t>
      </w:r>
      <w:proofErr w:type="spellStart"/>
      <w:r w:rsidRPr="00A616AE">
        <w:rPr>
          <w:rStyle w:val="italic1"/>
          <w:rFonts w:ascii="Arial" w:hAnsi="Arial" w:cs="Arial"/>
          <w:color w:val="000000"/>
          <w:sz w:val="18"/>
          <w:szCs w:val="18"/>
          <w:lang w:val="en"/>
        </w:rPr>
        <w:t>Pollnow</w:t>
      </w:r>
      <w:proofErr w:type="spellEnd"/>
      <w:r w:rsidRPr="00A616AE">
        <w:rPr>
          <w:rStyle w:val="italic1"/>
          <w:rFonts w:ascii="Arial" w:hAnsi="Arial" w:cs="Arial"/>
          <w:color w:val="000000"/>
          <w:sz w:val="18"/>
          <w:szCs w:val="18"/>
          <w:lang w:val="en"/>
        </w:rPr>
        <w:t xml:space="preserve"> Pty Ltd</w:t>
      </w:r>
      <w:r w:rsidRPr="00A616AE">
        <w:rPr>
          <w:rStyle w:val="italic1"/>
          <w:rFonts w:ascii="Arial" w:hAnsi="Arial" w:cs="Arial"/>
          <w:i w:val="0"/>
          <w:color w:val="000000"/>
          <w:sz w:val="18"/>
          <w:szCs w:val="18"/>
          <w:lang w:val="en"/>
        </w:rPr>
        <w:t xml:space="preserve"> (1986) 6 NSWLR 363 at 388</w:t>
      </w:r>
      <w:r w:rsidRPr="00A616AE">
        <w:rPr>
          <w:rFonts w:ascii="Arial" w:hAnsi="Arial" w:cs="Arial"/>
          <w:sz w:val="18"/>
          <w:szCs w:val="18"/>
          <w:lang w:val="en"/>
        </w:rPr>
        <w:t xml:space="preserve">, if the apparently plain words of a provision are read in the light of the mischief which the statute was designed to overcome and of the objects of the </w:t>
      </w:r>
      <w:proofErr w:type="gramStart"/>
      <w:r w:rsidRPr="00A616AE">
        <w:rPr>
          <w:rFonts w:ascii="Arial" w:hAnsi="Arial" w:cs="Arial"/>
          <w:sz w:val="18"/>
          <w:szCs w:val="18"/>
          <w:lang w:val="en"/>
        </w:rPr>
        <w:t>legislation</w:t>
      </w:r>
      <w:proofErr w:type="gramEnd"/>
      <w:r w:rsidRPr="00A616AE">
        <w:rPr>
          <w:rFonts w:ascii="Arial" w:hAnsi="Arial" w:cs="Arial"/>
          <w:sz w:val="18"/>
          <w:szCs w:val="18"/>
          <w:lang w:val="en"/>
        </w:rPr>
        <w:t xml:space="preserve">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sidRPr="00A616AE">
        <w:rPr>
          <w:rFonts w:ascii="Arial" w:hAnsi="Arial" w:cs="Arial"/>
          <w:sz w:val="18"/>
          <w:szCs w:val="18"/>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Pr="00A616AE" w:rsidRDefault="00A87525" w:rsidP="00A87525">
      <w:pPr>
        <w:spacing w:before="60"/>
        <w:ind w:left="1134" w:right="1134"/>
        <w:jc w:val="both"/>
        <w:rPr>
          <w:rFonts w:ascii="Arial" w:hAnsi="Arial" w:cs="Arial"/>
          <w:sz w:val="18"/>
          <w:szCs w:val="18"/>
        </w:rPr>
      </w:pPr>
      <w:r w:rsidRPr="00A616AE">
        <w:rPr>
          <w:rFonts w:ascii="Arial" w:hAnsi="Arial" w:cs="Arial"/>
          <w:sz w:val="18"/>
          <w:szCs w:val="18"/>
        </w:rPr>
        <w:lastRenderedPageBreak/>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616AE">
        <w:rPr>
          <w:rFonts w:ascii="Arial" w:hAnsi="Arial" w:cs="Arial"/>
          <w:i/>
          <w:sz w:val="18"/>
          <w:szCs w:val="18"/>
        </w:rPr>
        <w:t>Coco v The Queen</w:t>
      </w:r>
      <w:r w:rsidRPr="00A616AE">
        <w:rPr>
          <w:rFonts w:ascii="Arial" w:hAnsi="Arial" w:cs="Arial"/>
          <w:sz w:val="18"/>
          <w:szCs w:val="18"/>
        </w:rPr>
        <w:t xml:space="preserve"> (1994) 179 CLR 427 at 437) may require the words of a legislative provision to be read in a way that does not correspond with the literal or grammatical meaning.’</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2B77C5AA"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r w:rsidRPr="00B8220E">
        <w:rPr>
          <w:rFonts w:ascii="Arial" w:hAnsi="Arial" w:cs="Arial"/>
          <w:i/>
          <w:sz w:val="20"/>
        </w:rPr>
        <w:t>Newcastle City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r w:rsidR="00A616AE">
        <w:rPr>
          <w:rFonts w:ascii="Arial" w:hAnsi="Arial" w:cs="Arial"/>
          <w:sz w:val="20"/>
        </w:rPr>
        <w:t>–</w:t>
      </w:r>
    </w:p>
    <w:p w14:paraId="4EAB856A" w14:textId="77777777" w:rsidR="00B8220E" w:rsidRPr="00A616AE" w:rsidRDefault="00AD587C" w:rsidP="002C0A9F">
      <w:pPr>
        <w:spacing w:before="60"/>
        <w:ind w:left="1134" w:right="1134"/>
        <w:jc w:val="both"/>
        <w:rPr>
          <w:rFonts w:ascii="Arial" w:hAnsi="Arial" w:cs="Arial"/>
          <w:sz w:val="18"/>
          <w:szCs w:val="18"/>
        </w:rPr>
      </w:pPr>
      <w:r w:rsidRPr="00A616AE">
        <w:rPr>
          <w:rFonts w:ascii="Arial" w:hAnsi="Arial" w:cs="Arial"/>
          <w:sz w:val="18"/>
          <w:szCs w:val="18"/>
        </w:rPr>
        <w:t>‘</w:t>
      </w:r>
      <w:r w:rsidR="00B8220E" w:rsidRPr="00A616AE">
        <w:rPr>
          <w:rFonts w:ascii="Arial" w:hAnsi="Arial" w:cs="Arial"/>
          <w:sz w:val="18"/>
          <w:szCs w:val="18"/>
        </w:rPr>
        <w:t>[A] Court is permitted to have regard to the words used by the legislature in their legal and historical context and, in appropriate cases, to give them a meaning that will give effect to any purpose of the legislation that can be deduced from that context.</w:t>
      </w:r>
      <w:r w:rsidRPr="00A616AE">
        <w:rPr>
          <w:rFonts w:ascii="Arial" w:hAnsi="Arial" w:cs="Arial"/>
          <w:sz w:val="18"/>
          <w:szCs w:val="18"/>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5F417E7E"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F4AB623" w:rsidR="00B8220E" w:rsidRPr="00A616AE" w:rsidRDefault="00AD587C" w:rsidP="00B8220E">
      <w:pPr>
        <w:spacing w:before="60"/>
        <w:ind w:left="1134" w:right="1134"/>
        <w:jc w:val="both"/>
        <w:rPr>
          <w:rFonts w:ascii="Arial" w:hAnsi="Arial" w:cs="Arial"/>
          <w:sz w:val="18"/>
          <w:szCs w:val="18"/>
        </w:rPr>
      </w:pPr>
      <w:r w:rsidRPr="00A616AE">
        <w:rPr>
          <w:rFonts w:ascii="Arial" w:hAnsi="Arial" w:cs="Arial"/>
          <w:sz w:val="18"/>
          <w:szCs w:val="18"/>
        </w:rPr>
        <w:t>‘</w:t>
      </w:r>
      <w:r w:rsidR="00B8220E" w:rsidRPr="00A616AE">
        <w:rPr>
          <w:rFonts w:ascii="Arial" w:hAnsi="Arial" w:cs="Arial"/>
          <w:sz w:val="18"/>
          <w:szCs w:val="18"/>
        </w:rPr>
        <w:t>Although a Court is entitled to have regard to the legal and historical context must always be exercised in using all extrinsic material, including in particular assumed historical facts, to ensure that those facts are accurately and relevantly completely stated.</w:t>
      </w:r>
      <w:r w:rsidRPr="00A616AE">
        <w:rPr>
          <w:rFonts w:ascii="Arial" w:hAnsi="Arial" w:cs="Arial"/>
          <w:sz w:val="18"/>
          <w:szCs w:val="18"/>
        </w:rPr>
        <w:t>’</w:t>
      </w:r>
    </w:p>
    <w:p w14:paraId="2A39C60B" w14:textId="77777777" w:rsidR="00803AFF" w:rsidRPr="00B8220E" w:rsidRDefault="00EA77AD" w:rsidP="009747F2">
      <w:pPr>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Pr="00A616AE" w:rsidRDefault="00AD587C" w:rsidP="003D7DEC">
      <w:pPr>
        <w:spacing w:before="60"/>
        <w:ind w:left="1134" w:right="1134"/>
        <w:jc w:val="both"/>
        <w:rPr>
          <w:rFonts w:ascii="Arial" w:hAnsi="Arial" w:cs="Arial"/>
          <w:sz w:val="18"/>
          <w:szCs w:val="18"/>
        </w:rPr>
      </w:pPr>
      <w:r w:rsidRPr="00A616AE">
        <w:rPr>
          <w:rFonts w:ascii="Arial" w:hAnsi="Arial" w:cs="Arial"/>
          <w:sz w:val="18"/>
          <w:szCs w:val="18"/>
          <w:lang w:val="en"/>
        </w:rPr>
        <w:t>‘</w:t>
      </w:r>
      <w:r w:rsidR="00EA77AD" w:rsidRPr="00A616AE">
        <w:rPr>
          <w:rFonts w:ascii="Arial" w:hAnsi="Arial" w:cs="Arial"/>
          <w:sz w:val="18"/>
          <w:szCs w:val="18"/>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A616AE">
        <w:rPr>
          <w:rFonts w:ascii="Arial" w:hAnsi="Arial" w:cs="Arial"/>
          <w:i/>
          <w:sz w:val="18"/>
          <w:szCs w:val="18"/>
          <w:lang w:val="en"/>
        </w:rPr>
        <w:t>Interpretation of Legislation Act 1984</w:t>
      </w:r>
      <w:r w:rsidR="00EA77AD" w:rsidRPr="00A616AE">
        <w:rPr>
          <w:rFonts w:ascii="Arial" w:hAnsi="Arial" w:cs="Arial"/>
          <w:sz w:val="18"/>
          <w:szCs w:val="18"/>
          <w:lang w:val="en"/>
        </w:rPr>
        <w:t>] requires a court to construe an Act, not rewrite it, in the light of its purposes.</w:t>
      </w:r>
      <w:r w:rsidRPr="00A616AE">
        <w:rPr>
          <w:rFonts w:ascii="Arial" w:hAnsi="Arial" w:cs="Arial"/>
          <w:sz w:val="18"/>
          <w:szCs w:val="18"/>
          <w:lang w:val="en"/>
        </w:rPr>
        <w:t>’</w:t>
      </w:r>
      <w:r w:rsidR="00EA77AD" w:rsidRPr="00A616AE">
        <w:rPr>
          <w:rStyle w:val="FootnoteReference"/>
          <w:rFonts w:ascii="Arial" w:hAnsi="Arial" w:cs="Arial"/>
          <w:sz w:val="18"/>
          <w:szCs w:val="18"/>
          <w:lang w:val="en"/>
        </w:rPr>
        <w:t>”</w:t>
      </w:r>
    </w:p>
    <w:p w14:paraId="153525B3" w14:textId="77777777" w:rsidR="00685327" w:rsidRDefault="00685327" w:rsidP="00177B34">
      <w:pPr>
        <w:jc w:val="both"/>
        <w:rPr>
          <w:rFonts w:ascii="Arial" w:hAnsi="Arial" w:cs="Arial"/>
          <w:sz w:val="20"/>
        </w:rPr>
      </w:pPr>
    </w:p>
    <w:p w14:paraId="42AC0A16" w14:textId="5FE10EF1" w:rsidR="004D1ED3" w:rsidRDefault="004D1ED3" w:rsidP="00177B34">
      <w:pPr>
        <w:jc w:val="both"/>
        <w:rPr>
          <w:rFonts w:ascii="Arial" w:hAnsi="Arial" w:cs="Arial"/>
          <w:sz w:val="20"/>
        </w:rPr>
      </w:pPr>
      <w:r>
        <w:rPr>
          <w:rFonts w:ascii="Arial" w:hAnsi="Arial" w:cs="Arial"/>
          <w:sz w:val="20"/>
        </w:rPr>
        <w:t xml:space="preserve">In </w:t>
      </w:r>
      <w:r w:rsidRPr="004D1ED3">
        <w:rPr>
          <w:rFonts w:ascii="Arial" w:hAnsi="Arial" w:cs="Arial"/>
          <w:i/>
          <w:iCs/>
          <w:sz w:val="20"/>
          <w:szCs w:val="20"/>
        </w:rPr>
        <w:t>AB (a pseudonym) v Independent Broad-based Anti-</w:t>
      </w:r>
      <w:proofErr w:type="gramStart"/>
      <w:r w:rsidRPr="004D1ED3">
        <w:rPr>
          <w:rFonts w:ascii="Arial" w:hAnsi="Arial" w:cs="Arial"/>
          <w:i/>
          <w:iCs/>
          <w:sz w:val="20"/>
          <w:szCs w:val="20"/>
        </w:rPr>
        <w:t>corruption</w:t>
      </w:r>
      <w:proofErr w:type="gramEnd"/>
      <w:r w:rsidRPr="004D1ED3">
        <w:rPr>
          <w:rFonts w:ascii="Arial" w:hAnsi="Arial" w:cs="Arial"/>
          <w:i/>
          <w:iCs/>
          <w:sz w:val="20"/>
          <w:szCs w:val="20"/>
        </w:rPr>
        <w:t xml:space="preserve"> Commission</w:t>
      </w:r>
      <w:r w:rsidRPr="004D1ED3">
        <w:rPr>
          <w:rFonts w:ascii="Arial" w:hAnsi="Arial" w:cs="Arial"/>
          <w:sz w:val="20"/>
          <w:szCs w:val="20"/>
        </w:rPr>
        <w:t xml:space="preserve"> [2024] HCA 10</w:t>
      </w:r>
      <w:r>
        <w:rPr>
          <w:rFonts w:ascii="Arial" w:hAnsi="Arial" w:cs="Arial"/>
          <w:sz w:val="20"/>
          <w:szCs w:val="20"/>
        </w:rPr>
        <w:t xml:space="preserve">, the High Court </w:t>
      </w:r>
      <w:r w:rsidRPr="004D1ED3">
        <w:rPr>
          <w:rFonts w:ascii="Arial" w:hAnsi="Arial" w:cs="Arial"/>
          <w:sz w:val="20"/>
          <w:szCs w:val="20"/>
        </w:rPr>
        <w:t>(</w:t>
      </w:r>
      <w:proofErr w:type="spellStart"/>
      <w:r>
        <w:rPr>
          <w:rFonts w:ascii="Arial" w:hAnsi="Arial" w:cs="Arial"/>
          <w:sz w:val="20"/>
          <w:szCs w:val="20"/>
        </w:rPr>
        <w:t>G</w:t>
      </w:r>
      <w:r w:rsidRPr="004D1ED3">
        <w:rPr>
          <w:rFonts w:ascii="Arial" w:hAnsi="Arial" w:cs="Arial"/>
          <w:sz w:val="20"/>
          <w:szCs w:val="20"/>
        </w:rPr>
        <w:t>ageler</w:t>
      </w:r>
      <w:proofErr w:type="spellEnd"/>
      <w:r w:rsidRPr="004D1ED3">
        <w:rPr>
          <w:rFonts w:ascii="Arial" w:hAnsi="Arial" w:cs="Arial"/>
          <w:sz w:val="20"/>
          <w:szCs w:val="20"/>
        </w:rPr>
        <w:t xml:space="preserve"> </w:t>
      </w:r>
      <w:r>
        <w:rPr>
          <w:rFonts w:ascii="Arial" w:hAnsi="Arial" w:cs="Arial"/>
          <w:sz w:val="20"/>
          <w:szCs w:val="20"/>
        </w:rPr>
        <w:t>CJ</w:t>
      </w:r>
      <w:r w:rsidRPr="004D1ED3">
        <w:rPr>
          <w:rFonts w:ascii="Arial" w:hAnsi="Arial" w:cs="Arial"/>
          <w:sz w:val="20"/>
          <w:szCs w:val="20"/>
        </w:rPr>
        <w:t xml:space="preserve">, </w:t>
      </w:r>
      <w:r>
        <w:rPr>
          <w:rFonts w:ascii="Arial" w:hAnsi="Arial" w:cs="Arial"/>
          <w:sz w:val="20"/>
          <w:szCs w:val="20"/>
        </w:rPr>
        <w:t>G</w:t>
      </w:r>
      <w:r w:rsidRPr="004D1ED3">
        <w:rPr>
          <w:rFonts w:ascii="Arial" w:hAnsi="Arial" w:cs="Arial"/>
          <w:sz w:val="20"/>
          <w:szCs w:val="20"/>
        </w:rPr>
        <w:t xml:space="preserve">ordon, </w:t>
      </w:r>
      <w:r>
        <w:rPr>
          <w:rFonts w:ascii="Arial" w:hAnsi="Arial" w:cs="Arial"/>
          <w:sz w:val="20"/>
          <w:szCs w:val="20"/>
        </w:rPr>
        <w:t>E</w:t>
      </w:r>
      <w:r w:rsidRPr="004D1ED3">
        <w:rPr>
          <w:rFonts w:ascii="Arial" w:hAnsi="Arial" w:cs="Arial"/>
          <w:sz w:val="20"/>
          <w:szCs w:val="20"/>
        </w:rPr>
        <w:t xml:space="preserve">delman, </w:t>
      </w:r>
      <w:r>
        <w:rPr>
          <w:rFonts w:ascii="Arial" w:hAnsi="Arial" w:cs="Arial"/>
          <w:sz w:val="20"/>
          <w:szCs w:val="20"/>
        </w:rPr>
        <w:t>S</w:t>
      </w:r>
      <w:r w:rsidRPr="004D1ED3">
        <w:rPr>
          <w:rFonts w:ascii="Arial" w:hAnsi="Arial" w:cs="Arial"/>
          <w:sz w:val="20"/>
          <w:szCs w:val="20"/>
        </w:rPr>
        <w:t xml:space="preserve">teward, </w:t>
      </w:r>
      <w:r>
        <w:rPr>
          <w:rFonts w:ascii="Arial" w:hAnsi="Arial" w:cs="Arial"/>
          <w:sz w:val="20"/>
          <w:szCs w:val="20"/>
        </w:rPr>
        <w:t>G</w:t>
      </w:r>
      <w:r w:rsidRPr="004D1ED3">
        <w:rPr>
          <w:rFonts w:ascii="Arial" w:hAnsi="Arial" w:cs="Arial"/>
          <w:sz w:val="20"/>
          <w:szCs w:val="20"/>
        </w:rPr>
        <w:t xml:space="preserve">leeson, </w:t>
      </w:r>
      <w:proofErr w:type="spellStart"/>
      <w:r>
        <w:rPr>
          <w:rFonts w:ascii="Arial" w:hAnsi="Arial" w:cs="Arial"/>
          <w:sz w:val="20"/>
          <w:szCs w:val="20"/>
        </w:rPr>
        <w:t>J</w:t>
      </w:r>
      <w:r w:rsidRPr="004D1ED3">
        <w:rPr>
          <w:rFonts w:ascii="Arial" w:hAnsi="Arial" w:cs="Arial"/>
          <w:sz w:val="20"/>
          <w:szCs w:val="20"/>
        </w:rPr>
        <w:t>agot</w:t>
      </w:r>
      <w:proofErr w:type="spellEnd"/>
      <w:r w:rsidRPr="004D1ED3">
        <w:rPr>
          <w:rFonts w:ascii="Arial" w:hAnsi="Arial" w:cs="Arial"/>
          <w:sz w:val="20"/>
          <w:szCs w:val="20"/>
        </w:rPr>
        <w:t xml:space="preserve"> and </w:t>
      </w:r>
      <w:r>
        <w:rPr>
          <w:rFonts w:ascii="Arial" w:hAnsi="Arial" w:cs="Arial"/>
          <w:sz w:val="20"/>
          <w:szCs w:val="20"/>
        </w:rPr>
        <w:t>B</w:t>
      </w:r>
      <w:r w:rsidRPr="004D1ED3">
        <w:rPr>
          <w:rFonts w:ascii="Arial" w:hAnsi="Arial" w:cs="Arial"/>
          <w:sz w:val="20"/>
          <w:szCs w:val="20"/>
        </w:rPr>
        <w:t>eech-</w:t>
      </w:r>
      <w:r>
        <w:rPr>
          <w:rFonts w:ascii="Arial" w:hAnsi="Arial" w:cs="Arial"/>
          <w:sz w:val="20"/>
          <w:szCs w:val="20"/>
        </w:rPr>
        <w:t>J</w:t>
      </w:r>
      <w:r w:rsidRPr="004D1ED3">
        <w:rPr>
          <w:rFonts w:ascii="Arial" w:hAnsi="Arial" w:cs="Arial"/>
          <w:sz w:val="20"/>
          <w:szCs w:val="20"/>
        </w:rPr>
        <w:t xml:space="preserve">ones </w:t>
      </w:r>
      <w:r>
        <w:rPr>
          <w:rFonts w:ascii="Arial" w:hAnsi="Arial" w:cs="Arial"/>
          <w:sz w:val="20"/>
          <w:szCs w:val="20"/>
        </w:rPr>
        <w:t>JJ</w:t>
      </w:r>
      <w:r w:rsidRPr="004D1ED3">
        <w:rPr>
          <w:rFonts w:ascii="Arial" w:hAnsi="Arial" w:cs="Arial"/>
          <w:sz w:val="20"/>
          <w:szCs w:val="20"/>
        </w:rPr>
        <w:t>)</w:t>
      </w:r>
      <w:r>
        <w:rPr>
          <w:rFonts w:ascii="Arial" w:hAnsi="Arial" w:cs="Arial"/>
          <w:sz w:val="20"/>
          <w:szCs w:val="20"/>
        </w:rPr>
        <w:t xml:space="preserve"> said at [26]:</w:t>
      </w:r>
    </w:p>
    <w:p w14:paraId="4EE35321" w14:textId="6053E3DD" w:rsidR="004D1ED3" w:rsidRPr="00B8220E" w:rsidRDefault="004D1ED3" w:rsidP="004D1ED3">
      <w:pPr>
        <w:spacing w:before="120"/>
        <w:ind w:left="567" w:right="567"/>
        <w:jc w:val="both"/>
        <w:rPr>
          <w:rFonts w:ascii="Arial" w:hAnsi="Arial" w:cs="Arial"/>
          <w:sz w:val="20"/>
          <w:szCs w:val="20"/>
        </w:rPr>
      </w:pPr>
      <w:r>
        <w:rPr>
          <w:rFonts w:ascii="Arial" w:hAnsi="Arial" w:cs="Arial"/>
          <w:sz w:val="20"/>
          <w:szCs w:val="20"/>
        </w:rPr>
        <w:t>“</w:t>
      </w:r>
      <w:r w:rsidRPr="004D1ED3">
        <w:rPr>
          <w:rFonts w:ascii="Arial" w:hAnsi="Arial" w:cs="Arial"/>
          <w:sz w:val="20"/>
          <w:szCs w:val="20"/>
        </w:rPr>
        <w:t>The nature of a decision-maker's powers and their capacity to affect a person's rights and interests not only bears upon the existence and informs the content of any duty of procedural fairness</w:t>
      </w:r>
      <w:r>
        <w:rPr>
          <w:rFonts w:ascii="Arial" w:hAnsi="Arial" w:cs="Arial"/>
          <w:sz w:val="20"/>
          <w:szCs w:val="20"/>
        </w:rPr>
        <w:t xml:space="preserve"> {</w:t>
      </w:r>
      <w:proofErr w:type="spellStart"/>
      <w:r w:rsidRPr="004D1ED3">
        <w:rPr>
          <w:rFonts w:ascii="Arial" w:hAnsi="Arial" w:cs="Arial"/>
          <w:i/>
          <w:iCs/>
          <w:sz w:val="20"/>
          <w:szCs w:val="20"/>
        </w:rPr>
        <w:t>Annetts</w:t>
      </w:r>
      <w:proofErr w:type="spellEnd"/>
      <w:r w:rsidRPr="004D1ED3">
        <w:rPr>
          <w:rFonts w:ascii="Arial" w:hAnsi="Arial" w:cs="Arial"/>
          <w:i/>
          <w:iCs/>
          <w:sz w:val="20"/>
          <w:szCs w:val="20"/>
        </w:rPr>
        <w:t xml:space="preserve"> v McCann</w:t>
      </w:r>
      <w:r w:rsidRPr="004D1ED3">
        <w:rPr>
          <w:rFonts w:ascii="Arial" w:hAnsi="Arial" w:cs="Arial"/>
          <w:sz w:val="20"/>
          <w:szCs w:val="20"/>
        </w:rPr>
        <w:t xml:space="preserve"> (1990) 170 CLR 596 at 598 per Mason CJ, Deane and McHugh JJ; </w:t>
      </w:r>
      <w:r w:rsidRPr="004D1ED3">
        <w:rPr>
          <w:rFonts w:ascii="Arial" w:hAnsi="Arial" w:cs="Arial"/>
          <w:i/>
          <w:iCs/>
          <w:sz w:val="20"/>
          <w:szCs w:val="20"/>
        </w:rPr>
        <w:t>Ainsworth</w:t>
      </w:r>
      <w:r w:rsidRPr="004D1ED3">
        <w:rPr>
          <w:rFonts w:ascii="Arial" w:hAnsi="Arial" w:cs="Arial"/>
          <w:sz w:val="20"/>
          <w:szCs w:val="20"/>
        </w:rPr>
        <w:t xml:space="preserve"> (1992) 175 CLR 564 at 576 per Mason CJ, Dawson, Toohey and </w:t>
      </w:r>
      <w:proofErr w:type="spellStart"/>
      <w:r w:rsidRPr="004D1ED3">
        <w:rPr>
          <w:rFonts w:ascii="Arial" w:hAnsi="Arial" w:cs="Arial"/>
          <w:sz w:val="20"/>
          <w:szCs w:val="20"/>
        </w:rPr>
        <w:t>Gaudron</w:t>
      </w:r>
      <w:proofErr w:type="spellEnd"/>
      <w:r w:rsidRPr="004D1ED3">
        <w:rPr>
          <w:rFonts w:ascii="Arial" w:hAnsi="Arial" w:cs="Arial"/>
          <w:sz w:val="20"/>
          <w:szCs w:val="20"/>
        </w:rPr>
        <w:t xml:space="preserve"> JJ; </w:t>
      </w:r>
      <w:r w:rsidRPr="004D1ED3">
        <w:rPr>
          <w:rFonts w:ascii="Arial" w:hAnsi="Arial" w:cs="Arial"/>
          <w:i/>
          <w:iCs/>
          <w:sz w:val="20"/>
          <w:szCs w:val="20"/>
        </w:rPr>
        <w:t>Gribbles Pathology (Vic) Pty Ltd v Cassidy</w:t>
      </w:r>
      <w:r w:rsidRPr="004D1ED3">
        <w:rPr>
          <w:rFonts w:ascii="Arial" w:hAnsi="Arial" w:cs="Arial"/>
          <w:sz w:val="20"/>
          <w:szCs w:val="20"/>
        </w:rPr>
        <w:t xml:space="preserve"> (2002) 122 FCR 78 at 100 [117] per Weinberg J.</w:t>
      </w:r>
      <w:r>
        <w:rPr>
          <w:rFonts w:ascii="Arial" w:hAnsi="Arial" w:cs="Arial"/>
          <w:sz w:val="20"/>
          <w:szCs w:val="20"/>
        </w:rPr>
        <w:t>}</w:t>
      </w:r>
      <w:r w:rsidRPr="004D1ED3">
        <w:rPr>
          <w:rFonts w:ascii="Arial" w:hAnsi="Arial" w:cs="Arial"/>
          <w:sz w:val="20"/>
          <w:szCs w:val="20"/>
        </w:rPr>
        <w:t>,</w:t>
      </w:r>
      <w:r>
        <w:rPr>
          <w:rFonts w:ascii="Arial" w:hAnsi="Arial" w:cs="Arial"/>
          <w:sz w:val="20"/>
          <w:szCs w:val="20"/>
        </w:rPr>
        <w:t xml:space="preserve"> </w:t>
      </w:r>
      <w:r w:rsidRPr="004D1ED3">
        <w:rPr>
          <w:rFonts w:ascii="Arial" w:hAnsi="Arial" w:cs="Arial"/>
          <w:sz w:val="20"/>
          <w:szCs w:val="20"/>
        </w:rPr>
        <w:t xml:space="preserve">but also informs the proper construction of statutory provisions that create analogous rights and obligations in that </w:t>
      </w:r>
      <w:r>
        <w:rPr>
          <w:rFonts w:ascii="Arial" w:hAnsi="Arial" w:cs="Arial"/>
          <w:sz w:val="20"/>
          <w:szCs w:val="20"/>
        </w:rPr>
        <w:t>‘</w:t>
      </w:r>
      <w:r w:rsidRPr="004D1ED3">
        <w:rPr>
          <w:rFonts w:ascii="Arial" w:hAnsi="Arial" w:cs="Arial"/>
          <w:sz w:val="20"/>
          <w:szCs w:val="20"/>
        </w:rPr>
        <w:t>all statutes are construed ... against a background of common law notions of justice and fairness</w:t>
      </w:r>
      <w:r>
        <w:rPr>
          <w:rFonts w:ascii="Arial" w:hAnsi="Arial" w:cs="Arial"/>
          <w:sz w:val="20"/>
          <w:szCs w:val="20"/>
        </w:rPr>
        <w:t xml:space="preserve">’: </w:t>
      </w:r>
      <w:proofErr w:type="spellStart"/>
      <w:r w:rsidRPr="004D1ED3">
        <w:rPr>
          <w:rFonts w:ascii="Arial" w:hAnsi="Arial" w:cs="Arial"/>
          <w:i/>
          <w:iCs/>
          <w:sz w:val="20"/>
          <w:szCs w:val="20"/>
        </w:rPr>
        <w:t>Kioa</w:t>
      </w:r>
      <w:proofErr w:type="spellEnd"/>
      <w:r w:rsidRPr="004D1ED3">
        <w:rPr>
          <w:rFonts w:ascii="Arial" w:hAnsi="Arial" w:cs="Arial"/>
          <w:i/>
          <w:iCs/>
          <w:sz w:val="20"/>
          <w:szCs w:val="20"/>
        </w:rPr>
        <w:t xml:space="preserve"> v West</w:t>
      </w:r>
      <w:r w:rsidRPr="004D1ED3">
        <w:rPr>
          <w:rFonts w:ascii="Arial" w:hAnsi="Arial" w:cs="Arial"/>
          <w:sz w:val="20"/>
          <w:szCs w:val="20"/>
        </w:rPr>
        <w:t xml:space="preserve"> (1985) 159 CLR 550 at 609 per Brennan J</w:t>
      </w:r>
      <w:r>
        <w:rPr>
          <w:rFonts w:ascii="Arial" w:hAnsi="Arial" w:cs="Arial"/>
          <w:sz w:val="20"/>
          <w:szCs w:val="20"/>
        </w:rPr>
        <w:t>; s</w:t>
      </w:r>
      <w:r w:rsidRPr="004D1ED3">
        <w:rPr>
          <w:rFonts w:ascii="Arial" w:hAnsi="Arial" w:cs="Arial"/>
          <w:sz w:val="20"/>
          <w:szCs w:val="20"/>
        </w:rPr>
        <w:t xml:space="preserve">ee also </w:t>
      </w:r>
      <w:r w:rsidRPr="004D1ED3">
        <w:rPr>
          <w:rFonts w:ascii="Arial" w:hAnsi="Arial" w:cs="Arial"/>
          <w:i/>
          <w:iCs/>
          <w:sz w:val="20"/>
          <w:szCs w:val="20"/>
        </w:rPr>
        <w:t>Italiano v Carbone</w:t>
      </w:r>
      <w:r w:rsidRPr="004D1ED3">
        <w:rPr>
          <w:rFonts w:ascii="Arial" w:hAnsi="Arial" w:cs="Arial"/>
          <w:sz w:val="20"/>
          <w:szCs w:val="20"/>
        </w:rPr>
        <w:t xml:space="preserve"> [2005] NSWCA 177 at [80] per </w:t>
      </w:r>
      <w:proofErr w:type="spellStart"/>
      <w:r w:rsidRPr="004D1ED3">
        <w:rPr>
          <w:rFonts w:ascii="Arial" w:hAnsi="Arial" w:cs="Arial"/>
          <w:sz w:val="20"/>
          <w:szCs w:val="20"/>
        </w:rPr>
        <w:t>Basten</w:t>
      </w:r>
      <w:proofErr w:type="spellEnd"/>
      <w:r w:rsidRPr="004D1ED3">
        <w:rPr>
          <w:rFonts w:ascii="Arial" w:hAnsi="Arial" w:cs="Arial"/>
          <w:sz w:val="20"/>
          <w:szCs w:val="20"/>
        </w:rPr>
        <w:t xml:space="preserve"> JA.</w:t>
      </w:r>
      <w:r>
        <w:rPr>
          <w:rFonts w:ascii="Arial" w:hAnsi="Arial" w:cs="Arial"/>
          <w:sz w:val="20"/>
          <w:szCs w:val="20"/>
        </w:rPr>
        <w:t>”</w:t>
      </w:r>
    </w:p>
    <w:p w14:paraId="5D177F40" w14:textId="77777777" w:rsidR="004D1ED3" w:rsidRDefault="004D1ED3"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w:t>
      </w:r>
      <w:r w:rsidR="00130028">
        <w:rPr>
          <w:rFonts w:ascii="Arial" w:hAnsi="Arial" w:cs="Arial"/>
          <w:sz w:val="20"/>
        </w:rPr>
        <w:lastRenderedPageBreak/>
        <w:t xml:space="preserve">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w:t>
      </w:r>
      <w:proofErr w:type="spellStart"/>
      <w:r w:rsidRPr="007A321D">
        <w:rPr>
          <w:rFonts w:ascii="Arial" w:hAnsi="Arial" w:cs="Arial"/>
          <w:sz w:val="20"/>
          <w:szCs w:val="20"/>
        </w:rPr>
        <w:t>eg</w:t>
      </w:r>
      <w:proofErr w:type="spellEnd"/>
      <w:r w:rsidRPr="007A321D">
        <w:rPr>
          <w:rFonts w:ascii="Arial" w:hAnsi="Arial" w:cs="Arial"/>
          <w:sz w:val="20"/>
          <w:szCs w:val="20"/>
        </w:rPr>
        <w:t xml:space="preserve">,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CJ, Bell and Nettle JJ), 157 [41] (</w:t>
      </w:r>
      <w:proofErr w:type="spellStart"/>
      <w:r w:rsidRPr="007A321D">
        <w:rPr>
          <w:rFonts w:ascii="Arial" w:hAnsi="Arial" w:cs="Arial"/>
          <w:sz w:val="20"/>
          <w:szCs w:val="20"/>
        </w:rPr>
        <w:t>Gageler</w:t>
      </w:r>
      <w:proofErr w:type="spellEnd"/>
      <w:r w:rsidRPr="007A321D">
        <w:rPr>
          <w:rFonts w:ascii="Arial" w:hAnsi="Arial" w:cs="Arial"/>
          <w:sz w:val="20"/>
          <w:szCs w:val="20"/>
        </w:rPr>
        <w:t xml:space="preserve">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w:t>
      </w:r>
      <w:proofErr w:type="spellStart"/>
      <w:r w:rsidRPr="007A321D">
        <w:rPr>
          <w:rFonts w:ascii="Arial" w:hAnsi="Arial" w:cs="Arial"/>
          <w:sz w:val="20"/>
          <w:szCs w:val="20"/>
        </w:rPr>
        <w:t>Heydon</w:t>
      </w:r>
      <w:proofErr w:type="spellEnd"/>
      <w:r w:rsidRPr="007A321D">
        <w:rPr>
          <w:rFonts w:ascii="Arial" w:hAnsi="Arial" w:cs="Arial"/>
          <w:sz w:val="20"/>
          <w:szCs w:val="20"/>
        </w:rPr>
        <w:t xml:space="preserve">, </w:t>
      </w:r>
      <w:proofErr w:type="spellStart"/>
      <w:r w:rsidRPr="007A321D">
        <w:rPr>
          <w:rFonts w:ascii="Arial" w:hAnsi="Arial" w:cs="Arial"/>
          <w:sz w:val="20"/>
          <w:szCs w:val="20"/>
        </w:rPr>
        <w:t>Crennan</w:t>
      </w:r>
      <w:proofErr w:type="spellEnd"/>
      <w:r w:rsidRPr="007A321D">
        <w:rPr>
          <w:rFonts w:ascii="Arial" w:hAnsi="Arial" w:cs="Arial"/>
          <w:sz w:val="20"/>
          <w:szCs w:val="20"/>
        </w:rPr>
        <w:t xml:space="preserve"> and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proofErr w:type="spellStart"/>
      <w:r w:rsidRPr="003F031E">
        <w:rPr>
          <w:rFonts w:ascii="Arial" w:hAnsi="Arial" w:cs="Arial"/>
          <w:i/>
          <w:iCs/>
          <w:sz w:val="20"/>
          <w:szCs w:val="20"/>
        </w:rPr>
        <w:t>Lordianto</w:t>
      </w:r>
      <w:proofErr w:type="spellEnd"/>
      <w:r>
        <w:rPr>
          <w:rFonts w:ascii="Arial" w:hAnsi="Arial" w:cs="Arial"/>
          <w:i/>
          <w:iCs/>
          <w:sz w:val="20"/>
          <w:szCs w:val="20"/>
        </w:rPr>
        <w:t xml:space="preserve"> </w:t>
      </w:r>
      <w:r w:rsidRPr="003F031E">
        <w:rPr>
          <w:rFonts w:ascii="Arial" w:hAnsi="Arial" w:cs="Arial"/>
          <w:sz w:val="20"/>
          <w:szCs w:val="20"/>
        </w:rPr>
        <w:t>(2019) 266 CLR 273, 301–2 [61]–[62] (</w:t>
      </w:r>
      <w:proofErr w:type="spellStart"/>
      <w:r w:rsidRPr="003F031E">
        <w:rPr>
          <w:rFonts w:ascii="Arial" w:hAnsi="Arial" w:cs="Arial"/>
          <w:sz w:val="20"/>
          <w:szCs w:val="20"/>
        </w:rPr>
        <w:t>Kiefel</w:t>
      </w:r>
      <w:proofErr w:type="spellEnd"/>
      <w:r w:rsidRPr="003F031E">
        <w:rPr>
          <w:rFonts w:ascii="Arial" w:hAnsi="Arial" w:cs="Arial"/>
          <w:sz w:val="20"/>
          <w:szCs w:val="20"/>
        </w:rPr>
        <w:t xml:space="preserve">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w:t>
      </w:r>
      <w:proofErr w:type="spellStart"/>
      <w:r w:rsidRPr="003F031E">
        <w:rPr>
          <w:rFonts w:ascii="Arial" w:hAnsi="Arial" w:cs="Arial"/>
          <w:i/>
          <w:iCs/>
          <w:sz w:val="20"/>
          <w:szCs w:val="20"/>
        </w:rPr>
        <w:t>Cth</w:t>
      </w:r>
      <w:proofErr w:type="spellEnd"/>
      <w:r w:rsidRPr="003F031E">
        <w:rPr>
          <w:rFonts w:ascii="Arial" w:hAnsi="Arial" w:cs="Arial"/>
          <w:i/>
          <w:iCs/>
          <w:sz w:val="20"/>
          <w:szCs w:val="20"/>
        </w:rPr>
        <w:t>)</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29F228C9" w14:textId="77777777" w:rsidR="00432055" w:rsidRDefault="0033471C" w:rsidP="00130028">
      <w:pPr>
        <w:spacing w:before="120"/>
        <w:ind w:left="567" w:right="567"/>
        <w:jc w:val="both"/>
        <w:rPr>
          <w:rFonts w:ascii="Arial" w:hAnsi="Arial" w:cs="Arial"/>
          <w:sz w:val="20"/>
          <w:szCs w:val="20"/>
        </w:rPr>
      </w:pPr>
      <w:r w:rsidRPr="0033471C">
        <w:rPr>
          <w:rFonts w:ascii="Arial" w:hAnsi="Arial" w:cs="Arial"/>
          <w:sz w:val="20"/>
          <w:szCs w:val="20"/>
        </w:rPr>
        <w:t>…</w:t>
      </w:r>
    </w:p>
    <w:p w14:paraId="709F2551" w14:textId="09CA1E1E"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proofErr w:type="spellStart"/>
      <w:r w:rsidRPr="0033471C">
        <w:rPr>
          <w:rFonts w:ascii="Arial" w:hAnsi="Arial" w:cs="Arial"/>
          <w:i/>
          <w:iCs/>
          <w:sz w:val="20"/>
          <w:szCs w:val="20"/>
        </w:rPr>
        <w:t>Lordianto</w:t>
      </w:r>
      <w:proofErr w:type="spellEnd"/>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B1E2827" w14:textId="77777777" w:rsidR="00C34973" w:rsidRDefault="00C34973" w:rsidP="008076AA">
      <w:pPr>
        <w:jc w:val="both"/>
        <w:rPr>
          <w:rFonts w:ascii="Arial" w:hAnsi="Arial" w:cs="Arial"/>
          <w:sz w:val="20"/>
        </w:rPr>
      </w:pPr>
    </w:p>
    <w:p w14:paraId="5E32AC00" w14:textId="4CE8477B" w:rsidR="007A321D" w:rsidRDefault="00C34973" w:rsidP="00C34973">
      <w:pPr>
        <w:keepNext/>
        <w:keepLines/>
        <w:jc w:val="both"/>
        <w:rPr>
          <w:rFonts w:ascii="Arial" w:hAnsi="Arial" w:cs="Arial"/>
          <w:sz w:val="20"/>
        </w:rPr>
      </w:pPr>
      <w:r>
        <w:rPr>
          <w:rFonts w:ascii="Arial" w:hAnsi="Arial" w:cs="Arial"/>
          <w:sz w:val="20"/>
        </w:rPr>
        <w:t xml:space="preserve">In </w:t>
      </w:r>
      <w:r w:rsidR="008076AA" w:rsidRPr="00F90479">
        <w:rPr>
          <w:rFonts w:ascii="Arial" w:hAnsi="Arial" w:cs="Arial"/>
          <w:i/>
          <w:iCs/>
          <w:sz w:val="20"/>
          <w:szCs w:val="20"/>
        </w:rPr>
        <w:t xml:space="preserve">Re </w:t>
      </w:r>
      <w:proofErr w:type="spellStart"/>
      <w:r w:rsidR="008076AA" w:rsidRPr="00F90479">
        <w:rPr>
          <w:rFonts w:ascii="Arial" w:hAnsi="Arial" w:cs="Arial"/>
          <w:i/>
          <w:iCs/>
          <w:sz w:val="20"/>
          <w:szCs w:val="20"/>
        </w:rPr>
        <w:t>Mokbel</w:t>
      </w:r>
      <w:proofErr w:type="spellEnd"/>
      <w:r w:rsidR="008076AA" w:rsidRPr="00F90479">
        <w:rPr>
          <w:rFonts w:ascii="Arial" w:hAnsi="Arial" w:cs="Arial"/>
          <w:i/>
          <w:iCs/>
          <w:sz w:val="20"/>
          <w:szCs w:val="20"/>
        </w:rPr>
        <w:t xml:space="preserve"> (No 2)</w:t>
      </w:r>
      <w:r w:rsidR="008076AA" w:rsidRPr="00F90479">
        <w:rPr>
          <w:rFonts w:ascii="Arial" w:hAnsi="Arial" w:cs="Arial"/>
          <w:sz w:val="20"/>
          <w:szCs w:val="20"/>
        </w:rPr>
        <w:t xml:space="preserve"> [2024] VSC 39</w:t>
      </w:r>
      <w:r w:rsidR="008076AA">
        <w:rPr>
          <w:rFonts w:ascii="Arial" w:hAnsi="Arial" w:cs="Arial"/>
          <w:sz w:val="20"/>
          <w:szCs w:val="20"/>
        </w:rPr>
        <w:t xml:space="preserve"> at [81] Fullerton J said:</w:t>
      </w:r>
    </w:p>
    <w:p w14:paraId="5496E04C" w14:textId="5A900CBD" w:rsidR="00685327" w:rsidRDefault="00685327" w:rsidP="00685327">
      <w:pPr>
        <w:spacing w:before="120"/>
        <w:ind w:left="567" w:right="567"/>
        <w:jc w:val="both"/>
        <w:rPr>
          <w:rFonts w:ascii="Arial" w:hAnsi="Arial" w:cs="Arial"/>
          <w:sz w:val="20"/>
          <w:szCs w:val="20"/>
        </w:rPr>
      </w:pPr>
      <w:r>
        <w:rPr>
          <w:rFonts w:ascii="Arial" w:hAnsi="Arial" w:cs="Arial"/>
          <w:sz w:val="20"/>
        </w:rPr>
        <w:t>“</w:t>
      </w:r>
      <w:r w:rsidRPr="00AC6CFE">
        <w:rPr>
          <w:rFonts w:ascii="Arial" w:hAnsi="Arial" w:cs="Arial"/>
          <w:sz w:val="20"/>
          <w:szCs w:val="20"/>
        </w:rPr>
        <w:t>It is recognised in the authorities that where two construction of a piece of legislation are reasonably open, the consequences that would flow from competing constructions may be of assistance in informing Parliament’s intention.</w:t>
      </w:r>
      <w:r>
        <w:rPr>
          <w:rFonts w:ascii="Arial" w:hAnsi="Arial" w:cs="Arial"/>
          <w:sz w:val="20"/>
          <w:szCs w:val="20"/>
        </w:rPr>
        <w:t>”</w:t>
      </w:r>
    </w:p>
    <w:p w14:paraId="3DBC7167" w14:textId="1EB8A148" w:rsidR="00685327" w:rsidRDefault="008076AA" w:rsidP="008076AA">
      <w:pPr>
        <w:spacing w:before="60"/>
        <w:jc w:val="both"/>
        <w:rPr>
          <w:rFonts w:ascii="Arial" w:hAnsi="Arial" w:cs="Arial"/>
          <w:sz w:val="20"/>
          <w:szCs w:val="20"/>
        </w:rPr>
      </w:pPr>
      <w:r>
        <w:rPr>
          <w:rFonts w:ascii="Arial" w:hAnsi="Arial" w:cs="Arial"/>
          <w:sz w:val="20"/>
          <w:szCs w:val="20"/>
        </w:rPr>
        <w:t xml:space="preserve">And </w:t>
      </w:r>
      <w:r w:rsidR="007E3984">
        <w:rPr>
          <w:rFonts w:ascii="Arial" w:hAnsi="Arial" w:cs="Arial"/>
          <w:sz w:val="20"/>
          <w:szCs w:val="20"/>
        </w:rPr>
        <w:t xml:space="preserve">at [62]-[80] her Honour discussed the </w:t>
      </w:r>
      <w:r w:rsidR="00685327">
        <w:rPr>
          <w:rFonts w:ascii="Arial" w:hAnsi="Arial" w:cs="Arial"/>
          <w:sz w:val="20"/>
          <w:szCs w:val="20"/>
        </w:rPr>
        <w:t xml:space="preserve">use of extrinsic materials as an aid to statutory construction, </w:t>
      </w:r>
      <w:r w:rsidR="007E3984">
        <w:rPr>
          <w:rFonts w:ascii="Arial" w:hAnsi="Arial" w:cs="Arial"/>
          <w:sz w:val="20"/>
          <w:szCs w:val="20"/>
        </w:rPr>
        <w:t>concluding</w:t>
      </w:r>
      <w:r>
        <w:rPr>
          <w:rFonts w:ascii="Arial" w:hAnsi="Arial" w:cs="Arial"/>
          <w:sz w:val="20"/>
          <w:szCs w:val="20"/>
        </w:rPr>
        <w:t xml:space="preserve"> </w:t>
      </w:r>
      <w:r w:rsidR="00685327">
        <w:rPr>
          <w:rFonts w:ascii="Arial" w:hAnsi="Arial" w:cs="Arial"/>
          <w:sz w:val="20"/>
          <w:szCs w:val="20"/>
        </w:rPr>
        <w:t>at [79]:</w:t>
      </w:r>
    </w:p>
    <w:p w14:paraId="182489BC" w14:textId="6ED7A15C" w:rsidR="00AC6CFE" w:rsidRDefault="00AC6CFE" w:rsidP="00685327">
      <w:pPr>
        <w:spacing w:before="60"/>
        <w:ind w:left="567" w:right="567"/>
        <w:jc w:val="both"/>
        <w:rPr>
          <w:rFonts w:ascii="Arial" w:hAnsi="Arial" w:cs="Arial"/>
          <w:sz w:val="20"/>
        </w:rPr>
      </w:pPr>
      <w:r>
        <w:rPr>
          <w:rFonts w:ascii="Arial" w:hAnsi="Arial" w:cs="Arial"/>
          <w:sz w:val="20"/>
          <w:szCs w:val="20"/>
        </w:rPr>
        <w:t xml:space="preserve">“[T]he use of </w:t>
      </w:r>
      <w:r>
        <w:rPr>
          <w:rFonts w:ascii="Arial" w:hAnsi="Arial" w:cs="Arial"/>
          <w:sz w:val="20"/>
        </w:rPr>
        <w:t>extrinsic materials in a construction exercise should not displace the task of giving meaning to the words of the text under consideration, but…they are available to be used to elucidate, where possible, the statutory purpose of a statutory provision in context”.</w:t>
      </w:r>
    </w:p>
    <w:p w14:paraId="14CE0317" w14:textId="38A6C724" w:rsidR="00685327" w:rsidRDefault="00685327" w:rsidP="00685327">
      <w:pPr>
        <w:spacing w:before="60"/>
        <w:jc w:val="both"/>
        <w:rPr>
          <w:rFonts w:ascii="Arial" w:hAnsi="Arial" w:cs="Arial"/>
          <w:sz w:val="20"/>
          <w:szCs w:val="20"/>
        </w:rPr>
      </w:pPr>
      <w:r>
        <w:rPr>
          <w:rFonts w:ascii="Arial" w:hAnsi="Arial" w:cs="Arial"/>
          <w:sz w:val="20"/>
        </w:rPr>
        <w:t xml:space="preserve">See also </w:t>
      </w:r>
      <w:r w:rsidRPr="007756AC">
        <w:rPr>
          <w:rFonts w:ascii="Arial" w:hAnsi="Arial" w:cs="Arial"/>
          <w:i/>
          <w:iCs/>
          <w:sz w:val="20"/>
          <w:szCs w:val="20"/>
        </w:rPr>
        <w:t>The King v Rohan (a pseudonym)</w:t>
      </w:r>
      <w:r w:rsidRPr="007756AC">
        <w:rPr>
          <w:rFonts w:ascii="Arial" w:hAnsi="Arial" w:cs="Arial"/>
          <w:sz w:val="20"/>
          <w:szCs w:val="20"/>
        </w:rPr>
        <w:t xml:space="preserve"> [2024] HCA 3 </w:t>
      </w:r>
      <w:r>
        <w:rPr>
          <w:rFonts w:ascii="Arial" w:hAnsi="Arial" w:cs="Arial"/>
          <w:sz w:val="20"/>
          <w:szCs w:val="20"/>
        </w:rPr>
        <w:t xml:space="preserve">where the </w:t>
      </w:r>
      <w:r w:rsidR="008076AA">
        <w:rPr>
          <w:rFonts w:ascii="Arial" w:hAnsi="Arial" w:cs="Arial"/>
          <w:sz w:val="20"/>
          <w:szCs w:val="20"/>
        </w:rPr>
        <w:t xml:space="preserve">two </w:t>
      </w:r>
      <w:r>
        <w:rPr>
          <w:rFonts w:ascii="Arial" w:hAnsi="Arial" w:cs="Arial"/>
          <w:sz w:val="20"/>
          <w:szCs w:val="20"/>
        </w:rPr>
        <w:t>judgments made numerous references to the relevant Explanatory Memorandum and Second Reading Speech.</w:t>
      </w:r>
    </w:p>
    <w:p w14:paraId="6B9229A9" w14:textId="77777777" w:rsidR="00641166" w:rsidRPr="00836E86" w:rsidRDefault="00641166" w:rsidP="00641166">
      <w:pPr>
        <w:jc w:val="both"/>
        <w:rPr>
          <w:rFonts w:ascii="Arial" w:hAnsi="Arial" w:cs="Arial"/>
          <w:sz w:val="20"/>
        </w:rPr>
      </w:pPr>
    </w:p>
    <w:p w14:paraId="61552351" w14:textId="77777777" w:rsidR="00641166" w:rsidRPr="00836E86" w:rsidRDefault="00641166" w:rsidP="0064116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1A38BC0F" w14:textId="77777777" w:rsidR="00641166" w:rsidRPr="00836E86" w:rsidRDefault="00641166" w:rsidP="00641166">
      <w:pPr>
        <w:rPr>
          <w:rFonts w:ascii="Arial" w:hAnsi="Arial" w:cs="Arial"/>
          <w:sz w:val="20"/>
        </w:rPr>
      </w:pPr>
    </w:p>
    <w:p w14:paraId="0D9358EE" w14:textId="77777777" w:rsidR="00641166" w:rsidRPr="00836E86" w:rsidRDefault="00641166" w:rsidP="00641166">
      <w:pPr>
        <w:pStyle w:val="ListParagraph"/>
        <w:numPr>
          <w:ilvl w:val="0"/>
          <w:numId w:val="79"/>
        </w:numPr>
        <w:rPr>
          <w:rFonts w:ascii="Arial" w:hAnsi="Arial" w:cs="Arial"/>
          <w:sz w:val="20"/>
        </w:rPr>
      </w:pPr>
      <w:r w:rsidRPr="00836E86">
        <w:rPr>
          <w:rFonts w:ascii="Arial" w:hAnsi="Arial" w:cs="Arial"/>
          <w:sz w:val="20"/>
        </w:rPr>
        <w:br w:type="page"/>
      </w:r>
    </w:p>
    <w:p w14:paraId="094FEADD" w14:textId="69747584" w:rsidR="00B21DA4" w:rsidRDefault="00B21DA4" w:rsidP="00F661C5">
      <w:pPr>
        <w:pStyle w:val="Heading2"/>
        <w:keepNext/>
        <w:keepLines/>
        <w:widowControl/>
        <w:tabs>
          <w:tab w:val="left" w:pos="567"/>
        </w:tabs>
        <w:spacing w:line="240" w:lineRule="auto"/>
        <w:rPr>
          <w:rFonts w:ascii="Arial" w:hAnsi="Arial" w:cs="Arial"/>
          <w:b/>
          <w:bCs/>
        </w:rPr>
      </w:pPr>
      <w:bookmarkStart w:id="865" w:name="_3.7_Judgments_-"/>
      <w:bookmarkStart w:id="866" w:name="B37"/>
      <w:bookmarkEnd w:id="865"/>
      <w:r>
        <w:rPr>
          <w:rFonts w:ascii="Arial" w:hAnsi="Arial" w:cs="Arial"/>
          <w:b/>
          <w:bCs/>
        </w:rPr>
        <w:lastRenderedPageBreak/>
        <w:t>3.</w:t>
      </w:r>
      <w:r w:rsidR="00AB3569">
        <w:rPr>
          <w:rFonts w:ascii="Arial" w:hAnsi="Arial" w:cs="Arial"/>
          <w:b/>
          <w:bCs/>
        </w:rPr>
        <w:t>7</w:t>
      </w:r>
      <w:r>
        <w:rPr>
          <w:rFonts w:ascii="Arial" w:hAnsi="Arial" w:cs="Arial"/>
          <w:b/>
          <w:bCs/>
        </w:rPr>
        <w:tab/>
        <w:t>Judgments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00A01EEC">
        <w:rPr>
          <w:rFonts w:ascii="Arial" w:hAnsi="Arial" w:cs="Arial"/>
          <w:b/>
          <w:bCs/>
        </w:rPr>
        <w:t xml:space="preserve"> &amp; Orders</w:t>
      </w:r>
      <w:bookmarkEnd w:id="863"/>
    </w:p>
    <w:bookmarkEnd w:id="866"/>
    <w:p w14:paraId="59F1C633" w14:textId="77777777" w:rsidR="00B21DA4" w:rsidRDefault="00B21DA4" w:rsidP="00F661C5">
      <w:pPr>
        <w:keepNext/>
        <w:keepLines/>
        <w:jc w:val="both"/>
        <w:rPr>
          <w:rFonts w:ascii="Arial" w:hAnsi="Arial" w:cs="Arial"/>
          <w:sz w:val="20"/>
        </w:rPr>
      </w:pPr>
    </w:p>
    <w:p w14:paraId="2B4D68EC" w14:textId="7C2BF4E5" w:rsidR="00B21DA4" w:rsidRDefault="00B21DA4" w:rsidP="00F661C5">
      <w:pPr>
        <w:pStyle w:val="Heading3"/>
        <w:keepNext/>
        <w:keepLines/>
        <w:widowControl/>
        <w:spacing w:after="120" w:line="240" w:lineRule="auto"/>
        <w:rPr>
          <w:rFonts w:ascii="Arial" w:hAnsi="Arial" w:cs="Arial"/>
          <w:b/>
          <w:bCs/>
          <w:sz w:val="20"/>
        </w:rPr>
      </w:pPr>
      <w:bookmarkStart w:id="867" w:name="_3.7.1_Explanation_&amp;"/>
      <w:bookmarkStart w:id="868" w:name="B371"/>
      <w:bookmarkStart w:id="869" w:name="_Toc30652642"/>
      <w:bookmarkStart w:id="870" w:name="_Toc30652740"/>
      <w:bookmarkStart w:id="871" w:name="_Toc30654085"/>
      <w:bookmarkStart w:id="872" w:name="_Toc30654436"/>
      <w:bookmarkStart w:id="873" w:name="_Toc30655055"/>
      <w:bookmarkStart w:id="874" w:name="_Toc30655312"/>
      <w:bookmarkStart w:id="875" w:name="_Toc30656990"/>
      <w:bookmarkStart w:id="876" w:name="_Toc30661739"/>
      <w:bookmarkStart w:id="877" w:name="_Toc30666427"/>
      <w:bookmarkStart w:id="878" w:name="_Toc30666657"/>
      <w:bookmarkStart w:id="879" w:name="_Toc30667832"/>
      <w:bookmarkStart w:id="880" w:name="_Toc30669210"/>
      <w:bookmarkStart w:id="881" w:name="_Toc30671426"/>
      <w:bookmarkStart w:id="882" w:name="_Toc30673953"/>
      <w:bookmarkStart w:id="883" w:name="_Toc30691175"/>
      <w:bookmarkStart w:id="884" w:name="_Toc30691546"/>
      <w:bookmarkStart w:id="885" w:name="_Toc30691926"/>
      <w:bookmarkStart w:id="886" w:name="_Toc30692685"/>
      <w:bookmarkStart w:id="887" w:name="_Toc30693064"/>
      <w:bookmarkStart w:id="888" w:name="_Toc30693442"/>
      <w:bookmarkStart w:id="889" w:name="_Toc30693821"/>
      <w:bookmarkStart w:id="890" w:name="_Toc30694202"/>
      <w:bookmarkStart w:id="891" w:name="_Toc30698791"/>
      <w:bookmarkStart w:id="892" w:name="_Toc30699169"/>
      <w:bookmarkStart w:id="893" w:name="_Toc30699554"/>
      <w:bookmarkStart w:id="894" w:name="_Toc30700709"/>
      <w:bookmarkStart w:id="895" w:name="_Toc30701096"/>
      <w:bookmarkStart w:id="896" w:name="_Toc30743705"/>
      <w:bookmarkStart w:id="897" w:name="_Toc30754527"/>
      <w:bookmarkStart w:id="898" w:name="_Toc30756967"/>
      <w:bookmarkStart w:id="899" w:name="_Toc30757516"/>
      <w:bookmarkStart w:id="900" w:name="_Toc30757916"/>
      <w:bookmarkStart w:id="901" w:name="_Toc30762677"/>
      <w:bookmarkStart w:id="902" w:name="_Toc30767331"/>
      <w:bookmarkStart w:id="903" w:name="_Toc34823347"/>
      <w:bookmarkStart w:id="904" w:name="_Toc58831508"/>
      <w:bookmarkEnd w:id="867"/>
      <w:bookmarkEnd w:id="868"/>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00F44596">
        <w:rPr>
          <w:rFonts w:ascii="Arial" w:hAnsi="Arial" w:cs="Arial"/>
          <w:b/>
          <w:bCs/>
          <w:sz w:val="20"/>
        </w:rPr>
        <w:t xml:space="preserve"> </w:t>
      </w:r>
      <w:r w:rsidR="00A01EEC">
        <w:rPr>
          <w:rFonts w:ascii="Arial" w:hAnsi="Arial" w:cs="Arial"/>
          <w:b/>
          <w:bCs/>
          <w:sz w:val="20"/>
        </w:rPr>
        <w:t>of and r</w:t>
      </w:r>
      <w:r w:rsidR="00F44596">
        <w:rPr>
          <w:rFonts w:ascii="Arial" w:hAnsi="Arial" w:cs="Arial"/>
          <w:b/>
          <w:bCs/>
          <w:sz w:val="20"/>
        </w:rPr>
        <w:t>easons</w:t>
      </w:r>
      <w:r w:rsidR="00A01EEC">
        <w:rPr>
          <w:rFonts w:ascii="Arial" w:hAnsi="Arial" w:cs="Arial"/>
          <w:b/>
          <w:bCs/>
          <w:sz w:val="20"/>
        </w:rPr>
        <w:t xml:space="preserve"> for orders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127F1EA0" w:rsidR="00B21DA4" w:rsidRDefault="00B21DA4">
      <w:pPr>
        <w:jc w:val="both"/>
        <w:rPr>
          <w:rFonts w:ascii="Arial" w:hAnsi="Arial" w:cs="Arial"/>
          <w:sz w:val="20"/>
        </w:rPr>
      </w:pPr>
    </w:p>
    <w:p w14:paraId="069A0B1C" w14:textId="31CEC070" w:rsidR="00534D65" w:rsidRDefault="00084D11">
      <w:pPr>
        <w:jc w:val="both"/>
        <w:rPr>
          <w:rFonts w:ascii="Arial" w:hAnsi="Arial" w:cs="Arial"/>
          <w:sz w:val="20"/>
        </w:rPr>
      </w:pPr>
      <w:r>
        <w:rPr>
          <w:rFonts w:ascii="Arial" w:hAnsi="Arial" w:cs="Arial"/>
          <w:sz w:val="20"/>
        </w:rPr>
        <w:t xml:space="preserve">An outstanding example of an explanation of an order in a way in which the child will understand is to be found </w:t>
      </w:r>
      <w:r w:rsidR="00ED6E06">
        <w:rPr>
          <w:rFonts w:ascii="Arial" w:hAnsi="Arial" w:cs="Arial"/>
          <w:sz w:val="20"/>
        </w:rPr>
        <w:t>in</w:t>
      </w:r>
      <w:r w:rsidR="00243264">
        <w:rPr>
          <w:rFonts w:ascii="Arial" w:hAnsi="Arial" w:cs="Arial"/>
          <w:sz w:val="20"/>
        </w:rPr>
        <w:t xml:space="preserve"> Appendix One </w:t>
      </w:r>
      <w:r w:rsidR="00ED6E06">
        <w:rPr>
          <w:rFonts w:ascii="Arial" w:hAnsi="Arial" w:cs="Arial"/>
          <w:sz w:val="20"/>
        </w:rPr>
        <w:t>to</w:t>
      </w:r>
      <w:r>
        <w:rPr>
          <w:rFonts w:ascii="Arial" w:hAnsi="Arial" w:cs="Arial"/>
          <w:sz w:val="20"/>
        </w:rPr>
        <w:t xml:space="preserve"> the </w:t>
      </w:r>
      <w:r w:rsidR="00ED6E06">
        <w:rPr>
          <w:rFonts w:ascii="Arial" w:hAnsi="Arial" w:cs="Arial"/>
          <w:sz w:val="20"/>
        </w:rPr>
        <w:t xml:space="preserve">judgment of Recorder McKendrick </w:t>
      </w:r>
      <w:r w:rsidR="005F6D4A">
        <w:rPr>
          <w:rFonts w:ascii="Arial" w:hAnsi="Arial" w:cs="Arial"/>
          <w:sz w:val="20"/>
        </w:rPr>
        <w:t>Q</w:t>
      </w:r>
      <w:r w:rsidR="00ED6E06">
        <w:rPr>
          <w:rFonts w:ascii="Arial" w:hAnsi="Arial" w:cs="Arial"/>
          <w:sz w:val="20"/>
        </w:rPr>
        <w:t xml:space="preserve">C in the </w:t>
      </w:r>
      <w:r>
        <w:rPr>
          <w:rFonts w:ascii="Arial" w:hAnsi="Arial" w:cs="Arial"/>
          <w:sz w:val="20"/>
        </w:rPr>
        <w:t xml:space="preserve">English Family Law case of </w:t>
      </w:r>
      <w:r w:rsidR="00243264" w:rsidRPr="00243264">
        <w:rPr>
          <w:rFonts w:ascii="Arial" w:hAnsi="Arial" w:cs="Arial"/>
          <w:i/>
          <w:iCs/>
          <w:sz w:val="20"/>
        </w:rPr>
        <w:t>Ms D v Mr D</w:t>
      </w:r>
      <w:r w:rsidR="00243264">
        <w:rPr>
          <w:rFonts w:ascii="Arial" w:hAnsi="Arial" w:cs="Arial"/>
          <w:sz w:val="20"/>
        </w:rPr>
        <w:t xml:space="preserve"> [2022] EWFC 164.  </w:t>
      </w:r>
      <w:r w:rsidR="00280E46">
        <w:rPr>
          <w:rFonts w:ascii="Arial" w:hAnsi="Arial" w:cs="Arial"/>
          <w:sz w:val="20"/>
        </w:rPr>
        <w:t xml:space="preserve">The case </w:t>
      </w:r>
      <w:r w:rsidR="008716F2">
        <w:rPr>
          <w:rFonts w:ascii="Arial" w:hAnsi="Arial" w:cs="Arial"/>
          <w:sz w:val="20"/>
        </w:rPr>
        <w:t xml:space="preserve">primarily </w:t>
      </w:r>
      <w:r w:rsidR="00280E46">
        <w:rPr>
          <w:rFonts w:ascii="Arial" w:hAnsi="Arial" w:cs="Arial"/>
          <w:sz w:val="20"/>
        </w:rPr>
        <w:t xml:space="preserve">involved an application by the mother to replace shared-care orders made in March 2018 by sole care orders for two brothers A &amp; B, aged 11 &amp; 8 respectively.  </w:t>
      </w:r>
      <w:r w:rsidR="00534D65">
        <w:rPr>
          <w:rFonts w:ascii="Arial" w:hAnsi="Arial" w:cs="Arial"/>
          <w:sz w:val="20"/>
        </w:rPr>
        <w:t xml:space="preserve">In </w:t>
      </w:r>
      <w:r w:rsidR="00F661C5">
        <w:rPr>
          <w:rFonts w:ascii="Arial" w:hAnsi="Arial" w:cs="Arial"/>
          <w:sz w:val="20"/>
        </w:rPr>
        <w:t>refus</w:t>
      </w:r>
      <w:r w:rsidR="00534D65">
        <w:rPr>
          <w:rFonts w:ascii="Arial" w:hAnsi="Arial" w:cs="Arial"/>
          <w:sz w:val="20"/>
        </w:rPr>
        <w:t xml:space="preserve">ing the </w:t>
      </w:r>
      <w:r w:rsidR="00F661C5">
        <w:rPr>
          <w:rFonts w:ascii="Arial" w:hAnsi="Arial" w:cs="Arial"/>
          <w:sz w:val="20"/>
        </w:rPr>
        <w:t xml:space="preserve">mother’s </w:t>
      </w:r>
      <w:r w:rsidR="00534D65">
        <w:rPr>
          <w:rFonts w:ascii="Arial" w:hAnsi="Arial" w:cs="Arial"/>
          <w:sz w:val="20"/>
        </w:rPr>
        <w:t xml:space="preserve">application </w:t>
      </w:r>
      <w:r w:rsidR="00F661C5">
        <w:rPr>
          <w:rFonts w:ascii="Arial" w:hAnsi="Arial" w:cs="Arial"/>
          <w:sz w:val="20"/>
        </w:rPr>
        <w:t xml:space="preserve">for relocation </w:t>
      </w:r>
      <w:r w:rsidR="00534D65">
        <w:rPr>
          <w:rFonts w:ascii="Arial" w:hAnsi="Arial" w:cs="Arial"/>
          <w:sz w:val="20"/>
        </w:rPr>
        <w:t>his Honour said at [</w:t>
      </w:r>
      <w:r w:rsidR="008716F2">
        <w:rPr>
          <w:rFonts w:ascii="Arial" w:hAnsi="Arial" w:cs="Arial"/>
          <w:sz w:val="20"/>
        </w:rPr>
        <w:t>7</w:t>
      </w:r>
      <w:r w:rsidR="00534D65">
        <w:rPr>
          <w:rFonts w:ascii="Arial" w:hAnsi="Arial" w:cs="Arial"/>
          <w:sz w:val="20"/>
        </w:rPr>
        <w:t>]</w:t>
      </w:r>
      <w:r w:rsidR="008716F2">
        <w:rPr>
          <w:rFonts w:ascii="Arial" w:hAnsi="Arial" w:cs="Arial"/>
          <w:sz w:val="20"/>
        </w:rPr>
        <w:t>, [55]</w:t>
      </w:r>
      <w:r w:rsidR="00534D65">
        <w:rPr>
          <w:rFonts w:ascii="Arial" w:hAnsi="Arial" w:cs="Arial"/>
          <w:sz w:val="20"/>
        </w:rPr>
        <w:t xml:space="preserve"> &amp; [63]:</w:t>
      </w:r>
    </w:p>
    <w:p w14:paraId="292DEDA4" w14:textId="524BCBBC" w:rsidR="00534D65" w:rsidRDefault="00534D65" w:rsidP="00534D65">
      <w:pPr>
        <w:spacing w:before="120"/>
        <w:ind w:left="567" w:right="567"/>
        <w:jc w:val="both"/>
        <w:rPr>
          <w:rFonts w:ascii="Arial" w:hAnsi="Arial" w:cs="Arial"/>
          <w:sz w:val="20"/>
          <w:szCs w:val="20"/>
        </w:rPr>
      </w:pPr>
      <w:r>
        <w:rPr>
          <w:rFonts w:ascii="Arial" w:hAnsi="Arial" w:cs="Arial"/>
          <w:sz w:val="20"/>
          <w:szCs w:val="20"/>
        </w:rPr>
        <w:t>[</w:t>
      </w:r>
      <w:r w:rsidR="008716F2">
        <w:rPr>
          <w:rFonts w:ascii="Arial" w:hAnsi="Arial" w:cs="Arial"/>
          <w:sz w:val="20"/>
          <w:szCs w:val="20"/>
        </w:rPr>
        <w:t>7</w:t>
      </w:r>
      <w:r>
        <w:rPr>
          <w:rFonts w:ascii="Arial" w:hAnsi="Arial" w:cs="Arial"/>
          <w:sz w:val="20"/>
          <w:szCs w:val="20"/>
        </w:rPr>
        <w:t>] “</w:t>
      </w:r>
      <w:r w:rsidR="008716F2">
        <w:rPr>
          <w:rFonts w:ascii="Arial" w:hAnsi="Arial" w:cs="Arial"/>
          <w:sz w:val="20"/>
          <w:szCs w:val="20"/>
        </w:rPr>
        <w:t>…</w:t>
      </w:r>
      <w:r w:rsidRPr="00534D65">
        <w:rPr>
          <w:rFonts w:ascii="Arial" w:hAnsi="Arial" w:cs="Arial"/>
          <w:sz w:val="20"/>
          <w:szCs w:val="20"/>
        </w:rPr>
        <w:t>Both Ms D and Mr D need to stand back and appreciate their boys are well cared for by both parents. From everything I have read, they are generally happy, healthy, well-educated and content boys. As I set out below, if they have frustrations it is with their parents and their poor relationship which at times is negatively visited on the boys’ wellbeing, to their detriment.</w:t>
      </w:r>
      <w:r>
        <w:rPr>
          <w:rFonts w:ascii="Arial" w:hAnsi="Arial" w:cs="Arial"/>
          <w:sz w:val="20"/>
          <w:szCs w:val="20"/>
        </w:rPr>
        <w:t>”</w:t>
      </w:r>
    </w:p>
    <w:p w14:paraId="07351FC7" w14:textId="2A2178FE" w:rsidR="008716F2" w:rsidRDefault="008716F2" w:rsidP="00534D65">
      <w:pPr>
        <w:spacing w:before="120"/>
        <w:ind w:left="567" w:right="567"/>
        <w:jc w:val="both"/>
        <w:rPr>
          <w:rFonts w:ascii="Arial" w:hAnsi="Arial" w:cs="Arial"/>
          <w:sz w:val="20"/>
          <w:szCs w:val="20"/>
        </w:rPr>
      </w:pPr>
      <w:r>
        <w:rPr>
          <w:rFonts w:ascii="Arial" w:hAnsi="Arial" w:cs="Arial"/>
          <w:sz w:val="20"/>
          <w:szCs w:val="20"/>
        </w:rPr>
        <w:t xml:space="preserve">[55] </w:t>
      </w:r>
      <w:r w:rsidR="007374B2">
        <w:rPr>
          <w:rFonts w:ascii="Arial" w:hAnsi="Arial" w:cs="Arial"/>
          <w:sz w:val="20"/>
          <w:szCs w:val="20"/>
        </w:rPr>
        <w:t>“</w:t>
      </w:r>
      <w:r w:rsidRPr="008716F2">
        <w:rPr>
          <w:rFonts w:ascii="Arial" w:hAnsi="Arial" w:cs="Arial"/>
          <w:sz w:val="20"/>
          <w:szCs w:val="20"/>
        </w:rPr>
        <w:t>I do not doubt that A and B have expressed the view that they want to move to Somerset. I consider, however, that they have been subject to quite significant influencing both from what their mother has told them and also by her actions. There has also been some influencing from Mr D</w:t>
      </w:r>
      <w:r>
        <w:rPr>
          <w:rFonts w:ascii="Arial" w:hAnsi="Arial" w:cs="Arial"/>
          <w:sz w:val="20"/>
          <w:szCs w:val="20"/>
        </w:rPr>
        <w:t>…”</w:t>
      </w:r>
    </w:p>
    <w:p w14:paraId="4DD442FB" w14:textId="54824BAD" w:rsidR="00534D65" w:rsidRDefault="00534D65" w:rsidP="00534D65">
      <w:pPr>
        <w:spacing w:before="120"/>
        <w:ind w:left="567" w:right="567"/>
        <w:jc w:val="both"/>
        <w:rPr>
          <w:rFonts w:ascii="Arial" w:hAnsi="Arial" w:cs="Arial"/>
          <w:sz w:val="20"/>
          <w:szCs w:val="20"/>
        </w:rPr>
      </w:pPr>
      <w:r>
        <w:rPr>
          <w:rFonts w:ascii="Arial" w:hAnsi="Arial" w:cs="Arial"/>
          <w:sz w:val="20"/>
          <w:szCs w:val="20"/>
        </w:rPr>
        <w:t>[63] “</w:t>
      </w:r>
      <w:r w:rsidRPr="00534D65">
        <w:rPr>
          <w:rFonts w:ascii="Arial" w:hAnsi="Arial" w:cs="Arial"/>
          <w:sz w:val="20"/>
          <w:szCs w:val="20"/>
        </w:rPr>
        <w:t>I end by urging Mr D and Ms D to work together for A and B to improve their communication with each other to accept this decision made for A and B to ensure the co-parenting the boys</w:t>
      </w:r>
      <w:r w:rsidR="00DA0CC8">
        <w:rPr>
          <w:rFonts w:ascii="Arial" w:hAnsi="Arial" w:cs="Arial"/>
          <w:sz w:val="20"/>
          <w:szCs w:val="20"/>
        </w:rPr>
        <w:t>’</w:t>
      </w:r>
      <w:r w:rsidRPr="00534D65">
        <w:rPr>
          <w:rFonts w:ascii="Arial" w:hAnsi="Arial" w:cs="Arial"/>
          <w:sz w:val="20"/>
          <w:szCs w:val="20"/>
        </w:rPr>
        <w:t xml:space="preserve"> needs is a success for them. A and B are fortunate to have parents with so much to offer each of them.</w:t>
      </w:r>
      <w:r>
        <w:rPr>
          <w:rFonts w:ascii="Arial" w:hAnsi="Arial" w:cs="Arial"/>
          <w:sz w:val="20"/>
          <w:szCs w:val="20"/>
        </w:rPr>
        <w:t>”</w:t>
      </w:r>
    </w:p>
    <w:p w14:paraId="31C6A8E2" w14:textId="592210A4" w:rsidR="00084D11" w:rsidRDefault="00280E46" w:rsidP="008716F2">
      <w:pPr>
        <w:spacing w:before="120"/>
        <w:jc w:val="both"/>
        <w:rPr>
          <w:rFonts w:ascii="Arial" w:hAnsi="Arial" w:cs="Arial"/>
          <w:sz w:val="20"/>
        </w:rPr>
      </w:pPr>
      <w:r>
        <w:rPr>
          <w:rFonts w:ascii="Arial" w:hAnsi="Arial" w:cs="Arial"/>
          <w:sz w:val="20"/>
        </w:rPr>
        <w:t xml:space="preserve">Appendix One </w:t>
      </w:r>
      <w:r w:rsidR="00243264">
        <w:rPr>
          <w:rFonts w:ascii="Arial" w:hAnsi="Arial" w:cs="Arial"/>
          <w:sz w:val="20"/>
        </w:rPr>
        <w:t xml:space="preserve">contains a letter dated 30 August 2022 which </w:t>
      </w:r>
      <w:r w:rsidR="00534D65">
        <w:rPr>
          <w:rFonts w:ascii="Arial" w:hAnsi="Arial" w:cs="Arial"/>
          <w:sz w:val="20"/>
        </w:rPr>
        <w:t xml:space="preserve">his Honour </w:t>
      </w:r>
      <w:r w:rsidR="005B24B9">
        <w:rPr>
          <w:rFonts w:ascii="Arial" w:hAnsi="Arial" w:cs="Arial"/>
          <w:sz w:val="20"/>
        </w:rPr>
        <w:t>wrote</w:t>
      </w:r>
      <w:r w:rsidR="00243264">
        <w:rPr>
          <w:rFonts w:ascii="Arial" w:hAnsi="Arial" w:cs="Arial"/>
          <w:sz w:val="20"/>
        </w:rPr>
        <w:t xml:space="preserve"> to the two boys</w:t>
      </w:r>
      <w:r>
        <w:rPr>
          <w:rFonts w:ascii="Arial" w:hAnsi="Arial" w:cs="Arial"/>
          <w:sz w:val="20"/>
        </w:rPr>
        <w:t>:</w:t>
      </w:r>
    </w:p>
    <w:p w14:paraId="6CDFE510" w14:textId="47486045"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Dear [A] and [B],</w:t>
      </w:r>
    </w:p>
    <w:p w14:paraId="3FD443A4" w14:textId="5228D65E"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My name is John and I am a judge. I met your Mum and Dad at court in London last week. Your </w:t>
      </w:r>
      <w:r w:rsidR="00E07800">
        <w:rPr>
          <w:rFonts w:ascii="Arial" w:hAnsi="Arial" w:cs="Arial"/>
          <w:sz w:val="20"/>
          <w:szCs w:val="20"/>
        </w:rPr>
        <w:t>M</w:t>
      </w:r>
      <w:r w:rsidRPr="00243264">
        <w:rPr>
          <w:rFonts w:ascii="Arial" w:hAnsi="Arial" w:cs="Arial"/>
          <w:sz w:val="20"/>
          <w:szCs w:val="20"/>
        </w:rPr>
        <w:t xml:space="preserve">um and </w:t>
      </w:r>
      <w:r w:rsidR="00E07800">
        <w:rPr>
          <w:rFonts w:ascii="Arial" w:hAnsi="Arial" w:cs="Arial"/>
          <w:sz w:val="20"/>
          <w:szCs w:val="20"/>
        </w:rPr>
        <w:t>D</w:t>
      </w:r>
      <w:r w:rsidRPr="00243264">
        <w:rPr>
          <w:rFonts w:ascii="Arial" w:hAnsi="Arial" w:cs="Arial"/>
          <w:sz w:val="20"/>
          <w:szCs w:val="20"/>
        </w:rPr>
        <w:t>ad have asked me to make decisions for you both about where you should live.</w:t>
      </w:r>
    </w:p>
    <w:p w14:paraId="56B75EE6" w14:textId="4D33CC8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Mum asked me to decide that you should both come and live with her in Somerset and see your Dad only every second weekend and at holidays. Mum wants you to go to schools in Somerset.</w:t>
      </w:r>
    </w:p>
    <w:p w14:paraId="0C13E1FA"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Dad asked me to decide that things should stay as they are. That you spend one week with him and the other week with your Mum in London. Dad wants you to go to schools in London.</w:t>
      </w:r>
    </w:p>
    <w:p w14:paraId="125992E8"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think you met a lady called Shelley in July and you told her what you wanted. She told me you both liked the idea of living with your Mum in Somerset. Shelley spoke to me as well last week.</w:t>
      </w:r>
    </w:p>
    <w:p w14:paraId="2BE942E1"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hope you both understand that I have made the decision and not your Mum or your Dad. Judges sometimes have to make decisions when parents cannot agree.</w:t>
      </w:r>
    </w:p>
    <w:p w14:paraId="4EE74669" w14:textId="2D203BB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decided you should both continue to live in London with one week in the care of your Dad and then one week in the care of your mum.</w:t>
      </w:r>
      <w:r>
        <w:rPr>
          <w:rFonts w:ascii="Arial" w:hAnsi="Arial" w:cs="Arial"/>
          <w:sz w:val="20"/>
          <w:szCs w:val="20"/>
        </w:rPr>
        <w:t xml:space="preserve">  </w:t>
      </w:r>
      <w:r w:rsidRPr="00243264">
        <w:rPr>
          <w:rFonts w:ascii="Arial" w:hAnsi="Arial" w:cs="Arial"/>
          <w:sz w:val="20"/>
          <w:szCs w:val="20"/>
        </w:rPr>
        <w:t>This means you will both go to school in London from next week. I have decided you should have nice holidays in Somerset and I will speak with your Mum and Dad again to sort that out.</w:t>
      </w:r>
    </w:p>
    <w:p w14:paraId="5C595483" w14:textId="5048F1C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made this decision after considering who you both are, what you both need and things like your education, happiness and your welfare. I have decided you need each other – I think you are good brothers to each other. I also think you need to spend time with your Mum and with your Dad. They both need to play an important role in caring for you. I was worried your Dad might not have a full and proper role in your lives if you lived in Somerset. Looking at all these things in the round I felt this was the best decision for you both, although of course I considered what you both wanted.</w:t>
      </w:r>
    </w:p>
    <w:p w14:paraId="60717FDD" w14:textId="5C397C63"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I have also asked your Mum and Dad to behave a bit better. I know you both find the arguing that happens between them difficult. Although it is a naughty word, [A], you are right to describe it to Shelley as </w:t>
      </w:r>
      <w:r w:rsidR="008716F2">
        <w:rPr>
          <w:rFonts w:ascii="Arial" w:hAnsi="Arial" w:cs="Arial"/>
          <w:sz w:val="20"/>
          <w:szCs w:val="20"/>
        </w:rPr>
        <w:t>‘</w:t>
      </w:r>
      <w:r w:rsidRPr="00243264">
        <w:rPr>
          <w:rFonts w:ascii="Arial" w:hAnsi="Arial" w:cs="Arial"/>
          <w:sz w:val="20"/>
          <w:szCs w:val="20"/>
        </w:rPr>
        <w:t>crap</w:t>
      </w:r>
      <w:r w:rsidR="008716F2">
        <w:rPr>
          <w:rFonts w:ascii="Arial" w:hAnsi="Arial" w:cs="Arial"/>
          <w:sz w:val="20"/>
          <w:szCs w:val="20"/>
        </w:rPr>
        <w:t>’</w:t>
      </w:r>
      <w:r w:rsidRPr="00243264">
        <w:rPr>
          <w:rFonts w:ascii="Arial" w:hAnsi="Arial" w:cs="Arial"/>
          <w:sz w:val="20"/>
          <w:szCs w:val="20"/>
        </w:rPr>
        <w:t>.</w:t>
      </w:r>
    </w:p>
    <w:p w14:paraId="2905F227" w14:textId="69873E0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lastRenderedPageBreak/>
        <w:t xml:space="preserve">I have told your parents to stop </w:t>
      </w:r>
      <w:r w:rsidR="008716F2">
        <w:rPr>
          <w:rFonts w:ascii="Arial" w:hAnsi="Arial" w:cs="Arial"/>
          <w:sz w:val="20"/>
          <w:szCs w:val="20"/>
        </w:rPr>
        <w:t>‘</w:t>
      </w:r>
      <w:r w:rsidRPr="00243264">
        <w:rPr>
          <w:rFonts w:ascii="Arial" w:hAnsi="Arial" w:cs="Arial"/>
          <w:sz w:val="20"/>
          <w:szCs w:val="20"/>
        </w:rPr>
        <w:t>the crap</w:t>
      </w:r>
      <w:r w:rsidR="008716F2">
        <w:rPr>
          <w:rFonts w:ascii="Arial" w:hAnsi="Arial" w:cs="Arial"/>
          <w:sz w:val="20"/>
          <w:szCs w:val="20"/>
        </w:rPr>
        <w:t>’</w:t>
      </w:r>
      <w:r w:rsidRPr="00243264">
        <w:rPr>
          <w:rFonts w:ascii="Arial" w:hAnsi="Arial" w:cs="Arial"/>
          <w:sz w:val="20"/>
          <w:szCs w:val="20"/>
        </w:rPr>
        <w:t>. I hope you can both settle down with the new school term with week about with Mum and Dad in your London homes. I hope you will enjoy nice holidays in Somerset. I wish you both good luck.</w:t>
      </w:r>
    </w:p>
    <w:p w14:paraId="4483867E" w14:textId="577C66FE" w:rsidR="00243264" w:rsidRP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Judge John</w:t>
      </w:r>
      <w:r>
        <w:rPr>
          <w:rFonts w:ascii="Arial" w:hAnsi="Arial" w:cs="Arial"/>
          <w:sz w:val="20"/>
          <w:szCs w:val="20"/>
        </w:rPr>
        <w:t>”</w:t>
      </w:r>
    </w:p>
    <w:p w14:paraId="336335E8" w14:textId="77777777" w:rsidR="00243264" w:rsidRPr="000B509C" w:rsidRDefault="00243264">
      <w:pPr>
        <w:jc w:val="both"/>
        <w:rPr>
          <w:rFonts w:ascii="Arial" w:hAnsi="Arial" w:cs="Arial"/>
          <w:sz w:val="20"/>
        </w:rPr>
      </w:pPr>
    </w:p>
    <w:p w14:paraId="4D1D601C" w14:textId="3C790BD2" w:rsidR="00B21DA4" w:rsidRDefault="000B509C">
      <w:pPr>
        <w:jc w:val="both"/>
        <w:rPr>
          <w:rFonts w:ascii="Arial" w:hAnsi="Arial" w:cs="Arial"/>
          <w:sz w:val="20"/>
        </w:rPr>
      </w:pPr>
      <w:r>
        <w:rPr>
          <w:rFonts w:ascii="Arial" w:hAnsi="Arial" w:cs="Arial"/>
          <w:sz w:val="20"/>
        </w:rPr>
        <w:t>Neither the explanation given of an order nor the statement of reasons for an order is part of the order [s.527(10)].</w:t>
      </w:r>
      <w:r w:rsidR="00D60FE0">
        <w:rPr>
          <w:rFonts w:ascii="Arial" w:hAnsi="Arial" w:cs="Arial"/>
          <w:sz w:val="20"/>
        </w:rPr>
        <w:t xml:space="preserve">  </w:t>
      </w:r>
      <w:r w:rsidR="00B21DA4">
        <w:rPr>
          <w:rFonts w:ascii="Arial" w:hAnsi="Arial" w:cs="Arial"/>
          <w:sz w:val="20"/>
        </w:rPr>
        <w:t>The explanation given of an order is no</w:t>
      </w:r>
      <w:r>
        <w:rPr>
          <w:rFonts w:ascii="Arial" w:hAnsi="Arial" w:cs="Arial"/>
          <w:sz w:val="20"/>
        </w:rPr>
        <w:t>t</w:t>
      </w:r>
      <w:r w:rsidR="00B21DA4">
        <w:rPr>
          <w:rFonts w:ascii="Arial" w:hAnsi="Arial" w:cs="Arial"/>
          <w:sz w:val="20"/>
        </w:rPr>
        <w:t xml:space="preserve"> part of the reasons for the order [s.</w:t>
      </w:r>
      <w:r w:rsidR="00A46B94">
        <w:rPr>
          <w:rFonts w:ascii="Arial" w:hAnsi="Arial" w:cs="Arial"/>
          <w:sz w:val="20"/>
        </w:rPr>
        <w:t>527</w:t>
      </w:r>
      <w:r w:rsidR="00B21DA4">
        <w:rPr>
          <w:rFonts w:ascii="Arial" w:hAnsi="Arial" w:cs="Arial"/>
          <w:sz w:val="20"/>
        </w:rPr>
        <w:t>(1</w:t>
      </w:r>
      <w:r w:rsidR="00A46B94">
        <w:rPr>
          <w:rFonts w:ascii="Arial" w:hAnsi="Arial" w:cs="Arial"/>
          <w:sz w:val="20"/>
        </w:rPr>
        <w:t>1</w:t>
      </w:r>
      <w:r w:rsidR="00B21DA4">
        <w:rPr>
          <w:rFonts w:ascii="Arial" w:hAnsi="Arial" w:cs="Arial"/>
          <w:sz w:val="20"/>
        </w:rPr>
        <w:t>)].</w:t>
      </w:r>
    </w:p>
    <w:p w14:paraId="7AFCE677" w14:textId="44018108" w:rsidR="00F44596" w:rsidRDefault="00F44596">
      <w:pPr>
        <w:jc w:val="both"/>
        <w:rPr>
          <w:rFonts w:ascii="Arial" w:hAnsi="Arial" w:cs="Arial"/>
          <w:sz w:val="20"/>
        </w:rPr>
      </w:pPr>
    </w:p>
    <w:p w14:paraId="08BFE28E" w14:textId="3452E449" w:rsidR="000B509C" w:rsidRDefault="000B509C">
      <w:pPr>
        <w:jc w:val="both"/>
        <w:rPr>
          <w:rFonts w:ascii="Arial" w:hAnsi="Arial" w:cs="Arial"/>
          <w:sz w:val="20"/>
        </w:rPr>
      </w:pPr>
      <w:r>
        <w:rPr>
          <w:rFonts w:ascii="Arial" w:hAnsi="Arial" w:cs="Arial"/>
          <w:sz w:val="20"/>
        </w:rPr>
        <w:t>Section 527(12) of the CYFA provides</w:t>
      </w:r>
      <w:r w:rsidR="002D4688">
        <w:rPr>
          <w:rFonts w:ascii="Arial" w:hAnsi="Arial" w:cs="Arial"/>
          <w:sz w:val="20"/>
        </w:rPr>
        <w:t xml:space="preserve"> that an order made by the Court in a proceeding is not invalidated by, nor liable to be challenged, appealed against, reviewed, set aside, quashed or called in question in any court on account of the failure of the Children’s Court to comply with a provision of s.527 in the proceeding.</w:t>
      </w:r>
    </w:p>
    <w:p w14:paraId="2A2E6156" w14:textId="77777777" w:rsidR="000B509C" w:rsidRDefault="000B509C">
      <w:pPr>
        <w:jc w:val="both"/>
        <w:rPr>
          <w:rFonts w:ascii="Arial" w:hAnsi="Arial" w:cs="Arial"/>
          <w:sz w:val="20"/>
        </w:rPr>
      </w:pPr>
    </w:p>
    <w:p w14:paraId="3186FA49" w14:textId="70649CCD" w:rsidR="00D052F1" w:rsidRDefault="00D052F1" w:rsidP="00D60FE0">
      <w:pPr>
        <w:pStyle w:val="Heading3"/>
        <w:keepNext/>
        <w:keepLines/>
        <w:widowControl/>
        <w:spacing w:after="120" w:line="240" w:lineRule="auto"/>
        <w:rPr>
          <w:rFonts w:ascii="Arial" w:hAnsi="Arial" w:cs="Arial"/>
          <w:b/>
          <w:bCs/>
          <w:sz w:val="20"/>
        </w:rPr>
      </w:pPr>
      <w:bookmarkStart w:id="905" w:name="_3.7.2_Provision_of"/>
      <w:bookmarkEnd w:id="905"/>
      <w:r>
        <w:rPr>
          <w:rFonts w:ascii="Arial" w:hAnsi="Arial" w:cs="Arial"/>
          <w:b/>
          <w:bCs/>
          <w:sz w:val="20"/>
        </w:rPr>
        <w:t>3.7.2</w:t>
      </w:r>
      <w:r>
        <w:rPr>
          <w:rFonts w:ascii="Arial" w:hAnsi="Arial" w:cs="Arial"/>
          <w:b/>
          <w:bCs/>
          <w:sz w:val="20"/>
        </w:rPr>
        <w:tab/>
        <w:t>Provision of orders to parties</w:t>
      </w:r>
    </w:p>
    <w:p w14:paraId="02A39120" w14:textId="333DAF89" w:rsidR="00D052F1" w:rsidRDefault="00E07800" w:rsidP="00D60FE0">
      <w:pPr>
        <w:jc w:val="both"/>
        <w:rPr>
          <w:rFonts w:ascii="Arial" w:hAnsi="Arial" w:cs="Arial"/>
          <w:sz w:val="20"/>
        </w:rPr>
      </w:pPr>
      <w:r>
        <w:rPr>
          <w:rFonts w:ascii="Arial" w:hAnsi="Arial" w:cs="Arial"/>
          <w:sz w:val="20"/>
        </w:rPr>
        <w:t>Section 527(3) of the CYFA provides:</w:t>
      </w:r>
    </w:p>
    <w:p w14:paraId="47B13B7E" w14:textId="6083E34C" w:rsidR="00E07800" w:rsidRDefault="00E07800" w:rsidP="00E07800">
      <w:pPr>
        <w:spacing w:before="60"/>
        <w:ind w:left="567" w:right="567"/>
        <w:jc w:val="both"/>
        <w:rPr>
          <w:rFonts w:ascii="Arial" w:hAnsi="Arial" w:cs="Arial"/>
          <w:sz w:val="20"/>
        </w:rPr>
      </w:pPr>
      <w:r>
        <w:rPr>
          <w:rFonts w:ascii="Arial" w:hAnsi="Arial" w:cs="Arial"/>
          <w:sz w:val="20"/>
        </w:rPr>
        <w:t>“Immediately after the Court makes an order [referred to in s.527(4)], the Court must provide a written copy of the order in the prescribed form to–</w:t>
      </w:r>
    </w:p>
    <w:p w14:paraId="3EB3D438" w14:textId="3DBE50C8" w:rsidR="00E07800" w:rsidRDefault="00E07800">
      <w:pPr>
        <w:pStyle w:val="ListParagraph"/>
        <w:numPr>
          <w:ilvl w:val="0"/>
          <w:numId w:val="106"/>
        </w:numPr>
        <w:ind w:right="567"/>
        <w:jc w:val="both"/>
        <w:rPr>
          <w:rFonts w:ascii="Arial" w:hAnsi="Arial" w:cs="Arial"/>
          <w:sz w:val="20"/>
        </w:rPr>
      </w:pPr>
      <w:r>
        <w:rPr>
          <w:rFonts w:ascii="Arial" w:hAnsi="Arial" w:cs="Arial"/>
          <w:sz w:val="20"/>
        </w:rPr>
        <w:t>the child; and</w:t>
      </w:r>
    </w:p>
    <w:p w14:paraId="0DAF33A1" w14:textId="52124F51" w:rsidR="00E07800" w:rsidRPr="00E07800" w:rsidRDefault="00E07800">
      <w:pPr>
        <w:pStyle w:val="ListParagraph"/>
        <w:numPr>
          <w:ilvl w:val="0"/>
          <w:numId w:val="106"/>
        </w:numPr>
        <w:ind w:right="567"/>
        <w:jc w:val="both"/>
        <w:rPr>
          <w:rFonts w:ascii="Arial" w:hAnsi="Arial" w:cs="Arial"/>
          <w:sz w:val="20"/>
        </w:rPr>
      </w:pPr>
      <w:r>
        <w:rPr>
          <w:rFonts w:ascii="Arial" w:hAnsi="Arial" w:cs="Arial"/>
          <w:sz w:val="20"/>
        </w:rPr>
        <w:t>if the order is [an order described in paragraphs (a)-(j) of s.527(4)] made by the Family Division–</w:t>
      </w:r>
    </w:p>
    <w:p w14:paraId="429283CF" w14:textId="2E70DD20" w:rsidR="00E07800" w:rsidRDefault="00E07800" w:rsidP="00E07800">
      <w:pPr>
        <w:ind w:left="1378" w:right="567" w:hanging="454"/>
        <w:jc w:val="both"/>
        <w:rPr>
          <w:rFonts w:ascii="Arial" w:hAnsi="Arial" w:cs="Arial"/>
          <w:sz w:val="20"/>
        </w:rPr>
      </w:pPr>
      <w:r>
        <w:rPr>
          <w:rFonts w:ascii="Arial" w:hAnsi="Arial" w:cs="Arial"/>
          <w:sz w:val="20"/>
        </w:rPr>
        <w:t>(i)</w:t>
      </w:r>
      <w:r>
        <w:rPr>
          <w:rFonts w:ascii="Arial" w:hAnsi="Arial" w:cs="Arial"/>
          <w:sz w:val="20"/>
        </w:rPr>
        <w:tab/>
        <w:t>unless the Court otherwise orders, the child’s parents; and</w:t>
      </w:r>
    </w:p>
    <w:p w14:paraId="3ADFDCB5" w14:textId="69A75D11" w:rsidR="00E07800" w:rsidRDefault="00E07800" w:rsidP="00E07800">
      <w:pPr>
        <w:ind w:left="1378" w:right="567" w:hanging="454"/>
        <w:jc w:val="both"/>
        <w:rPr>
          <w:rFonts w:ascii="Arial" w:hAnsi="Arial" w:cs="Arial"/>
          <w:sz w:val="20"/>
        </w:rPr>
      </w:pPr>
      <w:r>
        <w:rPr>
          <w:rFonts w:ascii="Arial" w:hAnsi="Arial" w:cs="Arial"/>
          <w:sz w:val="20"/>
        </w:rPr>
        <w:t>(ii)</w:t>
      </w:r>
      <w:r>
        <w:rPr>
          <w:rFonts w:ascii="Arial" w:hAnsi="Arial" w:cs="Arial"/>
          <w:sz w:val="20"/>
        </w:rPr>
        <w:tab/>
        <w:t>if the Court so orders, any other person with whom the child is living; and</w:t>
      </w:r>
    </w:p>
    <w:p w14:paraId="2460878A" w14:textId="7FF97D2D" w:rsidR="00E07800" w:rsidRPr="00E07800" w:rsidRDefault="00E07800">
      <w:pPr>
        <w:pStyle w:val="ListParagraph"/>
        <w:numPr>
          <w:ilvl w:val="0"/>
          <w:numId w:val="106"/>
        </w:numPr>
        <w:ind w:right="567"/>
        <w:jc w:val="both"/>
        <w:rPr>
          <w:rFonts w:ascii="Arial" w:hAnsi="Arial" w:cs="Arial"/>
          <w:sz w:val="20"/>
        </w:rPr>
      </w:pPr>
      <w:r>
        <w:rPr>
          <w:rFonts w:ascii="Arial" w:hAnsi="Arial" w:cs="Arial"/>
          <w:sz w:val="20"/>
        </w:rPr>
        <w:t>if the order is [an order described in paragraphs (k)-</w:t>
      </w:r>
      <w:r w:rsidR="00B63511">
        <w:rPr>
          <w:rFonts w:ascii="Arial" w:hAnsi="Arial" w:cs="Arial"/>
          <w:sz w:val="20"/>
        </w:rPr>
        <w:t>(n) of s.527(4)] made by the Criminal Division–</w:t>
      </w:r>
    </w:p>
    <w:p w14:paraId="755FF779" w14:textId="21750C8C" w:rsidR="00B63511" w:rsidRDefault="00B63511" w:rsidP="00B63511">
      <w:pPr>
        <w:ind w:left="1378" w:right="567" w:hanging="454"/>
        <w:jc w:val="both"/>
        <w:rPr>
          <w:rFonts w:ascii="Arial" w:hAnsi="Arial" w:cs="Arial"/>
          <w:sz w:val="20"/>
        </w:rPr>
      </w:pPr>
      <w:r>
        <w:rPr>
          <w:rFonts w:ascii="Arial" w:hAnsi="Arial" w:cs="Arial"/>
          <w:sz w:val="20"/>
        </w:rPr>
        <w:t>(i)</w:t>
      </w:r>
      <w:r>
        <w:rPr>
          <w:rFonts w:ascii="Arial" w:hAnsi="Arial" w:cs="Arial"/>
          <w:sz w:val="20"/>
        </w:rPr>
        <w:tab/>
        <w:t>unless the Court otherwise orders, the child’s parents if the child is under the age of 15 years; or</w:t>
      </w:r>
    </w:p>
    <w:p w14:paraId="7DA5DC08" w14:textId="1E9DEFC1" w:rsidR="00B63511" w:rsidRDefault="00B63511" w:rsidP="00B63511">
      <w:pPr>
        <w:ind w:left="1378" w:right="567" w:hanging="454"/>
        <w:jc w:val="both"/>
        <w:rPr>
          <w:rFonts w:ascii="Arial" w:hAnsi="Arial" w:cs="Arial"/>
          <w:sz w:val="20"/>
        </w:rPr>
      </w:pPr>
      <w:r>
        <w:rPr>
          <w:rFonts w:ascii="Arial" w:hAnsi="Arial" w:cs="Arial"/>
          <w:sz w:val="20"/>
        </w:rPr>
        <w:t>(ii)</w:t>
      </w:r>
      <w:r>
        <w:rPr>
          <w:rFonts w:ascii="Arial" w:hAnsi="Arial" w:cs="Arial"/>
          <w:sz w:val="20"/>
        </w:rPr>
        <w:tab/>
        <w:t>if the Court so orders, the child’s parents if the child is of or above the age of 15 years; and</w:t>
      </w:r>
    </w:p>
    <w:p w14:paraId="0BA991D3" w14:textId="54A8FFCE" w:rsidR="00B63511" w:rsidRPr="00E07800" w:rsidRDefault="00B63511">
      <w:pPr>
        <w:pStyle w:val="ListParagraph"/>
        <w:numPr>
          <w:ilvl w:val="0"/>
          <w:numId w:val="106"/>
        </w:numPr>
        <w:ind w:right="567"/>
        <w:jc w:val="both"/>
        <w:rPr>
          <w:rFonts w:ascii="Arial" w:hAnsi="Arial" w:cs="Arial"/>
          <w:sz w:val="20"/>
        </w:rPr>
      </w:pPr>
      <w:r>
        <w:rPr>
          <w:rFonts w:ascii="Arial" w:hAnsi="Arial" w:cs="Arial"/>
          <w:sz w:val="20"/>
        </w:rPr>
        <w:t>the Secretary [or the principal officer of an authorised Aboriginal agency], in appropriate cases; and</w:t>
      </w:r>
    </w:p>
    <w:p w14:paraId="0F67660E" w14:textId="4D521FB0" w:rsidR="00B63511" w:rsidRPr="00E07800" w:rsidRDefault="00B63511">
      <w:pPr>
        <w:pStyle w:val="ListParagraph"/>
        <w:numPr>
          <w:ilvl w:val="0"/>
          <w:numId w:val="106"/>
        </w:numPr>
        <w:ind w:right="567"/>
        <w:jc w:val="both"/>
        <w:rPr>
          <w:rFonts w:ascii="Arial" w:hAnsi="Arial" w:cs="Arial"/>
          <w:sz w:val="20"/>
        </w:rPr>
      </w:pPr>
      <w:r>
        <w:rPr>
          <w:rFonts w:ascii="Arial" w:hAnsi="Arial" w:cs="Arial"/>
          <w:sz w:val="20"/>
        </w:rPr>
        <w:t>in the case of a permanent care order, the person who has, or persons who have, been granted parental responsibility under the order.”</w:t>
      </w:r>
    </w:p>
    <w:p w14:paraId="773A3746" w14:textId="62967941" w:rsidR="00B63511" w:rsidRDefault="00B63511">
      <w:pPr>
        <w:jc w:val="both"/>
        <w:rPr>
          <w:rFonts w:ascii="Arial" w:hAnsi="Arial" w:cs="Arial"/>
          <w:sz w:val="20"/>
        </w:rPr>
      </w:pPr>
    </w:p>
    <w:p w14:paraId="41B6960B" w14:textId="66A813BF" w:rsidR="00B63511" w:rsidRDefault="00B63511">
      <w:pPr>
        <w:jc w:val="both"/>
        <w:rPr>
          <w:rFonts w:ascii="Arial" w:hAnsi="Arial" w:cs="Arial"/>
          <w:sz w:val="20"/>
        </w:rPr>
      </w:pPr>
      <w:r>
        <w:rPr>
          <w:rFonts w:ascii="Arial" w:hAnsi="Arial" w:cs="Arial"/>
          <w:sz w:val="20"/>
        </w:rPr>
        <w:t xml:space="preserve">Pursuant to s.527(5) of the CYFA, the Secretary or the principal officer of an authorised Aboriginal agency </w:t>
      </w:r>
      <w:r w:rsidR="002F407F">
        <w:rPr>
          <w:rFonts w:ascii="Arial" w:hAnsi="Arial" w:cs="Arial"/>
          <w:sz w:val="20"/>
        </w:rPr>
        <w:t xml:space="preserve">(as the case may be) </w:t>
      </w:r>
      <w:r>
        <w:rPr>
          <w:rFonts w:ascii="Arial" w:hAnsi="Arial" w:cs="Arial"/>
          <w:sz w:val="20"/>
        </w:rPr>
        <w:t>must provide a written copy of a temporary assessment order made without notice to the child and the parent of the child, to the child and the parent of the child immediately on exercising any power given under the order.</w:t>
      </w:r>
    </w:p>
    <w:p w14:paraId="659B69F4" w14:textId="77777777" w:rsidR="00B63511" w:rsidRDefault="00B63511">
      <w:pPr>
        <w:jc w:val="both"/>
        <w:rPr>
          <w:rFonts w:ascii="Arial" w:hAnsi="Arial" w:cs="Arial"/>
          <w:sz w:val="20"/>
        </w:rPr>
      </w:pPr>
    </w:p>
    <w:p w14:paraId="53224A55" w14:textId="7A662838"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r w:rsidR="00E07800">
        <w:rPr>
          <w:rFonts w:ascii="Arial" w:hAnsi="Arial" w:cs="Arial"/>
          <w:sz w:val="20"/>
        </w:rPr>
        <w: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56B3917" w14:textId="77777777" w:rsidR="00D60FE0" w:rsidRDefault="00D60FE0">
      <w:pPr>
        <w:rPr>
          <w:rFonts w:ascii="Arial" w:hAnsi="Arial" w:cs="Arial"/>
          <w:sz w:val="20"/>
        </w:rPr>
      </w:pPr>
    </w:p>
    <w:p w14:paraId="364F50B5" w14:textId="08E6E057" w:rsidR="00B21DA4" w:rsidRDefault="00D60FE0">
      <w:pPr>
        <w:rPr>
          <w:rFonts w:ascii="Arial" w:hAnsi="Arial" w:cs="Arial"/>
          <w:sz w:val="20"/>
        </w:rPr>
      </w:pPr>
      <w:r>
        <w:rPr>
          <w:rFonts w:ascii="Arial" w:hAnsi="Arial" w:cs="Arial"/>
          <w:sz w:val="20"/>
        </w:rPr>
        <w:t>Neither the explanation given of an order nor the statement of reasons for an order is part of the order [s.527(10)].</w:t>
      </w:r>
    </w:p>
    <w:p w14:paraId="1BD7F91C" w14:textId="77777777" w:rsidR="00B21DA4" w:rsidRDefault="00B21DA4">
      <w:pPr>
        <w:rPr>
          <w:rFonts w:ascii="Arial" w:hAnsi="Arial" w:cs="Arial"/>
          <w:sz w:val="20"/>
        </w:rPr>
      </w:pPr>
    </w:p>
    <w:p w14:paraId="477C7A58" w14:textId="60DF3A0A" w:rsidR="00B21DA4" w:rsidRDefault="00B21DA4" w:rsidP="00302F4D">
      <w:pPr>
        <w:pStyle w:val="Heading3"/>
        <w:keepNext/>
        <w:keepLines/>
        <w:spacing w:after="120" w:line="240" w:lineRule="auto"/>
        <w:rPr>
          <w:rFonts w:ascii="Arial" w:hAnsi="Arial" w:cs="Arial"/>
          <w:b/>
          <w:bCs/>
          <w:sz w:val="20"/>
        </w:rPr>
      </w:pPr>
      <w:bookmarkStart w:id="906" w:name="_3.7.2_Judgments"/>
      <w:bookmarkStart w:id="907" w:name="B372"/>
      <w:bookmarkStart w:id="908" w:name="_Toc58831510"/>
      <w:bookmarkEnd w:id="906"/>
      <w:bookmarkEnd w:id="907"/>
      <w:r>
        <w:rPr>
          <w:rFonts w:ascii="Arial" w:hAnsi="Arial" w:cs="Arial"/>
          <w:b/>
          <w:bCs/>
          <w:sz w:val="20"/>
        </w:rPr>
        <w:t>3.</w:t>
      </w:r>
      <w:r w:rsidR="00AB3569">
        <w:rPr>
          <w:rFonts w:ascii="Arial" w:hAnsi="Arial" w:cs="Arial"/>
          <w:b/>
          <w:bCs/>
          <w:sz w:val="20"/>
        </w:rPr>
        <w:t>7</w:t>
      </w:r>
      <w:r>
        <w:rPr>
          <w:rFonts w:ascii="Arial" w:hAnsi="Arial" w:cs="Arial"/>
          <w:b/>
          <w:bCs/>
          <w:sz w:val="20"/>
        </w:rPr>
        <w:t>.</w:t>
      </w:r>
      <w:r w:rsidR="00D052F1">
        <w:rPr>
          <w:rFonts w:ascii="Arial" w:hAnsi="Arial" w:cs="Arial"/>
          <w:b/>
          <w:bCs/>
          <w:sz w:val="20"/>
        </w:rPr>
        <w:t>3</w:t>
      </w:r>
      <w:r>
        <w:rPr>
          <w:rFonts w:ascii="Arial" w:hAnsi="Arial" w:cs="Arial"/>
          <w:b/>
          <w:bCs/>
          <w:sz w:val="20"/>
        </w:rPr>
        <w:tab/>
        <w:t>Judgments</w:t>
      </w:r>
      <w:bookmarkEnd w:id="908"/>
    </w:p>
    <w:p w14:paraId="0D6E4D46" w14:textId="77777777" w:rsidR="00B21DA4" w:rsidRDefault="00B21DA4" w:rsidP="00D60FE0">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3C53AD5E"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w:t>
      </w:r>
      <w:r w:rsidR="00E07800">
        <w:rPr>
          <w:rFonts w:ascii="Arial" w:hAnsi="Arial" w:cs="Arial"/>
          <w:sz w:val="20"/>
        </w:rPr>
        <w:t xml:space="preserve"> </w:t>
      </w:r>
      <w:r>
        <w:rPr>
          <w:rFonts w:ascii="Arial" w:hAnsi="Arial" w:cs="Arial"/>
          <w:sz w:val="20"/>
        </w:rPr>
        <w:t xml:space="preserve">reasons are given orally in Court immediately </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5DF1C51C" w:rsidR="00B21DA4" w:rsidRDefault="002B29D9">
      <w:pPr>
        <w:jc w:val="both"/>
        <w:rPr>
          <w:rFonts w:ascii="Arial" w:hAnsi="Arial" w:cs="Arial"/>
          <w:sz w:val="20"/>
        </w:rPr>
      </w:pPr>
      <w:r>
        <w:rPr>
          <w:rFonts w:ascii="Arial" w:hAnsi="Arial" w:cs="Arial"/>
          <w:sz w:val="20"/>
        </w:rPr>
        <w:t xml:space="preserve">For a discussion of the dilemma facing a judge deciding between an </w:t>
      </w:r>
      <w:r w:rsidRPr="00B51AB7">
        <w:rPr>
          <w:rFonts w:ascii="Arial" w:hAnsi="Arial" w:cs="Arial"/>
          <w:i/>
          <w:iCs/>
          <w:sz w:val="20"/>
        </w:rPr>
        <w:t>ex tempore</w:t>
      </w:r>
      <w:r>
        <w:rPr>
          <w:rFonts w:ascii="Arial" w:hAnsi="Arial" w:cs="Arial"/>
          <w:sz w:val="20"/>
        </w:rPr>
        <w:t xml:space="preserve"> judgment and a reserved judgment see </w:t>
      </w:r>
      <w:r w:rsidRPr="00B51AB7">
        <w:rPr>
          <w:rFonts w:ascii="Arial" w:hAnsi="Arial" w:cs="Arial"/>
          <w:i/>
          <w:iCs/>
          <w:sz w:val="20"/>
        </w:rPr>
        <w:t>Hadid v Redpath</w:t>
      </w:r>
      <w:r>
        <w:rPr>
          <w:rFonts w:ascii="Arial" w:hAnsi="Arial" w:cs="Arial"/>
          <w:sz w:val="20"/>
        </w:rPr>
        <w:t xml:space="preserve"> [2001] NSWCA 416 at [40]-[52] per </w:t>
      </w:r>
      <w:proofErr w:type="spellStart"/>
      <w:r>
        <w:rPr>
          <w:rFonts w:ascii="Arial" w:hAnsi="Arial" w:cs="Arial"/>
          <w:sz w:val="20"/>
        </w:rPr>
        <w:t>Heydon</w:t>
      </w:r>
      <w:proofErr w:type="spellEnd"/>
      <w:r>
        <w:rPr>
          <w:rFonts w:ascii="Arial" w:hAnsi="Arial" w:cs="Arial"/>
          <w:sz w:val="20"/>
        </w:rPr>
        <w:t xml:space="preserve"> JA.</w:t>
      </w:r>
    </w:p>
    <w:p w14:paraId="3F12960C" w14:textId="77777777" w:rsidR="002B29D9" w:rsidRDefault="002B29D9">
      <w:pPr>
        <w:jc w:val="both"/>
        <w:rPr>
          <w:rFonts w:ascii="Arial" w:hAnsi="Arial" w:cs="Arial"/>
          <w:sz w:val="20"/>
        </w:rPr>
      </w:pPr>
    </w:p>
    <w:p w14:paraId="41DA561C" w14:textId="2ACFFE9B"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r w:rsidR="00B51AB7">
        <w:rPr>
          <w:rFonts w:ascii="Arial" w:hAnsi="Arial" w:cs="Arial"/>
          <w:sz w:val="20"/>
        </w:rPr>
        <w:t>.</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lastRenderedPageBreak/>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adequate statement of reasons, namely:  the judge should refer to relevant evidence; the judge should set out any material findings of fact and conclusions or ultimate findings of fact reached; and the judge should provide 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D76EF0">
      <w:pPr>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 xml:space="preserve">Mutual Cleaning &amp; Maintenance Pty Ltd v </w:t>
      </w:r>
      <w:proofErr w:type="spellStart"/>
      <w:r w:rsidRPr="00FC6E39">
        <w:rPr>
          <w:rFonts w:ascii="Arial" w:hAnsi="Arial" w:cs="Arial"/>
          <w:i/>
          <w:sz w:val="20"/>
          <w:lang w:val="en"/>
        </w:rPr>
        <w:t>Stamboulakis</w:t>
      </w:r>
      <w:proofErr w:type="spellEnd"/>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 xml:space="preserve">[2006] VSCA 48 at [65], again </w:t>
      </w:r>
      <w:proofErr w:type="spellStart"/>
      <w:r w:rsidRPr="00FC6E39">
        <w:rPr>
          <w:rFonts w:ascii="Arial" w:hAnsi="Arial" w:cs="Arial"/>
          <w:sz w:val="20"/>
          <w:lang w:val="en"/>
        </w:rPr>
        <w:t>emphasised</w:t>
      </w:r>
      <w:proofErr w:type="spellEnd"/>
      <w:r w:rsidRPr="00FC6E39">
        <w:rPr>
          <w:rFonts w:ascii="Arial" w:hAnsi="Arial" w:cs="Arial"/>
          <w:sz w:val="20"/>
          <w:lang w:val="en"/>
        </w:rPr>
        <w:t xml:space="preserve">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D76EF0">
      <w:pPr>
        <w:spacing w:before="60"/>
        <w:ind w:left="567" w:right="567"/>
        <w:jc w:val="both"/>
        <w:rPr>
          <w:rFonts w:ascii="Arial" w:hAnsi="Arial" w:cs="Arial"/>
          <w:sz w:val="20"/>
        </w:rPr>
      </w:pPr>
      <w:r>
        <w:rPr>
          <w:rFonts w:ascii="Arial" w:hAnsi="Arial" w:cs="Arial"/>
          <w:sz w:val="20"/>
        </w:rPr>
        <w:lastRenderedPageBreak/>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[2002] VSCA 189 the Court of Appeal (Charles, Buchanan &amp; Chernov JJA) extensively reviewed the case law and held:</w:t>
      </w:r>
    </w:p>
    <w:p w14:paraId="4CA08295" w14:textId="77777777" w:rsidR="00B21DA4" w:rsidRDefault="00B21DA4" w:rsidP="00D76EF0">
      <w:pPr>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5E5743">
      <w:pPr>
        <w:numPr>
          <w:ilvl w:val="0"/>
          <w:numId w:val="11"/>
        </w:numPr>
        <w:jc w:val="both"/>
        <w:rPr>
          <w:rFonts w:ascii="Arial" w:hAnsi="Arial" w:cs="Arial"/>
          <w:sz w:val="20"/>
        </w:rPr>
      </w:pPr>
      <w:r>
        <w:rPr>
          <w:rFonts w:ascii="Arial" w:hAnsi="Arial" w:cs="Arial"/>
          <w:sz w:val="20"/>
        </w:rPr>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rsidP="005E5743">
      <w:pPr>
        <w:spacing w:before="60"/>
        <w:ind w:left="454" w:right="454"/>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5E5743">
      <w:pPr>
        <w:spacing w:before="60"/>
        <w:ind w:left="454" w:right="454"/>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8B7D36">
        <w:rPr>
          <w:rFonts w:ascii="Arial" w:hAnsi="Arial" w:cs="Arial"/>
          <w:i/>
          <w:iCs/>
          <w:color w:val="000000"/>
          <w:sz w:val="20"/>
          <w:u w:val="single"/>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909" w:name="_Toc30608810"/>
      <w:bookmarkStart w:id="910" w:name="_Toc30610024"/>
      <w:bookmarkStart w:id="911" w:name="_Toc30610268"/>
      <w:bookmarkStart w:id="912" w:name="_Toc30638422"/>
      <w:bookmarkStart w:id="913" w:name="_Toc30644231"/>
      <w:bookmarkStart w:id="914" w:name="_Toc30644634"/>
      <w:bookmarkStart w:id="915" w:name="_Toc30645184"/>
      <w:bookmarkStart w:id="916" w:name="_Toc30646395"/>
      <w:bookmarkStart w:id="917" w:name="_Toc30646690"/>
      <w:bookmarkStart w:id="918" w:name="_Toc30646801"/>
      <w:bookmarkStart w:id="919" w:name="_Toc30648158"/>
      <w:bookmarkStart w:id="920" w:name="_Toc30649056"/>
      <w:bookmarkStart w:id="921" w:name="_Toc30649132"/>
      <w:bookmarkStart w:id="922" w:name="_Toc30649393"/>
      <w:bookmarkStart w:id="923" w:name="_Toc30649718"/>
      <w:bookmarkStart w:id="924" w:name="_Toc30651658"/>
      <w:bookmarkStart w:id="925" w:name="_Toc30652644"/>
      <w:bookmarkStart w:id="926" w:name="_Toc30652742"/>
      <w:bookmarkStart w:id="927" w:name="_Toc30654087"/>
      <w:bookmarkStart w:id="928" w:name="_Toc30654438"/>
      <w:bookmarkStart w:id="929" w:name="_Toc30655057"/>
      <w:bookmarkStart w:id="930" w:name="_Toc30655314"/>
      <w:bookmarkStart w:id="931" w:name="_Toc30656992"/>
      <w:bookmarkStart w:id="932" w:name="_Toc30661741"/>
      <w:bookmarkStart w:id="933" w:name="_Toc30666429"/>
      <w:bookmarkStart w:id="934" w:name="_Toc30666659"/>
      <w:bookmarkStart w:id="935" w:name="_Toc30667834"/>
      <w:bookmarkStart w:id="936" w:name="_Toc30669212"/>
      <w:bookmarkStart w:id="937" w:name="_Toc30671428"/>
      <w:bookmarkStart w:id="938" w:name="_Toc30673955"/>
      <w:bookmarkStart w:id="939" w:name="_Toc30691177"/>
      <w:bookmarkStart w:id="940" w:name="_Toc30691548"/>
      <w:bookmarkStart w:id="941" w:name="_Toc30691928"/>
      <w:bookmarkStart w:id="942" w:name="_Toc30692687"/>
      <w:bookmarkStart w:id="943" w:name="_Toc30693066"/>
      <w:bookmarkStart w:id="944" w:name="_Toc30693444"/>
      <w:bookmarkStart w:id="945" w:name="_Toc30693823"/>
      <w:bookmarkStart w:id="946" w:name="_Toc30694204"/>
      <w:bookmarkStart w:id="947" w:name="_Toc30698793"/>
      <w:bookmarkStart w:id="948" w:name="_Toc30699171"/>
      <w:bookmarkStart w:id="949" w:name="_Toc30699556"/>
      <w:bookmarkStart w:id="950" w:name="_Toc30700711"/>
      <w:bookmarkStart w:id="951" w:name="_Toc30701098"/>
      <w:bookmarkStart w:id="952" w:name="_Toc30743707"/>
      <w:bookmarkStart w:id="953" w:name="_Toc30754529"/>
      <w:bookmarkStart w:id="954" w:name="_Toc30756969"/>
      <w:bookmarkStart w:id="955" w:name="_Toc30757518"/>
      <w:bookmarkStart w:id="956" w:name="_Toc30757918"/>
      <w:bookmarkStart w:id="957" w:name="_Toc30762679"/>
      <w:bookmarkStart w:id="958" w:name="_Toc30767333"/>
      <w:bookmarkStart w:id="959" w:name="_Toc34823349"/>
      <w:bookmarkStart w:id="960"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5E5743">
      <w:pPr>
        <w:spacing w:before="80"/>
        <w:ind w:left="454" w:right="454"/>
        <w:jc w:val="both"/>
        <w:rPr>
          <w:rFonts w:ascii="Arial" w:hAnsi="Arial" w:cs="Arial"/>
          <w:sz w:val="20"/>
        </w:rPr>
      </w:pPr>
      <w:r>
        <w:rPr>
          <w:rFonts w:ascii="Arial" w:hAnsi="Arial" w:cs="Arial"/>
          <w:sz w:val="20"/>
        </w:rPr>
        <w:t>“</w:t>
      </w:r>
      <w:r w:rsidRPr="001E2974">
        <w:rPr>
          <w:rFonts w:ascii="Arial" w:hAnsi="Arial" w:cs="Arial"/>
          <w:sz w:val="20"/>
          <w:szCs w:val="20"/>
        </w:rPr>
        <w:t xml:space="preserve">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w:t>
      </w:r>
      <w:r w:rsidRPr="001E2974">
        <w:rPr>
          <w:rFonts w:ascii="Arial" w:hAnsi="Arial" w:cs="Arial"/>
          <w:sz w:val="20"/>
          <w:szCs w:val="20"/>
        </w:rPr>
        <w:lastRenderedPageBreak/>
        <w:t>tribunals are expected to deliver justice with speed and economy, and against these imperatives must in their judgments be as brie</w:t>
      </w:r>
      <w:r>
        <w:rPr>
          <w:rFonts w:ascii="Arial" w:hAnsi="Arial" w:cs="Arial"/>
          <w:sz w:val="20"/>
          <w:szCs w:val="20"/>
        </w:rPr>
        <w:t>f as the circumstances permit.”</w:t>
      </w:r>
    </w:p>
    <w:p w14:paraId="1D37EEB0" w14:textId="77777777" w:rsidR="005E5743" w:rsidRDefault="005E5743" w:rsidP="00B46278">
      <w:pPr>
        <w:jc w:val="both"/>
        <w:rPr>
          <w:rFonts w:ascii="Arial" w:hAnsi="Arial" w:cs="Arial"/>
          <w:sz w:val="20"/>
        </w:rPr>
      </w:pPr>
    </w:p>
    <w:p w14:paraId="3AE9DD64" w14:textId="061CE2DD"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5E5743">
      <w:pPr>
        <w:spacing w:before="80"/>
        <w:ind w:left="454" w:right="454"/>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5E5743">
      <w:pPr>
        <w:ind w:left="907" w:right="907"/>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 xml:space="preserve">Woolworths Ltd v </w:t>
      </w:r>
      <w:proofErr w:type="spellStart"/>
      <w:r w:rsidRPr="001C1A52">
        <w:rPr>
          <w:rFonts w:ascii="Arial" w:eastAsia="Book Antiqua" w:hAnsi="Arial" w:cs="Arial"/>
          <w:i/>
          <w:sz w:val="20"/>
          <w:szCs w:val="20"/>
        </w:rPr>
        <w:t>Warfe</w:t>
      </w:r>
      <w:proofErr w:type="spellEnd"/>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6DAC358A" w:rsidR="001C1A52" w:rsidRPr="004A50B3" w:rsidRDefault="001C1A52" w:rsidP="005E5743">
      <w:pPr>
        <w:spacing w:before="80"/>
        <w:ind w:left="454" w:right="454"/>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5E5743">
      <w:pPr>
        <w:spacing w:before="80"/>
        <w:ind w:left="454" w:right="454"/>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lastRenderedPageBreak/>
        <w:t>Reimbold</w:t>
      </w:r>
      <w:proofErr w:type="spellEnd"/>
      <w:r>
        <w:rPr>
          <w:rFonts w:ascii="Arial" w:hAnsi="Arial" w:cs="Arial"/>
          <w:i/>
          <w:sz w:val="20"/>
        </w:rPr>
        <w:t xml:space="preserve"> &amp; Strick Ltd </w:t>
      </w:r>
      <w:r>
        <w:rPr>
          <w:rFonts w:ascii="Arial" w:hAnsi="Arial" w:cs="Arial"/>
          <w:iCs/>
          <w:sz w:val="20"/>
        </w:rPr>
        <w:t>[2002] 1 WLR 2409 (Lord Phillips of Worth Matravers MR, Latham &amp; Arden LJJ) at 2419-20:</w:t>
      </w:r>
    </w:p>
    <w:p w14:paraId="728E4240" w14:textId="77777777" w:rsidR="00A962F2" w:rsidRDefault="00B21DA4" w:rsidP="00A962F2">
      <w:pPr>
        <w:spacing w:before="80"/>
        <w:ind w:left="454" w:right="454"/>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Pr="005E5743" w:rsidRDefault="00B21DA4" w:rsidP="00A962F2">
      <w:pPr>
        <w:spacing w:before="60"/>
        <w:ind w:left="907" w:right="907"/>
        <w:jc w:val="both"/>
        <w:rPr>
          <w:rFonts w:ascii="Arial" w:hAnsi="Arial" w:cs="Arial"/>
          <w:sz w:val="18"/>
          <w:szCs w:val="22"/>
        </w:rPr>
      </w:pPr>
      <w:r w:rsidRPr="005E5743">
        <w:rPr>
          <w:rFonts w:ascii="Arial" w:hAnsi="Arial" w:cs="Arial"/>
          <w:sz w:val="18"/>
          <w:szCs w:val="22"/>
        </w:rPr>
        <w:t xml:space="preserve">'…this court must be slow to interfere with the exercise of a judge's </w:t>
      </w:r>
      <w:proofErr w:type="gramStart"/>
      <w:r w:rsidRPr="005E5743">
        <w:rPr>
          <w:rFonts w:ascii="Arial" w:hAnsi="Arial" w:cs="Arial"/>
          <w:sz w:val="18"/>
          <w:szCs w:val="22"/>
        </w:rPr>
        <w:t>discretion, when</w:t>
      </w:r>
      <w:proofErr w:type="gramEnd"/>
      <w:r w:rsidRPr="005E5743">
        <w:rPr>
          <w:rFonts w:ascii="Arial" w:hAnsi="Arial" w:cs="Arial"/>
          <w:sz w:val="18"/>
          <w:szCs w:val="22"/>
        </w:rPr>
        <w:t xml:space="preserve">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6C13D024" w14:textId="77777777" w:rsidR="00A962F2" w:rsidRDefault="00B21DA4" w:rsidP="00A962F2">
      <w:pPr>
        <w:spacing w:before="80"/>
        <w:ind w:left="454" w:right="454"/>
        <w:jc w:val="both"/>
        <w:rPr>
          <w:rFonts w:ascii="Arial" w:hAnsi="Arial" w:cs="Arial"/>
          <w:sz w:val="20"/>
        </w:rPr>
      </w:pPr>
      <w:r>
        <w:rPr>
          <w:rFonts w:ascii="Arial" w:hAnsi="Arial" w:cs="Arial"/>
          <w:sz w:val="20"/>
        </w:rPr>
        <w:t>[28</w:t>
      </w:r>
      <w:proofErr w:type="gramStart"/>
      <w:r>
        <w:rPr>
          <w:rFonts w:ascii="Arial" w:hAnsi="Arial" w:cs="Arial"/>
          <w:sz w:val="20"/>
        </w:rPr>
        <w:t>]  It</w:t>
      </w:r>
      <w:proofErr w:type="gramEnd"/>
      <w:r>
        <w:rPr>
          <w:rFonts w:ascii="Arial" w:hAnsi="Arial" w:cs="Arial"/>
          <w:sz w:val="20"/>
        </w:rPr>
        <w:t xml:space="preserve"> is, in general, in the interests of justice that a judge should be free to dispose of applications as to costs in a speedy and uncomplicated way…</w:t>
      </w:r>
    </w:p>
    <w:p w14:paraId="54C380DB" w14:textId="77777777" w:rsidR="00A962F2" w:rsidRDefault="00B21DA4" w:rsidP="00A962F2">
      <w:pPr>
        <w:spacing w:before="80"/>
        <w:ind w:left="454" w:right="454"/>
        <w:jc w:val="both"/>
        <w:rPr>
          <w:rFonts w:ascii="Arial" w:hAnsi="Arial" w:cs="Arial"/>
          <w:sz w:val="20"/>
        </w:rPr>
      </w:pPr>
      <w:r>
        <w:rPr>
          <w:rFonts w:ascii="Arial" w:hAnsi="Arial" w:cs="Arial"/>
          <w:sz w:val="20"/>
        </w:rPr>
        <w:t>[30</w:t>
      </w:r>
      <w:proofErr w:type="gramStart"/>
      <w:r>
        <w:rPr>
          <w:rFonts w:ascii="Arial" w:hAnsi="Arial" w:cs="Arial"/>
          <w:sz w:val="20"/>
        </w:rPr>
        <w:t>]  Where</w:t>
      </w:r>
      <w:proofErr w:type="gramEnd"/>
      <w:r>
        <w:rPr>
          <w:rFonts w:ascii="Arial" w:hAnsi="Arial" w:cs="Arial"/>
          <w:sz w:val="20"/>
        </w:rPr>
        <w:t xml:space="preserv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proofErr w:type="gramStart"/>
      <w:r w:rsidRPr="00986720">
        <w:rPr>
          <w:rFonts w:ascii="Arial" w:hAnsi="Arial" w:cs="Arial"/>
          <w:color w:val="000000"/>
          <w:sz w:val="20"/>
        </w:rPr>
        <w:t>Depending on the nature of an impugned decision, there</w:t>
      </w:r>
      <w:proofErr w:type="gramEnd"/>
      <w:r w:rsidRPr="00986720">
        <w:rPr>
          <w:rFonts w:ascii="Arial" w:hAnsi="Arial" w:cs="Arial"/>
          <w:color w:val="000000"/>
          <w:sz w:val="20"/>
        </w:rPr>
        <w:t xml:space="preserv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5AF7DF1D" w14:textId="77777777" w:rsidR="00A962F2" w:rsidRDefault="00982197" w:rsidP="00A962F2">
      <w:pPr>
        <w:spacing w:before="80"/>
        <w:ind w:left="454" w:right="454"/>
        <w:jc w:val="both"/>
        <w:rPr>
          <w:rFonts w:ascii="Arial" w:hAnsi="Arial" w:cs="Arial"/>
          <w:sz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4B88CFBA" w14:textId="77777777" w:rsidR="00A962F2" w:rsidRDefault="00982197" w:rsidP="00A962F2">
      <w:pPr>
        <w:spacing w:before="80"/>
        <w:ind w:left="454" w:right="454"/>
        <w:jc w:val="both"/>
        <w:rPr>
          <w:rFonts w:ascii="Arial" w:hAnsi="Arial" w:cs="Arial"/>
          <w:sz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45813F78" w14:textId="77777777"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0A30F1E0" w14:textId="6A55DA49"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r w:rsidRPr="00986720">
        <w:rPr>
          <w:rFonts w:ascii="Arial" w:hAnsi="Arial" w:cs="Arial"/>
          <w:i/>
          <w:color w:val="000000"/>
          <w:sz w:val="20"/>
          <w:szCs w:val="20"/>
        </w:rPr>
        <w:t xml:space="preserve">Anderson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w:t>
      </w:r>
      <w:proofErr w:type="gramStart"/>
      <w:r w:rsidRPr="00986720">
        <w:rPr>
          <w:rFonts w:ascii="Arial" w:hAnsi="Arial" w:cs="Arial"/>
          <w:color w:val="000000"/>
          <w:sz w:val="20"/>
          <w:szCs w:val="20"/>
        </w:rPr>
        <w:t>69]</w:t>
      </w:r>
      <w:r w:rsidR="00A962F2">
        <w:rPr>
          <w:rFonts w:ascii="Arial" w:hAnsi="Arial" w:cs="Arial"/>
          <w:color w:val="000000"/>
          <w:sz w:val="20"/>
          <w:szCs w:val="20"/>
        </w:rPr>
        <w:t>…</w:t>
      </w:r>
      <w:proofErr w:type="gramEnd"/>
    </w:p>
    <w:p w14:paraId="7AA401FA" w14:textId="77777777" w:rsidR="00A962F2" w:rsidRDefault="001B1B22" w:rsidP="00A962F2">
      <w:pPr>
        <w:spacing w:before="80"/>
        <w:ind w:left="454" w:right="454"/>
        <w:jc w:val="both"/>
        <w:rPr>
          <w:rFonts w:ascii="Arial" w:hAnsi="Arial" w:cs="Arial"/>
          <w:sz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lastRenderedPageBreak/>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7DFFCCEA" w14:textId="77777777" w:rsidR="00A962F2" w:rsidRDefault="00AB27F6" w:rsidP="00A962F2">
      <w:pPr>
        <w:spacing w:before="80"/>
        <w:ind w:left="454" w:right="454"/>
        <w:jc w:val="both"/>
        <w:rPr>
          <w:rFonts w:ascii="Arial" w:hAnsi="Arial" w:cs="Arial"/>
          <w:sz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Pr="00A962F2" w:rsidRDefault="00211B03" w:rsidP="00C72910">
      <w:pPr>
        <w:ind w:left="907" w:right="907"/>
        <w:jc w:val="both"/>
        <w:rPr>
          <w:rFonts w:ascii="Arial" w:hAnsi="Arial" w:cs="Arial"/>
          <w:color w:val="000000"/>
          <w:sz w:val="18"/>
          <w:szCs w:val="22"/>
        </w:rPr>
      </w:pPr>
      <w:r w:rsidRPr="00A962F2">
        <w:rPr>
          <w:rFonts w:ascii="Arial" w:hAnsi="Arial" w:cs="Arial"/>
          <w:color w:val="000000"/>
          <w:sz w:val="18"/>
          <w:szCs w:val="22"/>
        </w:rPr>
        <w:t xml:space="preserve">‘This case is another instance of the </w:t>
      </w:r>
      <w:proofErr w:type="gramStart"/>
      <w:r w:rsidRPr="00A962F2">
        <w:rPr>
          <w:rFonts w:ascii="Arial" w:hAnsi="Arial" w:cs="Arial"/>
          <w:color w:val="000000"/>
          <w:sz w:val="18"/>
          <w:szCs w:val="22"/>
        </w:rPr>
        <w:t>embarrassment</w:t>
      </w:r>
      <w:proofErr w:type="gramEnd"/>
      <w:r w:rsidRPr="00A962F2">
        <w:rPr>
          <w:rFonts w:ascii="Arial" w:hAnsi="Arial" w:cs="Arial"/>
          <w:color w:val="000000"/>
          <w:sz w:val="18"/>
          <w:szCs w:val="22"/>
        </w:rPr>
        <w:t xml:space="preserve"> which is caused to the Court, by the refusal of justices to give reasons for their decisions … I </w:t>
      </w:r>
      <w:proofErr w:type="gramStart"/>
      <w:r w:rsidRPr="00A962F2">
        <w:rPr>
          <w:rFonts w:ascii="Arial" w:hAnsi="Arial" w:cs="Arial"/>
          <w:color w:val="000000"/>
          <w:sz w:val="18"/>
          <w:szCs w:val="22"/>
        </w:rPr>
        <w:t>have to</w:t>
      </w:r>
      <w:proofErr w:type="gramEnd"/>
      <w:r w:rsidRPr="00A962F2">
        <w:rPr>
          <w:rFonts w:ascii="Arial" w:hAnsi="Arial" w:cs="Arial"/>
          <w:color w:val="000000"/>
          <w:sz w:val="18"/>
          <w:szCs w:val="22"/>
        </w:rPr>
        <w:t xml:space="preserve"> repeat again that, in the exercise of their judicial functions, justices are not exempt from the duty which attaches to every judicial officer to state, to the best of his ability, the facts he finds, and the reasons for his decision.  The result here is that the justices have made an order leaving it entirely uncertain on what grounds, and on what findings of fact, that order is based.’</w:t>
      </w:r>
    </w:p>
    <w:p w14:paraId="3EAB8082" w14:textId="77777777" w:rsidR="00A962F2" w:rsidRDefault="00262368" w:rsidP="00A962F2">
      <w:pPr>
        <w:spacing w:before="80"/>
        <w:ind w:left="454" w:right="454"/>
        <w:jc w:val="both"/>
        <w:rPr>
          <w:rFonts w:ascii="Arial" w:hAnsi="Arial" w:cs="Arial"/>
          <w:sz w:val="20"/>
        </w:rPr>
      </w:pPr>
      <w:r>
        <w:rPr>
          <w:rFonts w:ascii="Arial" w:hAnsi="Arial" w:cs="Arial"/>
          <w:color w:val="000000"/>
          <w:sz w:val="20"/>
          <w:szCs w:val="20"/>
        </w:rPr>
        <w:t xml:space="preserve">[24] </w:t>
      </w:r>
      <w:r w:rsidRPr="00501614">
        <w:rPr>
          <w:rFonts w:ascii="Arial" w:hAnsi="Arial" w:cs="Arial"/>
          <w:color w:val="000000"/>
          <w:sz w:val="20"/>
        </w:rPr>
        <w:t>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14855F7F" w14:textId="77777777" w:rsidR="00A962F2" w:rsidRDefault="00262368" w:rsidP="00A962F2">
      <w:pPr>
        <w:spacing w:before="80"/>
        <w:ind w:left="454" w:right="454"/>
        <w:jc w:val="both"/>
        <w:rPr>
          <w:rFonts w:ascii="Arial" w:hAnsi="Arial" w:cs="Arial"/>
          <w:sz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55A82627" w:rsidR="00262368" w:rsidRDefault="00262368" w:rsidP="001D1B06">
      <w:pPr>
        <w:jc w:val="both"/>
        <w:rPr>
          <w:rFonts w:ascii="Arial" w:hAnsi="Arial" w:cs="Arial"/>
          <w:color w:val="000000"/>
          <w:sz w:val="20"/>
        </w:rPr>
      </w:pPr>
    </w:p>
    <w:p w14:paraId="23E1C34C" w14:textId="6F0B962E" w:rsidR="0037342E" w:rsidRDefault="00721C88" w:rsidP="001D1B06">
      <w:pPr>
        <w:jc w:val="both"/>
        <w:rPr>
          <w:rFonts w:ascii="Arial" w:hAnsi="Arial" w:cs="Arial"/>
          <w:color w:val="000000"/>
          <w:sz w:val="20"/>
        </w:rPr>
      </w:pPr>
      <w:r>
        <w:rPr>
          <w:rFonts w:ascii="Arial" w:hAnsi="Arial" w:cs="Arial"/>
          <w:color w:val="000000"/>
          <w:sz w:val="20"/>
        </w:rPr>
        <w:t xml:space="preserve">In </w:t>
      </w:r>
      <w:proofErr w:type="spellStart"/>
      <w:r w:rsidRPr="00721C88">
        <w:rPr>
          <w:rFonts w:ascii="Arial" w:hAnsi="Arial" w:cs="Arial"/>
          <w:i/>
          <w:iCs/>
          <w:color w:val="000000"/>
          <w:sz w:val="20"/>
        </w:rPr>
        <w:t>Karabagias</w:t>
      </w:r>
      <w:proofErr w:type="spellEnd"/>
      <w:r w:rsidRPr="00721C88">
        <w:rPr>
          <w:rFonts w:ascii="Arial" w:hAnsi="Arial" w:cs="Arial"/>
          <w:i/>
          <w:iCs/>
          <w:color w:val="000000"/>
          <w:sz w:val="20"/>
        </w:rPr>
        <w:t xml:space="preserve"> v </w:t>
      </w:r>
      <w:proofErr w:type="spellStart"/>
      <w:r w:rsidRPr="00721C88">
        <w:rPr>
          <w:rFonts w:ascii="Arial" w:hAnsi="Arial" w:cs="Arial"/>
          <w:i/>
          <w:iCs/>
          <w:color w:val="000000"/>
          <w:sz w:val="20"/>
        </w:rPr>
        <w:t>Katopodis</w:t>
      </w:r>
      <w:proofErr w:type="spellEnd"/>
      <w:r>
        <w:rPr>
          <w:rFonts w:ascii="Arial" w:hAnsi="Arial" w:cs="Arial"/>
          <w:color w:val="000000"/>
          <w:sz w:val="20"/>
        </w:rPr>
        <w:t xml:space="preserve"> [2022] VSCA 191 the </w:t>
      </w:r>
      <w:r w:rsidR="0037342E">
        <w:rPr>
          <w:rFonts w:ascii="Arial" w:hAnsi="Arial" w:cs="Arial"/>
          <w:color w:val="000000"/>
          <w:sz w:val="20"/>
        </w:rPr>
        <w:t xml:space="preserve">applicant alleged representations were made to him by the parents of his ex-wife </w:t>
      </w:r>
      <w:proofErr w:type="gramStart"/>
      <w:r w:rsidR="0037342E">
        <w:rPr>
          <w:rFonts w:ascii="Arial" w:hAnsi="Arial" w:cs="Arial"/>
          <w:color w:val="000000"/>
          <w:sz w:val="20"/>
        </w:rPr>
        <w:t>as a result of</w:t>
      </w:r>
      <w:proofErr w:type="gramEnd"/>
      <w:r w:rsidR="0037342E">
        <w:rPr>
          <w:rFonts w:ascii="Arial" w:hAnsi="Arial" w:cs="Arial"/>
          <w:color w:val="000000"/>
          <w:sz w:val="20"/>
        </w:rPr>
        <w:t xml:space="preserve"> which he had expended the majority of his sole asset renovating her parents’ property prior to separation.  The judge held that the alleged representations were not made and dismissed the applicant’s claim for a constructive trust and equitable compensation.  In allowing the appeal and remitting the matter for rehearing, the Court of Appeal held that the judge’s reasons do not reveal the basis on which the findings were made nor why the respondent’s evidence was preferred over the applicant’s.  In relation to the duty to give reasons, </w:t>
      </w:r>
      <w:proofErr w:type="spellStart"/>
      <w:r w:rsidR="0037342E">
        <w:rPr>
          <w:rFonts w:ascii="Arial" w:hAnsi="Arial" w:cs="Arial"/>
          <w:color w:val="000000"/>
          <w:sz w:val="20"/>
        </w:rPr>
        <w:t>Sifris</w:t>
      </w:r>
      <w:proofErr w:type="spellEnd"/>
      <w:r w:rsidR="0037342E">
        <w:rPr>
          <w:rFonts w:ascii="Arial" w:hAnsi="Arial" w:cs="Arial"/>
          <w:color w:val="000000"/>
          <w:sz w:val="20"/>
        </w:rPr>
        <w:t>, Kennedy &amp; Walker JJA said at [10]-[14]</w:t>
      </w:r>
      <w:r w:rsidR="002A4DFE">
        <w:rPr>
          <w:rFonts w:ascii="Arial" w:hAnsi="Arial" w:cs="Arial"/>
          <w:color w:val="000000"/>
          <w:sz w:val="20"/>
        </w:rPr>
        <w:t xml:space="preserve"> (citations simplified)</w:t>
      </w:r>
      <w:r w:rsidR="0037342E">
        <w:rPr>
          <w:rFonts w:ascii="Arial" w:hAnsi="Arial" w:cs="Arial"/>
          <w:color w:val="000000"/>
          <w:sz w:val="20"/>
        </w:rPr>
        <w:t>:</w:t>
      </w:r>
    </w:p>
    <w:p w14:paraId="61D8638A" w14:textId="77777777" w:rsidR="00A962F2" w:rsidRDefault="0037342E" w:rsidP="00A962F2">
      <w:pPr>
        <w:spacing w:before="80"/>
        <w:ind w:left="454" w:right="454"/>
        <w:jc w:val="both"/>
        <w:rPr>
          <w:rFonts w:ascii="Arial" w:hAnsi="Arial" w:cs="Arial"/>
          <w:sz w:val="20"/>
        </w:rPr>
      </w:pPr>
      <w:r>
        <w:rPr>
          <w:rFonts w:ascii="Arial" w:hAnsi="Arial" w:cs="Arial"/>
          <w:color w:val="000000"/>
          <w:sz w:val="20"/>
          <w:szCs w:val="20"/>
        </w:rPr>
        <w:t xml:space="preserve">[10] </w:t>
      </w:r>
      <w:r w:rsidRPr="0037342E">
        <w:rPr>
          <w:rFonts w:ascii="Arial" w:hAnsi="Arial" w:cs="Arial"/>
          <w:color w:val="000000"/>
          <w:sz w:val="20"/>
          <w:szCs w:val="20"/>
        </w:rPr>
        <w:t>“</w:t>
      </w:r>
      <w:r w:rsidRPr="0037342E">
        <w:rPr>
          <w:rFonts w:ascii="Arial" w:hAnsi="Arial" w:cs="Arial"/>
          <w:sz w:val="20"/>
          <w:szCs w:val="20"/>
        </w:rPr>
        <w:t xml:space="preserve">It is well-settled that, ordinarily, a judicial officer is under a duty to give reasons: see </w:t>
      </w:r>
      <w:proofErr w:type="spellStart"/>
      <w:r w:rsidRPr="0037342E">
        <w:rPr>
          <w:rFonts w:ascii="Arial" w:hAnsi="Arial" w:cs="Arial"/>
          <w:i/>
          <w:iCs/>
          <w:sz w:val="20"/>
          <w:szCs w:val="20"/>
        </w:rPr>
        <w:t>Wainohu</w:t>
      </w:r>
      <w:proofErr w:type="spellEnd"/>
      <w:r w:rsidRPr="0037342E">
        <w:rPr>
          <w:rFonts w:ascii="Arial" w:hAnsi="Arial" w:cs="Arial"/>
          <w:i/>
          <w:iCs/>
          <w:sz w:val="20"/>
          <w:szCs w:val="20"/>
        </w:rPr>
        <w:t xml:space="preserve"> v New South Wales</w:t>
      </w:r>
      <w:r w:rsidRPr="0037342E">
        <w:rPr>
          <w:rFonts w:ascii="Arial" w:hAnsi="Arial" w:cs="Arial"/>
          <w:sz w:val="20"/>
          <w:szCs w:val="20"/>
        </w:rPr>
        <w:t xml:space="preserve"> (2011) 243 CLR 181, 213–14 </w:t>
      </w:r>
      <w:r w:rsidR="002A4DFE">
        <w:rPr>
          <w:rFonts w:ascii="Arial" w:hAnsi="Arial" w:cs="Arial"/>
          <w:sz w:val="20"/>
          <w:szCs w:val="20"/>
        </w:rPr>
        <w:t xml:space="preserve">at </w:t>
      </w:r>
      <w:r w:rsidRPr="0037342E">
        <w:rPr>
          <w:rFonts w:ascii="Arial" w:hAnsi="Arial" w:cs="Arial"/>
          <w:sz w:val="20"/>
          <w:szCs w:val="20"/>
        </w:rPr>
        <w:t>[54].  The qualification ‘ordinarily’ is a recognition that the duty ‘does not apply to every interlocutory decision, however minor’. The content and detail of the reasons to be provided will vary according to the nature of the jurisdiction which the court is exercising and the particular matter the subject of the decision</w:t>
      </w:r>
      <w:r w:rsidR="003553EF">
        <w:rPr>
          <w:rFonts w:ascii="Arial" w:hAnsi="Arial" w:cs="Arial"/>
          <w:sz w:val="20"/>
          <w:szCs w:val="20"/>
        </w:rPr>
        <w:t xml:space="preserve">: </w:t>
      </w:r>
      <w:proofErr w:type="spellStart"/>
      <w:r w:rsidR="003553EF" w:rsidRPr="006042EB">
        <w:rPr>
          <w:rFonts w:ascii="Arial" w:hAnsi="Arial" w:cs="Arial"/>
          <w:i/>
          <w:iCs/>
          <w:sz w:val="20"/>
          <w:szCs w:val="20"/>
        </w:rPr>
        <w:t>Wainohu</w:t>
      </w:r>
      <w:proofErr w:type="spellEnd"/>
      <w:r w:rsidR="003553EF">
        <w:rPr>
          <w:rFonts w:ascii="Arial" w:hAnsi="Arial" w:cs="Arial"/>
          <w:sz w:val="20"/>
          <w:szCs w:val="20"/>
        </w:rPr>
        <w:t xml:space="preserve"> </w:t>
      </w:r>
      <w:r w:rsidR="00AB627F">
        <w:rPr>
          <w:rFonts w:ascii="Arial" w:hAnsi="Arial" w:cs="Arial"/>
          <w:sz w:val="20"/>
          <w:szCs w:val="20"/>
        </w:rPr>
        <w:t xml:space="preserve">at </w:t>
      </w:r>
      <w:r w:rsidR="003553EF">
        <w:rPr>
          <w:rFonts w:ascii="Arial" w:hAnsi="Arial" w:cs="Arial"/>
          <w:sz w:val="20"/>
          <w:szCs w:val="20"/>
        </w:rPr>
        <w:t xml:space="preserve">[56].  </w:t>
      </w:r>
      <w:r w:rsidR="00E03D48" w:rsidRPr="0037342E">
        <w:rPr>
          <w:rFonts w:ascii="Arial" w:hAnsi="Arial" w:cs="Arial"/>
          <w:sz w:val="20"/>
          <w:szCs w:val="20"/>
        </w:rPr>
        <w:t>Fundamentally, the duty is an obligation to explain, however briefly, why the judge came to the conclusion that is sought to be challenged. That is, the reasoning process by which the impugned conclusion was reached must be apparen</w:t>
      </w:r>
      <w:r w:rsidR="00E03D48">
        <w:rPr>
          <w:rFonts w:ascii="Arial" w:hAnsi="Arial" w:cs="Arial"/>
          <w:sz w:val="20"/>
          <w:szCs w:val="20"/>
        </w:rPr>
        <w:t>t</w:t>
      </w:r>
      <w:r w:rsidRPr="0037342E">
        <w:rPr>
          <w:rFonts w:ascii="Arial" w:hAnsi="Arial" w:cs="Arial"/>
          <w:sz w:val="20"/>
          <w:szCs w:val="20"/>
        </w:rPr>
        <w:t xml:space="preserve">: </w:t>
      </w:r>
      <w:proofErr w:type="spellStart"/>
      <w:r w:rsidRPr="00E03D48">
        <w:rPr>
          <w:rFonts w:ascii="Arial" w:hAnsi="Arial" w:cs="Arial"/>
          <w:i/>
          <w:iCs/>
          <w:sz w:val="20"/>
          <w:szCs w:val="20"/>
        </w:rPr>
        <w:t>Intertransport</w:t>
      </w:r>
      <w:proofErr w:type="spellEnd"/>
      <w:r w:rsidRPr="00E03D48">
        <w:rPr>
          <w:rFonts w:ascii="Arial" w:hAnsi="Arial" w:cs="Arial"/>
          <w:i/>
          <w:iCs/>
          <w:sz w:val="20"/>
          <w:szCs w:val="20"/>
        </w:rPr>
        <w:t xml:space="preserve"> International Private Ltd v Donaldson</w:t>
      </w:r>
      <w:r w:rsidRPr="0037342E">
        <w:rPr>
          <w:rFonts w:ascii="Arial" w:hAnsi="Arial" w:cs="Arial"/>
          <w:sz w:val="20"/>
          <w:szCs w:val="20"/>
        </w:rPr>
        <w:t xml:space="preserve"> [2005] VSCA 303 [18], citing </w:t>
      </w:r>
      <w:r w:rsidRPr="00E03D48">
        <w:rPr>
          <w:rFonts w:ascii="Arial" w:hAnsi="Arial" w:cs="Arial"/>
          <w:i/>
          <w:iCs/>
          <w:sz w:val="20"/>
          <w:szCs w:val="20"/>
        </w:rPr>
        <w:t>Fletcher Construction Australia Ltd v Lines Macfarlane and Marshall Pty Ltd (No</w:t>
      </w:r>
      <w:r w:rsidR="00AB627F">
        <w:rPr>
          <w:rFonts w:ascii="Arial" w:hAnsi="Arial" w:cs="Arial"/>
          <w:i/>
          <w:iCs/>
          <w:sz w:val="20"/>
          <w:szCs w:val="20"/>
        </w:rPr>
        <w:t> </w:t>
      </w:r>
      <w:r w:rsidRPr="00E03D48">
        <w:rPr>
          <w:rFonts w:ascii="Arial" w:hAnsi="Arial" w:cs="Arial"/>
          <w:i/>
          <w:iCs/>
          <w:sz w:val="20"/>
          <w:szCs w:val="20"/>
        </w:rPr>
        <w:t>2)</w:t>
      </w:r>
      <w:r w:rsidRPr="0037342E">
        <w:rPr>
          <w:rFonts w:ascii="Arial" w:hAnsi="Arial" w:cs="Arial"/>
          <w:sz w:val="20"/>
          <w:szCs w:val="20"/>
        </w:rPr>
        <w:t xml:space="preserve"> (2002) 6 VR 1, 30–1; [2002] VSCA 189; </w:t>
      </w:r>
      <w:r w:rsidRPr="00E03D48">
        <w:rPr>
          <w:rFonts w:ascii="Arial" w:hAnsi="Arial" w:cs="Arial"/>
          <w:i/>
          <w:iCs/>
          <w:sz w:val="20"/>
          <w:szCs w:val="20"/>
        </w:rPr>
        <w:t xml:space="preserve">Sun Alliance Insurance Ltd v </w:t>
      </w:r>
      <w:proofErr w:type="spellStart"/>
      <w:r w:rsidRPr="00E03D48">
        <w:rPr>
          <w:rFonts w:ascii="Arial" w:hAnsi="Arial" w:cs="Arial"/>
          <w:i/>
          <w:iCs/>
          <w:sz w:val="20"/>
          <w:szCs w:val="20"/>
        </w:rPr>
        <w:t>Massoud</w:t>
      </w:r>
      <w:proofErr w:type="spellEnd"/>
      <w:r w:rsidRPr="0037342E">
        <w:rPr>
          <w:rFonts w:ascii="Arial" w:hAnsi="Arial" w:cs="Arial"/>
          <w:sz w:val="20"/>
          <w:szCs w:val="20"/>
        </w:rPr>
        <w:t xml:space="preserve"> [1989] VR 8, 18; </w:t>
      </w:r>
      <w:r w:rsidRPr="00E03D48">
        <w:rPr>
          <w:rFonts w:ascii="Arial" w:hAnsi="Arial" w:cs="Arial"/>
          <w:i/>
          <w:iCs/>
          <w:sz w:val="20"/>
          <w:szCs w:val="20"/>
        </w:rPr>
        <w:t>Pettit v Dunkley</w:t>
      </w:r>
      <w:r w:rsidRPr="0037342E">
        <w:rPr>
          <w:rFonts w:ascii="Arial" w:hAnsi="Arial" w:cs="Arial"/>
          <w:sz w:val="20"/>
          <w:szCs w:val="20"/>
        </w:rPr>
        <w:t xml:space="preserve"> [1971] 1 NSWLR 376, 382, 387–8; </w:t>
      </w:r>
      <w:r w:rsidRPr="00E03D48">
        <w:rPr>
          <w:rFonts w:ascii="Arial" w:hAnsi="Arial" w:cs="Arial"/>
          <w:i/>
          <w:iCs/>
          <w:sz w:val="20"/>
          <w:szCs w:val="20"/>
        </w:rPr>
        <w:t xml:space="preserve">De Iacovo v </w:t>
      </w:r>
      <w:proofErr w:type="spellStart"/>
      <w:r w:rsidRPr="00E03D48">
        <w:rPr>
          <w:rFonts w:ascii="Arial" w:hAnsi="Arial" w:cs="Arial"/>
          <w:i/>
          <w:iCs/>
          <w:sz w:val="20"/>
          <w:szCs w:val="20"/>
        </w:rPr>
        <w:t>Lacanale</w:t>
      </w:r>
      <w:proofErr w:type="spellEnd"/>
      <w:r w:rsidRPr="0037342E">
        <w:rPr>
          <w:rFonts w:ascii="Arial" w:hAnsi="Arial" w:cs="Arial"/>
          <w:sz w:val="20"/>
          <w:szCs w:val="20"/>
        </w:rPr>
        <w:t xml:space="preserve"> [1957] VR 553, 557–9.  </w:t>
      </w:r>
      <w:r w:rsidR="00E03D48" w:rsidRPr="0037342E">
        <w:rPr>
          <w:rFonts w:ascii="Arial" w:hAnsi="Arial" w:cs="Arial"/>
          <w:sz w:val="20"/>
          <w:szCs w:val="20"/>
        </w:rPr>
        <w:t>Thus, where there are issues of fact posed for judicial decision, ‘the judge has a duty, as part of the exercise of his judicial office, to state the findings and the reasons for his decision adequately for that purpose.’</w:t>
      </w:r>
      <w:r w:rsidR="00E03D48">
        <w:rPr>
          <w:rFonts w:ascii="Arial" w:hAnsi="Arial" w:cs="Arial"/>
          <w:sz w:val="20"/>
          <w:szCs w:val="20"/>
        </w:rPr>
        <w:t>:</w:t>
      </w:r>
      <w:r w:rsidR="006042EB">
        <w:rPr>
          <w:rFonts w:ascii="Arial" w:hAnsi="Arial" w:cs="Arial"/>
          <w:sz w:val="20"/>
          <w:szCs w:val="20"/>
        </w:rPr>
        <w:t xml:space="preserve"> </w:t>
      </w:r>
      <w:r w:rsidR="006042EB" w:rsidRPr="002A4DFE">
        <w:rPr>
          <w:rFonts w:ascii="Arial" w:hAnsi="Arial" w:cs="Arial"/>
          <w:i/>
          <w:iCs/>
          <w:sz w:val="20"/>
          <w:szCs w:val="20"/>
        </w:rPr>
        <w:t>NRMA Insurance Ltd v Tatt</w:t>
      </w:r>
      <w:r w:rsidR="006042EB">
        <w:rPr>
          <w:rFonts w:ascii="Arial" w:hAnsi="Arial" w:cs="Arial"/>
          <w:sz w:val="20"/>
          <w:szCs w:val="20"/>
        </w:rPr>
        <w:t xml:space="preserve"> (1989) 92 ALR 299, 312.</w:t>
      </w:r>
    </w:p>
    <w:p w14:paraId="61EB222E"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[11] </w:t>
      </w:r>
      <w:r w:rsidRPr="0037342E">
        <w:rPr>
          <w:rFonts w:ascii="Arial" w:hAnsi="Arial" w:cs="Arial"/>
          <w:sz w:val="20"/>
          <w:szCs w:val="20"/>
        </w:rPr>
        <w:t>There are several reasons for this requirement. First, and importantly, the parties, particularly the losing parties, are entitled to know the basis on which the judge came to his or her conclusion, so that consideration can be given to whether the conclusion might be challenged on appeal</w:t>
      </w:r>
      <w:r w:rsidR="006042EB">
        <w:rPr>
          <w:rFonts w:ascii="Arial" w:hAnsi="Arial" w:cs="Arial"/>
          <w:sz w:val="20"/>
          <w:szCs w:val="20"/>
        </w:rPr>
        <w:t xml:space="preserve">: </w:t>
      </w:r>
      <w:proofErr w:type="spellStart"/>
      <w:r w:rsidR="006042EB" w:rsidRPr="006042EB">
        <w:rPr>
          <w:rFonts w:ascii="Arial" w:hAnsi="Arial" w:cs="Arial"/>
          <w:i/>
          <w:iCs/>
          <w:sz w:val="20"/>
          <w:szCs w:val="20"/>
        </w:rPr>
        <w:t>Intertransport</w:t>
      </w:r>
      <w:proofErr w:type="spellEnd"/>
      <w:r w:rsidR="006042EB" w:rsidRPr="0037342E">
        <w:rPr>
          <w:rFonts w:ascii="Arial" w:hAnsi="Arial" w:cs="Arial"/>
          <w:sz w:val="20"/>
          <w:szCs w:val="20"/>
        </w:rPr>
        <w:t xml:space="preserve"> [2005] VSCA 303</w:t>
      </w:r>
      <w:r w:rsidR="00AB627F">
        <w:rPr>
          <w:rFonts w:ascii="Arial" w:hAnsi="Arial" w:cs="Arial"/>
          <w:sz w:val="20"/>
          <w:szCs w:val="20"/>
        </w:rPr>
        <w:t xml:space="preserve"> at</w:t>
      </w:r>
      <w:r w:rsidR="006042EB" w:rsidRPr="0037342E">
        <w:rPr>
          <w:rFonts w:ascii="Arial" w:hAnsi="Arial" w:cs="Arial"/>
          <w:sz w:val="20"/>
          <w:szCs w:val="20"/>
        </w:rPr>
        <w:t xml:space="preserve"> [18].</w:t>
      </w:r>
      <w:r w:rsidR="006042EB">
        <w:rPr>
          <w:rFonts w:ascii="Arial" w:hAnsi="Arial" w:cs="Arial"/>
          <w:sz w:val="20"/>
          <w:szCs w:val="20"/>
        </w:rPr>
        <w:t xml:space="preserve"> </w:t>
      </w:r>
      <w:r w:rsidRPr="0037342E">
        <w:rPr>
          <w:rFonts w:ascii="Arial" w:hAnsi="Arial" w:cs="Arial"/>
          <w:sz w:val="20"/>
          <w:szCs w:val="20"/>
        </w:rPr>
        <w:t xml:space="preserve"> Further, reasons for the decision are necessary in order for an appellate court to determine if there was relevant error</w:t>
      </w:r>
      <w:r w:rsidR="006042EB">
        <w:rPr>
          <w:rFonts w:ascii="Arial" w:hAnsi="Arial" w:cs="Arial"/>
          <w:sz w:val="20"/>
          <w:szCs w:val="20"/>
        </w:rPr>
        <w:t xml:space="preserve">: </w:t>
      </w:r>
      <w:r w:rsidR="006042EB" w:rsidRPr="006042EB">
        <w:rPr>
          <w:rFonts w:ascii="Arial" w:hAnsi="Arial" w:cs="Arial"/>
          <w:i/>
          <w:iCs/>
          <w:sz w:val="20"/>
          <w:szCs w:val="20"/>
        </w:rPr>
        <w:t>Fletcher</w:t>
      </w:r>
      <w:r w:rsidR="006042EB" w:rsidRPr="0037342E">
        <w:rPr>
          <w:rFonts w:ascii="Arial" w:hAnsi="Arial" w:cs="Arial"/>
          <w:sz w:val="20"/>
          <w:szCs w:val="20"/>
        </w:rPr>
        <w:t xml:space="preserve"> (2002) 6 VR 1, 31</w:t>
      </w:r>
      <w:r w:rsidR="00AB627F">
        <w:rPr>
          <w:rFonts w:ascii="Arial" w:hAnsi="Arial" w:cs="Arial"/>
          <w:sz w:val="20"/>
          <w:szCs w:val="20"/>
        </w:rPr>
        <w:t xml:space="preserve"> at</w:t>
      </w:r>
      <w:r w:rsidR="006042EB" w:rsidRPr="0037342E">
        <w:rPr>
          <w:rFonts w:ascii="Arial" w:hAnsi="Arial" w:cs="Arial"/>
          <w:sz w:val="20"/>
          <w:szCs w:val="20"/>
        </w:rPr>
        <w:t xml:space="preserve"> [100]; [2002] VSCA 189</w:t>
      </w:r>
      <w:r w:rsidR="00AB627F">
        <w:rPr>
          <w:rFonts w:ascii="Arial" w:hAnsi="Arial" w:cs="Arial"/>
          <w:sz w:val="20"/>
          <w:szCs w:val="20"/>
        </w:rPr>
        <w:t xml:space="preserve">.  </w:t>
      </w:r>
      <w:r w:rsidRPr="0037342E">
        <w:rPr>
          <w:rFonts w:ascii="Arial" w:hAnsi="Arial" w:cs="Arial"/>
          <w:sz w:val="20"/>
          <w:szCs w:val="20"/>
        </w:rPr>
        <w:t xml:space="preserve">In that regard, reasons for judgment </w:t>
      </w:r>
      <w:r w:rsidRPr="0037342E">
        <w:rPr>
          <w:rFonts w:ascii="Arial" w:hAnsi="Arial" w:cs="Arial"/>
          <w:sz w:val="20"/>
          <w:szCs w:val="20"/>
        </w:rPr>
        <w:lastRenderedPageBreak/>
        <w:t>will be inadequate if ‘the appeal court is unable to ascertain the reasoning upon which the decision is based [or if] justice is not seen to have been done’</w:t>
      </w:r>
      <w:r w:rsidR="002A4DFE">
        <w:rPr>
          <w:rFonts w:ascii="Arial" w:hAnsi="Arial" w:cs="Arial"/>
          <w:sz w:val="20"/>
          <w:szCs w:val="20"/>
        </w:rPr>
        <w:t xml:space="preserve">: </w:t>
      </w:r>
      <w:r w:rsidR="002A4DFE" w:rsidRPr="002A4DFE">
        <w:rPr>
          <w:rFonts w:ascii="Arial" w:hAnsi="Arial" w:cs="Arial"/>
          <w:i/>
          <w:iCs/>
          <w:sz w:val="20"/>
          <w:szCs w:val="20"/>
        </w:rPr>
        <w:t xml:space="preserve">Sun Alliance </w:t>
      </w:r>
      <w:r w:rsidR="002A4DFE" w:rsidRPr="0037342E">
        <w:rPr>
          <w:rFonts w:ascii="Arial" w:hAnsi="Arial" w:cs="Arial"/>
          <w:sz w:val="20"/>
          <w:szCs w:val="20"/>
        </w:rPr>
        <w:t>[1989] VR 8, 18.</w:t>
      </w:r>
      <w:r w:rsidRPr="0037342E">
        <w:rPr>
          <w:rFonts w:ascii="Arial" w:hAnsi="Arial" w:cs="Arial"/>
          <w:sz w:val="20"/>
          <w:szCs w:val="20"/>
        </w:rPr>
        <w:t xml:space="preserve"> </w:t>
      </w:r>
      <w:r w:rsidR="002A4DFE">
        <w:rPr>
          <w:rFonts w:ascii="Arial" w:hAnsi="Arial" w:cs="Arial"/>
          <w:sz w:val="20"/>
          <w:szCs w:val="20"/>
        </w:rPr>
        <w:t xml:space="preserve"> </w:t>
      </w:r>
      <w:r w:rsidRPr="0037342E">
        <w:rPr>
          <w:rFonts w:ascii="Arial" w:hAnsi="Arial" w:cs="Arial"/>
          <w:sz w:val="20"/>
          <w:szCs w:val="20"/>
        </w:rPr>
        <w:t>Finally, an adequate statement of reasons provides ‘the foundation for the acceptability of the decision by the parties and the public as well as fostering judicial accountability’</w:t>
      </w:r>
      <w:r w:rsidR="002A4DFE">
        <w:rPr>
          <w:rFonts w:ascii="Arial" w:hAnsi="Arial" w:cs="Arial"/>
          <w:sz w:val="20"/>
          <w:szCs w:val="20"/>
        </w:rPr>
        <w:t xml:space="preserve">: </w:t>
      </w:r>
      <w:proofErr w:type="spellStart"/>
      <w:r w:rsidR="002A4DFE" w:rsidRPr="002A4DFE">
        <w:rPr>
          <w:rFonts w:ascii="Arial" w:hAnsi="Arial" w:cs="Arial"/>
          <w:i/>
          <w:iCs/>
          <w:sz w:val="20"/>
          <w:szCs w:val="20"/>
        </w:rPr>
        <w:t>Intertransport</w:t>
      </w:r>
      <w:proofErr w:type="spellEnd"/>
      <w:r w:rsidR="002A4DFE" w:rsidRPr="0037342E">
        <w:rPr>
          <w:rFonts w:ascii="Arial" w:hAnsi="Arial" w:cs="Arial"/>
          <w:sz w:val="20"/>
          <w:szCs w:val="20"/>
        </w:rPr>
        <w:t xml:space="preserve"> [2005] VSCA 303, [18]</w:t>
      </w:r>
      <w:r w:rsidR="00E87456">
        <w:rPr>
          <w:rFonts w:ascii="Arial" w:hAnsi="Arial" w:cs="Arial"/>
          <w:sz w:val="20"/>
          <w:szCs w:val="20"/>
        </w:rPr>
        <w:t>,</w:t>
      </w:r>
      <w:r w:rsidR="002A4DFE" w:rsidRPr="0037342E">
        <w:rPr>
          <w:rFonts w:ascii="Arial" w:hAnsi="Arial" w:cs="Arial"/>
          <w:sz w:val="20"/>
          <w:szCs w:val="20"/>
        </w:rPr>
        <w:t xml:space="preserve"> quoting </w:t>
      </w:r>
      <w:r w:rsidR="002A4DFE" w:rsidRPr="00E87456">
        <w:rPr>
          <w:rFonts w:ascii="Arial" w:hAnsi="Arial" w:cs="Arial"/>
          <w:i/>
          <w:iCs/>
          <w:sz w:val="20"/>
          <w:szCs w:val="20"/>
        </w:rPr>
        <w:t>Fletcher</w:t>
      </w:r>
      <w:r w:rsidR="002A4DFE" w:rsidRPr="0037342E">
        <w:rPr>
          <w:rFonts w:ascii="Arial" w:hAnsi="Arial" w:cs="Arial"/>
          <w:sz w:val="20"/>
          <w:szCs w:val="20"/>
        </w:rPr>
        <w:t xml:space="preserve"> (2002) 6 VR 1, 31 </w:t>
      </w:r>
      <w:r w:rsidR="00E87456">
        <w:rPr>
          <w:rFonts w:ascii="Arial" w:hAnsi="Arial" w:cs="Arial"/>
          <w:sz w:val="20"/>
          <w:szCs w:val="20"/>
        </w:rPr>
        <w:t xml:space="preserve">at </w:t>
      </w:r>
      <w:r w:rsidR="002A4DFE" w:rsidRPr="0037342E">
        <w:rPr>
          <w:rFonts w:ascii="Arial" w:hAnsi="Arial" w:cs="Arial"/>
          <w:sz w:val="20"/>
          <w:szCs w:val="20"/>
        </w:rPr>
        <w:t>[100]; [2002] VSCA 189.</w:t>
      </w:r>
    </w:p>
    <w:p w14:paraId="377EA7CB"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[12] </w:t>
      </w:r>
      <w:r w:rsidRPr="0037342E">
        <w:rPr>
          <w:rFonts w:ascii="Arial" w:hAnsi="Arial" w:cs="Arial"/>
          <w:sz w:val="20"/>
          <w:szCs w:val="20"/>
        </w:rPr>
        <w:t>Reasons may be brief, but nonetheless adequate, if they reveal the steps in the reasoning of the court by which it reached its decision</w:t>
      </w:r>
      <w:r w:rsidR="002A4DFE">
        <w:rPr>
          <w:rFonts w:ascii="Arial" w:hAnsi="Arial" w:cs="Arial"/>
          <w:sz w:val="20"/>
          <w:szCs w:val="20"/>
        </w:rPr>
        <w:t xml:space="preserve">: </w:t>
      </w:r>
      <w:r w:rsidR="002A4DFE" w:rsidRPr="002A4DFE">
        <w:rPr>
          <w:rFonts w:ascii="Arial" w:hAnsi="Arial" w:cs="Arial"/>
          <w:i/>
          <w:iCs/>
          <w:sz w:val="20"/>
          <w:szCs w:val="20"/>
        </w:rPr>
        <w:t>Kiama Constructions Pty Ltd v Davey</w:t>
      </w:r>
      <w:r w:rsidR="002A4DFE" w:rsidRPr="0037342E">
        <w:rPr>
          <w:rFonts w:ascii="Arial" w:hAnsi="Arial" w:cs="Arial"/>
          <w:sz w:val="20"/>
          <w:szCs w:val="20"/>
        </w:rPr>
        <w:t xml:space="preserve"> (1996) 40 NSWLR 639, 647–8.</w:t>
      </w:r>
      <w:r w:rsidR="002A4DFE">
        <w:rPr>
          <w:rFonts w:ascii="Arial" w:hAnsi="Arial" w:cs="Arial"/>
          <w:sz w:val="20"/>
          <w:szCs w:val="20"/>
        </w:rPr>
        <w:t xml:space="preserve"> </w:t>
      </w:r>
      <w:r w:rsidRPr="0037342E">
        <w:rPr>
          <w:rFonts w:ascii="Arial" w:hAnsi="Arial" w:cs="Arial"/>
          <w:sz w:val="20"/>
          <w:szCs w:val="20"/>
        </w:rPr>
        <w:t xml:space="preserve"> In some cases, it may be that the basis for the decision can be inferred from the whole of the judge’s reasons, having regard to the circumstances of the case. Thus, as Gray J explained in </w:t>
      </w:r>
      <w:r w:rsidRPr="002A4DFE">
        <w:rPr>
          <w:rFonts w:ascii="Arial" w:hAnsi="Arial" w:cs="Arial"/>
          <w:i/>
          <w:iCs/>
          <w:sz w:val="20"/>
          <w:szCs w:val="20"/>
        </w:rPr>
        <w:t>Sun Alliance</w:t>
      </w:r>
      <w:r w:rsidR="00E87456">
        <w:rPr>
          <w:rFonts w:ascii="Arial" w:hAnsi="Arial" w:cs="Arial"/>
          <w:sz w:val="20"/>
          <w:szCs w:val="20"/>
        </w:rPr>
        <w:t xml:space="preserve"> [1989] VR 8, 19:</w:t>
      </w:r>
    </w:p>
    <w:p w14:paraId="6372280C" w14:textId="2B2A1E3D" w:rsidR="00E03D48" w:rsidRPr="00A962F2" w:rsidRDefault="00E87456" w:rsidP="00A962F2">
      <w:pPr>
        <w:spacing w:before="60"/>
        <w:ind w:left="907" w:right="907"/>
        <w:jc w:val="both"/>
        <w:rPr>
          <w:rFonts w:ascii="Arial" w:hAnsi="Arial" w:cs="Arial"/>
          <w:sz w:val="18"/>
          <w:szCs w:val="18"/>
        </w:rPr>
      </w:pPr>
      <w:r w:rsidRPr="00A962F2">
        <w:rPr>
          <w:rFonts w:ascii="Arial" w:hAnsi="Arial" w:cs="Arial"/>
          <w:sz w:val="18"/>
          <w:szCs w:val="18"/>
        </w:rPr>
        <w:t>‘</w:t>
      </w:r>
      <w:r w:rsidR="00E03D48" w:rsidRPr="00A962F2">
        <w:rPr>
          <w:rFonts w:ascii="Arial" w:hAnsi="Arial" w:cs="Arial"/>
          <w:sz w:val="18"/>
          <w:szCs w:val="18"/>
        </w:rPr>
        <w:t>The simplicity of the context of the case or the state of the evidence may be such that a mere statement of the judge’s conclusion will sufficiently indicate the basis of a decision. … In such cases, the foundation for the judge’s conclusion will be indicated as a matter of necessary inference.</w:t>
      </w:r>
      <w:r w:rsidRPr="00A962F2">
        <w:rPr>
          <w:rFonts w:ascii="Arial" w:hAnsi="Arial" w:cs="Arial"/>
          <w:sz w:val="18"/>
          <w:szCs w:val="18"/>
        </w:rPr>
        <w:t>’</w:t>
      </w:r>
    </w:p>
    <w:p w14:paraId="2DAAF962" w14:textId="77777777" w:rsidR="00A962F2" w:rsidRDefault="00E03D48" w:rsidP="00A962F2">
      <w:pPr>
        <w:spacing w:before="80"/>
        <w:ind w:left="454" w:right="454"/>
        <w:jc w:val="both"/>
        <w:rPr>
          <w:rFonts w:ascii="Arial" w:hAnsi="Arial" w:cs="Arial"/>
          <w:sz w:val="20"/>
        </w:rPr>
      </w:pPr>
      <w:r>
        <w:rPr>
          <w:rFonts w:ascii="Arial" w:hAnsi="Arial" w:cs="Arial"/>
          <w:sz w:val="20"/>
          <w:szCs w:val="20"/>
        </w:rPr>
        <w:t xml:space="preserve">[13] </w:t>
      </w:r>
      <w:r w:rsidRPr="0037342E">
        <w:rPr>
          <w:rFonts w:ascii="Arial" w:hAnsi="Arial" w:cs="Arial"/>
          <w:sz w:val="20"/>
          <w:szCs w:val="20"/>
        </w:rPr>
        <w:t xml:space="preserve">However, as Nettle JA observed in </w:t>
      </w:r>
      <w:r w:rsidRPr="00E87456">
        <w:rPr>
          <w:rFonts w:ascii="Arial" w:hAnsi="Arial" w:cs="Arial"/>
          <w:i/>
          <w:iCs/>
          <w:sz w:val="20"/>
          <w:szCs w:val="20"/>
        </w:rPr>
        <w:t>Hunter v Transport Accident Commission</w:t>
      </w:r>
      <w:r w:rsidR="00E87456">
        <w:rPr>
          <w:rFonts w:ascii="Arial" w:hAnsi="Arial" w:cs="Arial"/>
          <w:sz w:val="20"/>
          <w:szCs w:val="20"/>
        </w:rPr>
        <w:t xml:space="preserve"> [2005] VSCA 1 at [28], </w:t>
      </w:r>
      <w:r w:rsidRPr="0037342E">
        <w:rPr>
          <w:rFonts w:ascii="Arial" w:hAnsi="Arial" w:cs="Arial"/>
          <w:sz w:val="20"/>
          <w:szCs w:val="20"/>
        </w:rPr>
        <w:t>a ‘mere recitation of evidence followed by a statement of findings, without any commentary as to why the evidence is said to lead to the findings’, is inadequate. In</w:t>
      </w:r>
      <w:r w:rsidR="00E87456">
        <w:rPr>
          <w:rFonts w:ascii="Arial" w:hAnsi="Arial" w:cs="Arial"/>
          <w:sz w:val="20"/>
          <w:szCs w:val="20"/>
        </w:rPr>
        <w:t> </w:t>
      </w:r>
      <w:r w:rsidRPr="0037342E">
        <w:rPr>
          <w:rFonts w:ascii="Arial" w:hAnsi="Arial" w:cs="Arial"/>
          <w:sz w:val="20"/>
          <w:szCs w:val="20"/>
        </w:rPr>
        <w:t xml:space="preserve">that case his Honour also observed </w:t>
      </w:r>
      <w:r w:rsidR="00E87456">
        <w:rPr>
          <w:rFonts w:ascii="Arial" w:hAnsi="Arial" w:cs="Arial"/>
          <w:sz w:val="20"/>
          <w:szCs w:val="20"/>
        </w:rPr>
        <w:t xml:space="preserve">at [21] </w:t>
      </w:r>
      <w:r w:rsidRPr="0037342E">
        <w:rPr>
          <w:rFonts w:ascii="Arial" w:hAnsi="Arial" w:cs="Arial"/>
          <w:sz w:val="20"/>
          <w:szCs w:val="20"/>
        </w:rPr>
        <w:t>the importance of exposing the ‘path of reasoning’ as follows:</w:t>
      </w:r>
    </w:p>
    <w:p w14:paraId="38F2547D" w14:textId="30430444" w:rsidR="00E03D48" w:rsidRPr="00A962F2" w:rsidRDefault="00E87456" w:rsidP="00A962F2">
      <w:pPr>
        <w:spacing w:before="60"/>
        <w:ind w:left="907" w:right="907"/>
        <w:jc w:val="both"/>
        <w:rPr>
          <w:rFonts w:ascii="Arial" w:hAnsi="Arial" w:cs="Arial"/>
          <w:sz w:val="18"/>
          <w:szCs w:val="18"/>
        </w:rPr>
      </w:pPr>
      <w:r w:rsidRPr="00A962F2">
        <w:rPr>
          <w:rFonts w:ascii="Arial" w:hAnsi="Arial" w:cs="Arial"/>
          <w:sz w:val="18"/>
          <w:szCs w:val="18"/>
        </w:rPr>
        <w:t>‘</w:t>
      </w:r>
      <w:r w:rsidR="00E03D48" w:rsidRPr="00A962F2">
        <w:rPr>
          <w:rFonts w:ascii="Arial" w:hAnsi="Arial" w:cs="Arial"/>
          <w:sz w:val="18"/>
          <w:szCs w:val="18"/>
        </w:rPr>
        <w:t>[W]</w:t>
      </w:r>
      <w:proofErr w:type="spellStart"/>
      <w:r w:rsidR="00E03D48" w:rsidRPr="00A962F2">
        <w:rPr>
          <w:rFonts w:ascii="Arial" w:hAnsi="Arial" w:cs="Arial"/>
          <w:sz w:val="18"/>
          <w:szCs w:val="18"/>
        </w:rPr>
        <w:t>hile</w:t>
      </w:r>
      <w:proofErr w:type="spellEnd"/>
      <w:r w:rsidR="00E03D48" w:rsidRPr="00A962F2">
        <w:rPr>
          <w:rFonts w:ascii="Arial" w:hAnsi="Arial" w:cs="Arial"/>
          <w:sz w:val="18"/>
          <w:szCs w:val="18"/>
        </w:rPr>
        <w:t xml:space="preserve"> the extent of the reasons will depend upon the circumstances of the case, the reasons should deal with the substantial points which have been raised; include findings on material questions of fact; refer to the evidence or other material upon which those findings are based; and provide an intelligible explanation of the process of reasoning that has led the judge from the evidence to the findings and from the findings to the ultimate conclusion. It should also be understood that the requirement to refer to the evidence is not limited to the evidence that has been accepted and acted upon. </w:t>
      </w:r>
      <w:r w:rsidR="00E03D48" w:rsidRPr="00A962F2">
        <w:rPr>
          <w:rFonts w:ascii="Arial" w:hAnsi="Arial" w:cs="Arial"/>
          <w:b/>
          <w:bCs/>
          <w:sz w:val="18"/>
          <w:szCs w:val="18"/>
        </w:rPr>
        <w:t xml:space="preserve">If a party has relied on evidence or material which the judge has rejected, the judge should refer to that evidence or material and, in giving reasons which deal with the substantial points that have been raised, explain why that evidence or material has been rejected. </w:t>
      </w:r>
      <w:r w:rsidR="00E03D48" w:rsidRPr="00A962F2">
        <w:rPr>
          <w:rFonts w:ascii="Arial" w:hAnsi="Arial" w:cs="Arial"/>
          <w:sz w:val="18"/>
          <w:szCs w:val="18"/>
        </w:rPr>
        <w:t xml:space="preserve">There may be exceptions. But, ordinarily, where a judge rejects or excludes from consideration evidence or other material which is relevant and cogent, it is simply not possible to give fair and sensible reasons for the decision without adverting to and assigning reasons for the rejection or exclusion of that material. Similarly, while it is not incumbent upon the judge to deal with every argument and issue that might arise in the course of a case, where an argument is substantial or an issue is significant, it is necessary to refer to and assign reasons for the rejection of the argument or the resolution of the issue. Above all the judge should bear steadily in mind that reasons are not intelligible if they leave the reader to wonder which of a number of possible routes has been taken to the conclusion expressed. </w:t>
      </w:r>
      <w:r w:rsidR="00E03D48" w:rsidRPr="00A962F2">
        <w:rPr>
          <w:rFonts w:ascii="Arial" w:hAnsi="Arial" w:cs="Arial"/>
          <w:b/>
          <w:bCs/>
          <w:sz w:val="18"/>
          <w:szCs w:val="18"/>
        </w:rPr>
        <w:t>Failure to expose the path of reasoning is an error of law.</w:t>
      </w:r>
      <w:r w:rsidRPr="00A962F2">
        <w:rPr>
          <w:rFonts w:ascii="Arial" w:hAnsi="Arial" w:cs="Arial"/>
          <w:sz w:val="18"/>
          <w:szCs w:val="18"/>
        </w:rPr>
        <w:t>’</w:t>
      </w:r>
    </w:p>
    <w:p w14:paraId="66049932" w14:textId="77777777" w:rsidR="00A962F2" w:rsidRDefault="00E03D48" w:rsidP="00A962F2">
      <w:pPr>
        <w:spacing w:before="80"/>
        <w:ind w:left="454" w:right="454"/>
        <w:jc w:val="both"/>
        <w:rPr>
          <w:rFonts w:ascii="Arial" w:hAnsi="Arial" w:cs="Arial"/>
          <w:sz w:val="20"/>
        </w:rPr>
      </w:pPr>
      <w:r>
        <w:rPr>
          <w:rFonts w:ascii="Arial" w:hAnsi="Arial" w:cs="Arial"/>
          <w:sz w:val="20"/>
          <w:szCs w:val="20"/>
        </w:rPr>
        <w:t>[14</w:t>
      </w:r>
      <w:proofErr w:type="gramStart"/>
      <w:r>
        <w:rPr>
          <w:rFonts w:ascii="Arial" w:hAnsi="Arial" w:cs="Arial"/>
          <w:sz w:val="20"/>
          <w:szCs w:val="20"/>
        </w:rPr>
        <w:t xml:space="preserve">] </w:t>
      </w:r>
      <w:r w:rsidRPr="0037342E">
        <w:rPr>
          <w:rFonts w:ascii="Arial" w:hAnsi="Arial" w:cs="Arial"/>
          <w:sz w:val="20"/>
          <w:szCs w:val="20"/>
        </w:rPr>
        <w:t xml:space="preserve"> This</w:t>
      </w:r>
      <w:proofErr w:type="gramEnd"/>
      <w:r w:rsidRPr="0037342E">
        <w:rPr>
          <w:rFonts w:ascii="Arial" w:hAnsi="Arial" w:cs="Arial"/>
          <w:sz w:val="20"/>
          <w:szCs w:val="20"/>
        </w:rPr>
        <w:t xml:space="preserve"> includes an obligation to give a rational and analytical explanation for preferring one witness’s evidence over another’s where there is a conflict of evidence.</w:t>
      </w:r>
      <w:r>
        <w:rPr>
          <w:rFonts w:ascii="Arial" w:hAnsi="Arial" w:cs="Arial"/>
          <w:sz w:val="20"/>
          <w:szCs w:val="20"/>
        </w:rPr>
        <w:t>”</w:t>
      </w:r>
    </w:p>
    <w:p w14:paraId="60E30094" w14:textId="2672B227" w:rsidR="0037342E" w:rsidRDefault="00E87456" w:rsidP="00E87456">
      <w:pPr>
        <w:spacing w:before="60"/>
        <w:jc w:val="both"/>
        <w:rPr>
          <w:rFonts w:ascii="Arial" w:hAnsi="Arial" w:cs="Arial"/>
          <w:color w:val="000000"/>
          <w:sz w:val="20"/>
        </w:rPr>
      </w:pPr>
      <w:r>
        <w:rPr>
          <w:rFonts w:ascii="Arial" w:hAnsi="Arial" w:cs="Arial"/>
          <w:color w:val="000000"/>
          <w:sz w:val="20"/>
        </w:rPr>
        <w:t>At [47]-[</w:t>
      </w:r>
      <w:r w:rsidR="00B918E0">
        <w:rPr>
          <w:rFonts w:ascii="Arial" w:hAnsi="Arial" w:cs="Arial"/>
          <w:color w:val="000000"/>
          <w:sz w:val="20"/>
        </w:rPr>
        <w:t>57</w:t>
      </w:r>
      <w:r>
        <w:rPr>
          <w:rFonts w:ascii="Arial" w:hAnsi="Arial" w:cs="Arial"/>
          <w:color w:val="000000"/>
          <w:sz w:val="20"/>
        </w:rPr>
        <w:t>] their Honours explained their conclusion that the trial judge’s reasons were not adequate as follows:</w:t>
      </w:r>
    </w:p>
    <w:p w14:paraId="78447850" w14:textId="0EB0FE5C" w:rsidR="00E87456" w:rsidRDefault="00E87456" w:rsidP="00A962F2">
      <w:pPr>
        <w:spacing w:before="60"/>
        <w:ind w:left="454" w:right="454"/>
        <w:jc w:val="both"/>
        <w:rPr>
          <w:rFonts w:ascii="Arial" w:hAnsi="Arial" w:cs="Arial"/>
          <w:sz w:val="20"/>
          <w:szCs w:val="20"/>
        </w:rPr>
      </w:pPr>
      <w:r>
        <w:rPr>
          <w:rFonts w:ascii="Arial" w:hAnsi="Arial" w:cs="Arial"/>
          <w:color w:val="000000"/>
          <w:sz w:val="20"/>
          <w:szCs w:val="20"/>
        </w:rPr>
        <w:t xml:space="preserve">[47] </w:t>
      </w:r>
      <w:r w:rsidRPr="00E03D48">
        <w:rPr>
          <w:rFonts w:ascii="Arial" w:hAnsi="Arial" w:cs="Arial"/>
          <w:sz w:val="20"/>
          <w:szCs w:val="20"/>
        </w:rPr>
        <w:t xml:space="preserve">In our opinion the trial judge’s reasons for her conclusions were not adequate. We accept that the trial judge came to various conclusions, particularly as set out in paragraphs [41] and [45], which are quoted above. It is plain from those paragraphs that the judge accepted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and Georgia’s evidence that Theo had not been a party to any conversations with Georgia and Petros concerning him and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moving into and renovating Unit 1. She thus must have rejected Theo’s evidence that such a conversation did occur.</w:t>
      </w:r>
    </w:p>
    <w:p w14:paraId="371ACAFE" w14:textId="0877C6C6" w:rsidR="00E87456" w:rsidRDefault="00E87456" w:rsidP="00A962F2">
      <w:pPr>
        <w:spacing w:before="60"/>
        <w:ind w:left="454" w:right="454"/>
        <w:jc w:val="both"/>
        <w:rPr>
          <w:rFonts w:ascii="Arial" w:hAnsi="Arial" w:cs="Arial"/>
          <w:sz w:val="20"/>
          <w:szCs w:val="20"/>
        </w:rPr>
      </w:pPr>
      <w:r>
        <w:rPr>
          <w:rFonts w:ascii="Arial" w:hAnsi="Arial" w:cs="Arial"/>
          <w:sz w:val="20"/>
          <w:szCs w:val="20"/>
        </w:rPr>
        <w:t xml:space="preserve">[48] </w:t>
      </w:r>
      <w:r w:rsidR="00637F39" w:rsidRPr="00E03D48">
        <w:rPr>
          <w:rFonts w:ascii="Arial" w:hAnsi="Arial" w:cs="Arial"/>
          <w:sz w:val="20"/>
          <w:szCs w:val="20"/>
        </w:rPr>
        <w:t>However, the key difficulty is that the judge’s reasons contain no explanation of why is particularly striking given the following matters.</w:t>
      </w:r>
    </w:p>
    <w:p w14:paraId="123F1B42" w14:textId="0DA41E58" w:rsidR="00637F39" w:rsidRDefault="00637F39" w:rsidP="00A962F2">
      <w:pPr>
        <w:spacing w:before="60"/>
        <w:ind w:left="454" w:right="454"/>
        <w:jc w:val="both"/>
        <w:rPr>
          <w:rFonts w:ascii="Arial" w:hAnsi="Arial" w:cs="Arial"/>
          <w:sz w:val="20"/>
          <w:szCs w:val="20"/>
        </w:rPr>
      </w:pPr>
      <w:r>
        <w:rPr>
          <w:rFonts w:ascii="Arial" w:hAnsi="Arial" w:cs="Arial"/>
          <w:sz w:val="20"/>
          <w:szCs w:val="20"/>
        </w:rPr>
        <w:t>[4</w:t>
      </w:r>
      <w:r w:rsidR="001916D0">
        <w:rPr>
          <w:rFonts w:ascii="Arial" w:hAnsi="Arial" w:cs="Arial"/>
          <w:sz w:val="20"/>
          <w:szCs w:val="20"/>
        </w:rPr>
        <w:t xml:space="preserve">9] </w:t>
      </w:r>
      <w:r w:rsidR="001916D0" w:rsidRPr="001916D0">
        <w:rPr>
          <w:rFonts w:ascii="Arial" w:hAnsi="Arial" w:cs="Arial"/>
          <w:i/>
          <w:iCs/>
          <w:sz w:val="20"/>
          <w:szCs w:val="20"/>
        </w:rPr>
        <w:t>First</w:t>
      </w:r>
      <w:r w:rsidR="001916D0" w:rsidRPr="00E03D48">
        <w:rPr>
          <w:rFonts w:ascii="Arial" w:hAnsi="Arial" w:cs="Arial"/>
          <w:sz w:val="20"/>
          <w:szCs w:val="20"/>
        </w:rPr>
        <w:t>, the only finding resembling a credit finding was the judge’s statement that she did not accept Georgia’s evidence concerning why she had changed her will in 2020.35 In substance, the trial judge rejected Georgia’s evidence on that issue and there is no challenge to that aspect of the trial judge’s reasons on the appeal. Notwithstanding this finding, her Honour did not explain why she accepted as truthful Georgia’s evidence concerning the events in 2012, nor why she preferred Georgia’s evidence over that of Theo.</w:t>
      </w:r>
    </w:p>
    <w:p w14:paraId="6C2CD488" w14:textId="1F4A6A7F"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[50] </w:t>
      </w:r>
      <w:r w:rsidRPr="001916D0">
        <w:rPr>
          <w:rFonts w:ascii="Arial" w:hAnsi="Arial" w:cs="Arial"/>
          <w:i/>
          <w:iCs/>
          <w:sz w:val="20"/>
          <w:szCs w:val="20"/>
        </w:rPr>
        <w:t>Secondly</w:t>
      </w:r>
      <w:r w:rsidRPr="00E03D48">
        <w:rPr>
          <w:rFonts w:ascii="Arial" w:hAnsi="Arial" w:cs="Arial"/>
          <w:sz w:val="20"/>
          <w:szCs w:val="20"/>
        </w:rPr>
        <w:t xml:space="preserve">, it is notable that the trial judge made no findings (whether positive or adverse) concerning the credit of either Theo or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In the absence of such findings, it is impossible to understand why the judge preferred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over and above Theo’s evidence.</w:t>
      </w:r>
    </w:p>
    <w:p w14:paraId="04E451D9" w14:textId="06C6403A"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[51] </w:t>
      </w:r>
      <w:r w:rsidRPr="001916D0">
        <w:rPr>
          <w:rFonts w:ascii="Arial" w:hAnsi="Arial" w:cs="Arial"/>
          <w:i/>
          <w:iCs/>
          <w:sz w:val="20"/>
          <w:szCs w:val="20"/>
        </w:rPr>
        <w:t>Thirdly</w:t>
      </w:r>
      <w:r w:rsidRPr="00E03D48">
        <w:rPr>
          <w:rFonts w:ascii="Arial" w:hAnsi="Arial" w:cs="Arial"/>
          <w:sz w:val="20"/>
          <w:szCs w:val="20"/>
        </w:rPr>
        <w:t xml:space="preserve">, the judge did not address the various inconsistencies between Georgia’s witness statement and her oral evidence. Those inconsistencies included the following: (a) In her </w:t>
      </w:r>
      <w:r w:rsidRPr="00E03D48">
        <w:rPr>
          <w:rFonts w:ascii="Arial" w:hAnsi="Arial" w:cs="Arial"/>
          <w:sz w:val="20"/>
          <w:szCs w:val="20"/>
        </w:rPr>
        <w:lastRenderedPageBreak/>
        <w:t xml:space="preserve">witness statement, Georgia said that she had been told about the proposal to renovate in June or July of 2012, but in oral evidence she denied that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had told her that Unit 1 would be renovated until the works had commenced. (b) In her witness statement, Georgia said that she ‘used to go over to see the progress of the works’ on Unit</w:t>
      </w:r>
      <w:r>
        <w:rPr>
          <w:rFonts w:ascii="Arial" w:hAnsi="Arial" w:cs="Arial"/>
          <w:sz w:val="20"/>
          <w:szCs w:val="20"/>
        </w:rPr>
        <w:t> </w:t>
      </w:r>
      <w:r w:rsidRPr="00E03D48">
        <w:rPr>
          <w:rFonts w:ascii="Arial" w:hAnsi="Arial" w:cs="Arial"/>
          <w:sz w:val="20"/>
          <w:szCs w:val="20"/>
        </w:rPr>
        <w:t>1. But in her oral evidence she denied that she would check the progress of the works.</w:t>
      </w:r>
    </w:p>
    <w:p w14:paraId="43D30DDD" w14:textId="2C084D5A" w:rsidR="001916D0" w:rsidRDefault="001916D0" w:rsidP="00A962F2">
      <w:pPr>
        <w:spacing w:before="60"/>
        <w:ind w:left="454" w:right="454"/>
        <w:jc w:val="both"/>
        <w:rPr>
          <w:rFonts w:ascii="Arial" w:hAnsi="Arial" w:cs="Arial"/>
          <w:sz w:val="20"/>
          <w:szCs w:val="20"/>
        </w:rPr>
      </w:pPr>
      <w:r>
        <w:rPr>
          <w:rFonts w:ascii="Arial" w:hAnsi="Arial" w:cs="Arial"/>
          <w:color w:val="000000"/>
          <w:sz w:val="20"/>
          <w:szCs w:val="20"/>
        </w:rPr>
        <w:t xml:space="preserve">[52] </w:t>
      </w:r>
      <w:r w:rsidRPr="00E03D48">
        <w:rPr>
          <w:rFonts w:ascii="Arial" w:hAnsi="Arial" w:cs="Arial"/>
          <w:sz w:val="20"/>
          <w:szCs w:val="20"/>
        </w:rPr>
        <w:t>While it may be accepted that the Zoom hearing, the use of an interpreter, and Georgia’s advanced age could have provided some basis for putting aside those inconsistencies, the judge simply did not engage with the inconsistencies at all. It would be speculation on the part of this Court to conclude that these were the reasons why the trial judge was not troubled by the inconsistencies in Georgia’s evidence.</w:t>
      </w:r>
    </w:p>
    <w:p w14:paraId="558C40FF" w14:textId="665F253A"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[53] </w:t>
      </w:r>
      <w:r w:rsidRPr="001916D0">
        <w:rPr>
          <w:rFonts w:ascii="Arial" w:hAnsi="Arial" w:cs="Arial"/>
          <w:i/>
          <w:iCs/>
          <w:sz w:val="20"/>
          <w:szCs w:val="20"/>
        </w:rPr>
        <w:t>Fourthly</w:t>
      </w:r>
      <w:r w:rsidRPr="00E03D48">
        <w:rPr>
          <w:rFonts w:ascii="Arial" w:hAnsi="Arial" w:cs="Arial"/>
          <w:sz w:val="20"/>
          <w:szCs w:val="20"/>
        </w:rPr>
        <w:t xml:space="preserve">,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differed from Georgia’s evidence on some significant issues, including the timing of the conversation where </w:t>
      </w:r>
      <w:proofErr w:type="spellStart"/>
      <w:r w:rsidRPr="00E03D48">
        <w:rPr>
          <w:rFonts w:ascii="Arial" w:hAnsi="Arial" w:cs="Arial"/>
          <w:sz w:val="20"/>
          <w:szCs w:val="20"/>
        </w:rPr>
        <w:t>Chrysoula</w:t>
      </w:r>
      <w:proofErr w:type="spellEnd"/>
      <w:r w:rsidRPr="00E03D48">
        <w:rPr>
          <w:rFonts w:ascii="Arial" w:hAnsi="Arial" w:cs="Arial"/>
          <w:sz w:val="20"/>
          <w:szCs w:val="20"/>
        </w:rPr>
        <w:t xml:space="preserve"> had discussed the renovations with her mother.</w:t>
      </w:r>
    </w:p>
    <w:p w14:paraId="6B241EC0" w14:textId="67EFD25A" w:rsidR="001916D0" w:rsidRDefault="001916D0" w:rsidP="00A962F2">
      <w:pPr>
        <w:spacing w:before="60"/>
        <w:ind w:left="454" w:right="454"/>
        <w:jc w:val="both"/>
        <w:rPr>
          <w:rFonts w:ascii="Arial" w:hAnsi="Arial" w:cs="Arial"/>
          <w:sz w:val="20"/>
          <w:szCs w:val="20"/>
        </w:rPr>
      </w:pPr>
      <w:r>
        <w:rPr>
          <w:rFonts w:ascii="Arial" w:hAnsi="Arial" w:cs="Arial"/>
          <w:color w:val="000000"/>
          <w:sz w:val="20"/>
          <w:szCs w:val="20"/>
        </w:rPr>
        <w:t xml:space="preserve">[54] </w:t>
      </w:r>
      <w:r w:rsidRPr="00E03D48">
        <w:rPr>
          <w:rFonts w:ascii="Arial" w:hAnsi="Arial" w:cs="Arial"/>
          <w:sz w:val="20"/>
          <w:szCs w:val="20"/>
        </w:rPr>
        <w:t>These were all matters raised by Theo in his closing submissions to the judge. Yet they do not appear to have been considered by her Honour in reaching her conclusions.</w:t>
      </w:r>
    </w:p>
    <w:p w14:paraId="7665B49D" w14:textId="5E872745"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[55] </w:t>
      </w:r>
      <w:r w:rsidRPr="00B918E0">
        <w:rPr>
          <w:rFonts w:ascii="Arial" w:hAnsi="Arial" w:cs="Arial"/>
          <w:i/>
          <w:iCs/>
          <w:sz w:val="20"/>
          <w:szCs w:val="20"/>
        </w:rPr>
        <w:t>Finally</w:t>
      </w:r>
      <w:r w:rsidRPr="00E03D48">
        <w:rPr>
          <w:rFonts w:ascii="Arial" w:hAnsi="Arial" w:cs="Arial"/>
          <w:sz w:val="20"/>
          <w:szCs w:val="20"/>
        </w:rPr>
        <w:t>, the trial judge did not find, and in our opinion it cannot be said, that one version of events was inherently more plausible than the other. This was consistent with the general absence of objective contemporaneous documentation favouring one version over the other.</w:t>
      </w:r>
    </w:p>
    <w:p w14:paraId="01FA6799" w14:textId="3AB48785" w:rsidR="001916D0" w:rsidRDefault="001916D0" w:rsidP="00A962F2">
      <w:pPr>
        <w:spacing w:before="60"/>
        <w:ind w:left="454" w:right="454"/>
        <w:jc w:val="both"/>
        <w:rPr>
          <w:rFonts w:ascii="Arial" w:hAnsi="Arial" w:cs="Arial"/>
          <w:sz w:val="20"/>
          <w:szCs w:val="20"/>
        </w:rPr>
      </w:pPr>
      <w:r>
        <w:rPr>
          <w:rFonts w:ascii="Arial" w:hAnsi="Arial" w:cs="Arial"/>
          <w:sz w:val="20"/>
          <w:szCs w:val="20"/>
        </w:rPr>
        <w:t xml:space="preserve">[56] </w:t>
      </w:r>
      <w:r w:rsidRPr="00E03D48">
        <w:rPr>
          <w:rFonts w:ascii="Arial" w:hAnsi="Arial" w:cs="Arial"/>
          <w:sz w:val="20"/>
          <w:szCs w:val="20"/>
        </w:rPr>
        <w:t xml:space="preserve">In our opinion, to adopt the words of Nettle JA in </w:t>
      </w:r>
      <w:r w:rsidRPr="00B918E0">
        <w:rPr>
          <w:rFonts w:ascii="Arial" w:hAnsi="Arial" w:cs="Arial"/>
          <w:i/>
          <w:iCs/>
          <w:sz w:val="20"/>
          <w:szCs w:val="20"/>
        </w:rPr>
        <w:t>Hunter</w:t>
      </w:r>
      <w:r w:rsidR="00B918E0">
        <w:rPr>
          <w:rFonts w:ascii="Arial" w:hAnsi="Arial" w:cs="Arial"/>
          <w:sz w:val="20"/>
          <w:szCs w:val="20"/>
        </w:rPr>
        <w:t xml:space="preserve"> at [28],</w:t>
      </w:r>
      <w:r w:rsidRPr="00E03D48">
        <w:rPr>
          <w:rFonts w:ascii="Arial" w:hAnsi="Arial" w:cs="Arial"/>
          <w:sz w:val="20"/>
          <w:szCs w:val="20"/>
        </w:rPr>
        <w:t xml:space="preserve"> the trial judge engaged in a mere recitation of evidence followed by a statement of findings, without any</w:t>
      </w:r>
      <w:r>
        <w:rPr>
          <w:rFonts w:ascii="Arial" w:hAnsi="Arial" w:cs="Arial"/>
          <w:sz w:val="20"/>
          <w:szCs w:val="20"/>
        </w:rPr>
        <w:t xml:space="preserve"> </w:t>
      </w:r>
      <w:r w:rsidR="00B918E0" w:rsidRPr="00E03D48">
        <w:rPr>
          <w:rFonts w:ascii="Arial" w:hAnsi="Arial" w:cs="Arial"/>
          <w:sz w:val="20"/>
          <w:szCs w:val="20"/>
        </w:rPr>
        <w:t>explanation of why the evidence is said to lead to the findings. Although the judge made material findings of fact, she did not provide an explanation of the process of reasoning that led from the evidence to those findings.</w:t>
      </w:r>
    </w:p>
    <w:p w14:paraId="3ABFD794" w14:textId="1A8EB86C" w:rsidR="00B918E0" w:rsidRPr="0037342E" w:rsidRDefault="00B918E0" w:rsidP="00A962F2">
      <w:pPr>
        <w:spacing w:before="60"/>
        <w:ind w:left="454" w:right="454"/>
        <w:jc w:val="both"/>
        <w:rPr>
          <w:rFonts w:ascii="Arial" w:hAnsi="Arial" w:cs="Arial"/>
          <w:color w:val="000000"/>
          <w:sz w:val="20"/>
          <w:szCs w:val="20"/>
        </w:rPr>
      </w:pPr>
      <w:r>
        <w:rPr>
          <w:rFonts w:ascii="Arial" w:hAnsi="Arial" w:cs="Arial"/>
          <w:sz w:val="20"/>
          <w:szCs w:val="20"/>
        </w:rPr>
        <w:t xml:space="preserve">[57] </w:t>
      </w:r>
      <w:r w:rsidRPr="00E03D48">
        <w:rPr>
          <w:rFonts w:ascii="Arial" w:hAnsi="Arial" w:cs="Arial"/>
          <w:sz w:val="20"/>
          <w:szCs w:val="20"/>
        </w:rPr>
        <w:t xml:space="preserve">This was also not a case where the basis for the decision can be inferred from the whole of the judge’s reasons, having regard to the circumstances of the case, or where the simplicity of the context or the state of the evidence was such that a mere statement of conclusion was sufficient to reveal the basis of the trial judge’s decision. Rather, the case called for an explanation of why the trial judge preferred Georgia’s and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 over that of Theo. Such explanation also needed to deal with Theo’s arguments in his closing submissions concerning the flaws in Georgia’s and </w:t>
      </w:r>
      <w:proofErr w:type="spellStart"/>
      <w:r w:rsidRPr="00E03D48">
        <w:rPr>
          <w:rFonts w:ascii="Arial" w:hAnsi="Arial" w:cs="Arial"/>
          <w:sz w:val="20"/>
          <w:szCs w:val="20"/>
        </w:rPr>
        <w:t>Chrysoula’s</w:t>
      </w:r>
      <w:proofErr w:type="spellEnd"/>
      <w:r w:rsidRPr="00E03D48">
        <w:rPr>
          <w:rFonts w:ascii="Arial" w:hAnsi="Arial" w:cs="Arial"/>
          <w:sz w:val="20"/>
          <w:szCs w:val="20"/>
        </w:rPr>
        <w:t xml:space="preserve"> evidence.</w:t>
      </w:r>
      <w:r>
        <w:rPr>
          <w:rFonts w:ascii="Arial" w:hAnsi="Arial" w:cs="Arial"/>
          <w:sz w:val="20"/>
          <w:szCs w:val="20"/>
        </w:rPr>
        <w:t>”</w:t>
      </w:r>
    </w:p>
    <w:p w14:paraId="38887663" w14:textId="080C621B" w:rsidR="00E03D48" w:rsidRDefault="00E03D48" w:rsidP="001D1B06">
      <w:pPr>
        <w:jc w:val="both"/>
        <w:rPr>
          <w:rFonts w:ascii="Arial" w:hAnsi="Arial" w:cs="Arial"/>
          <w:color w:val="000000"/>
          <w:sz w:val="20"/>
        </w:rPr>
      </w:pPr>
    </w:p>
    <w:p w14:paraId="769B377F" w14:textId="78F8A0ED" w:rsidR="00DB14A3" w:rsidRDefault="00DB14A3" w:rsidP="001D1B06">
      <w:pPr>
        <w:jc w:val="both"/>
        <w:rPr>
          <w:rFonts w:ascii="Arial" w:hAnsi="Arial" w:cs="Arial"/>
          <w:color w:val="000000"/>
          <w:sz w:val="20"/>
        </w:rPr>
      </w:pPr>
      <w:r>
        <w:rPr>
          <w:rFonts w:ascii="Arial" w:hAnsi="Arial" w:cs="Arial"/>
          <w:color w:val="000000"/>
          <w:sz w:val="20"/>
        </w:rPr>
        <w:t xml:space="preserve">In </w:t>
      </w:r>
      <w:r w:rsidRPr="00DB14A3">
        <w:rPr>
          <w:rFonts w:ascii="Arial" w:hAnsi="Arial" w:cs="Arial"/>
          <w:i/>
          <w:iCs/>
          <w:color w:val="000000"/>
          <w:sz w:val="20"/>
        </w:rPr>
        <w:t>JV v Children’s Court of Victoria &amp; Anor</w:t>
      </w:r>
      <w:r>
        <w:rPr>
          <w:rFonts w:ascii="Arial" w:hAnsi="Arial" w:cs="Arial"/>
          <w:color w:val="000000"/>
          <w:sz w:val="20"/>
        </w:rPr>
        <w:t xml:space="preserve"> [2023] VSC 656 the accused had been found guilty – after a 5-day trial before a magistrate – of one charge of rape and one each of production, possession and distribution of child abuse material.  The magistrate had provided only oral reasons and </w:t>
      </w:r>
      <w:r w:rsidR="009D2F76">
        <w:rPr>
          <w:rFonts w:ascii="Arial" w:hAnsi="Arial" w:cs="Arial"/>
          <w:color w:val="000000"/>
          <w:sz w:val="20"/>
        </w:rPr>
        <w:t>had</w:t>
      </w:r>
      <w:r>
        <w:rPr>
          <w:rFonts w:ascii="Arial" w:hAnsi="Arial" w:cs="Arial"/>
          <w:color w:val="000000"/>
          <w:sz w:val="20"/>
        </w:rPr>
        <w:t xml:space="preserve"> not deliver</w:t>
      </w:r>
      <w:r w:rsidR="009D2F76">
        <w:rPr>
          <w:rFonts w:ascii="Arial" w:hAnsi="Arial" w:cs="Arial"/>
          <w:color w:val="000000"/>
          <w:sz w:val="20"/>
        </w:rPr>
        <w:t>ed</w:t>
      </w:r>
      <w:r>
        <w:rPr>
          <w:rFonts w:ascii="Arial" w:hAnsi="Arial" w:cs="Arial"/>
          <w:color w:val="000000"/>
          <w:sz w:val="20"/>
        </w:rPr>
        <w:t xml:space="preserve"> anticipated written reasons.  JV sought </w:t>
      </w:r>
      <w:r w:rsidR="00C954B8">
        <w:rPr>
          <w:rFonts w:ascii="Arial" w:hAnsi="Arial" w:cs="Arial"/>
          <w:color w:val="000000"/>
          <w:sz w:val="20"/>
        </w:rPr>
        <w:t xml:space="preserve">judicial </w:t>
      </w:r>
      <w:r>
        <w:rPr>
          <w:rFonts w:ascii="Arial" w:hAnsi="Arial" w:cs="Arial"/>
          <w:color w:val="000000"/>
          <w:sz w:val="20"/>
        </w:rPr>
        <w:t xml:space="preserve">review under Order 56 of the </w:t>
      </w:r>
      <w:r w:rsidRPr="00DB14A3">
        <w:rPr>
          <w:rFonts w:ascii="Arial" w:hAnsi="Arial" w:cs="Arial"/>
          <w:i/>
          <w:iCs/>
          <w:color w:val="000000"/>
          <w:sz w:val="20"/>
        </w:rPr>
        <w:t xml:space="preserve">Supreme Court (Civil </w:t>
      </w:r>
      <w:r w:rsidR="003624AB" w:rsidRPr="00DB14A3">
        <w:rPr>
          <w:rFonts w:ascii="Arial" w:hAnsi="Arial" w:cs="Arial"/>
          <w:i/>
          <w:iCs/>
          <w:color w:val="000000"/>
          <w:sz w:val="20"/>
        </w:rPr>
        <w:t>Procedure</w:t>
      </w:r>
      <w:r w:rsidRPr="00DB14A3">
        <w:rPr>
          <w:rFonts w:ascii="Arial" w:hAnsi="Arial" w:cs="Arial"/>
          <w:i/>
          <w:iCs/>
          <w:color w:val="000000"/>
          <w:sz w:val="20"/>
        </w:rPr>
        <w:t>) Rules 2015</w:t>
      </w:r>
      <w:r>
        <w:rPr>
          <w:rFonts w:ascii="Arial" w:hAnsi="Arial" w:cs="Arial"/>
          <w:color w:val="000000"/>
          <w:sz w:val="20"/>
        </w:rPr>
        <w:t xml:space="preserve"> (Vic) on the sole ground that the Magistrate failed to give adequate reasons for his decision.</w:t>
      </w:r>
      <w:r w:rsidR="009D2F76">
        <w:rPr>
          <w:rFonts w:ascii="Arial" w:hAnsi="Arial" w:cs="Arial"/>
          <w:color w:val="000000"/>
          <w:sz w:val="20"/>
        </w:rPr>
        <w:t xml:space="preserve">  At [52]-[56] Forbes J outlined the legal principles </w:t>
      </w:r>
      <w:r w:rsidR="00830595">
        <w:rPr>
          <w:rFonts w:ascii="Arial" w:hAnsi="Arial" w:cs="Arial"/>
          <w:color w:val="000000"/>
          <w:sz w:val="20"/>
        </w:rPr>
        <w:t>relevant to the adequacy of judicial reasons as follows:</w:t>
      </w:r>
    </w:p>
    <w:p w14:paraId="597160D1" w14:textId="26E19E75" w:rsidR="00830595" w:rsidRDefault="00830595" w:rsidP="009462F3">
      <w:pPr>
        <w:spacing w:before="60"/>
        <w:ind w:left="454" w:right="454"/>
        <w:jc w:val="both"/>
        <w:rPr>
          <w:rFonts w:ascii="Arial" w:hAnsi="Arial" w:cs="Arial"/>
          <w:sz w:val="20"/>
          <w:szCs w:val="20"/>
        </w:rPr>
      </w:pPr>
      <w:r w:rsidRPr="00830595">
        <w:rPr>
          <w:rFonts w:ascii="Arial" w:hAnsi="Arial" w:cs="Arial"/>
          <w:sz w:val="20"/>
          <w:szCs w:val="20"/>
        </w:rPr>
        <w:t xml:space="preserve">[52] </w:t>
      </w:r>
      <w:r w:rsidR="003624AB">
        <w:rPr>
          <w:rFonts w:ascii="Arial" w:hAnsi="Arial" w:cs="Arial"/>
          <w:sz w:val="20"/>
          <w:szCs w:val="20"/>
        </w:rPr>
        <w:t>“</w:t>
      </w:r>
      <w:r w:rsidRPr="00830595">
        <w:rPr>
          <w:rFonts w:ascii="Arial" w:hAnsi="Arial" w:cs="Arial"/>
          <w:sz w:val="20"/>
          <w:szCs w:val="20"/>
        </w:rPr>
        <w:t xml:space="preserve">The duty of a judicial officer to give reasons for the decision reached is integral to the exercise of judicial power: </w:t>
      </w:r>
      <w:proofErr w:type="spellStart"/>
      <w:r w:rsidRPr="00830595">
        <w:rPr>
          <w:rFonts w:ascii="Arial" w:eastAsia="Book Antiqua" w:hAnsi="Arial" w:cs="Arial"/>
          <w:i/>
          <w:sz w:val="20"/>
          <w:szCs w:val="20"/>
        </w:rPr>
        <w:t>Wainohu</w:t>
      </w:r>
      <w:proofErr w:type="spellEnd"/>
      <w:r w:rsidRPr="00830595">
        <w:rPr>
          <w:rFonts w:ascii="Arial" w:eastAsia="Book Antiqua" w:hAnsi="Arial" w:cs="Arial"/>
          <w:i/>
          <w:sz w:val="20"/>
          <w:szCs w:val="20"/>
        </w:rPr>
        <w:t xml:space="preserve"> v New South Wales</w:t>
      </w:r>
      <w:r w:rsidRPr="00830595">
        <w:rPr>
          <w:rFonts w:ascii="Arial" w:hAnsi="Arial" w:cs="Arial"/>
          <w:sz w:val="20"/>
          <w:szCs w:val="20"/>
        </w:rPr>
        <w:t xml:space="preserve"> (2011) 243 CLR 181, [54]; </w:t>
      </w:r>
      <w:proofErr w:type="spellStart"/>
      <w:r w:rsidRPr="00830595">
        <w:rPr>
          <w:rFonts w:ascii="Arial" w:eastAsia="Book Antiqua" w:hAnsi="Arial" w:cs="Arial"/>
          <w:i/>
          <w:sz w:val="20"/>
          <w:szCs w:val="20"/>
        </w:rPr>
        <w:t>Karabagias</w:t>
      </w:r>
      <w:proofErr w:type="spellEnd"/>
      <w:r w:rsidRPr="00830595">
        <w:rPr>
          <w:rFonts w:ascii="Arial" w:eastAsia="Book Antiqua" w:hAnsi="Arial" w:cs="Arial"/>
          <w:i/>
          <w:sz w:val="20"/>
          <w:szCs w:val="20"/>
        </w:rPr>
        <w:t xml:space="preserve"> v </w:t>
      </w:r>
      <w:proofErr w:type="spellStart"/>
      <w:r w:rsidRPr="00830595">
        <w:rPr>
          <w:rFonts w:ascii="Arial" w:eastAsia="Book Antiqua" w:hAnsi="Arial" w:cs="Arial"/>
          <w:i/>
          <w:sz w:val="20"/>
          <w:szCs w:val="20"/>
        </w:rPr>
        <w:t>Katopodis</w:t>
      </w:r>
      <w:proofErr w:type="spellEnd"/>
      <w:r w:rsidRPr="00830595">
        <w:rPr>
          <w:rFonts w:ascii="Arial" w:hAnsi="Arial" w:cs="Arial"/>
          <w:sz w:val="20"/>
          <w:szCs w:val="20"/>
        </w:rPr>
        <w:t xml:space="preserve"> [2022] VSCA 191, [10]; </w:t>
      </w:r>
      <w:proofErr w:type="spellStart"/>
      <w:r w:rsidRPr="00830595">
        <w:rPr>
          <w:rFonts w:ascii="Arial" w:eastAsia="Book Antiqua" w:hAnsi="Arial" w:cs="Arial"/>
          <w:i/>
          <w:sz w:val="20"/>
          <w:szCs w:val="20"/>
        </w:rPr>
        <w:t>Makeham</w:t>
      </w:r>
      <w:proofErr w:type="spellEnd"/>
      <w:r w:rsidRPr="00830595">
        <w:rPr>
          <w:rFonts w:ascii="Arial" w:eastAsia="Book Antiqua" w:hAnsi="Arial" w:cs="Arial"/>
          <w:i/>
          <w:sz w:val="20"/>
          <w:szCs w:val="20"/>
        </w:rPr>
        <w:t xml:space="preserve"> v Sheppard</w:t>
      </w:r>
      <w:r w:rsidRPr="00830595">
        <w:rPr>
          <w:rFonts w:ascii="Arial" w:hAnsi="Arial" w:cs="Arial"/>
          <w:sz w:val="20"/>
          <w:szCs w:val="20"/>
        </w:rPr>
        <w:t xml:space="preserve"> [2020] VSCA 242. The adequacy of those reasons is measured by their sufficiency in explaining the basis for the decision: </w:t>
      </w:r>
      <w:r w:rsidRPr="00830595">
        <w:rPr>
          <w:rFonts w:ascii="Arial" w:eastAsia="Book Antiqua" w:hAnsi="Arial" w:cs="Arial"/>
          <w:i/>
          <w:sz w:val="20"/>
          <w:szCs w:val="20"/>
        </w:rPr>
        <w:t>Public Service Board (NSW) v Osmond</w:t>
      </w:r>
      <w:r w:rsidRPr="00830595">
        <w:rPr>
          <w:rFonts w:ascii="Arial" w:hAnsi="Arial" w:cs="Arial"/>
          <w:sz w:val="20"/>
          <w:szCs w:val="20"/>
        </w:rPr>
        <w:t xml:space="preserve"> (1986) 159 CLR 656, 666-667. Adequate reasons must expose a path of reasoning: </w:t>
      </w:r>
      <w:r w:rsidRPr="00830595">
        <w:rPr>
          <w:rFonts w:ascii="Arial" w:eastAsia="Book Antiqua" w:hAnsi="Arial" w:cs="Arial"/>
          <w:i/>
          <w:sz w:val="20"/>
          <w:szCs w:val="20"/>
        </w:rPr>
        <w:t xml:space="preserve">Hunter v Transport Accident Commission </w:t>
      </w:r>
      <w:r w:rsidRPr="00830595">
        <w:rPr>
          <w:rFonts w:ascii="Arial" w:hAnsi="Arial" w:cs="Arial"/>
          <w:sz w:val="20"/>
          <w:szCs w:val="20"/>
        </w:rPr>
        <w:t xml:space="preserve">[2005] VSCA 1, [21] (Nettle JA).  Reasons should identify the material factual findings upon which the outcome is based and the ultimate factual conclusion reached. Where there are conflicts or discrepancies in the evidence, it is not generally sufficient to rehearse the different evidence. An explanation of the basis for preferring one piece of evidence over another should also be provided: </w:t>
      </w:r>
      <w:r w:rsidRPr="00830595">
        <w:rPr>
          <w:rFonts w:ascii="Arial" w:eastAsia="Book Antiqua" w:hAnsi="Arial" w:cs="Arial"/>
          <w:i/>
          <w:sz w:val="20"/>
          <w:szCs w:val="20"/>
        </w:rPr>
        <w:t>Bookless v Smith</w:t>
      </w:r>
      <w:r w:rsidRPr="00830595">
        <w:rPr>
          <w:rFonts w:ascii="Arial" w:hAnsi="Arial" w:cs="Arial"/>
          <w:sz w:val="20"/>
          <w:szCs w:val="20"/>
        </w:rPr>
        <w:t xml:space="preserve"> [2020] VSC 56, [24].</w:t>
      </w:r>
    </w:p>
    <w:p w14:paraId="4200A3E5" w14:textId="5E53A0C9" w:rsidR="00830595" w:rsidRPr="00830595" w:rsidRDefault="00830595" w:rsidP="009462F3">
      <w:pPr>
        <w:spacing w:before="60"/>
        <w:ind w:left="454" w:right="454"/>
        <w:jc w:val="both"/>
        <w:rPr>
          <w:rFonts w:ascii="Arial" w:eastAsia="Book Antiqua" w:hAnsi="Arial" w:cs="Arial"/>
          <w:b/>
          <w:sz w:val="20"/>
          <w:szCs w:val="20"/>
        </w:rPr>
      </w:pPr>
      <w:r>
        <w:rPr>
          <w:rFonts w:ascii="Arial" w:hAnsi="Arial" w:cs="Arial"/>
          <w:sz w:val="20"/>
          <w:szCs w:val="20"/>
        </w:rPr>
        <w:t xml:space="preserve">[53] </w:t>
      </w:r>
      <w:r w:rsidRPr="00830595">
        <w:rPr>
          <w:rFonts w:ascii="Arial" w:hAnsi="Arial" w:cs="Arial"/>
          <w:sz w:val="20"/>
          <w:szCs w:val="20"/>
        </w:rPr>
        <w:t xml:space="preserve">What amounts to adequate content of reasons will be informed by the nature of the matter under consideration and the way in which the parties identified the issues in dispute and their importance. Reasons may be adequate even though they do not deal with the detail of every submission advanced in a hearing if they sufficiently deal with the issues necessary to reach the ultimate conclusion: </w:t>
      </w:r>
      <w:r w:rsidRPr="00830595">
        <w:rPr>
          <w:rFonts w:ascii="Arial" w:eastAsia="Book Antiqua" w:hAnsi="Arial" w:cs="Arial"/>
          <w:i/>
          <w:sz w:val="20"/>
          <w:szCs w:val="20"/>
        </w:rPr>
        <w:t>Beale v Government Insurance Office (NSW)</w:t>
      </w:r>
      <w:r w:rsidRPr="00830595">
        <w:rPr>
          <w:rFonts w:ascii="Arial" w:hAnsi="Arial" w:cs="Arial"/>
          <w:sz w:val="20"/>
          <w:szCs w:val="20"/>
        </w:rPr>
        <w:t xml:space="preserve"> (1997) 48 NSWLR 430, 443-444.</w:t>
      </w:r>
    </w:p>
    <w:p w14:paraId="15DEEA71" w14:textId="0D430BCC" w:rsidR="00830595" w:rsidRDefault="00830595" w:rsidP="009462F3">
      <w:pPr>
        <w:spacing w:before="60"/>
        <w:ind w:left="454" w:right="454"/>
        <w:jc w:val="both"/>
        <w:rPr>
          <w:rFonts w:ascii="Arial" w:hAnsi="Arial" w:cs="Arial"/>
          <w:sz w:val="20"/>
          <w:szCs w:val="20"/>
        </w:rPr>
      </w:pPr>
      <w:r w:rsidRPr="00830595">
        <w:rPr>
          <w:rFonts w:ascii="Arial" w:eastAsia="Book Antiqua" w:hAnsi="Arial" w:cs="Arial"/>
          <w:bCs/>
          <w:sz w:val="20"/>
          <w:szCs w:val="20"/>
        </w:rPr>
        <w:t xml:space="preserve">[54] </w:t>
      </w:r>
      <w:r w:rsidRPr="00830595">
        <w:rPr>
          <w:rFonts w:ascii="Arial" w:hAnsi="Arial" w:cs="Arial"/>
          <w:sz w:val="20"/>
          <w:szCs w:val="20"/>
        </w:rPr>
        <w:t xml:space="preserve">The importance of reasons underpins the proper administration of justice. Reasons inform a superior court asked to determine whether a decision below contains an error of law or appealable error. They support the decision of the Court being accepted by the parties; in other words they allow parties (and in particular a losing party) to understand why the case has been decided in favour or adverse to them. They promote public confidence in the process of decision making and promote accountability of judicial officers. They support </w:t>
      </w:r>
      <w:r w:rsidRPr="00830595">
        <w:rPr>
          <w:rFonts w:ascii="Arial" w:hAnsi="Arial" w:cs="Arial"/>
          <w:sz w:val="20"/>
          <w:szCs w:val="20"/>
        </w:rPr>
        <w:lastRenderedPageBreak/>
        <w:t>consistency in decision making and provide guidance as to the applicable law and its application to particular factual circumstances.</w:t>
      </w:r>
    </w:p>
    <w:p w14:paraId="60285691" w14:textId="22F25330" w:rsidR="00830595" w:rsidRDefault="00830595" w:rsidP="009462F3">
      <w:pPr>
        <w:spacing w:before="60"/>
        <w:ind w:left="454" w:right="454"/>
        <w:jc w:val="both"/>
        <w:rPr>
          <w:rFonts w:ascii="Arial" w:hAnsi="Arial" w:cs="Arial"/>
          <w:sz w:val="20"/>
          <w:szCs w:val="20"/>
        </w:rPr>
      </w:pPr>
      <w:r>
        <w:rPr>
          <w:rFonts w:ascii="Arial" w:hAnsi="Arial" w:cs="Arial"/>
          <w:sz w:val="20"/>
          <w:szCs w:val="20"/>
        </w:rPr>
        <w:t xml:space="preserve">[55] </w:t>
      </w:r>
      <w:r w:rsidRPr="00830595">
        <w:rPr>
          <w:rFonts w:ascii="Arial" w:hAnsi="Arial" w:cs="Arial"/>
          <w:sz w:val="20"/>
          <w:szCs w:val="20"/>
        </w:rPr>
        <w:t xml:space="preserve">Section 4A of the </w:t>
      </w:r>
      <w:r w:rsidRPr="00B50A1D">
        <w:rPr>
          <w:rFonts w:ascii="Arial" w:hAnsi="Arial" w:cs="Arial"/>
          <w:i/>
          <w:iCs/>
          <w:sz w:val="20"/>
          <w:szCs w:val="20"/>
        </w:rPr>
        <w:t xml:space="preserve">Jury Directions Act </w:t>
      </w:r>
      <w:r w:rsidR="00B50A1D" w:rsidRPr="00B50A1D">
        <w:rPr>
          <w:rFonts w:ascii="Arial" w:hAnsi="Arial" w:cs="Arial"/>
          <w:i/>
          <w:iCs/>
          <w:sz w:val="20"/>
          <w:szCs w:val="20"/>
        </w:rPr>
        <w:t>2015</w:t>
      </w:r>
      <w:r w:rsidR="00B50A1D">
        <w:rPr>
          <w:rFonts w:ascii="Arial" w:hAnsi="Arial" w:cs="Arial"/>
          <w:sz w:val="20"/>
          <w:szCs w:val="20"/>
        </w:rPr>
        <w:t xml:space="preserve"> </w:t>
      </w:r>
      <w:r w:rsidRPr="00830595">
        <w:rPr>
          <w:rFonts w:ascii="Arial" w:hAnsi="Arial" w:cs="Arial"/>
          <w:sz w:val="20"/>
          <w:szCs w:val="20"/>
        </w:rPr>
        <w:t>confirms that a judicial officer hearing a criminal matter without a jury must reason in a manner consistent with how a jury would be directed on the evidence and its use. It provides:</w:t>
      </w:r>
    </w:p>
    <w:p w14:paraId="03F53D0E" w14:textId="4C961369" w:rsidR="009D2F76" w:rsidRPr="00B50A1D" w:rsidRDefault="009D2F76" w:rsidP="00B50A1D">
      <w:pPr>
        <w:tabs>
          <w:tab w:val="center" w:pos="1581"/>
          <w:tab w:val="center" w:pos="5042"/>
        </w:tabs>
        <w:spacing w:before="60"/>
        <w:ind w:left="1021" w:right="1021"/>
        <w:rPr>
          <w:rFonts w:ascii="Arial" w:hAnsi="Arial" w:cs="Arial"/>
          <w:sz w:val="18"/>
          <w:szCs w:val="18"/>
        </w:rPr>
      </w:pPr>
      <w:r w:rsidRPr="00B50A1D">
        <w:rPr>
          <w:rFonts w:ascii="Arial" w:eastAsia="Book Antiqua" w:hAnsi="Arial" w:cs="Arial"/>
          <w:b/>
          <w:sz w:val="18"/>
          <w:szCs w:val="18"/>
        </w:rPr>
        <w:t>4</w:t>
      </w:r>
      <w:proofErr w:type="gramStart"/>
      <w:r w:rsidRPr="00B50A1D">
        <w:rPr>
          <w:rFonts w:ascii="Arial" w:eastAsia="Book Antiqua" w:hAnsi="Arial" w:cs="Arial"/>
          <w:b/>
          <w:sz w:val="18"/>
          <w:szCs w:val="18"/>
        </w:rPr>
        <w:t xml:space="preserve">A  </w:t>
      </w:r>
      <w:r w:rsidRPr="00B50A1D">
        <w:rPr>
          <w:rFonts w:ascii="Arial" w:eastAsia="Book Antiqua" w:hAnsi="Arial" w:cs="Arial"/>
          <w:b/>
          <w:sz w:val="18"/>
          <w:szCs w:val="18"/>
        </w:rPr>
        <w:tab/>
      </w:r>
      <w:proofErr w:type="gramEnd"/>
      <w:r w:rsidRPr="00B50A1D">
        <w:rPr>
          <w:rFonts w:ascii="Arial" w:eastAsia="Book Antiqua" w:hAnsi="Arial" w:cs="Arial"/>
          <w:b/>
          <w:sz w:val="18"/>
          <w:szCs w:val="18"/>
        </w:rPr>
        <w:t xml:space="preserve">Application of Act to criminal proceedings without juries </w:t>
      </w:r>
    </w:p>
    <w:p w14:paraId="7233F017" w14:textId="77777777" w:rsidR="009D2F76" w:rsidRPr="00B50A1D" w:rsidRDefault="009D2F76">
      <w:pPr>
        <w:numPr>
          <w:ilvl w:val="1"/>
          <w:numId w:val="113"/>
        </w:numPr>
        <w:spacing w:before="60"/>
        <w:ind w:left="1475" w:right="1021" w:hanging="454"/>
        <w:jc w:val="both"/>
        <w:rPr>
          <w:rFonts w:ascii="Arial" w:hAnsi="Arial" w:cs="Arial"/>
          <w:sz w:val="18"/>
          <w:szCs w:val="18"/>
        </w:rPr>
      </w:pPr>
      <w:r w:rsidRPr="00B50A1D">
        <w:rPr>
          <w:rFonts w:ascii="Arial" w:hAnsi="Arial" w:cs="Arial"/>
          <w:sz w:val="18"/>
          <w:szCs w:val="18"/>
        </w:rPr>
        <w:t xml:space="preserve">This section applies to – </w:t>
      </w:r>
    </w:p>
    <w:p w14:paraId="4D8E906D" w14:textId="05DF9D2F" w:rsidR="009D2F76" w:rsidRP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 xml:space="preserve">a summary hearing or committal proceeding under the </w:t>
      </w:r>
      <w:r w:rsidRPr="00B50A1D">
        <w:rPr>
          <w:rFonts w:ascii="Arial" w:eastAsia="Book Antiqua" w:hAnsi="Arial" w:cs="Arial"/>
          <w:b/>
          <w:sz w:val="18"/>
          <w:szCs w:val="18"/>
        </w:rPr>
        <w:t>Criminal Procedure Act 2009</w:t>
      </w:r>
      <w:r w:rsidRPr="00B50A1D">
        <w:rPr>
          <w:rFonts w:ascii="Arial" w:hAnsi="Arial" w:cs="Arial"/>
          <w:sz w:val="18"/>
          <w:szCs w:val="18"/>
        </w:rPr>
        <w:t>; and</w:t>
      </w:r>
    </w:p>
    <w:p w14:paraId="714778FD" w14:textId="43262FBE" w:rsidR="009D2F76" w:rsidRPr="00B50A1D" w:rsidRDefault="009D2F76" w:rsidP="00101B91">
      <w:pPr>
        <w:spacing w:before="60"/>
        <w:ind w:left="1474" w:right="709"/>
        <w:rPr>
          <w:rFonts w:ascii="Arial" w:hAnsi="Arial" w:cs="Arial"/>
          <w:sz w:val="18"/>
          <w:szCs w:val="18"/>
        </w:rPr>
      </w:pPr>
      <w:r w:rsidRPr="00B50A1D">
        <w:rPr>
          <w:rFonts w:ascii="Arial" w:hAnsi="Arial" w:cs="Arial"/>
          <w:sz w:val="18"/>
          <w:szCs w:val="18"/>
        </w:rPr>
        <w:t>…</w:t>
      </w:r>
    </w:p>
    <w:p w14:paraId="27234B0F" w14:textId="77777777" w:rsidR="00B50A1D" w:rsidRPr="00B50A1D" w:rsidRDefault="009D2F76">
      <w:pPr>
        <w:numPr>
          <w:ilvl w:val="1"/>
          <w:numId w:val="113"/>
        </w:numPr>
        <w:spacing w:before="60"/>
        <w:ind w:left="1475" w:right="1021" w:hanging="454"/>
        <w:jc w:val="both"/>
        <w:rPr>
          <w:rFonts w:ascii="Arial" w:hAnsi="Arial" w:cs="Arial"/>
          <w:sz w:val="18"/>
          <w:szCs w:val="18"/>
        </w:rPr>
      </w:pPr>
      <w:r w:rsidRPr="00B50A1D">
        <w:rPr>
          <w:rFonts w:ascii="Arial" w:hAnsi="Arial" w:cs="Arial"/>
          <w:sz w:val="18"/>
          <w:szCs w:val="18"/>
        </w:rPr>
        <w:t>The court’s reasoning with respect to any matter in relation to which Part 4,</w:t>
      </w:r>
      <w:r w:rsidR="00B50A1D" w:rsidRPr="00B50A1D">
        <w:rPr>
          <w:rFonts w:ascii="Arial" w:hAnsi="Arial" w:cs="Arial"/>
          <w:sz w:val="18"/>
          <w:szCs w:val="18"/>
        </w:rPr>
        <w:t xml:space="preserve"> </w:t>
      </w:r>
      <w:r w:rsidRPr="00B50A1D">
        <w:rPr>
          <w:rFonts w:ascii="Arial" w:hAnsi="Arial" w:cs="Arial"/>
          <w:sz w:val="18"/>
          <w:szCs w:val="18"/>
        </w:rPr>
        <w:t>5,</w:t>
      </w:r>
      <w:r w:rsidR="00B50A1D" w:rsidRPr="00B50A1D">
        <w:rPr>
          <w:rFonts w:ascii="Arial" w:hAnsi="Arial" w:cs="Arial"/>
          <w:sz w:val="18"/>
          <w:szCs w:val="18"/>
        </w:rPr>
        <w:t xml:space="preserve"> </w:t>
      </w:r>
      <w:r w:rsidRPr="00B50A1D">
        <w:rPr>
          <w:rFonts w:ascii="Arial" w:hAnsi="Arial" w:cs="Arial"/>
          <w:sz w:val="18"/>
          <w:szCs w:val="18"/>
        </w:rPr>
        <w:t xml:space="preserve">6 or 7 makes provision –  </w:t>
      </w:r>
    </w:p>
    <w:p w14:paraId="09CCA31C" w14:textId="77777777" w:rsidR="00B50A1D" w:rsidRP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must be consistent with how a jury would be directed in accordance with this Act; and</w:t>
      </w:r>
    </w:p>
    <w:p w14:paraId="5E115266" w14:textId="08A398CC" w:rsidR="00B50A1D" w:rsidRDefault="009D2F76">
      <w:pPr>
        <w:numPr>
          <w:ilvl w:val="2"/>
          <w:numId w:val="113"/>
        </w:numPr>
        <w:spacing w:before="60"/>
        <w:ind w:left="1928" w:right="1021" w:hanging="454"/>
        <w:jc w:val="both"/>
        <w:rPr>
          <w:rFonts w:ascii="Arial" w:hAnsi="Arial" w:cs="Arial"/>
          <w:sz w:val="18"/>
          <w:szCs w:val="18"/>
        </w:rPr>
      </w:pPr>
      <w:r w:rsidRPr="00B50A1D">
        <w:rPr>
          <w:rFonts w:ascii="Arial" w:hAnsi="Arial" w:cs="Arial"/>
          <w:sz w:val="18"/>
          <w:szCs w:val="18"/>
        </w:rPr>
        <w:t xml:space="preserve">must not accept, rely on or adopt –  </w:t>
      </w:r>
    </w:p>
    <w:p w14:paraId="072981C9" w14:textId="4C2F1653" w:rsidR="00C9443C" w:rsidRDefault="00C9443C" w:rsidP="00C9443C">
      <w:pPr>
        <w:spacing w:before="60"/>
        <w:ind w:left="2382" w:right="1021" w:hanging="454"/>
        <w:jc w:val="both"/>
        <w:rPr>
          <w:rFonts w:ascii="Arial" w:hAnsi="Arial" w:cs="Arial"/>
          <w:sz w:val="18"/>
          <w:szCs w:val="18"/>
        </w:rPr>
      </w:pPr>
      <w:r>
        <w:rPr>
          <w:rFonts w:ascii="Arial" w:hAnsi="Arial" w:cs="Arial"/>
          <w:sz w:val="18"/>
          <w:szCs w:val="18"/>
        </w:rPr>
        <w:t>(i)</w:t>
      </w:r>
      <w:r>
        <w:rPr>
          <w:rFonts w:ascii="Arial" w:hAnsi="Arial" w:cs="Arial"/>
          <w:sz w:val="18"/>
          <w:szCs w:val="18"/>
        </w:rPr>
        <w:tab/>
      </w:r>
      <w:r w:rsidRPr="00B50A1D">
        <w:rPr>
          <w:rFonts w:ascii="Arial" w:hAnsi="Arial" w:cs="Arial"/>
          <w:sz w:val="18"/>
          <w:szCs w:val="18"/>
        </w:rPr>
        <w:t>a statement or suggestion that this Act prohibits a trial judge from making, or</w:t>
      </w:r>
    </w:p>
    <w:p w14:paraId="14294818" w14:textId="1FD4010D" w:rsidR="00C9443C" w:rsidRDefault="00C9443C" w:rsidP="00C9443C">
      <w:pPr>
        <w:spacing w:before="60"/>
        <w:ind w:left="2382" w:right="1021" w:hanging="454"/>
        <w:jc w:val="both"/>
        <w:rPr>
          <w:rFonts w:ascii="Arial" w:hAnsi="Arial" w:cs="Arial"/>
          <w:sz w:val="18"/>
          <w:szCs w:val="18"/>
        </w:rPr>
      </w:pPr>
      <w:r>
        <w:rPr>
          <w:rFonts w:ascii="Arial" w:hAnsi="Arial" w:cs="Arial"/>
          <w:sz w:val="18"/>
          <w:szCs w:val="18"/>
        </w:rPr>
        <w:t>(ii)</w:t>
      </w:r>
      <w:r>
        <w:rPr>
          <w:rFonts w:ascii="Arial" w:hAnsi="Arial" w:cs="Arial"/>
          <w:sz w:val="18"/>
          <w:szCs w:val="18"/>
        </w:rPr>
        <w:tab/>
      </w:r>
      <w:r w:rsidRPr="00B50A1D">
        <w:rPr>
          <w:rFonts w:ascii="Arial" w:hAnsi="Arial" w:cs="Arial"/>
          <w:sz w:val="18"/>
          <w:szCs w:val="18"/>
        </w:rPr>
        <w:t>a direction that this Act prohibits a trial judge from giving.</w:t>
      </w:r>
    </w:p>
    <w:p w14:paraId="120DD4E9" w14:textId="6F5787D8" w:rsidR="00C9443C" w:rsidRPr="00C9443C" w:rsidRDefault="00101B91" w:rsidP="009462F3">
      <w:pPr>
        <w:spacing w:before="60"/>
        <w:ind w:left="454" w:right="454"/>
        <w:jc w:val="both"/>
        <w:rPr>
          <w:rFonts w:ascii="Arial" w:hAnsi="Arial" w:cs="Arial"/>
          <w:sz w:val="20"/>
        </w:rPr>
      </w:pPr>
      <w:r w:rsidRPr="00C9443C">
        <w:rPr>
          <w:rFonts w:ascii="Arial" w:hAnsi="Arial" w:cs="Arial"/>
          <w:sz w:val="20"/>
        </w:rPr>
        <w:t xml:space="preserve">[56] </w:t>
      </w:r>
      <w:r w:rsidR="009D2F76" w:rsidRPr="00C9443C">
        <w:rPr>
          <w:rFonts w:ascii="Arial" w:hAnsi="Arial" w:cs="Arial"/>
          <w:sz w:val="20"/>
        </w:rPr>
        <w:t xml:space="preserve">In </w:t>
      </w:r>
      <w:proofErr w:type="spellStart"/>
      <w:r w:rsidR="009D2F76" w:rsidRPr="00C9443C">
        <w:rPr>
          <w:rFonts w:ascii="Arial" w:eastAsia="Book Antiqua" w:hAnsi="Arial" w:cs="Arial"/>
          <w:i/>
          <w:sz w:val="20"/>
        </w:rPr>
        <w:t>Makeham</w:t>
      </w:r>
      <w:proofErr w:type="spellEnd"/>
      <w:r w:rsidR="009D2F76" w:rsidRPr="00C9443C">
        <w:rPr>
          <w:rFonts w:ascii="Arial" w:eastAsia="Book Antiqua" w:hAnsi="Arial" w:cs="Arial"/>
          <w:i/>
          <w:sz w:val="20"/>
        </w:rPr>
        <w:t xml:space="preserve"> v Sheppard </w:t>
      </w:r>
      <w:r w:rsidRPr="00C9443C">
        <w:rPr>
          <w:rFonts w:ascii="Arial" w:hAnsi="Arial" w:cs="Arial"/>
          <w:sz w:val="20"/>
        </w:rPr>
        <w:t>[2020] VSCA 242</w:t>
      </w:r>
      <w:r w:rsidR="009D2F76" w:rsidRPr="00C9443C">
        <w:rPr>
          <w:rFonts w:ascii="Arial" w:hAnsi="Arial" w:cs="Arial"/>
          <w:sz w:val="20"/>
        </w:rPr>
        <w:t xml:space="preserve">, the Court of Appeal considered the adequacy of a magistrate’s reasons for conviction and in particular their adequacy in light of s 4A of the Jury Directions Act. The Court upheld the appeal on the ground that the availability of a de novo appeal to the County Court did not lessen the need for adequate reasons for the initial decision of the magistrate. The appellant, who was the accused before the Magistrate, had submitted that the Magistrate should direct herself, identifying five particular directions. On appeal, while the reasons did adequately deal with four of the directions sought, the direction as to the accused’s good character was not adequately exposed by the reasons. After setting out generally the principles relevant to the adequacy of reasons of a judicial officer exercising </w:t>
      </w:r>
      <w:r w:rsidR="00B50A1D" w:rsidRPr="00C9443C">
        <w:rPr>
          <w:rFonts w:ascii="Arial" w:hAnsi="Arial" w:cs="Arial"/>
          <w:sz w:val="20"/>
        </w:rPr>
        <w:t>s</w:t>
      </w:r>
      <w:r w:rsidR="009D2F76" w:rsidRPr="00C9443C">
        <w:rPr>
          <w:rFonts w:ascii="Arial" w:hAnsi="Arial" w:cs="Arial"/>
          <w:sz w:val="20"/>
        </w:rPr>
        <w:t>ummary jurisdiction, Priest JA (with whom Kyrou and Weinberg JJA agreed) turned to the impact on these principles of the obligation in s 4A stating</w:t>
      </w:r>
      <w:r w:rsidR="00C9443C" w:rsidRPr="00C9443C">
        <w:rPr>
          <w:rFonts w:ascii="Arial" w:hAnsi="Arial" w:cs="Arial"/>
          <w:sz w:val="20"/>
        </w:rPr>
        <w:t xml:space="preserve"> at [50]</w:t>
      </w:r>
      <w:r w:rsidR="009D2F76" w:rsidRPr="00C9443C">
        <w:rPr>
          <w:rFonts w:ascii="Arial" w:hAnsi="Arial" w:cs="Arial"/>
          <w:sz w:val="20"/>
        </w:rPr>
        <w:t>:</w:t>
      </w:r>
    </w:p>
    <w:p w14:paraId="3787B69F" w14:textId="29B06986" w:rsidR="00B50A1D" w:rsidRPr="00C9443C" w:rsidRDefault="003624AB" w:rsidP="00A01ADC">
      <w:pPr>
        <w:pStyle w:val="ListParagraph"/>
        <w:spacing w:before="60"/>
        <w:ind w:left="907" w:right="907"/>
        <w:jc w:val="both"/>
        <w:rPr>
          <w:rFonts w:ascii="Arial" w:hAnsi="Arial" w:cs="Arial"/>
          <w:sz w:val="18"/>
          <w:szCs w:val="18"/>
        </w:rPr>
      </w:pPr>
      <w:r>
        <w:rPr>
          <w:rFonts w:ascii="Arial" w:hAnsi="Arial" w:cs="Arial"/>
          <w:sz w:val="18"/>
          <w:szCs w:val="18"/>
        </w:rPr>
        <w:t>‘</w:t>
      </w:r>
      <w:r w:rsidR="009D2F76" w:rsidRPr="00C9443C">
        <w:rPr>
          <w:rFonts w:ascii="Arial" w:hAnsi="Arial" w:cs="Arial"/>
          <w:sz w:val="18"/>
          <w:szCs w:val="18"/>
        </w:rPr>
        <w:t xml:space="preserve">First, the language of s 4A(2) makes clear that a magistrate’s </w:t>
      </w:r>
      <w:r w:rsidR="009D2F76" w:rsidRPr="00C9443C">
        <w:rPr>
          <w:rFonts w:ascii="Arial" w:eastAsia="Book Antiqua" w:hAnsi="Arial" w:cs="Arial"/>
          <w:i/>
          <w:sz w:val="18"/>
          <w:szCs w:val="18"/>
        </w:rPr>
        <w:t>reasoning</w:t>
      </w:r>
      <w:r w:rsidR="009D2F76" w:rsidRPr="00C9443C">
        <w:rPr>
          <w:rFonts w:ascii="Arial" w:hAnsi="Arial" w:cs="Arial"/>
          <w:sz w:val="18"/>
          <w:szCs w:val="18"/>
        </w:rPr>
        <w:t xml:space="preserve"> in relation to any matter provided for in Parts 4, 5, 6 or 7 of the JDA, ‘must be </w:t>
      </w:r>
      <w:r w:rsidR="009D2F76" w:rsidRPr="00C9443C">
        <w:rPr>
          <w:rFonts w:ascii="Arial" w:eastAsia="Book Antiqua" w:hAnsi="Arial" w:cs="Arial"/>
          <w:i/>
          <w:sz w:val="18"/>
          <w:szCs w:val="18"/>
        </w:rPr>
        <w:t xml:space="preserve">consistent </w:t>
      </w:r>
      <w:r w:rsidR="009D2F76" w:rsidRPr="00C9443C">
        <w:rPr>
          <w:rFonts w:ascii="Arial" w:hAnsi="Arial" w:cs="Arial"/>
          <w:sz w:val="18"/>
          <w:szCs w:val="18"/>
        </w:rPr>
        <w:t xml:space="preserve">with how a jury would be directed in accordance with the Act (and must not accept, rely or adopt a statement or suggestion that the Act prohibits a trial judge from making, or a direction that the Act prohibits a trial judge from giving). Section 4A does not, however, provide that a magistrate’s </w:t>
      </w:r>
      <w:r w:rsidR="009D2F76" w:rsidRPr="00C9443C">
        <w:rPr>
          <w:rFonts w:ascii="Arial" w:eastAsia="Book Antiqua" w:hAnsi="Arial" w:cs="Arial"/>
          <w:i/>
          <w:sz w:val="18"/>
          <w:szCs w:val="18"/>
        </w:rPr>
        <w:t xml:space="preserve">reasons </w:t>
      </w:r>
      <w:r w:rsidR="009D2F76" w:rsidRPr="00C9443C">
        <w:rPr>
          <w:rFonts w:ascii="Arial" w:hAnsi="Arial" w:cs="Arial"/>
          <w:sz w:val="18"/>
          <w:szCs w:val="18"/>
        </w:rPr>
        <w:t>necessarily must recite that he or she has directed himself or herself in accordance with the provisions of Parts 4 to 7. The obligation to give adequate reasons continues as an ordinary incident of the judicial process recognised at common law, rather than as a statutory obligation arising under the JDA. Hence, the content and extent of a magistrate’s reasons will continue to be dictated by the nature of the matter under consideration; the evidence in the case; and the important issues raised (some or all of which in a given case may invoke consideration of provisions of the JDA).</w:t>
      </w:r>
      <w:r>
        <w:rPr>
          <w:rFonts w:ascii="Arial" w:hAnsi="Arial" w:cs="Arial"/>
          <w:sz w:val="18"/>
          <w:szCs w:val="18"/>
        </w:rPr>
        <w:t>’”</w:t>
      </w:r>
    </w:p>
    <w:p w14:paraId="56719980" w14:textId="630F2777" w:rsidR="00DB14A3" w:rsidRDefault="00715257" w:rsidP="00715257">
      <w:pPr>
        <w:spacing w:before="60"/>
        <w:jc w:val="both"/>
        <w:rPr>
          <w:rFonts w:ascii="Arial" w:hAnsi="Arial" w:cs="Arial"/>
          <w:color w:val="000000"/>
          <w:sz w:val="20"/>
        </w:rPr>
      </w:pPr>
      <w:r>
        <w:rPr>
          <w:rFonts w:ascii="Arial" w:hAnsi="Arial" w:cs="Arial"/>
          <w:color w:val="000000"/>
          <w:sz w:val="20"/>
        </w:rPr>
        <w:t>At [</w:t>
      </w:r>
      <w:r w:rsidR="00951F5C">
        <w:rPr>
          <w:rFonts w:ascii="Arial" w:hAnsi="Arial" w:cs="Arial"/>
          <w:color w:val="000000"/>
          <w:sz w:val="20"/>
        </w:rPr>
        <w:t xml:space="preserve">58] her Honour noted that JV </w:t>
      </w:r>
      <w:r w:rsidR="006C05E9">
        <w:rPr>
          <w:rFonts w:ascii="Arial" w:hAnsi="Arial" w:cs="Arial"/>
          <w:color w:val="000000"/>
          <w:sz w:val="20"/>
        </w:rPr>
        <w:t xml:space="preserve">had </w:t>
      </w:r>
      <w:r w:rsidR="00951F5C">
        <w:rPr>
          <w:rFonts w:ascii="Arial" w:hAnsi="Arial" w:cs="Arial"/>
          <w:color w:val="000000"/>
          <w:sz w:val="20"/>
        </w:rPr>
        <w:t xml:space="preserve">identified </w:t>
      </w:r>
      <w:r w:rsidR="006C05E9">
        <w:rPr>
          <w:rFonts w:ascii="Arial" w:hAnsi="Arial" w:cs="Arial"/>
          <w:color w:val="000000"/>
          <w:sz w:val="20"/>
        </w:rPr>
        <w:t xml:space="preserve">the following </w:t>
      </w:r>
      <w:r w:rsidR="00951F5C">
        <w:rPr>
          <w:rFonts w:ascii="Arial" w:hAnsi="Arial" w:cs="Arial"/>
          <w:color w:val="000000"/>
          <w:sz w:val="20"/>
        </w:rPr>
        <w:t xml:space="preserve">four </w:t>
      </w:r>
      <w:r w:rsidR="006C05E9">
        <w:rPr>
          <w:rFonts w:ascii="Arial" w:hAnsi="Arial" w:cs="Arial"/>
          <w:color w:val="000000"/>
          <w:sz w:val="20"/>
        </w:rPr>
        <w:t>deficiencies</w:t>
      </w:r>
      <w:r w:rsidR="00951F5C">
        <w:rPr>
          <w:rFonts w:ascii="Arial" w:hAnsi="Arial" w:cs="Arial"/>
          <w:color w:val="000000"/>
          <w:sz w:val="20"/>
        </w:rPr>
        <w:t xml:space="preserve"> in the magistrate’s reasons:</w:t>
      </w:r>
    </w:p>
    <w:p w14:paraId="2CFB3C16" w14:textId="05A150FA"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On the central question of consent, the reasons did not identify factual conflicts between the complainant’s recollection of events and the evidence of other witnesses.</w:t>
      </w:r>
    </w:p>
    <w:p w14:paraId="18AC27DE" w14:textId="1783D359"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The Magistrate made no ruling on JV’s state of mind relevant to his defence of reasonable belief in consent and addressed this defence only to say that the accused relies on an understanding that the complainant had ‘given general consent’.</w:t>
      </w:r>
    </w:p>
    <w:p w14:paraId="374FBB00" w14:textId="30E813DF" w:rsidR="00951F5C" w:rsidRDefault="00951F5C" w:rsidP="009462F3">
      <w:pPr>
        <w:pStyle w:val="ListParagraph"/>
        <w:numPr>
          <w:ilvl w:val="0"/>
          <w:numId w:val="114"/>
        </w:numPr>
        <w:spacing w:before="60"/>
        <w:ind w:left="811" w:right="454" w:hanging="357"/>
        <w:jc w:val="both"/>
        <w:rPr>
          <w:rFonts w:ascii="Arial" w:hAnsi="Arial" w:cs="Arial"/>
          <w:color w:val="000000"/>
          <w:sz w:val="20"/>
        </w:rPr>
      </w:pPr>
      <w:r>
        <w:rPr>
          <w:rFonts w:ascii="Arial" w:hAnsi="Arial" w:cs="Arial"/>
          <w:color w:val="000000"/>
          <w:sz w:val="20"/>
        </w:rPr>
        <w:t>The reasons did not set out the evidence upon which the child abuse material charges were found proven and the Magistrate made no factual findings upon which to base a finding of guilt.</w:t>
      </w:r>
    </w:p>
    <w:p w14:paraId="014EEFA1" w14:textId="00C28012" w:rsidR="00951F5C" w:rsidRPr="00951F5C" w:rsidRDefault="00951F5C" w:rsidP="009462F3">
      <w:pPr>
        <w:pStyle w:val="ListParagraph"/>
        <w:numPr>
          <w:ilvl w:val="0"/>
          <w:numId w:val="114"/>
        </w:numPr>
        <w:spacing w:before="60"/>
        <w:ind w:left="811" w:right="454" w:hanging="357"/>
        <w:jc w:val="both"/>
        <w:rPr>
          <w:rFonts w:ascii="Arial" w:hAnsi="Arial" w:cs="Arial"/>
          <w:color w:val="000000"/>
          <w:sz w:val="20"/>
        </w:rPr>
      </w:pPr>
      <w:r w:rsidRPr="00951F5C">
        <w:rPr>
          <w:rFonts w:ascii="Arial" w:hAnsi="Arial" w:cs="Arial"/>
          <w:sz w:val="20"/>
        </w:rPr>
        <w:t>There was no indication in the reasons as to how the Magistrate had directed himself in accordance with the Jury Directions Act and in particular how he had resolved the legal issue as to the direction in relation to incriminating conduct. The parties were entitled to a ruling on this issue and to have its resolution exposed by the actual path of reasoning to a finding of guilt.</w:t>
      </w:r>
    </w:p>
    <w:p w14:paraId="6486BC06" w14:textId="1A7E20D0" w:rsidR="00951F5C" w:rsidRDefault="00951F5C" w:rsidP="00715257">
      <w:pPr>
        <w:spacing w:before="60"/>
        <w:jc w:val="both"/>
        <w:rPr>
          <w:rFonts w:ascii="Arial" w:hAnsi="Arial" w:cs="Arial"/>
          <w:color w:val="000000"/>
          <w:sz w:val="20"/>
        </w:rPr>
      </w:pPr>
      <w:r>
        <w:rPr>
          <w:rFonts w:ascii="Arial" w:hAnsi="Arial" w:cs="Arial"/>
          <w:color w:val="000000"/>
          <w:sz w:val="20"/>
        </w:rPr>
        <w:t>Ultimately at [71] her Honour found that “the reasons are inadequate in the ways identified in paragraphs [58](b) and (d) above.”  At paragraphs [72]-[</w:t>
      </w:r>
      <w:r w:rsidR="004C1008">
        <w:rPr>
          <w:rFonts w:ascii="Arial" w:hAnsi="Arial" w:cs="Arial"/>
          <w:color w:val="000000"/>
          <w:sz w:val="20"/>
        </w:rPr>
        <w:t>80</w:t>
      </w:r>
      <w:r>
        <w:rPr>
          <w:rFonts w:ascii="Arial" w:hAnsi="Arial" w:cs="Arial"/>
          <w:color w:val="000000"/>
          <w:sz w:val="20"/>
        </w:rPr>
        <w:t xml:space="preserve">] her Honour </w:t>
      </w:r>
      <w:r w:rsidR="00BF21DA">
        <w:rPr>
          <w:rFonts w:ascii="Arial" w:hAnsi="Arial" w:cs="Arial"/>
          <w:color w:val="000000"/>
          <w:sz w:val="20"/>
        </w:rPr>
        <w:t xml:space="preserve">also </w:t>
      </w:r>
      <w:r w:rsidR="004C1008">
        <w:rPr>
          <w:rFonts w:ascii="Arial" w:hAnsi="Arial" w:cs="Arial"/>
          <w:color w:val="000000"/>
          <w:sz w:val="20"/>
        </w:rPr>
        <w:t xml:space="preserve">elaborated on </w:t>
      </w:r>
      <w:r w:rsidR="00BF21DA">
        <w:rPr>
          <w:rFonts w:ascii="Arial" w:hAnsi="Arial" w:cs="Arial"/>
          <w:color w:val="000000"/>
          <w:sz w:val="20"/>
        </w:rPr>
        <w:t>“the way in which the reasons dealt with the need to make factual findings and deal with the factual conflicts as raised by paragraphs [58](a) and (c) above."</w:t>
      </w:r>
    </w:p>
    <w:p w14:paraId="561B7DB6" w14:textId="32755977" w:rsidR="009D2F76" w:rsidRDefault="004C1008" w:rsidP="004C1008">
      <w:pPr>
        <w:spacing w:before="60"/>
        <w:jc w:val="both"/>
        <w:rPr>
          <w:rFonts w:ascii="Arial" w:hAnsi="Arial" w:cs="Arial"/>
          <w:sz w:val="20"/>
          <w:szCs w:val="20"/>
        </w:rPr>
      </w:pPr>
      <w:r w:rsidRPr="006C05E9">
        <w:rPr>
          <w:rFonts w:ascii="Arial" w:hAnsi="Arial" w:cs="Arial"/>
          <w:color w:val="000000"/>
          <w:sz w:val="20"/>
          <w:szCs w:val="20"/>
        </w:rPr>
        <w:t xml:space="preserve">At [81]-[102] her Honour rejected the </w:t>
      </w:r>
      <w:r w:rsidR="00CC6128">
        <w:rPr>
          <w:rFonts w:ascii="Arial" w:hAnsi="Arial" w:cs="Arial"/>
          <w:color w:val="000000"/>
          <w:sz w:val="20"/>
          <w:szCs w:val="20"/>
        </w:rPr>
        <w:t xml:space="preserve">second </w:t>
      </w:r>
      <w:r w:rsidRPr="006C05E9">
        <w:rPr>
          <w:rFonts w:ascii="Arial" w:hAnsi="Arial" w:cs="Arial"/>
          <w:color w:val="000000"/>
          <w:sz w:val="20"/>
          <w:szCs w:val="20"/>
        </w:rPr>
        <w:t xml:space="preserve">respondent’s submission that as a matter of discretion relief should be refused because the applicant has two alternative remedies: (a) an appeal to the </w:t>
      </w:r>
      <w:r w:rsidRPr="006C05E9">
        <w:rPr>
          <w:rFonts w:ascii="Arial" w:hAnsi="Arial" w:cs="Arial"/>
          <w:color w:val="000000"/>
          <w:sz w:val="20"/>
          <w:szCs w:val="20"/>
        </w:rPr>
        <w:lastRenderedPageBreak/>
        <w:t xml:space="preserve">Supreme Court on a question of law under s.430P(1) of the CYFA; and (b) a rehearing appeal to the County Court under s.424 of the </w:t>
      </w:r>
      <w:r w:rsidR="006C05E9" w:rsidRPr="006C05E9">
        <w:rPr>
          <w:rFonts w:ascii="Arial" w:hAnsi="Arial" w:cs="Arial"/>
          <w:color w:val="000000"/>
          <w:sz w:val="20"/>
          <w:szCs w:val="20"/>
        </w:rPr>
        <w:t xml:space="preserve">CYFA.  In her reasoning her Honour discussed the cases of </w:t>
      </w:r>
      <w:proofErr w:type="spellStart"/>
      <w:r w:rsidR="006C05E9" w:rsidRPr="006C05E9">
        <w:rPr>
          <w:rFonts w:ascii="Arial" w:hAnsi="Arial" w:cs="Arial"/>
          <w:i/>
          <w:iCs/>
          <w:sz w:val="20"/>
          <w:szCs w:val="20"/>
        </w:rPr>
        <w:t>Kuek</w:t>
      </w:r>
      <w:proofErr w:type="spellEnd"/>
      <w:r w:rsidR="006C05E9" w:rsidRPr="006C05E9">
        <w:rPr>
          <w:rFonts w:ascii="Arial" w:hAnsi="Arial" w:cs="Arial"/>
          <w:i/>
          <w:iCs/>
          <w:sz w:val="20"/>
          <w:szCs w:val="20"/>
        </w:rPr>
        <w:t xml:space="preserve"> v Victoria Legal Aid</w:t>
      </w:r>
      <w:r w:rsidR="006C05E9" w:rsidRPr="006C05E9">
        <w:rPr>
          <w:rFonts w:ascii="Arial" w:hAnsi="Arial" w:cs="Arial"/>
          <w:sz w:val="20"/>
          <w:szCs w:val="20"/>
        </w:rPr>
        <w:t xml:space="preserve"> (2001) 3 VR 289</w:t>
      </w:r>
      <w:r w:rsidR="006C05E9">
        <w:rPr>
          <w:rFonts w:ascii="Arial" w:hAnsi="Arial" w:cs="Arial"/>
          <w:sz w:val="20"/>
          <w:szCs w:val="20"/>
        </w:rPr>
        <w:t>;</w:t>
      </w:r>
      <w:r w:rsidR="006C05E9" w:rsidRPr="006C05E9">
        <w:rPr>
          <w:rFonts w:ascii="Arial" w:hAnsi="Arial" w:cs="Arial"/>
          <w:sz w:val="20"/>
          <w:szCs w:val="20"/>
        </w:rPr>
        <w:t xml:space="preserve"> </w:t>
      </w:r>
      <w:r w:rsidR="006C05E9" w:rsidRPr="006C05E9">
        <w:rPr>
          <w:rFonts w:ascii="Arial" w:hAnsi="Arial" w:cs="Arial"/>
          <w:i/>
          <w:iCs/>
          <w:sz w:val="20"/>
          <w:szCs w:val="20"/>
        </w:rPr>
        <w:t>Perkins v Victorian Bar</w:t>
      </w:r>
      <w:r w:rsidR="006C05E9" w:rsidRPr="006C05E9">
        <w:rPr>
          <w:rFonts w:ascii="Arial" w:hAnsi="Arial" w:cs="Arial"/>
          <w:sz w:val="20"/>
          <w:szCs w:val="20"/>
        </w:rPr>
        <w:t xml:space="preserve"> [2007] VSCA 107</w:t>
      </w:r>
      <w:r w:rsidR="006C05E9">
        <w:rPr>
          <w:rFonts w:ascii="Arial" w:hAnsi="Arial" w:cs="Arial"/>
          <w:sz w:val="20"/>
          <w:szCs w:val="20"/>
        </w:rPr>
        <w:t xml:space="preserve">; </w:t>
      </w:r>
      <w:r w:rsidR="006C05E9" w:rsidRPr="006C05E9">
        <w:rPr>
          <w:rFonts w:ascii="Arial" w:hAnsi="Arial" w:cs="Arial"/>
          <w:i/>
          <w:iCs/>
          <w:sz w:val="20"/>
          <w:szCs w:val="20"/>
        </w:rPr>
        <w:t>Garde-Wilson v Legal Services Board</w:t>
      </w:r>
      <w:r w:rsidR="006C05E9" w:rsidRPr="006C05E9">
        <w:rPr>
          <w:rFonts w:ascii="Arial" w:hAnsi="Arial" w:cs="Arial"/>
          <w:sz w:val="20"/>
          <w:szCs w:val="20"/>
        </w:rPr>
        <w:t xml:space="preserve"> (2008) 19 VR 398.</w:t>
      </w:r>
    </w:p>
    <w:p w14:paraId="5FD2B234" w14:textId="1F06AC5C" w:rsidR="006C05E9" w:rsidRPr="006C05E9" w:rsidRDefault="006C05E9" w:rsidP="004C1008">
      <w:pPr>
        <w:spacing w:before="60"/>
        <w:jc w:val="both"/>
        <w:rPr>
          <w:rFonts w:ascii="Arial" w:hAnsi="Arial" w:cs="Arial"/>
          <w:color w:val="000000"/>
          <w:sz w:val="20"/>
          <w:szCs w:val="20"/>
        </w:rPr>
      </w:pPr>
      <w:r>
        <w:rPr>
          <w:rFonts w:ascii="Arial" w:hAnsi="Arial" w:cs="Arial"/>
          <w:sz w:val="20"/>
          <w:szCs w:val="20"/>
        </w:rPr>
        <w:t>Her Honour concluded at [103]: “I will make orders quashing the Magistrate’s orders and remitting the matter back to the Children’s Court to be heard before a different magistrate.”</w:t>
      </w:r>
    </w:p>
    <w:p w14:paraId="7B03D2B5" w14:textId="77777777" w:rsidR="00DB14A3" w:rsidRDefault="00DB14A3" w:rsidP="001D1B06">
      <w:pPr>
        <w:jc w:val="both"/>
        <w:rPr>
          <w:rFonts w:ascii="Arial" w:hAnsi="Arial" w:cs="Arial"/>
          <w:color w:val="000000"/>
          <w:sz w:val="20"/>
        </w:rPr>
      </w:pPr>
    </w:p>
    <w:p w14:paraId="16558DDB" w14:textId="4C8C6FFD" w:rsidR="00B21DA4" w:rsidRPr="00275880" w:rsidRDefault="001B1B22" w:rsidP="001D1B06">
      <w:pPr>
        <w:jc w:val="both"/>
        <w:rPr>
          <w:rFonts w:ascii="Arial" w:hAnsi="Arial" w:cs="Arial"/>
          <w:sz w:val="20"/>
          <w:szCs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w:t>
      </w:r>
      <w:proofErr w:type="spellStart"/>
      <w:r w:rsidR="00872620" w:rsidRPr="00986720">
        <w:rPr>
          <w:rFonts w:ascii="Arial" w:hAnsi="Arial" w:cs="Arial"/>
          <w:i/>
          <w:color w:val="000000"/>
          <w:sz w:val="20"/>
        </w:rPr>
        <w:t>Ors</w:t>
      </w:r>
      <w:proofErr w:type="spellEnd"/>
      <w:r w:rsidR="00872620" w:rsidRPr="00986720">
        <w:rPr>
          <w:rFonts w:ascii="Arial" w:hAnsi="Arial" w:cs="Arial"/>
          <w:i/>
          <w:color w:val="000000"/>
          <w:sz w:val="20"/>
        </w:rPr>
        <w:t xml:space="preserve">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 xml:space="preserve">Hamidi v KAB </w:t>
      </w:r>
      <w:r w:rsidR="00956222" w:rsidRPr="002C7A51">
        <w:rPr>
          <w:rFonts w:ascii="Arial" w:hAnsi="Arial" w:cs="Arial"/>
          <w:i/>
          <w:color w:val="000000"/>
          <w:sz w:val="20"/>
          <w:szCs w:val="20"/>
        </w:rPr>
        <w:t>Seating Pty Ltd</w:t>
      </w:r>
      <w:r w:rsidR="00956222" w:rsidRPr="002C7A51">
        <w:rPr>
          <w:rFonts w:ascii="Arial" w:hAnsi="Arial" w:cs="Arial"/>
          <w:color w:val="000000"/>
          <w:sz w:val="20"/>
          <w:szCs w:val="20"/>
        </w:rPr>
        <w:t xml:space="preserve"> [2007] VSCA 151 at [32] per Ashley JA</w:t>
      </w:r>
      <w:r w:rsidR="008F4302" w:rsidRPr="002C7A51">
        <w:rPr>
          <w:rFonts w:ascii="Arial" w:hAnsi="Arial" w:cs="Arial"/>
          <w:color w:val="000000"/>
          <w:sz w:val="20"/>
          <w:szCs w:val="20"/>
        </w:rPr>
        <w:t xml:space="preserve">; </w:t>
      </w:r>
      <w:r w:rsidR="008F4302" w:rsidRPr="002C7A51">
        <w:rPr>
          <w:rFonts w:ascii="Arial" w:hAnsi="Arial" w:cs="Arial"/>
          <w:i/>
          <w:color w:val="000000"/>
          <w:sz w:val="20"/>
          <w:szCs w:val="20"/>
        </w:rPr>
        <w:t xml:space="preserve">Collins v Nave &amp; </w:t>
      </w:r>
      <w:proofErr w:type="spellStart"/>
      <w:r w:rsidR="008F4302" w:rsidRPr="002C7A51">
        <w:rPr>
          <w:rFonts w:ascii="Arial" w:hAnsi="Arial" w:cs="Arial"/>
          <w:i/>
          <w:color w:val="000000"/>
          <w:sz w:val="20"/>
          <w:szCs w:val="20"/>
        </w:rPr>
        <w:t>Ors</w:t>
      </w:r>
      <w:proofErr w:type="spellEnd"/>
      <w:r w:rsidR="008F4302" w:rsidRPr="002C7A51">
        <w:rPr>
          <w:rFonts w:ascii="Arial" w:hAnsi="Arial" w:cs="Arial"/>
          <w:i/>
          <w:color w:val="000000"/>
          <w:sz w:val="20"/>
          <w:szCs w:val="20"/>
        </w:rPr>
        <w:t xml:space="preserve"> </w:t>
      </w:r>
      <w:r w:rsidR="008F4302" w:rsidRPr="002C7A51">
        <w:rPr>
          <w:rFonts w:ascii="Arial" w:hAnsi="Arial" w:cs="Arial"/>
          <w:color w:val="000000"/>
          <w:sz w:val="20"/>
          <w:szCs w:val="20"/>
        </w:rPr>
        <w:t>[2008] VSC 85 at [31]-[34]</w:t>
      </w:r>
      <w:r w:rsidR="00716457" w:rsidRPr="002C7A51">
        <w:rPr>
          <w:rFonts w:ascii="Arial" w:hAnsi="Arial" w:cs="Arial"/>
          <w:color w:val="000000"/>
          <w:sz w:val="20"/>
          <w:szCs w:val="20"/>
        </w:rPr>
        <w:t xml:space="preserve">; </w:t>
      </w:r>
      <w:r w:rsidR="00716457" w:rsidRPr="002C7A51">
        <w:rPr>
          <w:rFonts w:ascii="Arial" w:hAnsi="Arial" w:cs="Arial"/>
          <w:i/>
          <w:color w:val="000000"/>
          <w:sz w:val="20"/>
          <w:szCs w:val="20"/>
        </w:rPr>
        <w:t>BR v VOCAT</w:t>
      </w:r>
      <w:r w:rsidR="00716457" w:rsidRPr="002C7A51">
        <w:rPr>
          <w:rFonts w:ascii="Arial" w:hAnsi="Arial" w:cs="Arial"/>
          <w:color w:val="000000"/>
          <w:sz w:val="20"/>
          <w:szCs w:val="20"/>
        </w:rPr>
        <w:t xml:space="preserve"> [2009] VSC 152 at [25]-[36] per Kaye J</w:t>
      </w:r>
      <w:r w:rsidR="004C2D7E" w:rsidRPr="002C7A51">
        <w:rPr>
          <w:rFonts w:ascii="Arial" w:hAnsi="Arial" w:cs="Arial"/>
          <w:color w:val="000000"/>
          <w:sz w:val="20"/>
          <w:szCs w:val="20"/>
        </w:rPr>
        <w:t xml:space="preserve">; </w:t>
      </w:r>
      <w:proofErr w:type="spellStart"/>
      <w:r w:rsidR="004C2D7E" w:rsidRPr="002C7A51">
        <w:rPr>
          <w:rFonts w:ascii="Arial" w:hAnsi="Arial" w:cs="Arial"/>
          <w:i/>
          <w:color w:val="000000"/>
          <w:sz w:val="20"/>
          <w:szCs w:val="20"/>
        </w:rPr>
        <w:t>Dimatos</w:t>
      </w:r>
      <w:proofErr w:type="spellEnd"/>
      <w:r w:rsidR="004C2D7E" w:rsidRPr="002C7A51">
        <w:rPr>
          <w:rFonts w:ascii="Arial" w:hAnsi="Arial" w:cs="Arial"/>
          <w:i/>
          <w:color w:val="000000"/>
          <w:sz w:val="20"/>
          <w:szCs w:val="20"/>
        </w:rPr>
        <w:t xml:space="preserve"> v Coombe &amp; </w:t>
      </w:r>
      <w:proofErr w:type="spellStart"/>
      <w:r w:rsidR="004C2D7E" w:rsidRPr="002C7A51">
        <w:rPr>
          <w:rFonts w:ascii="Arial" w:hAnsi="Arial" w:cs="Arial"/>
          <w:i/>
          <w:color w:val="000000"/>
          <w:sz w:val="20"/>
          <w:szCs w:val="20"/>
        </w:rPr>
        <w:t>Ors</w:t>
      </w:r>
      <w:proofErr w:type="spellEnd"/>
      <w:r w:rsidR="004C2D7E" w:rsidRPr="002C7A51">
        <w:rPr>
          <w:rFonts w:ascii="Arial" w:hAnsi="Arial" w:cs="Arial"/>
          <w:i/>
          <w:color w:val="000000"/>
          <w:sz w:val="20"/>
          <w:szCs w:val="20"/>
        </w:rPr>
        <w:t xml:space="preserve"> </w:t>
      </w:r>
      <w:r w:rsidR="004C2D7E" w:rsidRPr="002C7A51">
        <w:rPr>
          <w:rFonts w:ascii="Arial" w:hAnsi="Arial" w:cs="Arial"/>
          <w:color w:val="000000"/>
          <w:sz w:val="20"/>
          <w:szCs w:val="20"/>
        </w:rPr>
        <w:t>[2011] VSC 619 at [20]-[25] per Beach J</w:t>
      </w:r>
      <w:r w:rsidR="007A7235" w:rsidRPr="002C7A51">
        <w:rPr>
          <w:rFonts w:ascii="Arial" w:hAnsi="Arial" w:cs="Arial"/>
          <w:color w:val="000000"/>
          <w:sz w:val="20"/>
          <w:szCs w:val="20"/>
        </w:rPr>
        <w:t xml:space="preserve">; </w:t>
      </w:r>
      <w:r w:rsidR="007A7235" w:rsidRPr="002C7A51">
        <w:rPr>
          <w:rFonts w:ascii="Arial" w:hAnsi="Arial" w:cs="Arial"/>
          <w:i/>
          <w:color w:val="000000"/>
          <w:sz w:val="20"/>
          <w:szCs w:val="20"/>
        </w:rPr>
        <w:t>Ta v Thompson &amp; Anor</w:t>
      </w:r>
      <w:r w:rsidR="007A7235" w:rsidRPr="002C7A51">
        <w:rPr>
          <w:rFonts w:ascii="Arial" w:hAnsi="Arial" w:cs="Arial"/>
          <w:color w:val="000000"/>
          <w:sz w:val="20"/>
          <w:szCs w:val="20"/>
        </w:rPr>
        <w:t xml:space="preserve"> [2012] VSC 446 per Whelan J</w:t>
      </w:r>
      <w:r w:rsidR="009360E7" w:rsidRPr="002C7A51">
        <w:rPr>
          <w:rFonts w:ascii="Arial" w:hAnsi="Arial" w:cs="Arial"/>
          <w:color w:val="FF0000"/>
          <w:sz w:val="20"/>
          <w:szCs w:val="20"/>
        </w:rPr>
        <w:t>;</w:t>
      </w:r>
      <w:r w:rsidR="009360E7" w:rsidRPr="002C7A51">
        <w:rPr>
          <w:rFonts w:ascii="Arial" w:hAnsi="Arial" w:cs="Arial"/>
          <w:color w:val="000000"/>
          <w:sz w:val="20"/>
          <w:szCs w:val="20"/>
        </w:rPr>
        <w:t xml:space="preserve"> </w:t>
      </w:r>
      <w:proofErr w:type="spellStart"/>
      <w:r w:rsidR="009360E7" w:rsidRPr="002C7A51">
        <w:rPr>
          <w:rFonts w:ascii="Arial" w:hAnsi="Arial" w:cs="Arial"/>
          <w:i/>
          <w:color w:val="000000"/>
          <w:sz w:val="20"/>
          <w:szCs w:val="20"/>
        </w:rPr>
        <w:t>Helou</w:t>
      </w:r>
      <w:proofErr w:type="spellEnd"/>
      <w:r w:rsidR="009360E7" w:rsidRPr="002C7A51">
        <w:rPr>
          <w:rFonts w:ascii="Arial" w:hAnsi="Arial" w:cs="Arial"/>
          <w:i/>
          <w:color w:val="000000"/>
          <w:sz w:val="20"/>
          <w:szCs w:val="20"/>
        </w:rPr>
        <w:t xml:space="preserve"> v Shaya</w:t>
      </w:r>
      <w:r w:rsidR="009360E7" w:rsidRPr="002C7A51">
        <w:rPr>
          <w:rFonts w:ascii="Arial" w:hAnsi="Arial" w:cs="Arial"/>
          <w:color w:val="000000"/>
          <w:sz w:val="20"/>
          <w:szCs w:val="20"/>
        </w:rPr>
        <w:t xml:space="preserve"> [2013] VSC 297 at [23]-[27] per Beach J:</w:t>
      </w:r>
      <w:r w:rsidR="009F312C" w:rsidRPr="002C7A51">
        <w:rPr>
          <w:rFonts w:ascii="Arial" w:hAnsi="Arial" w:cs="Arial"/>
          <w:color w:val="000000"/>
          <w:sz w:val="20"/>
          <w:szCs w:val="20"/>
        </w:rPr>
        <w:t xml:space="preserve"> </w:t>
      </w:r>
      <w:r w:rsidR="009F312C" w:rsidRPr="002C7A51">
        <w:rPr>
          <w:rFonts w:ascii="Arial" w:hAnsi="Arial" w:cs="Arial"/>
          <w:i/>
          <w:color w:val="000000"/>
          <w:sz w:val="20"/>
          <w:szCs w:val="20"/>
        </w:rPr>
        <w:t>LG v Melbourne Health</w:t>
      </w:r>
      <w:r w:rsidR="009F312C" w:rsidRPr="002C7A51">
        <w:rPr>
          <w:rFonts w:ascii="Arial" w:hAnsi="Arial" w:cs="Arial"/>
          <w:color w:val="000000"/>
          <w:sz w:val="20"/>
          <w:szCs w:val="20"/>
        </w:rPr>
        <w:t xml:space="preserve"> [2019] VSC 183 at [42]-[54] per Richards J</w:t>
      </w:r>
      <w:r w:rsidR="00E32EC1" w:rsidRPr="002C7A51">
        <w:rPr>
          <w:rFonts w:ascii="Arial" w:hAnsi="Arial" w:cs="Arial"/>
          <w:color w:val="000000"/>
          <w:sz w:val="20"/>
          <w:szCs w:val="20"/>
        </w:rPr>
        <w:t xml:space="preserve">; </w:t>
      </w:r>
      <w:r w:rsidR="00E32EC1" w:rsidRPr="002C7A51">
        <w:rPr>
          <w:rFonts w:ascii="Arial" w:hAnsi="Arial" w:cs="Arial"/>
          <w:i/>
          <w:iCs/>
          <w:color w:val="000000"/>
          <w:sz w:val="20"/>
          <w:szCs w:val="20"/>
        </w:rPr>
        <w:t xml:space="preserve">Ata </w:t>
      </w:r>
      <w:proofErr w:type="spellStart"/>
      <w:r w:rsidR="00E32EC1" w:rsidRPr="002C7A51">
        <w:rPr>
          <w:rFonts w:ascii="Arial" w:hAnsi="Arial" w:cs="Arial"/>
          <w:i/>
          <w:iCs/>
          <w:color w:val="000000"/>
          <w:sz w:val="20"/>
          <w:szCs w:val="20"/>
        </w:rPr>
        <w:t>Dundar</w:t>
      </w:r>
      <w:proofErr w:type="spellEnd"/>
      <w:r w:rsidR="00E32EC1" w:rsidRPr="002C7A51">
        <w:rPr>
          <w:rFonts w:ascii="Arial" w:hAnsi="Arial" w:cs="Arial"/>
          <w:i/>
          <w:iCs/>
          <w:color w:val="000000"/>
          <w:sz w:val="20"/>
          <w:szCs w:val="20"/>
        </w:rPr>
        <w:t xml:space="preserve"> v. </w:t>
      </w:r>
      <w:proofErr w:type="spellStart"/>
      <w:r w:rsidR="00E32EC1" w:rsidRPr="002C7A51">
        <w:rPr>
          <w:rFonts w:ascii="Arial" w:hAnsi="Arial" w:cs="Arial"/>
          <w:i/>
          <w:iCs/>
          <w:color w:val="000000"/>
          <w:sz w:val="20"/>
          <w:szCs w:val="20"/>
        </w:rPr>
        <w:t>Yucel</w:t>
      </w:r>
      <w:proofErr w:type="spellEnd"/>
      <w:r w:rsidR="00E32EC1" w:rsidRPr="002C7A51">
        <w:rPr>
          <w:rFonts w:ascii="Arial" w:hAnsi="Arial" w:cs="Arial"/>
          <w:i/>
          <w:iCs/>
          <w:color w:val="000000"/>
          <w:sz w:val="20"/>
          <w:szCs w:val="20"/>
        </w:rPr>
        <w:t xml:space="preserve"> Bas (trading as Bas Brothers Marble and Granite) &amp; </w:t>
      </w:r>
      <w:proofErr w:type="spellStart"/>
      <w:r w:rsidR="00E32EC1" w:rsidRPr="002C7A51">
        <w:rPr>
          <w:rFonts w:ascii="Arial" w:hAnsi="Arial" w:cs="Arial"/>
          <w:i/>
          <w:iCs/>
          <w:color w:val="000000"/>
          <w:sz w:val="20"/>
          <w:szCs w:val="20"/>
        </w:rPr>
        <w:t>Ors</w:t>
      </w:r>
      <w:proofErr w:type="spellEnd"/>
      <w:r w:rsidR="00E32EC1" w:rsidRPr="002C7A51">
        <w:rPr>
          <w:rFonts w:ascii="Arial" w:hAnsi="Arial" w:cs="Arial"/>
          <w:color w:val="000000"/>
          <w:sz w:val="20"/>
          <w:szCs w:val="20"/>
        </w:rPr>
        <w:t xml:space="preserve"> [2019] VSCA 315 at [44]-[73</w:t>
      </w:r>
      <w:r w:rsidR="00046CCA" w:rsidRPr="002C7A51">
        <w:rPr>
          <w:rFonts w:ascii="Arial" w:hAnsi="Arial" w:cs="Arial"/>
          <w:color w:val="000000"/>
          <w:sz w:val="20"/>
          <w:szCs w:val="20"/>
        </w:rPr>
        <w:t xml:space="preserve">]; </w:t>
      </w:r>
      <w:r w:rsidR="00046CCA" w:rsidRPr="002C7A51">
        <w:rPr>
          <w:rFonts w:ascii="Arial" w:hAnsi="Arial" w:cs="Arial"/>
          <w:i/>
          <w:iCs/>
          <w:color w:val="000000"/>
          <w:sz w:val="20"/>
          <w:szCs w:val="20"/>
        </w:rPr>
        <w:t xml:space="preserve">Celsius Fire Services Pty Ltd v Magistrates’ Court of Victoria &amp; </w:t>
      </w:r>
      <w:proofErr w:type="spellStart"/>
      <w:r w:rsidR="00046CCA" w:rsidRPr="002C7A51">
        <w:rPr>
          <w:rFonts w:ascii="Arial" w:hAnsi="Arial" w:cs="Arial"/>
          <w:i/>
          <w:iCs/>
          <w:color w:val="000000"/>
          <w:sz w:val="20"/>
          <w:szCs w:val="20"/>
        </w:rPr>
        <w:t>anor</w:t>
      </w:r>
      <w:proofErr w:type="spellEnd"/>
      <w:r w:rsidR="00046CCA" w:rsidRPr="002C7A51">
        <w:rPr>
          <w:rFonts w:ascii="Arial" w:hAnsi="Arial" w:cs="Arial"/>
          <w:color w:val="000000"/>
          <w:sz w:val="20"/>
          <w:szCs w:val="20"/>
        </w:rPr>
        <w:t xml:space="preserve"> [2019] VSC 835 at [25]-[35]</w:t>
      </w:r>
      <w:r w:rsidR="00411410" w:rsidRPr="002C7A51">
        <w:rPr>
          <w:rFonts w:ascii="Arial" w:hAnsi="Arial" w:cs="Arial"/>
          <w:color w:val="000000"/>
          <w:sz w:val="20"/>
          <w:szCs w:val="20"/>
        </w:rPr>
        <w:t xml:space="preserve">; </w:t>
      </w:r>
      <w:proofErr w:type="spellStart"/>
      <w:r w:rsidR="00411410" w:rsidRPr="002C7A51">
        <w:rPr>
          <w:rFonts w:ascii="Arial" w:hAnsi="Arial" w:cs="Arial"/>
          <w:i/>
          <w:iCs/>
          <w:color w:val="000000"/>
          <w:sz w:val="20"/>
          <w:szCs w:val="20"/>
        </w:rPr>
        <w:t>Makeham</w:t>
      </w:r>
      <w:proofErr w:type="spellEnd"/>
      <w:r w:rsidR="00411410" w:rsidRPr="002C7A51">
        <w:rPr>
          <w:rFonts w:ascii="Arial" w:hAnsi="Arial" w:cs="Arial"/>
          <w:i/>
          <w:iCs/>
          <w:color w:val="000000"/>
          <w:sz w:val="20"/>
          <w:szCs w:val="20"/>
        </w:rPr>
        <w:t xml:space="preserve"> v Sheppard</w:t>
      </w:r>
      <w:r w:rsidR="00411410" w:rsidRPr="002C7A51">
        <w:rPr>
          <w:rFonts w:ascii="Arial" w:hAnsi="Arial" w:cs="Arial"/>
          <w:color w:val="000000"/>
          <w:sz w:val="20"/>
          <w:szCs w:val="20"/>
        </w:rPr>
        <w:t xml:space="preserve"> [2020] VSCA 242</w:t>
      </w:r>
      <w:r w:rsidR="004B4C42" w:rsidRPr="002C7A51">
        <w:rPr>
          <w:rFonts w:ascii="Arial" w:hAnsi="Arial" w:cs="Arial"/>
          <w:color w:val="000000"/>
          <w:sz w:val="20"/>
          <w:szCs w:val="20"/>
        </w:rPr>
        <w:t>;</w:t>
      </w:r>
      <w:r w:rsidR="004B4C42" w:rsidRPr="002C7A51">
        <w:rPr>
          <w:rFonts w:ascii="Arial" w:hAnsi="Arial" w:cs="Arial"/>
          <w:i/>
          <w:iCs/>
          <w:sz w:val="20"/>
          <w:szCs w:val="20"/>
        </w:rPr>
        <w:t xml:space="preserve"> A &amp; L Windows Pty Ltd v </w:t>
      </w:r>
      <w:proofErr w:type="spellStart"/>
      <w:r w:rsidR="004B4C42" w:rsidRPr="002C7A51">
        <w:rPr>
          <w:rFonts w:ascii="Arial" w:hAnsi="Arial" w:cs="Arial"/>
          <w:i/>
          <w:iCs/>
          <w:sz w:val="20"/>
          <w:szCs w:val="20"/>
        </w:rPr>
        <w:t>Yildrim</w:t>
      </w:r>
      <w:proofErr w:type="spellEnd"/>
      <w:r w:rsidR="004B4C42" w:rsidRPr="002C7A51">
        <w:rPr>
          <w:rFonts w:ascii="Arial" w:hAnsi="Arial" w:cs="Arial"/>
          <w:i/>
          <w:iCs/>
          <w:sz w:val="20"/>
          <w:szCs w:val="20"/>
        </w:rPr>
        <w:t xml:space="preserve"> &amp; </w:t>
      </w:r>
      <w:proofErr w:type="spellStart"/>
      <w:r w:rsidR="004B4C42" w:rsidRPr="002C7A51">
        <w:rPr>
          <w:rFonts w:ascii="Arial" w:hAnsi="Arial" w:cs="Arial"/>
          <w:i/>
          <w:iCs/>
          <w:sz w:val="20"/>
          <w:szCs w:val="20"/>
        </w:rPr>
        <w:t>Ors</w:t>
      </w:r>
      <w:proofErr w:type="spellEnd"/>
      <w:r w:rsidR="004B4C42" w:rsidRPr="002C7A51">
        <w:rPr>
          <w:rFonts w:ascii="Arial" w:hAnsi="Arial" w:cs="Arial"/>
          <w:color w:val="000000"/>
          <w:sz w:val="20"/>
          <w:szCs w:val="20"/>
        </w:rPr>
        <w:t xml:space="preserve"> [2022] VSCA 46 at [29]-[44]</w:t>
      </w:r>
      <w:r w:rsidR="002C7A51" w:rsidRPr="002C7A51">
        <w:rPr>
          <w:rFonts w:ascii="Arial" w:hAnsi="Arial" w:cs="Arial"/>
          <w:color w:val="000000"/>
          <w:sz w:val="20"/>
          <w:szCs w:val="20"/>
        </w:rPr>
        <w:t xml:space="preserve">; </w:t>
      </w:r>
      <w:r w:rsidR="002C7A51" w:rsidRPr="002C7A51">
        <w:rPr>
          <w:rFonts w:ascii="Arial" w:hAnsi="Arial" w:cs="Arial"/>
          <w:i/>
          <w:iCs/>
          <w:color w:val="000000"/>
          <w:sz w:val="20"/>
          <w:szCs w:val="20"/>
        </w:rPr>
        <w:t>AB v Paulet</w:t>
      </w:r>
      <w:r w:rsidR="002C7A51" w:rsidRPr="002C7A51">
        <w:rPr>
          <w:rFonts w:ascii="Arial" w:hAnsi="Arial" w:cs="Arial"/>
          <w:color w:val="000000"/>
          <w:sz w:val="20"/>
          <w:szCs w:val="20"/>
        </w:rPr>
        <w:t xml:space="preserve"> [2022] VSC 414</w:t>
      </w:r>
      <w:r w:rsidR="00883414">
        <w:rPr>
          <w:rFonts w:ascii="Arial" w:hAnsi="Arial" w:cs="Arial"/>
          <w:color w:val="000000"/>
          <w:sz w:val="20"/>
          <w:szCs w:val="20"/>
        </w:rPr>
        <w:t xml:space="preserve">; </w:t>
      </w:r>
      <w:r w:rsidR="00883414" w:rsidRPr="00883414">
        <w:rPr>
          <w:rFonts w:ascii="Arial" w:hAnsi="Arial" w:cs="Arial"/>
          <w:i/>
          <w:iCs/>
          <w:color w:val="000000"/>
          <w:sz w:val="20"/>
          <w:szCs w:val="20"/>
        </w:rPr>
        <w:t>Salmon-</w:t>
      </w:r>
      <w:proofErr w:type="spellStart"/>
      <w:r w:rsidR="00883414" w:rsidRPr="00883414">
        <w:rPr>
          <w:rFonts w:ascii="Arial" w:hAnsi="Arial" w:cs="Arial"/>
          <w:i/>
          <w:iCs/>
          <w:color w:val="000000"/>
          <w:sz w:val="20"/>
          <w:szCs w:val="20"/>
        </w:rPr>
        <w:t>Urbani</w:t>
      </w:r>
      <w:proofErr w:type="spellEnd"/>
      <w:r w:rsidR="00883414" w:rsidRPr="00883414">
        <w:rPr>
          <w:rFonts w:ascii="Arial" w:hAnsi="Arial" w:cs="Arial"/>
          <w:i/>
          <w:iCs/>
          <w:color w:val="000000"/>
          <w:sz w:val="20"/>
          <w:szCs w:val="20"/>
        </w:rPr>
        <w:t xml:space="preserve"> v The Queen</w:t>
      </w:r>
      <w:r w:rsidR="00883414">
        <w:rPr>
          <w:rFonts w:ascii="Arial" w:hAnsi="Arial" w:cs="Arial"/>
          <w:color w:val="000000"/>
          <w:sz w:val="20"/>
          <w:szCs w:val="20"/>
        </w:rPr>
        <w:t xml:space="preserve"> [2022] VSCA 170</w:t>
      </w:r>
      <w:r w:rsidR="00E55ACE">
        <w:rPr>
          <w:rFonts w:ascii="Arial" w:hAnsi="Arial" w:cs="Arial"/>
          <w:color w:val="000000"/>
          <w:sz w:val="20"/>
          <w:szCs w:val="20"/>
        </w:rPr>
        <w:t xml:space="preserve">; </w:t>
      </w:r>
      <w:r w:rsidR="00E55ACE" w:rsidRPr="00E55ACE">
        <w:rPr>
          <w:rFonts w:ascii="Arial" w:hAnsi="Arial" w:cs="Arial"/>
          <w:i/>
          <w:iCs/>
          <w:sz w:val="20"/>
        </w:rPr>
        <w:t>Ah Fook v Transport Accident Commission</w:t>
      </w:r>
      <w:r w:rsidR="00E55ACE">
        <w:rPr>
          <w:rFonts w:ascii="Arial" w:hAnsi="Arial" w:cs="Arial"/>
          <w:sz w:val="20"/>
        </w:rPr>
        <w:t xml:space="preserve"> [2022] VSCA 199 at [67]-[72]</w:t>
      </w:r>
      <w:r w:rsidR="00DD7439">
        <w:rPr>
          <w:rFonts w:ascii="Arial" w:hAnsi="Arial" w:cs="Arial"/>
          <w:sz w:val="20"/>
        </w:rPr>
        <w:t xml:space="preserve">; </w:t>
      </w:r>
      <w:r w:rsidR="00DD7439" w:rsidRPr="00286C7D">
        <w:rPr>
          <w:rFonts w:ascii="Arial" w:hAnsi="Arial" w:cs="Arial"/>
          <w:i/>
          <w:iCs/>
          <w:sz w:val="20"/>
        </w:rPr>
        <w:t>Griffiths v Nillumbik Shire Council</w:t>
      </w:r>
      <w:r w:rsidR="00DD7439">
        <w:rPr>
          <w:rFonts w:ascii="Arial" w:hAnsi="Arial" w:cs="Arial"/>
          <w:sz w:val="20"/>
        </w:rPr>
        <w:t xml:space="preserve"> [2022] VSCA 212 at [115]-[118]</w:t>
      </w:r>
      <w:r w:rsidR="00BD62A1">
        <w:rPr>
          <w:rFonts w:ascii="Arial" w:hAnsi="Arial" w:cs="Arial"/>
          <w:sz w:val="20"/>
        </w:rPr>
        <w:t xml:space="preserve">; </w:t>
      </w:r>
      <w:r w:rsidR="00BD62A1" w:rsidRPr="00BD62A1">
        <w:rPr>
          <w:rFonts w:ascii="Arial" w:hAnsi="Arial" w:cs="Arial"/>
          <w:i/>
          <w:iCs/>
          <w:sz w:val="20"/>
          <w:szCs w:val="20"/>
        </w:rPr>
        <w:t xml:space="preserve">Cotton On Group Services Pty Ltd v Monica </w:t>
      </w:r>
      <w:proofErr w:type="spellStart"/>
      <w:r w:rsidR="00BD62A1" w:rsidRPr="00BD62A1">
        <w:rPr>
          <w:rFonts w:ascii="Arial" w:hAnsi="Arial" w:cs="Arial"/>
          <w:i/>
          <w:iCs/>
          <w:sz w:val="20"/>
          <w:szCs w:val="20"/>
        </w:rPr>
        <w:t>Golowka</w:t>
      </w:r>
      <w:proofErr w:type="spellEnd"/>
      <w:r w:rsidR="00BD62A1" w:rsidRPr="00BD62A1">
        <w:rPr>
          <w:rFonts w:ascii="Arial" w:hAnsi="Arial" w:cs="Arial"/>
          <w:sz w:val="20"/>
          <w:szCs w:val="20"/>
        </w:rPr>
        <w:t xml:space="preserve"> [2022] VSCA </w:t>
      </w:r>
      <w:r w:rsidR="00BD62A1" w:rsidRPr="002F04DC">
        <w:rPr>
          <w:rFonts w:ascii="Arial" w:hAnsi="Arial" w:cs="Arial"/>
          <w:sz w:val="20"/>
          <w:szCs w:val="20"/>
        </w:rPr>
        <w:t>279 at [173]-[174].</w:t>
      </w:r>
      <w:r w:rsidR="00DD7439" w:rsidRPr="002F04DC">
        <w:rPr>
          <w:rFonts w:ascii="Arial" w:hAnsi="Arial" w:cs="Arial"/>
          <w:sz w:val="20"/>
          <w:szCs w:val="20"/>
        </w:rPr>
        <w:t xml:space="preserve"> </w:t>
      </w:r>
      <w:r w:rsidR="002F04DC" w:rsidRPr="002F04DC">
        <w:rPr>
          <w:rFonts w:ascii="Arial" w:hAnsi="Arial" w:cs="Arial"/>
          <w:i/>
          <w:iCs/>
          <w:sz w:val="20"/>
          <w:szCs w:val="20"/>
        </w:rPr>
        <w:t>Hu v Commissioner of the Australian Federal Police</w:t>
      </w:r>
      <w:r w:rsidR="002F04DC" w:rsidRPr="002F04DC">
        <w:rPr>
          <w:rFonts w:ascii="Arial" w:hAnsi="Arial" w:cs="Arial"/>
          <w:sz w:val="20"/>
          <w:szCs w:val="20"/>
        </w:rPr>
        <w:t xml:space="preserve"> [2023] VSCA 32 at [98]-[118]</w:t>
      </w:r>
      <w:r w:rsidR="00275880">
        <w:rPr>
          <w:rFonts w:ascii="Arial" w:hAnsi="Arial" w:cs="Arial"/>
          <w:sz w:val="20"/>
          <w:szCs w:val="20"/>
        </w:rPr>
        <w:t xml:space="preserve">; </w:t>
      </w:r>
      <w:proofErr w:type="spellStart"/>
      <w:r w:rsidR="00275880" w:rsidRPr="00275880">
        <w:rPr>
          <w:rFonts w:ascii="Arial" w:hAnsi="Arial" w:cs="Arial"/>
          <w:i/>
          <w:iCs/>
          <w:sz w:val="20"/>
          <w:szCs w:val="20"/>
        </w:rPr>
        <w:t>Grujovska</w:t>
      </w:r>
      <w:proofErr w:type="spellEnd"/>
      <w:r w:rsidR="00275880" w:rsidRPr="00275880">
        <w:rPr>
          <w:rFonts w:ascii="Arial" w:hAnsi="Arial" w:cs="Arial"/>
          <w:i/>
          <w:iCs/>
          <w:sz w:val="20"/>
          <w:szCs w:val="20"/>
        </w:rPr>
        <w:t xml:space="preserve"> v Dr Caroline Brand &amp; </w:t>
      </w:r>
      <w:proofErr w:type="spellStart"/>
      <w:r w:rsidR="00275880" w:rsidRPr="00275880">
        <w:rPr>
          <w:rFonts w:ascii="Arial" w:hAnsi="Arial" w:cs="Arial"/>
          <w:i/>
          <w:iCs/>
          <w:sz w:val="20"/>
          <w:szCs w:val="20"/>
        </w:rPr>
        <w:t>Ors</w:t>
      </w:r>
      <w:proofErr w:type="spellEnd"/>
      <w:r w:rsidR="00275880">
        <w:rPr>
          <w:rFonts w:ascii="Arial" w:hAnsi="Arial" w:cs="Arial"/>
          <w:sz w:val="20"/>
          <w:szCs w:val="20"/>
        </w:rPr>
        <w:t xml:space="preserve"> [2023] VSCA 59 at [25]-[29]</w:t>
      </w:r>
      <w:r w:rsidR="008B7437">
        <w:rPr>
          <w:rFonts w:ascii="Arial" w:hAnsi="Arial" w:cs="Arial"/>
          <w:sz w:val="20"/>
          <w:szCs w:val="20"/>
        </w:rPr>
        <w:t xml:space="preserve">; </w:t>
      </w:r>
      <w:r w:rsidR="008B7437" w:rsidRPr="008B7437">
        <w:rPr>
          <w:rFonts w:ascii="Arial" w:hAnsi="Arial" w:cs="Arial"/>
          <w:i/>
          <w:iCs/>
          <w:sz w:val="20"/>
          <w:szCs w:val="20"/>
        </w:rPr>
        <w:t>Chief Commissioner of Police v Zammit</w:t>
      </w:r>
      <w:r w:rsidR="008B7437">
        <w:rPr>
          <w:rFonts w:ascii="Arial" w:hAnsi="Arial" w:cs="Arial"/>
          <w:sz w:val="20"/>
          <w:szCs w:val="20"/>
        </w:rPr>
        <w:t xml:space="preserve"> [2023] VSC 635 at [100]-[107].  </w:t>
      </w:r>
      <w:r w:rsidR="00B21DA4" w:rsidRPr="002C7A51">
        <w:rPr>
          <w:rFonts w:ascii="Arial" w:hAnsi="Arial" w:cs="Arial"/>
          <w:color w:val="000000"/>
          <w:sz w:val="20"/>
          <w:szCs w:val="20"/>
        </w:rPr>
        <w:t>See also a paper by Kirby J: "Reasons for Judgment: Always Permissible, Usually Desirable and Often Obligatory" (199</w:t>
      </w:r>
      <w:r w:rsidR="003E2745" w:rsidRPr="002C7A51">
        <w:rPr>
          <w:rFonts w:ascii="Arial" w:hAnsi="Arial" w:cs="Arial"/>
          <w:color w:val="000000"/>
          <w:sz w:val="20"/>
          <w:szCs w:val="20"/>
        </w:rPr>
        <w:t xml:space="preserve">4) 12 Australian Bar Review 121; </w:t>
      </w:r>
      <w:r w:rsidR="003E2745" w:rsidRPr="002C7A51">
        <w:rPr>
          <w:rFonts w:ascii="Arial" w:hAnsi="Arial" w:cs="Arial"/>
          <w:i/>
          <w:color w:val="000000"/>
          <w:sz w:val="20"/>
          <w:szCs w:val="20"/>
        </w:rPr>
        <w:t xml:space="preserve">Gray v </w:t>
      </w:r>
      <w:proofErr w:type="spellStart"/>
      <w:r w:rsidR="003E2745" w:rsidRPr="002C7A51">
        <w:rPr>
          <w:rFonts w:ascii="Arial" w:hAnsi="Arial" w:cs="Arial"/>
          <w:i/>
          <w:color w:val="000000"/>
          <w:sz w:val="20"/>
          <w:szCs w:val="20"/>
        </w:rPr>
        <w:t>Brimbank</w:t>
      </w:r>
      <w:proofErr w:type="spellEnd"/>
      <w:r w:rsidR="003E2745" w:rsidRPr="002C7A51">
        <w:rPr>
          <w:rFonts w:ascii="Arial" w:hAnsi="Arial" w:cs="Arial"/>
          <w:i/>
          <w:color w:val="000000"/>
          <w:sz w:val="20"/>
          <w:szCs w:val="20"/>
        </w:rPr>
        <w:t xml:space="preserve"> City Council</w:t>
      </w:r>
      <w:r w:rsidR="003E2745" w:rsidRPr="002C7A5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61" w:name="COVvs1"/>
      <w:bookmarkEnd w:id="961"/>
    </w:p>
    <w:p w14:paraId="24A80DC4" w14:textId="4120E374"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r w:rsidR="00757619" w:rsidRPr="00757619">
        <w:rPr>
          <w:rFonts w:ascii="Arial" w:hAnsi="Arial" w:cs="Arial"/>
          <w:i/>
          <w:sz w:val="20"/>
        </w:rPr>
        <w:t>Nais v Minister</w:t>
      </w:r>
      <w:r w:rsidR="00757619">
        <w:rPr>
          <w:rFonts w:ascii="Arial" w:hAnsi="Arial" w:cs="Arial"/>
          <w:sz w:val="20"/>
        </w:rPr>
        <w:t xml:space="preserve"> [2005] HCA 7</w:t>
      </w:r>
      <w:r w:rsidR="00864915">
        <w:rPr>
          <w:rFonts w:ascii="Arial" w:hAnsi="Arial" w:cs="Arial"/>
          <w:sz w:val="20"/>
        </w:rPr>
        <w:t xml:space="preserve">7 [delay of </w:t>
      </w:r>
      <w:r w:rsidR="002B29D9">
        <w:rPr>
          <w:rFonts w:ascii="Arial" w:hAnsi="Arial" w:cs="Arial"/>
          <w:sz w:val="20"/>
        </w:rPr>
        <w:t>nearly</w:t>
      </w:r>
      <w:r w:rsidR="005A0688">
        <w:rPr>
          <w:rFonts w:ascii="Arial" w:hAnsi="Arial" w:cs="Arial"/>
          <w:sz w:val="20"/>
        </w:rPr>
        <w:t xml:space="preserve"> 5</w:t>
      </w:r>
      <w:r w:rsidR="00864915">
        <w:rPr>
          <w:rFonts w:ascii="Arial" w:hAnsi="Arial" w:cs="Arial"/>
          <w:sz w:val="20"/>
        </w:rPr>
        <w:t xml:space="preserve">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See per Chernov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Chernov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Chernov JA added at [38]:</w:t>
      </w:r>
    </w:p>
    <w:p w14:paraId="3F0F123B" w14:textId="77777777" w:rsidR="00B21DA4" w:rsidRDefault="00B21DA4" w:rsidP="009462F3">
      <w:pPr>
        <w:ind w:left="737" w:right="454"/>
        <w:jc w:val="both"/>
        <w:rPr>
          <w:rFonts w:ascii="Arial" w:hAnsi="Arial" w:cs="Arial"/>
          <w:sz w:val="20"/>
        </w:rPr>
      </w:pPr>
      <w:r>
        <w:rPr>
          <w:rFonts w:ascii="Arial" w:hAnsi="Arial" w:cs="Arial"/>
          <w:sz w:val="20"/>
        </w:rPr>
        <w:t xml:space="preserve">"Judges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w:t>
      </w:r>
      <w:r>
        <w:rPr>
          <w:rFonts w:ascii="Arial" w:hAnsi="Arial" w:cs="Arial"/>
          <w:sz w:val="20"/>
        </w:rPr>
        <w:lastRenderedPageBreak/>
        <w:t>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Chernov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Chernov JA said at [49] that this</w:t>
      </w:r>
    </w:p>
    <w:p w14:paraId="22E81724" w14:textId="77777777" w:rsidR="00B21DA4" w:rsidRDefault="00B21DA4" w:rsidP="009462F3">
      <w:pPr>
        <w:ind w:left="454" w:right="454"/>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4FDF2DFB" w:rsidR="00B21DA4" w:rsidRDefault="00B21DA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223E420" w14:textId="77777777" w:rsidR="009462F3" w:rsidRDefault="00067BE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iCs/>
          <w:sz w:val="20"/>
        </w:rPr>
        <w:t xml:space="preserve">Jay Moore (a pseudonym) v The King </w:t>
      </w:r>
      <w:r w:rsidRPr="00067BE4">
        <w:rPr>
          <w:rFonts w:ascii="Arial" w:hAnsi="Arial" w:cs="Arial"/>
          <w:sz w:val="20"/>
        </w:rPr>
        <w:t xml:space="preserve">[2022] VSCA </w:t>
      </w:r>
      <w:r>
        <w:rPr>
          <w:rFonts w:ascii="Arial" w:hAnsi="Arial" w:cs="Arial"/>
          <w:sz w:val="20"/>
        </w:rPr>
        <w:t xml:space="preserve">233 where at [14], citing </w:t>
      </w:r>
      <w:r w:rsidRPr="00067BE4">
        <w:rPr>
          <w:rFonts w:ascii="Arial" w:hAnsi="Arial" w:cs="Arial"/>
          <w:i/>
          <w:iCs/>
          <w:sz w:val="20"/>
          <w:szCs w:val="20"/>
        </w:rPr>
        <w:t>R v Lazarus</w:t>
      </w:r>
      <w:r w:rsidRPr="00067BE4">
        <w:rPr>
          <w:rFonts w:ascii="Arial" w:hAnsi="Arial" w:cs="Arial"/>
          <w:sz w:val="20"/>
          <w:szCs w:val="20"/>
        </w:rPr>
        <w:t xml:space="preserve"> (2017) 270 A Crim R 378, 402 [122]–[124]</w:t>
      </w:r>
      <w:r>
        <w:rPr>
          <w:rFonts w:ascii="Arial" w:hAnsi="Arial" w:cs="Arial"/>
          <w:sz w:val="20"/>
          <w:szCs w:val="20"/>
        </w:rPr>
        <w:t>, Priest AP &amp; Niall JA said: “</w:t>
      </w:r>
      <w:r w:rsidRPr="00067BE4">
        <w:rPr>
          <w:rFonts w:ascii="Arial" w:hAnsi="Arial" w:cs="Arial"/>
          <w:sz w:val="20"/>
          <w:szCs w:val="20"/>
        </w:rPr>
        <w:t>A judge should be circumspect when revising a written version of reasons orally delivered. He or she must be extremely cautious when adding to, excising from, or otherwise changing, what is supposed to be the written embodiment of the judge’s oral reasons. Certainly a judge must not, in revising his or her reasons, effect any alteration in substance.</w:t>
      </w:r>
      <w:r>
        <w:rPr>
          <w:rFonts w:ascii="Arial" w:hAnsi="Arial" w:cs="Arial"/>
          <w:sz w:val="20"/>
          <w:szCs w:val="20"/>
        </w:rPr>
        <w:t>”</w:t>
      </w:r>
    </w:p>
    <w:p w14:paraId="1A64C670" w14:textId="77777777" w:rsidR="009462F3" w:rsidRDefault="00B21DA4" w:rsidP="009462F3">
      <w:pPr>
        <w:numPr>
          <w:ilvl w:val="0"/>
          <w:numId w:val="9"/>
        </w:numPr>
        <w:tabs>
          <w:tab w:val="clear" w:pos="363"/>
          <w:tab w:val="num" w:pos="454"/>
        </w:tabs>
        <w:spacing w:before="60"/>
        <w:ind w:left="454" w:hanging="454"/>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 xml:space="preserve">Lam v </w:t>
      </w:r>
      <w:proofErr w:type="spellStart"/>
      <w:r w:rsidR="00B21DA4">
        <w:rPr>
          <w:rFonts w:ascii="Arial" w:hAnsi="Arial" w:cs="Arial"/>
          <w:i/>
          <w:iCs/>
          <w:sz w:val="20"/>
        </w:rPr>
        <w:t>Beesley</w:t>
      </w:r>
      <w:proofErr w:type="spellEnd"/>
      <w:r w:rsidR="00B21DA4">
        <w:rPr>
          <w:rFonts w:ascii="Arial" w:hAnsi="Arial" w:cs="Arial"/>
          <w:sz w:val="20"/>
        </w:rPr>
        <w:t xml:space="preserve"> (1992) 7 WAR 88 at 92,94-5; </w:t>
      </w:r>
      <w:r w:rsidR="00B21DA4">
        <w:rPr>
          <w:rFonts w:ascii="Arial" w:hAnsi="Arial" w:cs="Arial"/>
          <w:i/>
          <w:iCs/>
          <w:sz w:val="20"/>
        </w:rPr>
        <w:t>Todorovic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w:t>
      </w:r>
      <w:proofErr w:type="spellStart"/>
      <w:r>
        <w:rPr>
          <w:rFonts w:ascii="Arial" w:hAnsi="Arial" w:cs="Arial"/>
          <w:sz w:val="20"/>
        </w:rPr>
        <w:t>Some time</w:t>
      </w:r>
      <w:proofErr w:type="spellEnd"/>
      <w:r>
        <w:rPr>
          <w:rFonts w:ascii="Arial" w:hAnsi="Arial" w:cs="Arial"/>
          <w:sz w:val="20"/>
        </w:rPr>
        <w:t xml:space="preserv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9462F3">
      <w:pPr>
        <w:spacing w:before="60"/>
        <w:ind w:left="454" w:right="454"/>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 xml:space="preserve">Fletcher Construction Australia Ltd v Line </w:t>
      </w:r>
      <w:r w:rsidR="00840F82">
        <w:rPr>
          <w:rFonts w:ascii="Arial" w:hAnsi="Arial" w:cs="Arial"/>
          <w:i/>
          <w:iCs/>
          <w:sz w:val="20"/>
        </w:rPr>
        <w:lastRenderedPageBreak/>
        <w:t>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18AC8681" w:rsidR="00EE547E" w:rsidRDefault="00EE547E">
      <w:pPr>
        <w:rPr>
          <w:rFonts w:ascii="Arial" w:hAnsi="Arial" w:cs="Arial"/>
          <w:sz w:val="20"/>
        </w:rPr>
      </w:pPr>
      <w:bookmarkStart w:id="962"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63" w:name="_3.8_Amending_judgments"/>
      <w:bookmarkStart w:id="964" w:name="B38"/>
      <w:bookmarkEnd w:id="963"/>
      <w:bookmarkEnd w:id="964"/>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62"/>
    </w:p>
    <w:p w14:paraId="074824CC" w14:textId="77777777" w:rsidR="00B21DA4" w:rsidRDefault="00B21DA4">
      <w:pPr>
        <w:keepNext/>
        <w:keepLines/>
        <w:jc w:val="both"/>
        <w:rPr>
          <w:rFonts w:ascii="Arial" w:hAnsi="Arial" w:cs="Arial"/>
          <w:sz w:val="20"/>
        </w:rPr>
      </w:pPr>
    </w:p>
    <w:p w14:paraId="5121535B" w14:textId="703319F0" w:rsidR="00206786" w:rsidRDefault="00206786" w:rsidP="002D4688">
      <w:pPr>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9462F3">
      <w:pPr>
        <w:spacing w:before="60"/>
        <w:ind w:left="454" w:right="454"/>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pPr>
        <w:pStyle w:val="ListParagraph"/>
        <w:numPr>
          <w:ilvl w:val="0"/>
          <w:numId w:val="75"/>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 xml:space="preserve">Smith v The Queen; </w:t>
      </w:r>
      <w:proofErr w:type="spellStart"/>
      <w:r w:rsidRPr="002E72AC">
        <w:rPr>
          <w:rFonts w:ascii="Arial" w:hAnsi="Arial" w:cs="Arial"/>
          <w:i/>
          <w:iCs/>
          <w:sz w:val="20"/>
          <w:szCs w:val="16"/>
        </w:rPr>
        <w:t>Droste</w:t>
      </w:r>
      <w:proofErr w:type="spellEnd"/>
      <w:r w:rsidRPr="002E72AC">
        <w:rPr>
          <w:rFonts w:ascii="Arial" w:hAnsi="Arial" w:cs="Arial"/>
          <w:i/>
          <w:iCs/>
          <w:sz w:val="20"/>
          <w:szCs w:val="16"/>
        </w:rPr>
        <w:t xml:space="preserv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pPr>
        <w:pStyle w:val="ListParagraph"/>
        <w:numPr>
          <w:ilvl w:val="0"/>
          <w:numId w:val="75"/>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9462F3">
      <w:pPr>
        <w:overflowPunct w:val="0"/>
        <w:autoSpaceDE w:val="0"/>
        <w:autoSpaceDN w:val="0"/>
        <w:adjustRightInd w:val="0"/>
        <w:spacing w:before="60" w:after="60"/>
        <w:ind w:left="454" w:right="454"/>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48"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49"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proofErr w:type="spellStart"/>
      <w:r w:rsidR="00C417D0" w:rsidRPr="00C417D0">
        <w:rPr>
          <w:rFonts w:ascii="Arial" w:hAnsi="Arial" w:cs="Arial"/>
          <w:i/>
          <w:iCs/>
          <w:sz w:val="20"/>
          <w:szCs w:val="16"/>
        </w:rPr>
        <w:t>Dimovski</w:t>
      </w:r>
      <w:proofErr w:type="spellEnd"/>
      <w:r w:rsidR="00C417D0" w:rsidRPr="00C417D0">
        <w:rPr>
          <w:rFonts w:ascii="Arial" w:hAnsi="Arial" w:cs="Arial"/>
          <w:i/>
          <w:iCs/>
          <w:sz w:val="20"/>
          <w:szCs w:val="16"/>
        </w:rPr>
        <w:t xml:space="preserve">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w:t>
      </w:r>
      <w:proofErr w:type="spellStart"/>
      <w:r w:rsidR="00B21DA4">
        <w:rPr>
          <w:rFonts w:ascii="Arial" w:hAnsi="Arial" w:cs="Arial"/>
          <w:i/>
          <w:iCs/>
          <w:sz w:val="20"/>
        </w:rPr>
        <w:t>Billington</w:t>
      </w:r>
      <w:proofErr w:type="spellEnd"/>
      <w:r w:rsidR="00B21DA4">
        <w:rPr>
          <w:rFonts w:ascii="Arial" w:hAnsi="Arial" w:cs="Arial"/>
          <w:i/>
          <w:iCs/>
          <w:sz w:val="20"/>
        </w:rPr>
        <w:t xml:space="preserve">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rsidP="009462F3">
      <w:pPr>
        <w:keepNext/>
        <w:keepLines/>
        <w:spacing w:before="60"/>
        <w:ind w:left="454" w:right="454"/>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26646A">
      <w:pPr>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9462F3">
      <w:pPr>
        <w:spacing w:before="60"/>
        <w:ind w:left="454" w:right="454"/>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9462F3">
      <w:pPr>
        <w:spacing w:before="60"/>
        <w:ind w:left="454" w:right="454"/>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9462F3">
      <w:pPr>
        <w:spacing w:before="60"/>
        <w:ind w:left="454" w:right="454"/>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w:t>
      </w:r>
      <w:r w:rsidRPr="00BD2080">
        <w:rPr>
          <w:rFonts w:ascii="Arial" w:hAnsi="Arial" w:cs="Arial"/>
          <w:sz w:val="20"/>
          <w:szCs w:val="20"/>
        </w:rPr>
        <w:lastRenderedPageBreak/>
        <w:t xml:space="preserve">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9462F3">
      <w:pPr>
        <w:spacing w:before="60"/>
        <w:ind w:left="454" w:right="454"/>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9462F3">
      <w:pPr>
        <w:spacing w:before="60"/>
        <w:ind w:left="454" w:right="454"/>
        <w:jc w:val="both"/>
        <w:rPr>
          <w:rFonts w:ascii="Arial" w:hAnsi="Arial" w:cs="Arial"/>
          <w:sz w:val="20"/>
        </w:rPr>
      </w:pPr>
      <w:r>
        <w:rPr>
          <w:rFonts w:ascii="Arial" w:hAnsi="Arial" w:cs="Arial"/>
          <w:sz w:val="20"/>
        </w:rPr>
        <w:t>[31]  "Rule 36.07 is the 'slip rule' and provides:</w:t>
      </w:r>
    </w:p>
    <w:p w14:paraId="5F59666C" w14:textId="2F781EEE" w:rsidR="00B21DA4" w:rsidRDefault="00B21DA4">
      <w:pPr>
        <w:spacing w:before="60"/>
        <w:ind w:left="1440" w:right="1134"/>
        <w:jc w:val="both"/>
        <w:rPr>
          <w:rFonts w:ascii="Arial" w:hAnsi="Arial" w:cs="Arial"/>
          <w:sz w:val="20"/>
        </w:rPr>
      </w:pPr>
      <w:r>
        <w:rPr>
          <w:rFonts w:ascii="Arial" w:hAnsi="Arial" w:cs="Arial"/>
          <w:sz w:val="20"/>
        </w:rPr>
        <w:t>"The court may at any time correct a clerical mistake in a judgment or order or an error arising in a judgment or order from any accidental slip or omission.</w:t>
      </w:r>
      <w:r w:rsidR="00281614">
        <w:rPr>
          <w:rFonts w:ascii="Arial" w:hAnsi="Arial" w:cs="Arial"/>
          <w:sz w:val="20"/>
        </w:rPr>
        <w:t>”</w:t>
      </w:r>
    </w:p>
    <w:p w14:paraId="03BB1953" w14:textId="77777777" w:rsidR="00B21DA4" w:rsidRDefault="00B21DA4" w:rsidP="009462F3">
      <w:pPr>
        <w:spacing w:before="80"/>
        <w:ind w:left="454" w:right="454"/>
        <w:jc w:val="both"/>
        <w:rPr>
          <w:rFonts w:ascii="Arial" w:hAnsi="Arial" w:cs="Arial"/>
          <w:sz w:val="20"/>
        </w:rPr>
      </w:pPr>
      <w:r>
        <w:rPr>
          <w:rFonts w:ascii="Arial" w:hAnsi="Arial" w:cs="Arial"/>
          <w:sz w:val="20"/>
        </w:rPr>
        <w:t>[33</w:t>
      </w:r>
      <w:proofErr w:type="gramStart"/>
      <w:r>
        <w:rPr>
          <w:rFonts w:ascii="Arial" w:hAnsi="Arial" w:cs="Arial"/>
          <w:sz w:val="20"/>
        </w:rPr>
        <w:t>]  In</w:t>
      </w:r>
      <w:proofErr w:type="gramEnd"/>
      <w:r>
        <w:rPr>
          <w:rFonts w:ascii="Arial" w:hAnsi="Arial" w:cs="Arial"/>
          <w:sz w:val="20"/>
        </w:rPr>
        <w:t xml:space="preserve">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9462F3">
      <w:pPr>
        <w:spacing w:before="80"/>
        <w:ind w:left="454" w:right="454"/>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Evershed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rsidP="009462F3">
      <w:pPr>
        <w:spacing w:before="80"/>
        <w:ind w:left="454" w:right="454"/>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Mengler &amp; Others</w:t>
      </w:r>
      <w:r>
        <w:rPr>
          <w:rFonts w:ascii="Arial" w:hAnsi="Arial" w:cs="Arial"/>
          <w:sz w:val="20"/>
        </w:rPr>
        <w:t xml:space="preserve"> [2002] VSCA 55.</w:t>
      </w:r>
    </w:p>
    <w:p w14:paraId="62B059EC" w14:textId="77777777" w:rsidR="00B21DA4" w:rsidRPr="00281614" w:rsidRDefault="00B21DA4">
      <w:pPr>
        <w:jc w:val="both"/>
        <w:rPr>
          <w:rFonts w:ascii="Arial" w:hAnsi="Arial" w:cs="Arial"/>
          <w:sz w:val="20"/>
          <w:szCs w:val="36"/>
        </w:rPr>
      </w:pPr>
      <w:bookmarkStart w:id="965" w:name="_Hlk145676587"/>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Van Phuc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w:t>
      </w:r>
      <w:r>
        <w:rPr>
          <w:rFonts w:ascii="Arial" w:hAnsi="Arial" w:cs="Arial"/>
          <w:i/>
          <w:iCs/>
          <w:sz w:val="20"/>
        </w:rPr>
        <w:lastRenderedPageBreak/>
        <w:t xml:space="preserve">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bookmarkEnd w:id="965"/>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9462F3">
      <w:pPr>
        <w:spacing w:before="80"/>
        <w:ind w:left="454" w:right="454"/>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9462F3">
      <w:pPr>
        <w:tabs>
          <w:tab w:val="left" w:pos="1134"/>
        </w:tabs>
        <w:ind w:left="1021" w:right="907"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9462F3">
      <w:pPr>
        <w:tabs>
          <w:tab w:val="left" w:pos="1134"/>
        </w:tabs>
        <w:ind w:left="1021" w:right="907"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9462F3">
      <w:pPr>
        <w:spacing w:before="80"/>
        <w:ind w:left="454" w:right="454"/>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2707326A" w14:textId="7E2DE3A4" w:rsidR="002E3476" w:rsidRPr="002E3476" w:rsidRDefault="002E3476" w:rsidP="002E3476">
      <w:pPr>
        <w:jc w:val="both"/>
        <w:rPr>
          <w:rFonts w:ascii="Arial" w:hAnsi="Arial" w:cs="Arial"/>
          <w:color w:val="000000"/>
          <w:sz w:val="20"/>
          <w:szCs w:val="20"/>
        </w:rPr>
      </w:pPr>
      <w:r w:rsidRPr="002E3476">
        <w:rPr>
          <w:rFonts w:ascii="Arial" w:hAnsi="Arial" w:cs="Arial"/>
          <w:sz w:val="20"/>
          <w:szCs w:val="20"/>
        </w:rPr>
        <w:t xml:space="preserve">The power to correct an error </w:t>
      </w:r>
      <w:r>
        <w:rPr>
          <w:rFonts w:ascii="Arial" w:hAnsi="Arial" w:cs="Arial"/>
          <w:sz w:val="20"/>
          <w:szCs w:val="20"/>
        </w:rPr>
        <w:t xml:space="preserve">contained </w:t>
      </w:r>
      <w:r w:rsidRPr="002E3476">
        <w:rPr>
          <w:rFonts w:ascii="Arial" w:hAnsi="Arial" w:cs="Arial"/>
          <w:sz w:val="20"/>
          <w:szCs w:val="20"/>
        </w:rPr>
        <w:t xml:space="preserve">in r 36.07 of the </w:t>
      </w:r>
      <w:r w:rsidRPr="002E3476">
        <w:rPr>
          <w:rFonts w:ascii="Arial" w:hAnsi="Arial" w:cs="Arial"/>
          <w:i/>
          <w:iCs/>
          <w:sz w:val="20"/>
          <w:szCs w:val="20"/>
        </w:rPr>
        <w:t>Supreme Court (General Civil Procedure) Rules 2015</w:t>
      </w:r>
      <w:r w:rsidRPr="002E3476">
        <w:rPr>
          <w:rFonts w:ascii="Arial" w:hAnsi="Arial" w:cs="Arial"/>
          <w:sz w:val="20"/>
          <w:szCs w:val="20"/>
        </w:rPr>
        <w:t xml:space="preserve"> (Vic)</w:t>
      </w:r>
      <w:r>
        <w:rPr>
          <w:rFonts w:ascii="Arial" w:hAnsi="Arial" w:cs="Arial"/>
          <w:sz w:val="20"/>
          <w:szCs w:val="20"/>
        </w:rPr>
        <w:t xml:space="preserve"> </w:t>
      </w:r>
      <w:r w:rsidRPr="002E3476">
        <w:rPr>
          <w:rFonts w:ascii="Arial" w:hAnsi="Arial" w:cs="Arial"/>
          <w:sz w:val="20"/>
          <w:szCs w:val="20"/>
        </w:rPr>
        <w:t>extends to include an error in reasons for judgment: see</w:t>
      </w:r>
      <w:r>
        <w:rPr>
          <w:rFonts w:ascii="Arial" w:hAnsi="Arial" w:cs="Arial"/>
          <w:sz w:val="20"/>
          <w:szCs w:val="20"/>
        </w:rPr>
        <w:t xml:space="preserve"> per Moore J in</w:t>
      </w:r>
      <w:r w:rsidRPr="002E3476">
        <w:rPr>
          <w:rFonts w:ascii="Arial" w:hAnsi="Arial" w:cs="Arial"/>
          <w:sz w:val="20"/>
          <w:szCs w:val="20"/>
        </w:rPr>
        <w:t xml:space="preserve"> </w:t>
      </w:r>
      <w:r w:rsidRPr="002E3476">
        <w:rPr>
          <w:rFonts w:ascii="Arial" w:hAnsi="Arial" w:cs="Arial"/>
          <w:i/>
          <w:iCs/>
          <w:sz w:val="20"/>
          <w:szCs w:val="20"/>
        </w:rPr>
        <w:t xml:space="preserve">Attorney-General v </w:t>
      </w:r>
      <w:proofErr w:type="spellStart"/>
      <w:r w:rsidRPr="002E3476">
        <w:rPr>
          <w:rFonts w:ascii="Arial" w:hAnsi="Arial" w:cs="Arial"/>
          <w:i/>
          <w:iCs/>
          <w:sz w:val="20"/>
          <w:szCs w:val="20"/>
        </w:rPr>
        <w:t>Hadashah</w:t>
      </w:r>
      <w:proofErr w:type="spellEnd"/>
      <w:r w:rsidRPr="002E3476">
        <w:rPr>
          <w:rFonts w:ascii="Arial" w:hAnsi="Arial" w:cs="Arial"/>
          <w:i/>
          <w:iCs/>
          <w:sz w:val="20"/>
          <w:szCs w:val="20"/>
        </w:rPr>
        <w:t xml:space="preserve"> </w:t>
      </w:r>
      <w:proofErr w:type="spellStart"/>
      <w:r w:rsidRPr="002E3476">
        <w:rPr>
          <w:rFonts w:ascii="Arial" w:hAnsi="Arial" w:cs="Arial"/>
          <w:i/>
          <w:iCs/>
          <w:sz w:val="20"/>
          <w:szCs w:val="20"/>
        </w:rPr>
        <w:t>Sa’adat</w:t>
      </w:r>
      <w:proofErr w:type="spellEnd"/>
      <w:r w:rsidRPr="002E3476">
        <w:rPr>
          <w:rFonts w:ascii="Arial" w:hAnsi="Arial" w:cs="Arial"/>
          <w:i/>
          <w:iCs/>
          <w:sz w:val="20"/>
          <w:szCs w:val="20"/>
        </w:rPr>
        <w:t xml:space="preserve"> Khan (No 4)</w:t>
      </w:r>
      <w:r w:rsidRPr="002E3476">
        <w:rPr>
          <w:rFonts w:ascii="Arial" w:hAnsi="Arial" w:cs="Arial"/>
          <w:sz w:val="20"/>
          <w:szCs w:val="20"/>
        </w:rPr>
        <w:t xml:space="preserve"> [2024] VSC 62 at [</w:t>
      </w:r>
      <w:r w:rsidR="0028265F">
        <w:rPr>
          <w:rFonts w:ascii="Arial" w:hAnsi="Arial" w:cs="Arial"/>
          <w:sz w:val="20"/>
          <w:szCs w:val="20"/>
        </w:rPr>
        <w:t>7</w:t>
      </w:r>
      <w:r w:rsidRPr="002E3476">
        <w:rPr>
          <w:rFonts w:ascii="Arial" w:hAnsi="Arial" w:cs="Arial"/>
          <w:sz w:val="20"/>
          <w:szCs w:val="20"/>
        </w:rPr>
        <w:t>]-[</w:t>
      </w:r>
      <w:r>
        <w:rPr>
          <w:rFonts w:ascii="Arial" w:hAnsi="Arial" w:cs="Arial"/>
          <w:sz w:val="20"/>
          <w:szCs w:val="20"/>
        </w:rPr>
        <w:t>9</w:t>
      </w:r>
      <w:r w:rsidRPr="002E3476">
        <w:rPr>
          <w:rFonts w:ascii="Arial" w:hAnsi="Arial" w:cs="Arial"/>
          <w:sz w:val="20"/>
          <w:szCs w:val="20"/>
        </w:rPr>
        <w:t>]</w:t>
      </w:r>
      <w:r>
        <w:rPr>
          <w:rFonts w:ascii="Arial" w:hAnsi="Arial" w:cs="Arial"/>
          <w:color w:val="000000"/>
          <w:sz w:val="20"/>
          <w:szCs w:val="20"/>
        </w:rPr>
        <w:t xml:space="preserve"> a</w:t>
      </w:r>
      <w:r w:rsidRPr="002E3476">
        <w:rPr>
          <w:rFonts w:ascii="Arial" w:hAnsi="Arial" w:cs="Arial"/>
          <w:color w:val="000000"/>
          <w:sz w:val="20"/>
          <w:szCs w:val="20"/>
        </w:rPr>
        <w:t xml:space="preserve">pplying dicta of Chernov JA in </w:t>
      </w:r>
      <w:r w:rsidRPr="002E3476">
        <w:rPr>
          <w:rFonts w:ascii="Arial" w:hAnsi="Arial" w:cs="Arial"/>
          <w:i/>
          <w:iCs/>
          <w:sz w:val="20"/>
          <w:szCs w:val="20"/>
        </w:rPr>
        <w:t>Fletcher Construction Australia Ltd v Lines MacFarlane &amp; Marshall Pty Ltd</w:t>
      </w:r>
      <w:r w:rsidRPr="002E3476">
        <w:rPr>
          <w:rFonts w:ascii="Arial" w:hAnsi="Arial" w:cs="Arial"/>
          <w:sz w:val="20"/>
          <w:szCs w:val="20"/>
        </w:rPr>
        <w:t xml:space="preserve"> (2001) 4 VR 28 at [49] &amp; [51].</w:t>
      </w:r>
    </w:p>
    <w:p w14:paraId="78DACED5" w14:textId="77777777" w:rsidR="002E3476" w:rsidRDefault="002E3476">
      <w:pPr>
        <w:rPr>
          <w:rFonts w:ascii="Arial" w:hAnsi="Arial" w:cs="Arial"/>
          <w:color w:val="000000"/>
          <w:sz w:val="20"/>
        </w:rPr>
      </w:pPr>
    </w:p>
    <w:p w14:paraId="70793C5B" w14:textId="27B25644"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w:t>
      </w:r>
      <w:proofErr w:type="spellStart"/>
      <w:r w:rsidRPr="00492138">
        <w:rPr>
          <w:rFonts w:ascii="Arial" w:hAnsi="Arial" w:cs="Arial"/>
          <w:i/>
          <w:color w:val="000000"/>
          <w:sz w:val="20"/>
        </w:rPr>
        <w:t>Ors</w:t>
      </w:r>
      <w:proofErr w:type="spellEnd"/>
      <w:r w:rsidRPr="00492138">
        <w:rPr>
          <w:rFonts w:ascii="Arial" w:hAnsi="Arial" w:cs="Arial"/>
          <w:i/>
          <w:color w:val="000000"/>
          <w:sz w:val="20"/>
        </w:rPr>
        <w:t xml:space="preserve">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sidR="00383CE0">
        <w:rPr>
          <w:rFonts w:ascii="Arial" w:hAnsi="Arial" w:cs="Arial"/>
          <w:color w:val="000000"/>
          <w:sz w:val="20"/>
        </w:rPr>
        <w:t xml:space="preserve">; </w:t>
      </w:r>
      <w:proofErr w:type="spellStart"/>
      <w:r w:rsidR="00383CE0" w:rsidRPr="00383CE0">
        <w:rPr>
          <w:rFonts w:ascii="Arial" w:hAnsi="Arial" w:cs="Arial"/>
          <w:i/>
          <w:iCs/>
          <w:color w:val="000000"/>
          <w:sz w:val="20"/>
        </w:rPr>
        <w:t>Zirilli</w:t>
      </w:r>
      <w:proofErr w:type="spellEnd"/>
      <w:r w:rsidR="00383CE0" w:rsidRPr="00383CE0">
        <w:rPr>
          <w:rFonts w:ascii="Arial" w:hAnsi="Arial" w:cs="Arial"/>
          <w:i/>
          <w:iCs/>
          <w:color w:val="000000"/>
          <w:sz w:val="20"/>
        </w:rPr>
        <w:t xml:space="preserve"> v The King</w:t>
      </w:r>
      <w:r w:rsidR="00383CE0">
        <w:rPr>
          <w:rFonts w:ascii="Arial" w:hAnsi="Arial" w:cs="Arial"/>
          <w:color w:val="000000"/>
          <w:sz w:val="20"/>
        </w:rPr>
        <w:t xml:space="preserve"> [2022] VSCA at [</w:t>
      </w:r>
      <w:r w:rsidR="00420B13">
        <w:rPr>
          <w:rFonts w:ascii="Arial" w:hAnsi="Arial" w:cs="Arial"/>
          <w:color w:val="000000"/>
          <w:sz w:val="20"/>
        </w:rPr>
        <w:t>48</w:t>
      </w:r>
      <w:r w:rsidR="00383CE0">
        <w:rPr>
          <w:rFonts w:ascii="Arial" w:hAnsi="Arial" w:cs="Arial"/>
          <w:color w:val="000000"/>
          <w:sz w:val="20"/>
        </w:rPr>
        <w:t>]-[</w:t>
      </w:r>
      <w:r w:rsidR="00420B13">
        <w:rPr>
          <w:rFonts w:ascii="Arial" w:hAnsi="Arial" w:cs="Arial"/>
          <w:color w:val="000000"/>
          <w:sz w:val="20"/>
        </w:rPr>
        <w:t>58</w:t>
      </w:r>
      <w:r w:rsidR="00383CE0">
        <w:rPr>
          <w:rFonts w:ascii="Arial" w:hAnsi="Arial" w:cs="Arial"/>
          <w:color w:val="000000"/>
          <w:sz w:val="20"/>
        </w:rPr>
        <w:t>]</w:t>
      </w:r>
      <w:r w:rsidR="00B97390">
        <w:rPr>
          <w:rFonts w:ascii="Arial" w:hAnsi="Arial" w:cs="Arial"/>
          <w:color w:val="000000"/>
          <w:sz w:val="20"/>
        </w:rPr>
        <w:t xml:space="preserve">; </w:t>
      </w:r>
      <w:r w:rsidR="00B97390" w:rsidRPr="00B97390">
        <w:rPr>
          <w:rFonts w:ascii="Arial" w:hAnsi="Arial" w:cs="Arial"/>
          <w:i/>
          <w:iCs/>
          <w:sz w:val="20"/>
          <w:szCs w:val="20"/>
        </w:rPr>
        <w:t xml:space="preserve">Merrion B Pty Ltd v </w:t>
      </w:r>
      <w:proofErr w:type="spellStart"/>
      <w:r w:rsidR="00B97390" w:rsidRPr="00B97390">
        <w:rPr>
          <w:rFonts w:ascii="Arial" w:hAnsi="Arial" w:cs="Arial"/>
          <w:i/>
          <w:iCs/>
          <w:sz w:val="20"/>
          <w:szCs w:val="20"/>
        </w:rPr>
        <w:t>Donchiod</w:t>
      </w:r>
      <w:proofErr w:type="spellEnd"/>
      <w:r w:rsidR="00B97390" w:rsidRPr="00B97390">
        <w:rPr>
          <w:rFonts w:ascii="Arial" w:hAnsi="Arial" w:cs="Arial"/>
          <w:i/>
          <w:iCs/>
          <w:sz w:val="20"/>
          <w:szCs w:val="20"/>
        </w:rPr>
        <w:t xml:space="preserve"> Pty Ltd (in </w:t>
      </w:r>
      <w:proofErr w:type="spellStart"/>
      <w:r w:rsidR="00B97390" w:rsidRPr="00B97390">
        <w:rPr>
          <w:rFonts w:ascii="Arial" w:hAnsi="Arial" w:cs="Arial"/>
          <w:i/>
          <w:iCs/>
          <w:sz w:val="20"/>
          <w:szCs w:val="20"/>
        </w:rPr>
        <w:t>liq</w:t>
      </w:r>
      <w:proofErr w:type="spellEnd"/>
      <w:r w:rsidR="00B97390" w:rsidRPr="00B97390">
        <w:rPr>
          <w:rFonts w:ascii="Arial" w:hAnsi="Arial" w:cs="Arial"/>
          <w:i/>
          <w:iCs/>
          <w:sz w:val="20"/>
          <w:szCs w:val="20"/>
        </w:rPr>
        <w:t>)</w:t>
      </w:r>
      <w:r w:rsidR="00B97390" w:rsidRPr="00B97390">
        <w:rPr>
          <w:rFonts w:ascii="Arial" w:hAnsi="Arial" w:cs="Arial"/>
          <w:sz w:val="20"/>
          <w:szCs w:val="20"/>
        </w:rPr>
        <w:t xml:space="preserve"> [2023] VSC 111</w:t>
      </w:r>
      <w:r w:rsidR="00005A7F">
        <w:rPr>
          <w:rFonts w:ascii="Arial" w:hAnsi="Arial" w:cs="Arial"/>
          <w:sz w:val="20"/>
          <w:szCs w:val="20"/>
        </w:rPr>
        <w:t xml:space="preserve">; </w:t>
      </w:r>
      <w:r w:rsidR="00725925" w:rsidRPr="00725925">
        <w:rPr>
          <w:rFonts w:ascii="Arial" w:hAnsi="Arial" w:cs="Arial"/>
          <w:i/>
          <w:iCs/>
          <w:sz w:val="20"/>
          <w:szCs w:val="20"/>
        </w:rPr>
        <w:t xml:space="preserve">Lindholm v Elliott &amp; </w:t>
      </w:r>
      <w:proofErr w:type="spellStart"/>
      <w:r w:rsidR="00725925" w:rsidRPr="00725925">
        <w:rPr>
          <w:rFonts w:ascii="Arial" w:hAnsi="Arial" w:cs="Arial"/>
          <w:i/>
          <w:iCs/>
          <w:sz w:val="20"/>
          <w:szCs w:val="20"/>
        </w:rPr>
        <w:t>Ors</w:t>
      </w:r>
      <w:proofErr w:type="spellEnd"/>
      <w:r w:rsidR="00725925" w:rsidRPr="00725925">
        <w:rPr>
          <w:rFonts w:ascii="Arial" w:hAnsi="Arial" w:cs="Arial"/>
          <w:i/>
          <w:iCs/>
          <w:sz w:val="20"/>
          <w:szCs w:val="20"/>
        </w:rPr>
        <w:t xml:space="preserve"> (No 2)</w:t>
      </w:r>
      <w:r w:rsidR="00725925">
        <w:rPr>
          <w:rFonts w:ascii="Arial" w:hAnsi="Arial" w:cs="Arial"/>
          <w:sz w:val="20"/>
          <w:szCs w:val="20"/>
        </w:rPr>
        <w:t xml:space="preserve"> [2023] VSC 572 at [8]-[10]</w:t>
      </w:r>
      <w:r w:rsidR="008357AD">
        <w:rPr>
          <w:rFonts w:ascii="Arial" w:hAnsi="Arial" w:cs="Arial"/>
          <w:sz w:val="20"/>
          <w:szCs w:val="20"/>
        </w:rPr>
        <w:t>.</w:t>
      </w:r>
    </w:p>
    <w:p w14:paraId="65B43CC2" w14:textId="7085827D" w:rsidR="00725925" w:rsidRPr="00836E86" w:rsidRDefault="00725925" w:rsidP="0047078B">
      <w:pPr>
        <w:jc w:val="both"/>
        <w:rPr>
          <w:rFonts w:ascii="Arial" w:hAnsi="Arial" w:cs="Arial"/>
          <w:sz w:val="20"/>
        </w:rPr>
      </w:pPr>
      <w:bookmarkStart w:id="966" w:name="_3.9_Costs"/>
      <w:bookmarkStart w:id="967" w:name="B39"/>
      <w:bookmarkEnd w:id="966"/>
      <w:bookmarkEnd w:id="967"/>
    </w:p>
    <w:p w14:paraId="601B7851" w14:textId="77777777" w:rsidR="0047078B" w:rsidRPr="00836E86" w:rsidRDefault="0047078B" w:rsidP="0047078B">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18E3AF1E" w14:textId="77777777" w:rsidR="0047078B" w:rsidRPr="00836E86" w:rsidRDefault="0047078B" w:rsidP="0047078B">
      <w:pPr>
        <w:rPr>
          <w:rFonts w:ascii="Arial" w:hAnsi="Arial" w:cs="Arial"/>
          <w:sz w:val="20"/>
        </w:rPr>
      </w:pPr>
    </w:p>
    <w:p w14:paraId="71C1D6C1" w14:textId="77777777" w:rsidR="0047078B" w:rsidRPr="00836E86" w:rsidRDefault="0047078B">
      <w:pPr>
        <w:pStyle w:val="ListParagraph"/>
        <w:numPr>
          <w:ilvl w:val="0"/>
          <w:numId w:val="79"/>
        </w:numPr>
        <w:rPr>
          <w:rFonts w:ascii="Arial" w:hAnsi="Arial" w:cs="Arial"/>
          <w:sz w:val="20"/>
        </w:rPr>
      </w:pPr>
      <w:r w:rsidRPr="00836E86">
        <w:rPr>
          <w:rFonts w:ascii="Arial" w:hAnsi="Arial" w:cs="Arial"/>
          <w:sz w:val="20"/>
        </w:rPr>
        <w:br w:type="page"/>
      </w:r>
    </w:p>
    <w:p w14:paraId="795E9285" w14:textId="43C9D1ED" w:rsidR="00B21DA4" w:rsidRPr="00F81B96" w:rsidRDefault="00B21DA4" w:rsidP="005022CC">
      <w:pPr>
        <w:pStyle w:val="Heading2"/>
        <w:keepNext/>
        <w:tabs>
          <w:tab w:val="left" w:pos="567"/>
        </w:tabs>
        <w:spacing w:line="240" w:lineRule="auto"/>
        <w:rPr>
          <w:rFonts w:ascii="Arial" w:hAnsi="Arial" w:cs="Arial"/>
          <w:b/>
          <w:bCs/>
          <w:color w:val="000000"/>
        </w:rPr>
      </w:pPr>
      <w:bookmarkStart w:id="968" w:name="_3.9_Costs_1"/>
      <w:bookmarkStart w:id="969" w:name="_Hlk149197444"/>
      <w:bookmarkEnd w:id="968"/>
      <w:r w:rsidRPr="00F81B96">
        <w:rPr>
          <w:rFonts w:ascii="Arial" w:hAnsi="Arial" w:cs="Arial"/>
          <w:b/>
          <w:bCs/>
          <w:color w:val="000000"/>
        </w:rPr>
        <w:lastRenderedPageBreak/>
        <w:t>3.</w:t>
      </w:r>
      <w:r w:rsidR="00AB3569" w:rsidRPr="00F81B96">
        <w:rPr>
          <w:rFonts w:ascii="Arial" w:hAnsi="Arial" w:cs="Arial"/>
          <w:b/>
          <w:bCs/>
          <w:color w:val="000000"/>
        </w:rPr>
        <w:t>9</w:t>
      </w:r>
      <w:r w:rsidRPr="00F81B96">
        <w:rPr>
          <w:rFonts w:ascii="Arial" w:hAnsi="Arial" w:cs="Arial"/>
          <w:b/>
          <w:bCs/>
          <w:color w:val="000000"/>
        </w:rPr>
        <w:tab/>
        <w:t>Costs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C27E962" w14:textId="77777777" w:rsidR="00B21DA4" w:rsidRDefault="00B21DA4" w:rsidP="005022CC">
      <w:pPr>
        <w:keepNext/>
        <w:jc w:val="both"/>
        <w:rPr>
          <w:rFonts w:ascii="Arial" w:hAnsi="Arial" w:cs="Arial"/>
          <w:sz w:val="20"/>
        </w:rPr>
      </w:pPr>
    </w:p>
    <w:bookmarkEnd w:id="969"/>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067BE4">
      <w:pPr>
        <w:keepNext/>
        <w:keepLines/>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E22DDAC"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r w:rsidR="00F062A8">
        <w:rPr>
          <w:rFonts w:ascii="Arial" w:hAnsi="Arial" w:cs="Arial"/>
          <w:color w:val="000000"/>
          <w:sz w:val="20"/>
          <w:szCs w:val="20"/>
        </w:rPr>
        <w:t xml:space="preserve">; </w:t>
      </w:r>
      <w:bookmarkStart w:id="970" w:name="_Hlk146776939"/>
      <w:r w:rsidR="00F062A8" w:rsidRPr="00F062A8">
        <w:rPr>
          <w:rFonts w:ascii="Arial" w:hAnsi="Arial" w:cs="Arial"/>
          <w:i/>
          <w:iCs/>
          <w:color w:val="000000"/>
          <w:sz w:val="20"/>
          <w:szCs w:val="20"/>
        </w:rPr>
        <w:t xml:space="preserve">Lindholm v Elliott &amp; </w:t>
      </w:r>
      <w:proofErr w:type="spellStart"/>
      <w:r w:rsidR="00F062A8" w:rsidRPr="00F062A8">
        <w:rPr>
          <w:rFonts w:ascii="Arial" w:hAnsi="Arial" w:cs="Arial"/>
          <w:i/>
          <w:iCs/>
          <w:color w:val="000000"/>
          <w:sz w:val="20"/>
          <w:szCs w:val="20"/>
        </w:rPr>
        <w:t>Ors</w:t>
      </w:r>
      <w:proofErr w:type="spellEnd"/>
      <w:r w:rsidR="00F062A8">
        <w:rPr>
          <w:rFonts w:ascii="Arial" w:hAnsi="Arial" w:cs="Arial"/>
          <w:color w:val="000000"/>
          <w:sz w:val="20"/>
          <w:szCs w:val="20"/>
        </w:rPr>
        <w:t xml:space="preserve"> [2023] VSC 442 at [9]-[27]</w:t>
      </w:r>
      <w:r w:rsidR="002816DF" w:rsidRPr="00DF5439">
        <w:rPr>
          <w:rFonts w:ascii="Arial" w:hAnsi="Arial" w:cs="Arial"/>
          <w:color w:val="000000"/>
          <w:sz w:val="20"/>
          <w:szCs w:val="20"/>
        </w:rPr>
        <w:t>.</w:t>
      </w:r>
      <w:bookmarkEnd w:id="970"/>
    </w:p>
    <w:p w14:paraId="48C600F1" w14:textId="1A9F172F"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719DB4DD"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w:t>
      </w:r>
      <w:r w:rsidR="008D1E43">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viz.</w:t>
      </w:r>
      <w:r w:rsidR="00E40CBE">
        <w:rPr>
          <w:rFonts w:ascii="Arial" w:hAnsi="Arial" w:cs="Arial"/>
          <w:color w:val="000000"/>
          <w:sz w:val="20"/>
          <w:szCs w:val="20"/>
          <w:lang w:eastAsia="en-AU"/>
        </w:rPr>
        <w:t xml:space="preserve"> </w:t>
      </w:r>
      <w:r w:rsidR="005539BE" w:rsidRPr="005539BE">
        <w:rPr>
          <w:rFonts w:ascii="Arial" w:hAnsi="Arial" w:cs="Arial"/>
          <w:color w:val="000000"/>
          <w:sz w:val="20"/>
          <w:szCs w:val="20"/>
          <w:lang w:eastAsia="en-AU"/>
        </w:rPr>
        <w:t xml:space="preserve">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w:t>
      </w:r>
      <w:r w:rsidR="008D1E43">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which</w:t>
      </w:r>
      <w:r w:rsidR="008D1E43">
        <w:rPr>
          <w:rFonts w:ascii="Arial" w:hAnsi="Arial" w:cs="Arial"/>
          <w:color w:val="000000"/>
          <w:sz w:val="20"/>
          <w:szCs w:val="20"/>
          <w:lang w:eastAsia="en-AU"/>
        </w:rPr>
        <w:t xml:space="preserve"> </w:t>
      </w:r>
      <w:r w:rsidR="005539BE" w:rsidRPr="005539BE">
        <w:rPr>
          <w:rFonts w:ascii="Arial" w:hAnsi="Arial" w:cs="Arial"/>
          <w:color w:val="000000"/>
          <w:sz w:val="20"/>
          <w:szCs w:val="20"/>
          <w:lang w:eastAsia="en-AU"/>
        </w:rPr>
        <w:t>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627C667" w:rsidR="005539BE" w:rsidRDefault="005539BE" w:rsidP="00B61E41">
      <w:pPr>
        <w:jc w:val="both"/>
        <w:rPr>
          <w:rFonts w:ascii="Arial" w:hAnsi="Arial" w:cs="Arial"/>
          <w:sz w:val="20"/>
        </w:rPr>
      </w:pPr>
    </w:p>
    <w:p w14:paraId="1553BB5E" w14:textId="361DAFC9" w:rsidR="00B43D18" w:rsidRDefault="00E40CBE" w:rsidP="00B61E41">
      <w:pPr>
        <w:jc w:val="both"/>
        <w:rPr>
          <w:rFonts w:ascii="Arial" w:hAnsi="Arial" w:cs="Arial"/>
          <w:sz w:val="20"/>
        </w:rPr>
      </w:pPr>
      <w:r>
        <w:rPr>
          <w:rFonts w:ascii="Arial" w:hAnsi="Arial" w:cs="Arial"/>
          <w:sz w:val="20"/>
        </w:rPr>
        <w:t xml:space="preserve">In relation to the awarding of costs </w:t>
      </w:r>
      <w:r w:rsidR="00231C66">
        <w:rPr>
          <w:rFonts w:ascii="Arial" w:hAnsi="Arial" w:cs="Arial"/>
          <w:sz w:val="20"/>
        </w:rPr>
        <w:t xml:space="preserve">in civil proceedings </w:t>
      </w:r>
      <w:r>
        <w:rPr>
          <w:rFonts w:ascii="Arial" w:hAnsi="Arial" w:cs="Arial"/>
          <w:sz w:val="20"/>
        </w:rPr>
        <w:t xml:space="preserve">generally, </w:t>
      </w:r>
      <w:r w:rsidR="00B43D18">
        <w:rPr>
          <w:rFonts w:ascii="Arial" w:hAnsi="Arial" w:cs="Arial"/>
          <w:sz w:val="20"/>
        </w:rPr>
        <w:t xml:space="preserve">in </w:t>
      </w:r>
      <w:proofErr w:type="spellStart"/>
      <w:r w:rsidR="00B43D18" w:rsidRPr="000C4907">
        <w:rPr>
          <w:rFonts w:ascii="Arial" w:hAnsi="Arial" w:cs="Arial"/>
          <w:i/>
          <w:iCs/>
          <w:sz w:val="20"/>
        </w:rPr>
        <w:t>Millsave</w:t>
      </w:r>
      <w:proofErr w:type="spellEnd"/>
      <w:r w:rsidR="00B43D18" w:rsidRPr="000C4907">
        <w:rPr>
          <w:rFonts w:ascii="Arial" w:hAnsi="Arial" w:cs="Arial"/>
          <w:i/>
          <w:iCs/>
          <w:sz w:val="20"/>
        </w:rPr>
        <w:t xml:space="preserve"> Holdings Pty Ltd &amp; </w:t>
      </w:r>
      <w:proofErr w:type="spellStart"/>
      <w:r w:rsidR="00B43D18" w:rsidRPr="000C4907">
        <w:rPr>
          <w:rFonts w:ascii="Arial" w:hAnsi="Arial" w:cs="Arial"/>
          <w:i/>
          <w:iCs/>
          <w:sz w:val="20"/>
        </w:rPr>
        <w:t>Ors</w:t>
      </w:r>
      <w:proofErr w:type="spellEnd"/>
      <w:r w:rsidR="00B43D18">
        <w:rPr>
          <w:rFonts w:ascii="Arial" w:hAnsi="Arial" w:cs="Arial"/>
          <w:sz w:val="20"/>
        </w:rPr>
        <w:t xml:space="preserve"> v </w:t>
      </w:r>
      <w:proofErr w:type="spellStart"/>
      <w:r w:rsidR="00B43D18" w:rsidRPr="000C4907">
        <w:rPr>
          <w:rFonts w:ascii="Arial" w:hAnsi="Arial" w:cs="Arial"/>
          <w:i/>
          <w:iCs/>
          <w:sz w:val="20"/>
        </w:rPr>
        <w:t>Slea</w:t>
      </w:r>
      <w:proofErr w:type="spellEnd"/>
      <w:r w:rsidR="00B43D18" w:rsidRPr="000C4907">
        <w:rPr>
          <w:rFonts w:ascii="Arial" w:hAnsi="Arial" w:cs="Arial"/>
          <w:i/>
          <w:iCs/>
          <w:sz w:val="20"/>
        </w:rPr>
        <w:t xml:space="preserve"> Pty Ltd &amp; </w:t>
      </w:r>
      <w:proofErr w:type="spellStart"/>
      <w:r w:rsidR="00B43D18" w:rsidRPr="000C4907">
        <w:rPr>
          <w:rFonts w:ascii="Arial" w:hAnsi="Arial" w:cs="Arial"/>
          <w:i/>
          <w:iCs/>
          <w:sz w:val="20"/>
        </w:rPr>
        <w:t>Ors</w:t>
      </w:r>
      <w:proofErr w:type="spellEnd"/>
      <w:r w:rsidR="00B43D18">
        <w:rPr>
          <w:rFonts w:ascii="Arial" w:hAnsi="Arial" w:cs="Arial"/>
          <w:sz w:val="20"/>
        </w:rPr>
        <w:t xml:space="preserve"> </w:t>
      </w:r>
      <w:r w:rsidR="00B43D18" w:rsidRPr="000C4907">
        <w:rPr>
          <w:rFonts w:ascii="Arial" w:hAnsi="Arial" w:cs="Arial"/>
          <w:i/>
          <w:iCs/>
          <w:sz w:val="20"/>
        </w:rPr>
        <w:t>[No 2]</w:t>
      </w:r>
      <w:r w:rsidR="00B43D18">
        <w:rPr>
          <w:rFonts w:ascii="Arial" w:hAnsi="Arial" w:cs="Arial"/>
          <w:sz w:val="20"/>
        </w:rPr>
        <w:t xml:space="preserve"> [2024] VSCA </w:t>
      </w:r>
      <w:r w:rsidR="000C4907">
        <w:rPr>
          <w:rFonts w:ascii="Arial" w:hAnsi="Arial" w:cs="Arial"/>
          <w:sz w:val="20"/>
        </w:rPr>
        <w:t>28 the Court of Appeal (McLeish, Macaulay &amp; Lyons JJA) said at [12]:</w:t>
      </w:r>
    </w:p>
    <w:p w14:paraId="6F617403" w14:textId="4716623A" w:rsidR="00B43D18" w:rsidRDefault="000C4907" w:rsidP="00B43D18">
      <w:pPr>
        <w:spacing w:before="60"/>
        <w:ind w:left="567" w:right="567"/>
        <w:jc w:val="both"/>
        <w:rPr>
          <w:rFonts w:ascii="Arial" w:hAnsi="Arial" w:cs="Arial"/>
          <w:sz w:val="20"/>
          <w:szCs w:val="20"/>
        </w:rPr>
      </w:pPr>
      <w:r>
        <w:rPr>
          <w:rFonts w:ascii="Arial" w:hAnsi="Arial" w:cs="Arial"/>
          <w:sz w:val="20"/>
          <w:szCs w:val="20"/>
        </w:rPr>
        <w:t>“</w:t>
      </w:r>
      <w:r w:rsidR="00B43D18" w:rsidRPr="00B43D18">
        <w:rPr>
          <w:rFonts w:ascii="Arial" w:hAnsi="Arial" w:cs="Arial"/>
          <w:sz w:val="20"/>
          <w:szCs w:val="20"/>
        </w:rPr>
        <w:t xml:space="preserve">In exercising our discretion as to costs, we apply the principles summarised by this Court in </w:t>
      </w:r>
      <w:r w:rsidR="00B43D18" w:rsidRPr="000C4907">
        <w:rPr>
          <w:rFonts w:ascii="Arial" w:hAnsi="Arial" w:cs="Arial"/>
          <w:i/>
          <w:iCs/>
          <w:sz w:val="20"/>
          <w:szCs w:val="20"/>
        </w:rPr>
        <w:t>Chen v Chan [No 2]</w:t>
      </w:r>
      <w:r>
        <w:rPr>
          <w:rFonts w:ascii="Arial" w:hAnsi="Arial" w:cs="Arial"/>
          <w:sz w:val="20"/>
          <w:szCs w:val="20"/>
        </w:rPr>
        <w:t xml:space="preserve"> [2009] VSCA 233 at [10]</w:t>
      </w:r>
      <w:r w:rsidR="00B43D18" w:rsidRPr="00B43D18">
        <w:rPr>
          <w:rFonts w:ascii="Arial" w:hAnsi="Arial" w:cs="Arial"/>
          <w:sz w:val="20"/>
          <w:szCs w:val="20"/>
        </w:rPr>
        <w:t xml:space="preserve">, to which </w:t>
      </w:r>
      <w:r>
        <w:rPr>
          <w:rFonts w:ascii="Arial" w:hAnsi="Arial" w:cs="Arial"/>
          <w:sz w:val="20"/>
          <w:szCs w:val="20"/>
        </w:rPr>
        <w:t xml:space="preserve">[the respondent] </w:t>
      </w:r>
      <w:proofErr w:type="spellStart"/>
      <w:r w:rsidR="00B43D18" w:rsidRPr="00B43D18">
        <w:rPr>
          <w:rFonts w:ascii="Arial" w:hAnsi="Arial" w:cs="Arial"/>
          <w:sz w:val="20"/>
          <w:szCs w:val="20"/>
        </w:rPr>
        <w:t>Slea</w:t>
      </w:r>
      <w:proofErr w:type="spellEnd"/>
      <w:r w:rsidR="00B43D18" w:rsidRPr="00B43D18">
        <w:rPr>
          <w:rFonts w:ascii="Arial" w:hAnsi="Arial" w:cs="Arial"/>
          <w:sz w:val="20"/>
          <w:szCs w:val="20"/>
        </w:rPr>
        <w:t xml:space="preserve"> drew attention in its written submissions:</w:t>
      </w:r>
    </w:p>
    <w:p w14:paraId="508F76F6"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(1) The general rule is that costs should follow the event. Absent disqualifying conduct, the successful party should recover its costs even where it has not succeeded on all heads of claim.</w:t>
      </w:r>
    </w:p>
    <w:p w14:paraId="773279C2"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(2) The Rules of Court permit significant flexibility in determining questions of costs. In particular, the Court is entitled to examine the realities of the case and will attempt to do ‘substantial justice’ as between the parties on matters of costs.</w:t>
      </w:r>
    </w:p>
    <w:p w14:paraId="14BE7799"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(3) Where there is a multiplicity of issues and mixed success has been enjoyed by the parties, a Court may take a pragmatic approach in framing the order for costs, taking into consideration the success (or lack of success) of the parties on an issues basis. Generally, if such an order is made, it is reflected in the successful party being awarded a proportion of its costs but not the full amount.</w:t>
      </w:r>
    </w:p>
    <w:p w14:paraId="31592D70" w14:textId="77777777"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lastRenderedPageBreak/>
        <w:t xml:space="preserve">(4) A Court may, when fixing costs in a claim where there has been mixed success, </w:t>
      </w:r>
      <w:proofErr w:type="gramStart"/>
      <w:r w:rsidRPr="00B43D18">
        <w:rPr>
          <w:rFonts w:ascii="Arial" w:hAnsi="Arial" w:cs="Arial"/>
          <w:sz w:val="18"/>
          <w:szCs w:val="18"/>
        </w:rPr>
        <w:t>take into account</w:t>
      </w:r>
      <w:proofErr w:type="gramEnd"/>
      <w:r w:rsidRPr="00B43D18">
        <w:rPr>
          <w:rFonts w:ascii="Arial" w:hAnsi="Arial" w:cs="Arial"/>
          <w:sz w:val="18"/>
          <w:szCs w:val="18"/>
        </w:rPr>
        <w:t xml:space="preserve"> complications which it considers will arise in the taxation of costs, as part of its consideration of the overall interests of justice.</w:t>
      </w:r>
    </w:p>
    <w:p w14:paraId="1F312146" w14:textId="1D0EA7E0" w:rsidR="00B43D18" w:rsidRPr="00B43D18" w:rsidRDefault="00B43D18" w:rsidP="00B43D18">
      <w:pPr>
        <w:spacing w:before="60"/>
        <w:ind w:left="1021" w:right="1021"/>
        <w:jc w:val="both"/>
        <w:rPr>
          <w:rFonts w:ascii="Arial" w:hAnsi="Arial" w:cs="Arial"/>
          <w:sz w:val="18"/>
          <w:szCs w:val="18"/>
        </w:rPr>
      </w:pPr>
      <w:r w:rsidRPr="00B43D18">
        <w:rPr>
          <w:rFonts w:ascii="Arial" w:hAnsi="Arial" w:cs="Arial"/>
          <w:sz w:val="18"/>
          <w:szCs w:val="18"/>
        </w:rPr>
        <w:t>(5) Where a Court determines to make an order apportioning costs, then it does so primarily as ‘a matter of impression and evaluation,’ rather than with arithmetical precision, having considered the importance of the matters upon which the parties have been successful or unsuccessful, the time occupied and the ambit of the submissions made, as well as any other relevant matter.</w:t>
      </w:r>
      <w:r w:rsidR="000C4907">
        <w:rPr>
          <w:rFonts w:ascii="Arial" w:hAnsi="Arial" w:cs="Arial"/>
          <w:sz w:val="18"/>
          <w:szCs w:val="18"/>
        </w:rPr>
        <w:t>”</w:t>
      </w:r>
    </w:p>
    <w:p w14:paraId="484F7090" w14:textId="77777777" w:rsidR="00B43D18" w:rsidRDefault="00B43D18" w:rsidP="00B61E41">
      <w:pPr>
        <w:jc w:val="both"/>
        <w:rPr>
          <w:rFonts w:ascii="Arial" w:hAnsi="Arial" w:cs="Arial"/>
          <w:sz w:val="20"/>
        </w:rPr>
      </w:pPr>
    </w:p>
    <w:p w14:paraId="0EF3201C" w14:textId="3AD63F84" w:rsidR="00E40CBE" w:rsidRDefault="00E40CBE" w:rsidP="00B61E41">
      <w:pPr>
        <w:jc w:val="both"/>
        <w:rPr>
          <w:rFonts w:ascii="Arial" w:hAnsi="Arial" w:cs="Arial"/>
          <w:sz w:val="20"/>
        </w:rPr>
      </w:pPr>
      <w:r>
        <w:rPr>
          <w:rFonts w:ascii="Arial" w:hAnsi="Arial" w:cs="Arial"/>
          <w:sz w:val="20"/>
        </w:rPr>
        <w:t xml:space="preserve">in </w:t>
      </w:r>
      <w:r w:rsidRPr="00E40CBE">
        <w:rPr>
          <w:rFonts w:ascii="Arial" w:hAnsi="Arial" w:cs="Arial"/>
          <w:i/>
          <w:iCs/>
          <w:sz w:val="20"/>
          <w:szCs w:val="20"/>
        </w:rPr>
        <w:t>Huang v Frankston City Council (Costs Ruling)</w:t>
      </w:r>
      <w:r>
        <w:rPr>
          <w:rFonts w:ascii="Arial" w:hAnsi="Arial" w:cs="Arial"/>
          <w:sz w:val="20"/>
          <w:szCs w:val="20"/>
        </w:rPr>
        <w:t xml:space="preserve"> [2023] VSC 41 </w:t>
      </w:r>
      <w:proofErr w:type="spellStart"/>
      <w:r>
        <w:rPr>
          <w:rFonts w:ascii="Arial" w:hAnsi="Arial" w:cs="Arial"/>
          <w:sz w:val="20"/>
          <w:szCs w:val="20"/>
        </w:rPr>
        <w:t>Tsalamandris</w:t>
      </w:r>
      <w:proofErr w:type="spellEnd"/>
      <w:r>
        <w:rPr>
          <w:rFonts w:ascii="Arial" w:hAnsi="Arial" w:cs="Arial"/>
          <w:sz w:val="20"/>
          <w:szCs w:val="20"/>
        </w:rPr>
        <w:t xml:space="preserve"> J said at [1</w:t>
      </w:r>
      <w:r w:rsidR="00535250">
        <w:rPr>
          <w:rFonts w:ascii="Arial" w:hAnsi="Arial" w:cs="Arial"/>
          <w:sz w:val="20"/>
          <w:szCs w:val="20"/>
        </w:rPr>
        <w:t>0</w:t>
      </w:r>
      <w:r>
        <w:rPr>
          <w:rFonts w:ascii="Arial" w:hAnsi="Arial" w:cs="Arial"/>
          <w:sz w:val="20"/>
          <w:szCs w:val="20"/>
        </w:rPr>
        <w:t>]-[1</w:t>
      </w:r>
      <w:r w:rsidR="00535250">
        <w:rPr>
          <w:rFonts w:ascii="Arial" w:hAnsi="Arial" w:cs="Arial"/>
          <w:sz w:val="20"/>
          <w:szCs w:val="20"/>
        </w:rPr>
        <w:t>3</w:t>
      </w:r>
      <w:r>
        <w:rPr>
          <w:rFonts w:ascii="Arial" w:hAnsi="Arial" w:cs="Arial"/>
          <w:sz w:val="20"/>
          <w:szCs w:val="20"/>
        </w:rPr>
        <w:t>]:</w:t>
      </w:r>
    </w:p>
    <w:p w14:paraId="1DB3528E" w14:textId="1919F14F" w:rsidR="00E40CBE" w:rsidRDefault="00E40CBE" w:rsidP="00E40CBE">
      <w:pPr>
        <w:spacing w:before="80"/>
        <w:ind w:left="567" w:right="567"/>
        <w:jc w:val="both"/>
        <w:rPr>
          <w:rFonts w:ascii="Arial" w:hAnsi="Arial" w:cs="Arial"/>
          <w:sz w:val="20"/>
          <w:szCs w:val="20"/>
        </w:rPr>
      </w:pPr>
      <w:r>
        <w:rPr>
          <w:rFonts w:ascii="Arial" w:hAnsi="Arial" w:cs="Arial"/>
          <w:sz w:val="20"/>
          <w:szCs w:val="20"/>
        </w:rPr>
        <w:t>“</w:t>
      </w:r>
      <w:r w:rsidRPr="00E40CBE">
        <w:rPr>
          <w:rFonts w:ascii="Arial" w:hAnsi="Arial" w:cs="Arial"/>
          <w:sz w:val="20"/>
          <w:szCs w:val="20"/>
        </w:rPr>
        <w:t>Section 24 of the Supreme Court Act 1986 and Part 4.5 of the Civil Procedure Act 2010 confer a broad discretion on the court to award costs. This discretion must be exercised judicially and in accordance with Order 63 of the Rules.</w:t>
      </w:r>
    </w:p>
    <w:p w14:paraId="4884A649" w14:textId="7C920FC5"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It is well established at common law that, as a general rule, costs follow the event</w:t>
      </w:r>
      <w:r>
        <w:rPr>
          <w:rFonts w:ascii="Arial" w:hAnsi="Arial" w:cs="Arial"/>
          <w:sz w:val="20"/>
          <w:szCs w:val="20"/>
        </w:rPr>
        <w:t xml:space="preserve">.  See </w:t>
      </w:r>
      <w:r w:rsidRPr="00E40CBE">
        <w:rPr>
          <w:rFonts w:ascii="Arial" w:hAnsi="Arial" w:cs="Arial"/>
          <w:sz w:val="20"/>
          <w:szCs w:val="20"/>
        </w:rPr>
        <w:t xml:space="preserve">for example </w:t>
      </w:r>
      <w:proofErr w:type="spellStart"/>
      <w:r w:rsidRPr="00535250">
        <w:rPr>
          <w:rFonts w:ascii="Arial" w:hAnsi="Arial" w:cs="Arial"/>
          <w:i/>
          <w:iCs/>
          <w:sz w:val="20"/>
          <w:szCs w:val="20"/>
        </w:rPr>
        <w:t>Oshlack</w:t>
      </w:r>
      <w:proofErr w:type="spellEnd"/>
      <w:r w:rsidRPr="00535250">
        <w:rPr>
          <w:rFonts w:ascii="Arial" w:hAnsi="Arial" w:cs="Arial"/>
          <w:i/>
          <w:iCs/>
          <w:sz w:val="20"/>
          <w:szCs w:val="20"/>
        </w:rPr>
        <w:t xml:space="preserve"> v Richmond River Council</w:t>
      </w:r>
      <w:r w:rsidRPr="00E40CBE">
        <w:rPr>
          <w:rFonts w:ascii="Arial" w:hAnsi="Arial" w:cs="Arial"/>
          <w:sz w:val="20"/>
          <w:szCs w:val="20"/>
        </w:rPr>
        <w:t xml:space="preserve"> (1998) 193 CLR 72</w:t>
      </w:r>
      <w:r>
        <w:rPr>
          <w:rFonts w:ascii="Arial" w:hAnsi="Arial" w:cs="Arial"/>
          <w:sz w:val="20"/>
          <w:szCs w:val="20"/>
        </w:rPr>
        <w:t xml:space="preserve">.  </w:t>
      </w:r>
      <w:r w:rsidRPr="00E40CBE">
        <w:rPr>
          <w:rFonts w:ascii="Arial" w:hAnsi="Arial" w:cs="Arial"/>
          <w:sz w:val="20"/>
          <w:szCs w:val="20"/>
        </w:rPr>
        <w:t>This means that a successful party is generally entitled to an award of costs absent special circumstances</w:t>
      </w:r>
      <w:r>
        <w:rPr>
          <w:rFonts w:ascii="Arial" w:hAnsi="Arial" w:cs="Arial"/>
          <w:sz w:val="20"/>
          <w:szCs w:val="20"/>
        </w:rPr>
        <w:t xml:space="preserve">: </w:t>
      </w:r>
      <w:proofErr w:type="spellStart"/>
      <w:r w:rsidRPr="00535250">
        <w:rPr>
          <w:rFonts w:ascii="Arial" w:hAnsi="Arial" w:cs="Arial"/>
          <w:i/>
          <w:iCs/>
          <w:sz w:val="20"/>
          <w:szCs w:val="20"/>
        </w:rPr>
        <w:t>Kheirs</w:t>
      </w:r>
      <w:proofErr w:type="spellEnd"/>
      <w:r w:rsidRPr="00535250">
        <w:rPr>
          <w:rFonts w:ascii="Arial" w:hAnsi="Arial" w:cs="Arial"/>
          <w:i/>
          <w:iCs/>
          <w:sz w:val="20"/>
          <w:szCs w:val="20"/>
        </w:rPr>
        <w:t xml:space="preserve"> Financial Services Pty Ltd v Aussie Home Loans Pty Ltd</w:t>
      </w:r>
      <w:r w:rsidRPr="00E40CBE">
        <w:rPr>
          <w:rFonts w:ascii="Arial" w:hAnsi="Arial" w:cs="Arial"/>
          <w:sz w:val="20"/>
          <w:szCs w:val="20"/>
        </w:rPr>
        <w:t xml:space="preserve"> (2010) 31 VR 46, 50 [15].</w:t>
      </w:r>
    </w:p>
    <w:p w14:paraId="0A73E238" w14:textId="030A2577"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 xml:space="preserve">The justification for this general rule was explained by McHugh J in the High Court decision of </w:t>
      </w:r>
      <w:proofErr w:type="spellStart"/>
      <w:r w:rsidRPr="00535250">
        <w:rPr>
          <w:rFonts w:ascii="Arial" w:hAnsi="Arial" w:cs="Arial"/>
          <w:i/>
          <w:iCs/>
          <w:sz w:val="20"/>
          <w:szCs w:val="20"/>
        </w:rPr>
        <w:t>Oshlack</w:t>
      </w:r>
      <w:proofErr w:type="spellEnd"/>
      <w:r w:rsidRPr="00535250">
        <w:rPr>
          <w:rFonts w:ascii="Arial" w:hAnsi="Arial" w:cs="Arial"/>
          <w:i/>
          <w:iCs/>
          <w:sz w:val="20"/>
          <w:szCs w:val="20"/>
        </w:rPr>
        <w:t xml:space="preserve"> v Richmond River Council</w:t>
      </w:r>
      <w:r>
        <w:rPr>
          <w:rFonts w:ascii="Arial" w:hAnsi="Arial" w:cs="Arial"/>
          <w:sz w:val="20"/>
          <w:szCs w:val="20"/>
        </w:rPr>
        <w:t xml:space="preserve"> at [67]</w:t>
      </w:r>
      <w:r w:rsidRPr="00E40CBE">
        <w:rPr>
          <w:rFonts w:ascii="Arial" w:hAnsi="Arial" w:cs="Arial"/>
          <w:sz w:val="20"/>
          <w:szCs w:val="20"/>
        </w:rPr>
        <w:t>:</w:t>
      </w:r>
    </w:p>
    <w:p w14:paraId="4AE7A45A" w14:textId="3E2DEDF2" w:rsidR="00E40CBE" w:rsidRDefault="00535250" w:rsidP="00535250">
      <w:pPr>
        <w:spacing w:before="60"/>
        <w:ind w:left="1021" w:right="1021"/>
        <w:jc w:val="both"/>
        <w:rPr>
          <w:rFonts w:ascii="Arial" w:hAnsi="Arial" w:cs="Arial"/>
          <w:sz w:val="20"/>
        </w:rPr>
      </w:pPr>
      <w:r w:rsidRPr="00535250">
        <w:rPr>
          <w:rFonts w:ascii="Arial" w:hAnsi="Arial" w:cs="Arial"/>
          <w:sz w:val="18"/>
          <w:szCs w:val="18"/>
        </w:rPr>
        <w:t>The principle is grounded in reasons of fairness and policy and operates whether the successful party is the plaintiff or the defendant. Costs are not awarded to punish an unsuccessful party. The primary purpose of an award of costs is to indemnify the successful party. If the litigation had not been brought, or defended, by the unsuccessful party the successful party would not have incurred the expense which it did. As between the parties, fairness dictates that the unsuccessful party typically bears the liability for the costs of the unsuccessful litigation.</w:t>
      </w:r>
    </w:p>
    <w:p w14:paraId="77479A0C" w14:textId="3543A408" w:rsidR="00535250" w:rsidRDefault="00535250" w:rsidP="00535250">
      <w:pPr>
        <w:spacing w:before="80"/>
        <w:ind w:left="567" w:right="567"/>
        <w:jc w:val="both"/>
        <w:rPr>
          <w:rFonts w:ascii="Arial" w:hAnsi="Arial" w:cs="Arial"/>
          <w:sz w:val="20"/>
          <w:szCs w:val="20"/>
        </w:rPr>
      </w:pPr>
      <w:r w:rsidRPr="00E40CBE">
        <w:rPr>
          <w:rFonts w:ascii="Arial" w:hAnsi="Arial" w:cs="Arial"/>
          <w:sz w:val="20"/>
          <w:szCs w:val="20"/>
        </w:rPr>
        <w:t xml:space="preserve">As to whether special circumstances exist to justify a departure from this general rule, Riordan J in </w:t>
      </w:r>
      <w:r w:rsidRPr="00535250">
        <w:rPr>
          <w:rFonts w:ascii="Arial" w:hAnsi="Arial" w:cs="Arial"/>
          <w:i/>
          <w:iCs/>
          <w:sz w:val="20"/>
          <w:szCs w:val="20"/>
        </w:rPr>
        <w:t xml:space="preserve">Siemens Gamesa Renewable Energy Pty Ltd v </w:t>
      </w:r>
      <w:proofErr w:type="spellStart"/>
      <w:r w:rsidRPr="00535250">
        <w:rPr>
          <w:rFonts w:ascii="Arial" w:hAnsi="Arial" w:cs="Arial"/>
          <w:i/>
          <w:iCs/>
          <w:sz w:val="20"/>
          <w:szCs w:val="20"/>
        </w:rPr>
        <w:t>Bulgana</w:t>
      </w:r>
      <w:proofErr w:type="spellEnd"/>
      <w:r w:rsidRPr="00535250">
        <w:rPr>
          <w:rFonts w:ascii="Arial" w:hAnsi="Arial" w:cs="Arial"/>
          <w:i/>
          <w:iCs/>
          <w:sz w:val="20"/>
          <w:szCs w:val="20"/>
        </w:rPr>
        <w:t xml:space="preserve"> Wind Farm Pty Ltd (Orders and Costs)</w:t>
      </w:r>
      <w:r w:rsidRPr="00E40CBE">
        <w:rPr>
          <w:rFonts w:ascii="Arial" w:hAnsi="Arial" w:cs="Arial"/>
          <w:sz w:val="20"/>
          <w:szCs w:val="20"/>
        </w:rPr>
        <w:t xml:space="preserve"> </w:t>
      </w:r>
      <w:r>
        <w:rPr>
          <w:rFonts w:ascii="Arial" w:hAnsi="Arial" w:cs="Arial"/>
          <w:sz w:val="20"/>
          <w:szCs w:val="20"/>
        </w:rPr>
        <w:t xml:space="preserve">[2020] VSC 267 </w:t>
      </w:r>
      <w:r w:rsidRPr="00E40CBE">
        <w:rPr>
          <w:rFonts w:ascii="Arial" w:hAnsi="Arial" w:cs="Arial"/>
          <w:sz w:val="20"/>
          <w:szCs w:val="20"/>
        </w:rPr>
        <w:t xml:space="preserve">said </w:t>
      </w:r>
      <w:r>
        <w:rPr>
          <w:rFonts w:ascii="Arial" w:hAnsi="Arial" w:cs="Arial"/>
          <w:sz w:val="20"/>
          <w:szCs w:val="20"/>
        </w:rPr>
        <w:t xml:space="preserve">at [10] </w:t>
      </w:r>
      <w:r w:rsidRPr="00E40CBE">
        <w:rPr>
          <w:rFonts w:ascii="Arial" w:hAnsi="Arial" w:cs="Arial"/>
          <w:sz w:val="20"/>
          <w:szCs w:val="20"/>
        </w:rPr>
        <w:t>as follows:</w:t>
      </w:r>
    </w:p>
    <w:p w14:paraId="3CDC3F82" w14:textId="030E23BA"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The touchstone for departing from the general rule is what is required to do justice between the parties. Circumstances which may justify a departure from the usual rule include where the successful party:</w:t>
      </w:r>
    </w:p>
    <w:p w14:paraId="63223312"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 contested many issues on which they failed;</w:t>
      </w:r>
    </w:p>
    <w:p w14:paraId="67B16767"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 required the losing party to contest issues abandoned during trial;</w:t>
      </w:r>
    </w:p>
    <w:p w14:paraId="746D01C6"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(iii) took unnecessarily technical points;</w:t>
      </w:r>
    </w:p>
    <w:p w14:paraId="02C3B71D"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(iv) inappropriately prolonged the litigation;</w:t>
      </w:r>
    </w:p>
    <w:p w14:paraId="288EF133"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 pressed a substantially exaggerated claim;</w:t>
      </w:r>
    </w:p>
    <w:p w14:paraId="5D8921AF"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(vi) caused the real issues to be obscured or unnecessary evidence to be led; or</w:t>
      </w:r>
    </w:p>
    <w:p w14:paraId="46FAD59C" w14:textId="7F27F3E6" w:rsidR="00535250" w:rsidRDefault="00535250" w:rsidP="00535250">
      <w:pPr>
        <w:spacing w:before="60"/>
        <w:ind w:left="1021" w:right="1021"/>
        <w:jc w:val="both"/>
        <w:rPr>
          <w:rFonts w:ascii="Arial" w:hAnsi="Arial" w:cs="Arial"/>
          <w:sz w:val="20"/>
        </w:rPr>
      </w:pPr>
      <w:r w:rsidRPr="00535250">
        <w:rPr>
          <w:rFonts w:ascii="Arial" w:hAnsi="Arial" w:cs="Arial"/>
          <w:sz w:val="18"/>
          <w:szCs w:val="18"/>
        </w:rPr>
        <w:t>(vii) facilitated the loss of the opportunity to expeditiously dispose of the case.</w:t>
      </w:r>
      <w:r>
        <w:rPr>
          <w:rFonts w:ascii="Arial" w:hAnsi="Arial" w:cs="Arial"/>
          <w:sz w:val="18"/>
          <w:szCs w:val="18"/>
        </w:rPr>
        <w:t>”</w:t>
      </w:r>
    </w:p>
    <w:p w14:paraId="7BB71DF6" w14:textId="77777777" w:rsidR="00E40CBE" w:rsidRDefault="00E40CBE" w:rsidP="00B61E41">
      <w:pPr>
        <w:jc w:val="both"/>
        <w:rPr>
          <w:rFonts w:ascii="Arial" w:hAnsi="Arial" w:cs="Arial"/>
          <w:sz w:val="20"/>
        </w:rPr>
      </w:pPr>
    </w:p>
    <w:p w14:paraId="4E4AD64E" w14:textId="66416C76" w:rsidR="00176FC3" w:rsidRDefault="00176FC3" w:rsidP="00B61E41">
      <w:pPr>
        <w:jc w:val="both"/>
        <w:rPr>
          <w:rFonts w:ascii="Arial" w:hAnsi="Arial" w:cs="Arial"/>
          <w:sz w:val="20"/>
        </w:rPr>
      </w:pPr>
      <w:r>
        <w:rPr>
          <w:rFonts w:ascii="Arial" w:hAnsi="Arial" w:cs="Arial"/>
          <w:sz w:val="20"/>
        </w:rPr>
        <w:t xml:space="preserve">In relation to the awarding of costs on an indemnity basis, in </w:t>
      </w:r>
      <w:r w:rsidRPr="00176FC3">
        <w:rPr>
          <w:rFonts w:ascii="Arial" w:hAnsi="Arial" w:cs="Arial"/>
          <w:i/>
          <w:iCs/>
          <w:sz w:val="20"/>
          <w:szCs w:val="20"/>
        </w:rPr>
        <w:t>Shout Rock Cafes Pty Ltd v City of Port Phillip &amp; Anor (Costs Ruling)</w:t>
      </w:r>
      <w:r>
        <w:rPr>
          <w:rFonts w:ascii="Arial" w:hAnsi="Arial" w:cs="Arial"/>
          <w:sz w:val="20"/>
          <w:szCs w:val="20"/>
        </w:rPr>
        <w:t xml:space="preserve"> [2023] VSC 23 </w:t>
      </w:r>
      <w:proofErr w:type="spellStart"/>
      <w:r>
        <w:rPr>
          <w:rFonts w:ascii="Arial" w:hAnsi="Arial" w:cs="Arial"/>
          <w:sz w:val="20"/>
          <w:szCs w:val="20"/>
        </w:rPr>
        <w:t>Tsalamandris</w:t>
      </w:r>
      <w:proofErr w:type="spellEnd"/>
      <w:r>
        <w:rPr>
          <w:rFonts w:ascii="Arial" w:hAnsi="Arial" w:cs="Arial"/>
          <w:sz w:val="20"/>
          <w:szCs w:val="20"/>
        </w:rPr>
        <w:t xml:space="preserve"> J said at [18]-[19]:</w:t>
      </w:r>
    </w:p>
    <w:p w14:paraId="566AACDE" w14:textId="70BB3CE2" w:rsidR="00176FC3" w:rsidRDefault="00AB0679" w:rsidP="00176FC3">
      <w:pPr>
        <w:spacing w:before="80"/>
        <w:ind w:left="567" w:right="567"/>
        <w:jc w:val="both"/>
        <w:rPr>
          <w:rFonts w:ascii="Arial" w:hAnsi="Arial" w:cs="Arial"/>
          <w:sz w:val="20"/>
          <w:szCs w:val="20"/>
        </w:rPr>
      </w:pPr>
      <w:r>
        <w:rPr>
          <w:rFonts w:ascii="Arial" w:hAnsi="Arial" w:cs="Arial"/>
          <w:sz w:val="20"/>
        </w:rPr>
        <w:t>“</w:t>
      </w:r>
      <w:r w:rsidR="00176FC3">
        <w:rPr>
          <w:rFonts w:ascii="Arial" w:hAnsi="Arial" w:cs="Arial"/>
          <w:sz w:val="20"/>
        </w:rPr>
        <w:t xml:space="preserve">It is </w:t>
      </w:r>
      <w:r w:rsidR="00176FC3" w:rsidRPr="00176FC3">
        <w:rPr>
          <w:rFonts w:ascii="Arial" w:hAnsi="Arial" w:cs="Arial"/>
          <w:sz w:val="20"/>
          <w:szCs w:val="20"/>
        </w:rPr>
        <w:t>well established that for a court to depart from the usual order and award costs on an indemnity basis, special circumstances must be demonstrated</w:t>
      </w:r>
      <w:r w:rsidR="00176FC3">
        <w:rPr>
          <w:rFonts w:ascii="Arial" w:hAnsi="Arial" w:cs="Arial"/>
          <w:sz w:val="20"/>
          <w:szCs w:val="20"/>
        </w:rPr>
        <w:t>: s</w:t>
      </w:r>
      <w:r w:rsidR="00176FC3" w:rsidRPr="00176FC3">
        <w:rPr>
          <w:rFonts w:ascii="Arial" w:hAnsi="Arial" w:cs="Arial"/>
          <w:sz w:val="20"/>
          <w:szCs w:val="20"/>
        </w:rPr>
        <w:t xml:space="preserve">ee, for example, </w:t>
      </w:r>
      <w:r w:rsidR="00176FC3" w:rsidRPr="00176FC3">
        <w:rPr>
          <w:rFonts w:ascii="Arial" w:hAnsi="Arial" w:cs="Arial"/>
          <w:i/>
          <w:iCs/>
          <w:sz w:val="20"/>
          <w:szCs w:val="20"/>
        </w:rPr>
        <w:t xml:space="preserve">Ugly Tribe Co Pty Ltd v </w:t>
      </w:r>
      <w:proofErr w:type="spellStart"/>
      <w:r w:rsidR="00176FC3" w:rsidRPr="00176FC3">
        <w:rPr>
          <w:rFonts w:ascii="Arial" w:hAnsi="Arial" w:cs="Arial"/>
          <w:i/>
          <w:iCs/>
          <w:sz w:val="20"/>
          <w:szCs w:val="20"/>
        </w:rPr>
        <w:t>Sikola</w:t>
      </w:r>
      <w:proofErr w:type="spellEnd"/>
      <w:r w:rsidR="00176FC3" w:rsidRPr="00176FC3">
        <w:rPr>
          <w:rFonts w:ascii="Arial" w:hAnsi="Arial" w:cs="Arial"/>
          <w:i/>
          <w:iCs/>
          <w:sz w:val="20"/>
          <w:szCs w:val="20"/>
        </w:rPr>
        <w:t xml:space="preserve"> &amp; </w:t>
      </w:r>
      <w:proofErr w:type="spellStart"/>
      <w:r w:rsidR="00176FC3" w:rsidRPr="00176FC3">
        <w:rPr>
          <w:rFonts w:ascii="Arial" w:hAnsi="Arial" w:cs="Arial"/>
          <w:i/>
          <w:iCs/>
          <w:sz w:val="20"/>
          <w:szCs w:val="20"/>
        </w:rPr>
        <w:t>Ors</w:t>
      </w:r>
      <w:proofErr w:type="spellEnd"/>
      <w:r w:rsidR="00176FC3" w:rsidRPr="00176FC3">
        <w:rPr>
          <w:rFonts w:ascii="Arial" w:hAnsi="Arial" w:cs="Arial"/>
          <w:sz w:val="20"/>
          <w:szCs w:val="20"/>
        </w:rPr>
        <w:t xml:space="preserve"> [2001] VSC 189, [7].</w:t>
      </w:r>
    </w:p>
    <w:p w14:paraId="5CF946E4" w14:textId="77777777" w:rsidR="00176FC3" w:rsidRDefault="00176FC3" w:rsidP="00176FC3">
      <w:pPr>
        <w:spacing w:before="80"/>
        <w:ind w:left="567" w:right="567"/>
        <w:jc w:val="both"/>
        <w:rPr>
          <w:rFonts w:ascii="Arial" w:hAnsi="Arial" w:cs="Arial"/>
          <w:sz w:val="20"/>
          <w:szCs w:val="20"/>
        </w:rPr>
      </w:pPr>
      <w:r w:rsidRPr="00176FC3">
        <w:rPr>
          <w:rFonts w:ascii="Arial" w:hAnsi="Arial" w:cs="Arial"/>
          <w:sz w:val="20"/>
          <w:szCs w:val="20"/>
        </w:rPr>
        <w:t xml:space="preserve">In </w:t>
      </w:r>
      <w:r w:rsidRPr="00176FC3">
        <w:rPr>
          <w:rFonts w:ascii="Arial" w:hAnsi="Arial" w:cs="Arial"/>
          <w:i/>
          <w:iCs/>
          <w:sz w:val="20"/>
          <w:szCs w:val="20"/>
        </w:rPr>
        <w:t>Banksia Securities Ltd v Insurance House Pty Ltd (Costs)</w:t>
      </w:r>
      <w:r>
        <w:rPr>
          <w:rFonts w:ascii="Arial" w:hAnsi="Arial" w:cs="Arial"/>
          <w:sz w:val="20"/>
          <w:szCs w:val="20"/>
        </w:rPr>
        <w:t xml:space="preserve"> [2020] VSC 234 at [15],</w:t>
      </w:r>
      <w:r w:rsidRPr="00176FC3">
        <w:rPr>
          <w:rFonts w:ascii="Arial" w:hAnsi="Arial" w:cs="Arial"/>
          <w:sz w:val="20"/>
          <w:szCs w:val="20"/>
        </w:rPr>
        <w:t xml:space="preserve"> John Dixon J restated the principles applicable to an award of indemnity costs as follows:</w:t>
      </w:r>
    </w:p>
    <w:p w14:paraId="4C74BE08"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(a) Costs are to be assessed on a standard basis unless the circumstances of the case justify a departure from the usual course.</w:t>
      </w:r>
    </w:p>
    <w:p w14:paraId="4517AE75"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(b) The making of an indemnity costs order is in the unlimited discretion of the court, with such discretion to be exercised judicially and not unreasonably.</w:t>
      </w:r>
    </w:p>
    <w:p w14:paraId="3D1319B9" w14:textId="00085ED6" w:rsidR="00176FC3" w:rsidRPr="00176FC3" w:rsidRDefault="00176FC3" w:rsidP="00176FC3">
      <w:pPr>
        <w:spacing w:before="80"/>
        <w:ind w:left="1021" w:right="1021"/>
        <w:jc w:val="both"/>
        <w:rPr>
          <w:rFonts w:ascii="Arial" w:hAnsi="Arial" w:cs="Arial"/>
          <w:sz w:val="18"/>
          <w:szCs w:val="22"/>
        </w:rPr>
      </w:pPr>
      <w:r w:rsidRPr="00176FC3">
        <w:rPr>
          <w:rFonts w:ascii="Arial" w:hAnsi="Arial" w:cs="Arial"/>
          <w:sz w:val="18"/>
          <w:szCs w:val="18"/>
        </w:rPr>
        <w:t>(c) The court may order indemnity costs where the circumstances warrant departing from the usual rule that costs be payable on a standard basis</w:t>
      </w:r>
      <w:r w:rsidR="00AB0679">
        <w:rPr>
          <w:rFonts w:ascii="Arial" w:hAnsi="Arial" w:cs="Arial"/>
          <w:sz w:val="18"/>
          <w:szCs w:val="18"/>
        </w:rPr>
        <w:t>.”</w:t>
      </w:r>
    </w:p>
    <w:p w14:paraId="227BA927" w14:textId="6E9319E7" w:rsidR="00836E86" w:rsidRDefault="00176FC3" w:rsidP="00A242C3">
      <w:pPr>
        <w:spacing w:before="60"/>
        <w:jc w:val="both"/>
        <w:rPr>
          <w:rFonts w:ascii="Arial" w:hAnsi="Arial" w:cs="Arial"/>
          <w:sz w:val="20"/>
        </w:rPr>
      </w:pPr>
      <w:r>
        <w:rPr>
          <w:rFonts w:ascii="Arial" w:hAnsi="Arial" w:cs="Arial"/>
          <w:sz w:val="20"/>
        </w:rPr>
        <w:t xml:space="preserve">See also </w:t>
      </w:r>
      <w:r w:rsidRPr="00A242C3">
        <w:rPr>
          <w:rFonts w:ascii="Arial" w:hAnsi="Arial" w:cs="Arial"/>
          <w:i/>
          <w:iCs/>
          <w:sz w:val="20"/>
          <w:szCs w:val="20"/>
        </w:rPr>
        <w:t>Love v Kempton &amp; Anor</w:t>
      </w:r>
      <w:r>
        <w:rPr>
          <w:rFonts w:ascii="Arial" w:hAnsi="Arial" w:cs="Arial"/>
          <w:sz w:val="20"/>
          <w:szCs w:val="20"/>
        </w:rPr>
        <w:t xml:space="preserve"> [20</w:t>
      </w:r>
      <w:r w:rsidR="00AB0679">
        <w:rPr>
          <w:rFonts w:ascii="Arial" w:hAnsi="Arial" w:cs="Arial"/>
          <w:sz w:val="20"/>
          <w:szCs w:val="20"/>
        </w:rPr>
        <w:t>10</w:t>
      </w:r>
      <w:r>
        <w:rPr>
          <w:rFonts w:ascii="Arial" w:hAnsi="Arial" w:cs="Arial"/>
          <w:sz w:val="20"/>
          <w:szCs w:val="20"/>
        </w:rPr>
        <w:t xml:space="preserve">] </w:t>
      </w:r>
      <w:r w:rsidR="00A242C3">
        <w:rPr>
          <w:rFonts w:ascii="Arial" w:hAnsi="Arial" w:cs="Arial"/>
          <w:sz w:val="20"/>
          <w:szCs w:val="20"/>
        </w:rPr>
        <w:t xml:space="preserve">VSC 254 at [19]; </w:t>
      </w:r>
      <w:r w:rsidR="00836E86" w:rsidRPr="00836E86">
        <w:rPr>
          <w:rFonts w:ascii="Arial" w:hAnsi="Arial" w:cs="Arial"/>
          <w:i/>
          <w:iCs/>
          <w:sz w:val="20"/>
        </w:rPr>
        <w:t>Mole v Mole (No 2)</w:t>
      </w:r>
      <w:r w:rsidR="00836E86">
        <w:rPr>
          <w:rFonts w:ascii="Arial" w:hAnsi="Arial" w:cs="Arial"/>
          <w:sz w:val="20"/>
        </w:rPr>
        <w:t xml:space="preserve"> [2021] VSC 802</w:t>
      </w:r>
      <w:r w:rsidR="00C31266">
        <w:rPr>
          <w:rFonts w:ascii="Arial" w:hAnsi="Arial" w:cs="Arial"/>
          <w:sz w:val="20"/>
        </w:rPr>
        <w:t xml:space="preserve">; </w:t>
      </w:r>
      <w:r w:rsidR="00425537" w:rsidRPr="00425537">
        <w:rPr>
          <w:rFonts w:ascii="Arial" w:hAnsi="Arial" w:cs="Arial"/>
          <w:i/>
          <w:iCs/>
          <w:sz w:val="20"/>
          <w:szCs w:val="20"/>
        </w:rPr>
        <w:t xml:space="preserve">M C Wholesaling Pty Ltd &amp; Anor v Che &amp; </w:t>
      </w:r>
      <w:proofErr w:type="spellStart"/>
      <w:r w:rsidR="00425537" w:rsidRPr="00425537">
        <w:rPr>
          <w:rFonts w:ascii="Arial" w:hAnsi="Arial" w:cs="Arial"/>
          <w:i/>
          <w:iCs/>
          <w:sz w:val="20"/>
          <w:szCs w:val="20"/>
        </w:rPr>
        <w:t>Ors</w:t>
      </w:r>
      <w:proofErr w:type="spellEnd"/>
      <w:r w:rsidR="00425537" w:rsidRPr="00425537">
        <w:rPr>
          <w:rFonts w:ascii="Arial" w:hAnsi="Arial" w:cs="Arial"/>
          <w:i/>
          <w:iCs/>
          <w:sz w:val="20"/>
          <w:szCs w:val="20"/>
        </w:rPr>
        <w:t xml:space="preserve"> (No 5)</w:t>
      </w:r>
      <w:r w:rsidR="00425537">
        <w:rPr>
          <w:rFonts w:ascii="Arial" w:hAnsi="Arial" w:cs="Arial"/>
          <w:sz w:val="20"/>
          <w:szCs w:val="20"/>
        </w:rPr>
        <w:t xml:space="preserve"> [2023] VSC 267</w:t>
      </w:r>
      <w:r w:rsidR="00836E86">
        <w:rPr>
          <w:rFonts w:ascii="Arial" w:hAnsi="Arial" w:cs="Arial"/>
          <w:sz w:val="20"/>
        </w:rPr>
        <w:t>.</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lastRenderedPageBreak/>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proofErr w:type="spellStart"/>
      <w:r w:rsidRPr="005C7950">
        <w:rPr>
          <w:rFonts w:ascii="Arial" w:hAnsi="Arial" w:cs="Arial"/>
          <w:i/>
          <w:iCs/>
          <w:color w:val="000000"/>
          <w:sz w:val="20"/>
        </w:rPr>
        <w:t>Manderson</w:t>
      </w:r>
      <w:proofErr w:type="spellEnd"/>
      <w:r w:rsidRPr="005C7950">
        <w:rPr>
          <w:rFonts w:ascii="Arial" w:hAnsi="Arial" w:cs="Arial"/>
          <w:i/>
          <w:iCs/>
          <w:color w:val="000000"/>
          <w:sz w:val="20"/>
        </w:rPr>
        <w:t xml:space="preserve">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Default="005C7950">
      <w:pPr>
        <w:jc w:val="both"/>
        <w:rPr>
          <w:rFonts w:ascii="Arial" w:hAnsi="Arial" w:cs="Arial"/>
          <w:color w:val="000000"/>
          <w:sz w:val="20"/>
        </w:rPr>
      </w:pPr>
    </w:p>
    <w:p w14:paraId="2B37849D" w14:textId="6F7F2A4E" w:rsidR="00245F15" w:rsidRDefault="0038023D">
      <w:pPr>
        <w:jc w:val="both"/>
        <w:rPr>
          <w:rFonts w:ascii="Arial" w:hAnsi="Arial" w:cs="Arial"/>
          <w:sz w:val="20"/>
          <w:szCs w:val="20"/>
        </w:rPr>
      </w:pPr>
      <w:r>
        <w:rPr>
          <w:rFonts w:ascii="Arial" w:hAnsi="Arial" w:cs="Arial"/>
          <w:color w:val="000000"/>
          <w:sz w:val="20"/>
        </w:rPr>
        <w:t xml:space="preserve">In </w:t>
      </w:r>
      <w:r w:rsidR="000A49B9" w:rsidRPr="002D4403">
        <w:rPr>
          <w:rFonts w:ascii="Arial" w:hAnsi="Arial" w:cs="Arial"/>
          <w:i/>
          <w:iCs/>
          <w:sz w:val="20"/>
          <w:szCs w:val="20"/>
        </w:rPr>
        <w:t xml:space="preserve">DPP v </w:t>
      </w:r>
      <w:proofErr w:type="spellStart"/>
      <w:r w:rsidR="000A49B9" w:rsidRPr="002D4403">
        <w:rPr>
          <w:rFonts w:ascii="Arial" w:hAnsi="Arial" w:cs="Arial"/>
          <w:i/>
          <w:iCs/>
          <w:sz w:val="20"/>
          <w:szCs w:val="20"/>
        </w:rPr>
        <w:t>Tuteru</w:t>
      </w:r>
      <w:proofErr w:type="spellEnd"/>
      <w:r w:rsidR="000A49B9" w:rsidRPr="002D4403">
        <w:rPr>
          <w:rFonts w:ascii="Arial" w:hAnsi="Arial" w:cs="Arial"/>
          <w:i/>
          <w:iCs/>
          <w:sz w:val="20"/>
          <w:szCs w:val="20"/>
        </w:rPr>
        <w:t xml:space="preserve"> (Application for suppression order)</w:t>
      </w:r>
      <w:r w:rsidR="000A49B9" w:rsidRPr="002D4403">
        <w:rPr>
          <w:rFonts w:ascii="Arial" w:hAnsi="Arial" w:cs="Arial"/>
          <w:sz w:val="20"/>
          <w:szCs w:val="20"/>
        </w:rPr>
        <w:t xml:space="preserve"> [2023] VSC 241 </w:t>
      </w:r>
      <w:r w:rsidR="001D1ED3">
        <w:rPr>
          <w:rFonts w:ascii="Arial" w:hAnsi="Arial" w:cs="Arial"/>
          <w:sz w:val="20"/>
          <w:szCs w:val="20"/>
        </w:rPr>
        <w:t xml:space="preserve">Forbes J dismissed </w:t>
      </w:r>
      <w:r w:rsidR="00522538">
        <w:rPr>
          <w:rFonts w:ascii="Arial" w:hAnsi="Arial" w:cs="Arial"/>
          <w:sz w:val="20"/>
          <w:szCs w:val="20"/>
        </w:rPr>
        <w:t xml:space="preserve">Mr </w:t>
      </w:r>
      <w:proofErr w:type="spellStart"/>
      <w:r w:rsidR="00522538">
        <w:rPr>
          <w:rFonts w:ascii="Arial" w:hAnsi="Arial" w:cs="Arial"/>
          <w:sz w:val="20"/>
          <w:szCs w:val="20"/>
        </w:rPr>
        <w:t>Tuteru’s</w:t>
      </w:r>
      <w:proofErr w:type="spellEnd"/>
      <w:r w:rsidR="00522538">
        <w:rPr>
          <w:rFonts w:ascii="Arial" w:hAnsi="Arial" w:cs="Arial"/>
          <w:sz w:val="20"/>
          <w:szCs w:val="20"/>
        </w:rPr>
        <w:t xml:space="preserve"> application for a suppression order but </w:t>
      </w:r>
      <w:r w:rsidR="000F0819">
        <w:rPr>
          <w:rFonts w:ascii="Arial" w:hAnsi="Arial" w:cs="Arial"/>
          <w:sz w:val="20"/>
          <w:szCs w:val="20"/>
        </w:rPr>
        <w:t>at [</w:t>
      </w:r>
      <w:r w:rsidR="009E34AA">
        <w:rPr>
          <w:rFonts w:ascii="Arial" w:hAnsi="Arial" w:cs="Arial"/>
          <w:sz w:val="20"/>
          <w:szCs w:val="20"/>
        </w:rPr>
        <w:t>22</w:t>
      </w:r>
      <w:r w:rsidR="000F0819">
        <w:rPr>
          <w:rFonts w:ascii="Arial" w:hAnsi="Arial" w:cs="Arial"/>
          <w:sz w:val="20"/>
          <w:szCs w:val="20"/>
        </w:rPr>
        <w:t>]-[</w:t>
      </w:r>
      <w:r w:rsidR="009E34AA">
        <w:rPr>
          <w:rFonts w:ascii="Arial" w:hAnsi="Arial" w:cs="Arial"/>
          <w:sz w:val="20"/>
          <w:szCs w:val="20"/>
        </w:rPr>
        <w:t>46</w:t>
      </w:r>
      <w:r w:rsidR="000F0819">
        <w:rPr>
          <w:rFonts w:ascii="Arial" w:hAnsi="Arial" w:cs="Arial"/>
          <w:sz w:val="20"/>
          <w:szCs w:val="20"/>
        </w:rPr>
        <w:t xml:space="preserve">] </w:t>
      </w:r>
      <w:r w:rsidR="00522538">
        <w:rPr>
          <w:rFonts w:ascii="Arial" w:hAnsi="Arial" w:cs="Arial"/>
          <w:sz w:val="20"/>
          <w:szCs w:val="20"/>
        </w:rPr>
        <w:t xml:space="preserve">also </w:t>
      </w:r>
      <w:r w:rsidR="00245F15">
        <w:rPr>
          <w:rFonts w:ascii="Arial" w:hAnsi="Arial" w:cs="Arial"/>
          <w:sz w:val="20"/>
          <w:szCs w:val="20"/>
        </w:rPr>
        <w:t xml:space="preserve">refused Channel Nine’s application for costs </w:t>
      </w:r>
      <w:r w:rsidR="0063720A">
        <w:rPr>
          <w:rFonts w:ascii="Arial" w:hAnsi="Arial" w:cs="Arial"/>
          <w:sz w:val="20"/>
          <w:szCs w:val="20"/>
        </w:rPr>
        <w:t>in detailed reasons, including an analysis of the nature of the proceeding.</w:t>
      </w:r>
    </w:p>
    <w:p w14:paraId="3FF2DD9F" w14:textId="77777777" w:rsidR="00245F15" w:rsidRDefault="00245F15">
      <w:pPr>
        <w:jc w:val="both"/>
        <w:rPr>
          <w:rFonts w:ascii="Arial" w:hAnsi="Arial" w:cs="Arial"/>
          <w:sz w:val="20"/>
          <w:szCs w:val="20"/>
        </w:rPr>
      </w:pPr>
    </w:p>
    <w:p w14:paraId="5D24BFF2" w14:textId="1CCEB8BD" w:rsidR="007D1460" w:rsidRPr="00DD5CCF" w:rsidRDefault="00B61E41" w:rsidP="00375B0C">
      <w:pPr>
        <w:keepNext/>
        <w:keepLines/>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71" w:name="_Toc30652645"/>
      <w:bookmarkStart w:id="972" w:name="_Toc30652743"/>
      <w:bookmarkStart w:id="973" w:name="_Toc30654088"/>
      <w:bookmarkStart w:id="974" w:name="_Toc30654439"/>
      <w:bookmarkStart w:id="975" w:name="_Toc30655058"/>
      <w:bookmarkStart w:id="976" w:name="_Toc30655315"/>
      <w:bookmarkStart w:id="977" w:name="_Toc30656993"/>
      <w:bookmarkStart w:id="978" w:name="_Toc30661742"/>
      <w:bookmarkStart w:id="979" w:name="_Toc30666430"/>
      <w:bookmarkStart w:id="980" w:name="_Toc30666660"/>
      <w:bookmarkStart w:id="981" w:name="_Toc30667835"/>
      <w:bookmarkStart w:id="982" w:name="_Toc30669213"/>
      <w:bookmarkStart w:id="983" w:name="_Toc30671429"/>
      <w:bookmarkStart w:id="984" w:name="_Toc30673956"/>
      <w:bookmarkStart w:id="985" w:name="_Toc30691178"/>
      <w:bookmarkStart w:id="986" w:name="_Toc30691549"/>
      <w:bookmarkStart w:id="987" w:name="_Toc30691929"/>
      <w:bookmarkStart w:id="988" w:name="_Toc30692688"/>
      <w:bookmarkStart w:id="989" w:name="_Toc30693067"/>
      <w:bookmarkStart w:id="990" w:name="_Toc30693445"/>
      <w:bookmarkStart w:id="991" w:name="_Toc30693824"/>
      <w:bookmarkStart w:id="992" w:name="_Toc30694205"/>
      <w:bookmarkStart w:id="993" w:name="_Toc30698794"/>
      <w:bookmarkStart w:id="994" w:name="_Toc30699172"/>
      <w:bookmarkStart w:id="995" w:name="_Toc30699557"/>
      <w:bookmarkStart w:id="996" w:name="_Toc30700712"/>
      <w:bookmarkStart w:id="997" w:name="_Toc30701099"/>
      <w:bookmarkStart w:id="998" w:name="_Toc30743708"/>
      <w:bookmarkStart w:id="999" w:name="_Toc30754530"/>
      <w:bookmarkStart w:id="1000" w:name="_Toc30756970"/>
      <w:bookmarkStart w:id="1001" w:name="_Toc30757519"/>
      <w:bookmarkStart w:id="1002" w:name="_Toc30757919"/>
      <w:bookmarkStart w:id="1003" w:name="_Toc30762680"/>
      <w:bookmarkStart w:id="1004" w:name="_Toc30767334"/>
      <w:bookmarkStart w:id="1005" w:name="_Toc34823350"/>
    </w:p>
    <w:p w14:paraId="0DFAB1F2" w14:textId="37192C75" w:rsidR="007D1460" w:rsidRDefault="007D1460" w:rsidP="007D1460">
      <w:pPr>
        <w:pStyle w:val="Heading3"/>
        <w:keepNext/>
        <w:keepLines/>
        <w:spacing w:after="120" w:line="240" w:lineRule="auto"/>
        <w:rPr>
          <w:rFonts w:ascii="Arial" w:hAnsi="Arial" w:cs="Arial"/>
          <w:b/>
          <w:bCs/>
          <w:sz w:val="20"/>
        </w:rPr>
      </w:pPr>
      <w:bookmarkStart w:id="1006" w:name="_3.9.1_Criminal_Division"/>
      <w:bookmarkStart w:id="1007" w:name="B391"/>
      <w:bookmarkStart w:id="1008" w:name="_Toc58831512"/>
      <w:bookmarkEnd w:id="1006"/>
      <w:bookmarkEnd w:id="1007"/>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r w:rsidR="00AA2DE5">
        <w:rPr>
          <w:rFonts w:ascii="Arial" w:hAnsi="Arial" w:cs="Arial"/>
          <w:b/>
          <w:bCs/>
          <w:sz w:val="20"/>
        </w:rPr>
        <w:t xml:space="preserve"> / </w:t>
      </w:r>
      <w:r w:rsidR="00AA2DE5" w:rsidRPr="00AA2DE5">
        <w:rPr>
          <w:rFonts w:ascii="Arial" w:hAnsi="Arial" w:cs="Arial"/>
          <w:b/>
          <w:bCs/>
          <w:i/>
          <w:iCs/>
          <w:sz w:val="20"/>
        </w:rPr>
        <w:t>amic</w:t>
      </w:r>
      <w:r w:rsidR="00AA2DE5">
        <w:rPr>
          <w:rFonts w:ascii="Arial" w:hAnsi="Arial" w:cs="Arial"/>
          <w:b/>
          <w:bCs/>
          <w:i/>
          <w:iCs/>
          <w:sz w:val="20"/>
        </w:rPr>
        <w:t>u</w:t>
      </w:r>
      <w:r w:rsidR="00AA2DE5" w:rsidRPr="00AA2DE5">
        <w:rPr>
          <w:rFonts w:ascii="Arial" w:hAnsi="Arial" w:cs="Arial"/>
          <w:b/>
          <w:bCs/>
          <w:i/>
          <w:iCs/>
          <w:sz w:val="20"/>
        </w:rPr>
        <w:t>s curiae</w:t>
      </w:r>
      <w:r>
        <w:rPr>
          <w:rFonts w:ascii="Arial" w:hAnsi="Arial" w:cs="Arial"/>
          <w:b/>
          <w:bCs/>
          <w:sz w:val="20"/>
        </w:rPr>
        <w: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8"/>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w:t>
      </w:r>
      <w:proofErr w:type="spellStart"/>
      <w:r>
        <w:rPr>
          <w:rFonts w:ascii="Arial" w:hAnsi="Arial" w:cs="Arial"/>
          <w:i/>
          <w:iCs/>
          <w:sz w:val="20"/>
        </w:rPr>
        <w:t>Ors</w:t>
      </w:r>
      <w:proofErr w:type="spellEnd"/>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lastRenderedPageBreak/>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r>
              <w:rPr>
                <w:rFonts w:ascii="Arial" w:eastAsia="Arial Unicode MS" w:hAnsi="Arial" w:cs="Arial"/>
                <w:i/>
                <w:sz w:val="20"/>
              </w:rPr>
              <w:t>Renney</w:t>
            </w:r>
            <w:proofErr w:type="spellEnd"/>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w:t>
      </w:r>
      <w:r>
        <w:rPr>
          <w:rFonts w:ascii="Arial" w:eastAsia="Arial Unicode MS" w:hAnsi="Arial" w:cs="Arial"/>
          <w:sz w:val="20"/>
        </w:rPr>
        <w:lastRenderedPageBreak/>
        <w:t xml:space="preserve">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xml:space="preserve">, </w:t>
      </w:r>
      <w:r w:rsidR="003D7031">
        <w:rPr>
          <w:rFonts w:ascii="Arial" w:hAnsi="Arial" w:cs="Arial"/>
          <w:sz w:val="20"/>
        </w:rPr>
        <w:lastRenderedPageBreak/>
        <w:t>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 xml:space="preserve">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w:t>
      </w:r>
      <w:r w:rsidR="00EE74C2">
        <w:rPr>
          <w:rFonts w:ascii="Arial" w:eastAsia="Arial Unicode MS" w:hAnsi="Arial" w:cs="Arial"/>
          <w:sz w:val="20"/>
        </w:rPr>
        <w:lastRenderedPageBreak/>
        <w:t>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0049F622"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w:t>
      </w:r>
      <w:r w:rsidR="00AA2DE5">
        <w:rPr>
          <w:rFonts w:ascii="Arial" w:hAnsi="Arial" w:cs="Arial"/>
          <w:color w:val="000000"/>
          <w:sz w:val="20"/>
        </w:rPr>
        <w:t> </w:t>
      </w:r>
      <w:r w:rsidR="009F17D4">
        <w:rPr>
          <w:rFonts w:ascii="Arial" w:hAnsi="Arial" w:cs="Arial"/>
          <w:color w:val="000000"/>
          <w:sz w:val="20"/>
        </w:rPr>
        <w:t xml:space="preserve">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r w:rsidR="00AA2DE5">
        <w:rPr>
          <w:rFonts w:ascii="Arial" w:hAnsi="Arial" w:cs="Arial"/>
          <w:color w:val="000000"/>
          <w:sz w:val="20"/>
        </w:rPr>
        <w:t xml:space="preserve">  And in the ‘exceptional case’ of </w:t>
      </w:r>
      <w:r w:rsidR="00AA2DE5" w:rsidRPr="00AA2DE5">
        <w:rPr>
          <w:rFonts w:ascii="Arial" w:hAnsi="Arial" w:cs="Arial"/>
          <w:i/>
          <w:iCs/>
          <w:color w:val="000000"/>
          <w:sz w:val="20"/>
        </w:rPr>
        <w:t>AB v Paulet (No 2)</w:t>
      </w:r>
      <w:r w:rsidR="00AA2DE5">
        <w:rPr>
          <w:rFonts w:ascii="Arial" w:hAnsi="Arial" w:cs="Arial"/>
          <w:color w:val="000000"/>
          <w:sz w:val="20"/>
        </w:rPr>
        <w:t xml:space="preserve"> [2022] VSC 646 Croucher J ordered – for reasons detailed at [60]-[64] – that th</w:t>
      </w:r>
      <w:r w:rsidR="00AA2DE5" w:rsidRPr="00AA2DE5">
        <w:rPr>
          <w:rFonts w:ascii="Arial" w:hAnsi="Arial" w:cs="Arial"/>
          <w:sz w:val="20"/>
          <w:szCs w:val="20"/>
        </w:rPr>
        <w:t>e Chief Commissioner of Victoria Police pay</w:t>
      </w:r>
      <w:r w:rsidR="00AA2DE5">
        <w:rPr>
          <w:rFonts w:ascii="Arial" w:hAnsi="Arial" w:cs="Arial"/>
          <w:sz w:val="20"/>
          <w:szCs w:val="20"/>
        </w:rPr>
        <w:t xml:space="preserve"> the</w:t>
      </w:r>
      <w:r w:rsidR="00AA2DE5" w:rsidRPr="00AA2DE5">
        <w:rPr>
          <w:rFonts w:ascii="Arial" w:hAnsi="Arial" w:cs="Arial"/>
          <w:sz w:val="20"/>
          <w:szCs w:val="20"/>
        </w:rPr>
        <w:t xml:space="preserve"> </w:t>
      </w:r>
      <w:r w:rsidR="00AA2DE5" w:rsidRPr="00AA2DE5">
        <w:rPr>
          <w:rFonts w:ascii="Arial" w:hAnsi="Arial" w:cs="Arial"/>
          <w:i/>
          <w:iCs/>
          <w:sz w:val="20"/>
          <w:szCs w:val="20"/>
        </w:rPr>
        <w:t>amici curiae’s</w:t>
      </w:r>
      <w:r w:rsidR="00AA2DE5" w:rsidRPr="00AA2DE5">
        <w:rPr>
          <w:rFonts w:ascii="Arial" w:hAnsi="Arial" w:cs="Arial"/>
          <w:sz w:val="20"/>
          <w:szCs w:val="20"/>
        </w:rPr>
        <w:t xml:space="preserve"> costs of the application in th</w:t>
      </w:r>
      <w:r w:rsidR="00AA2DE5">
        <w:rPr>
          <w:rFonts w:ascii="Arial" w:hAnsi="Arial" w:cs="Arial"/>
          <w:sz w:val="20"/>
          <w:szCs w:val="20"/>
        </w:rPr>
        <w:t>e Supreme</w:t>
      </w:r>
      <w:r w:rsidR="00AA2DE5" w:rsidRPr="00AA2DE5">
        <w:rPr>
          <w:rFonts w:ascii="Arial" w:hAnsi="Arial" w:cs="Arial"/>
          <w:sz w:val="20"/>
          <w:szCs w:val="20"/>
        </w:rPr>
        <w:t xml:space="preserve"> Court on the standard basis</w:t>
      </w:r>
      <w:r w:rsidR="00AA2DE5">
        <w:rPr>
          <w:rFonts w:ascii="Arial" w:hAnsi="Arial" w:cs="Arial"/>
          <w:sz w:val="20"/>
          <w:szCs w:val="20"/>
        </w:rPr>
        <w:t>.</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1009" w:name="_3.9.2_Criminal_Division"/>
      <w:bookmarkStart w:id="1010" w:name="B392"/>
      <w:bookmarkStart w:id="1011" w:name="_Toc30652646"/>
      <w:bookmarkStart w:id="1012" w:name="_Toc30652744"/>
      <w:bookmarkStart w:id="1013" w:name="_Toc30654089"/>
      <w:bookmarkStart w:id="1014" w:name="_Toc30654440"/>
      <w:bookmarkStart w:id="1015" w:name="_Toc30655059"/>
      <w:bookmarkStart w:id="1016" w:name="_Toc30655316"/>
      <w:bookmarkStart w:id="1017" w:name="_Toc30656994"/>
      <w:bookmarkStart w:id="1018" w:name="_Toc30661743"/>
      <w:bookmarkStart w:id="1019" w:name="_Toc30666431"/>
      <w:bookmarkStart w:id="1020" w:name="_Toc30666661"/>
      <w:bookmarkStart w:id="1021" w:name="_Toc30667836"/>
      <w:bookmarkStart w:id="1022" w:name="_Toc30669214"/>
      <w:bookmarkStart w:id="1023" w:name="_Toc30671430"/>
      <w:bookmarkStart w:id="1024" w:name="_Toc30673957"/>
      <w:bookmarkStart w:id="1025" w:name="_Toc30691179"/>
      <w:bookmarkStart w:id="1026" w:name="_Toc30691550"/>
      <w:bookmarkStart w:id="1027" w:name="_Toc30691930"/>
      <w:bookmarkStart w:id="1028" w:name="_Toc30692689"/>
      <w:bookmarkStart w:id="1029" w:name="_Toc30693068"/>
      <w:bookmarkStart w:id="1030" w:name="_Toc30693446"/>
      <w:bookmarkStart w:id="1031" w:name="_Toc30693825"/>
      <w:bookmarkStart w:id="1032" w:name="_Toc30694206"/>
      <w:bookmarkStart w:id="1033" w:name="_Toc30698795"/>
      <w:bookmarkStart w:id="1034" w:name="_Toc30699173"/>
      <w:bookmarkStart w:id="1035" w:name="_Toc30699558"/>
      <w:bookmarkStart w:id="1036" w:name="_Toc30700713"/>
      <w:bookmarkStart w:id="1037" w:name="_Toc30701100"/>
      <w:bookmarkStart w:id="1038" w:name="_Toc30743709"/>
      <w:bookmarkStart w:id="1039" w:name="_Toc30754531"/>
      <w:bookmarkStart w:id="1040" w:name="_Toc30756971"/>
      <w:bookmarkStart w:id="1041" w:name="_Toc30757520"/>
      <w:bookmarkStart w:id="1042" w:name="_Toc30757920"/>
      <w:bookmarkStart w:id="1043" w:name="_Toc30762681"/>
      <w:bookmarkStart w:id="1044" w:name="_Toc30767335"/>
      <w:bookmarkStart w:id="1045" w:name="_Toc34823351"/>
      <w:bookmarkStart w:id="1046" w:name="_Toc58831513"/>
      <w:bookmarkEnd w:id="1009"/>
      <w:bookmarkEnd w:id="1010"/>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9747F2">
      <w:pPr>
        <w:pStyle w:val="Heading3"/>
        <w:keepNext/>
        <w:keepLines/>
        <w:widowControl/>
        <w:spacing w:after="120" w:line="240" w:lineRule="auto"/>
        <w:rPr>
          <w:rFonts w:ascii="Arial" w:hAnsi="Arial" w:cs="Arial"/>
          <w:b/>
          <w:bCs/>
          <w:sz w:val="20"/>
        </w:rPr>
      </w:pPr>
      <w:bookmarkStart w:id="1047" w:name="_3.9.3_Family_Division"/>
      <w:bookmarkStart w:id="1048" w:name="B393"/>
      <w:bookmarkStart w:id="1049" w:name="_Toc30652647"/>
      <w:bookmarkStart w:id="1050" w:name="_Toc30652745"/>
      <w:bookmarkStart w:id="1051" w:name="_Toc30654090"/>
      <w:bookmarkStart w:id="1052" w:name="_Toc30654441"/>
      <w:bookmarkStart w:id="1053" w:name="_Toc30655060"/>
      <w:bookmarkStart w:id="1054" w:name="_Toc30655317"/>
      <w:bookmarkStart w:id="1055" w:name="_Toc30656995"/>
      <w:bookmarkStart w:id="1056" w:name="_Toc30661744"/>
      <w:bookmarkStart w:id="1057" w:name="_Toc30666432"/>
      <w:bookmarkStart w:id="1058" w:name="_Toc30666662"/>
      <w:bookmarkStart w:id="1059" w:name="_Toc30667837"/>
      <w:bookmarkStart w:id="1060" w:name="_Toc30669215"/>
      <w:bookmarkStart w:id="1061" w:name="_Toc30671431"/>
      <w:bookmarkStart w:id="1062" w:name="_Toc30673958"/>
      <w:bookmarkStart w:id="1063" w:name="_Toc30691180"/>
      <w:bookmarkStart w:id="1064" w:name="_Toc30691551"/>
      <w:bookmarkStart w:id="1065" w:name="_Toc30691931"/>
      <w:bookmarkStart w:id="1066" w:name="_Toc30692690"/>
      <w:bookmarkStart w:id="1067" w:name="_Toc30693069"/>
      <w:bookmarkStart w:id="1068" w:name="_Toc30693447"/>
      <w:bookmarkStart w:id="1069" w:name="_Toc30693826"/>
      <w:bookmarkStart w:id="1070" w:name="_Toc30694207"/>
      <w:bookmarkStart w:id="1071" w:name="_Toc30698796"/>
      <w:bookmarkStart w:id="1072" w:name="_Toc30699174"/>
      <w:bookmarkStart w:id="1073" w:name="_Toc30699559"/>
      <w:bookmarkStart w:id="1074" w:name="_Toc30700714"/>
      <w:bookmarkStart w:id="1075" w:name="_Toc30701101"/>
      <w:bookmarkStart w:id="1076" w:name="_Toc30743710"/>
      <w:bookmarkStart w:id="1077" w:name="_Toc30754532"/>
      <w:bookmarkStart w:id="1078" w:name="_Toc30756972"/>
      <w:bookmarkStart w:id="1079" w:name="_Toc30757521"/>
      <w:bookmarkStart w:id="1080" w:name="_Toc30757921"/>
      <w:bookmarkStart w:id="1081" w:name="_Toc30762682"/>
      <w:bookmarkStart w:id="1082" w:name="_Toc30767336"/>
      <w:bookmarkStart w:id="1083" w:name="_Toc34823352"/>
      <w:bookmarkStart w:id="1084" w:name="_Toc58831514"/>
      <w:bookmarkStart w:id="1085" w:name="_Hlk149197338"/>
      <w:bookmarkStart w:id="1086" w:name="_Hlk149197027"/>
      <w:bookmarkEnd w:id="1047"/>
      <w:bookmarkEnd w:id="1048"/>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Fonts w:ascii="Arial" w:hAnsi="Arial" w:cs="Arial"/>
          <w:b/>
          <w:bCs/>
          <w:sz w:val="20"/>
        </w:rPr>
        <w:t xml:space="preserve"> (protection proceedings)</w:t>
      </w:r>
      <w:bookmarkEnd w:id="1077"/>
      <w:bookmarkEnd w:id="1078"/>
      <w:bookmarkEnd w:id="1079"/>
      <w:bookmarkEnd w:id="1080"/>
      <w:bookmarkEnd w:id="1081"/>
      <w:bookmarkEnd w:id="1082"/>
      <w:bookmarkEnd w:id="1083"/>
      <w:bookmarkEnd w:id="1084"/>
    </w:p>
    <w:p w14:paraId="18E24C8F" w14:textId="1E73BDEB"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w:t>
      </w:r>
      <w:r w:rsidR="00C7180E" w:rsidRPr="00C7180E">
        <w:rPr>
          <w:rFonts w:ascii="Arial" w:hAnsi="Arial" w:cs="Arial"/>
          <w:i/>
          <w:sz w:val="20"/>
        </w:rPr>
        <w:lastRenderedPageBreak/>
        <w:t>[No 2]</w:t>
      </w:r>
      <w:r w:rsidR="00C7180E">
        <w:rPr>
          <w:rFonts w:ascii="Arial" w:hAnsi="Arial" w:cs="Arial"/>
          <w:sz w:val="20"/>
        </w:rPr>
        <w:t xml:space="preserve"> [2019] VSCA 45 at [3]</w:t>
      </w:r>
      <w:r w:rsidR="00E721A0">
        <w:rPr>
          <w:rFonts w:ascii="Arial" w:hAnsi="Arial" w:cs="Arial"/>
          <w:sz w:val="20"/>
        </w:rPr>
        <w:t xml:space="preserve">; </w:t>
      </w:r>
      <w:r w:rsidR="00E721A0" w:rsidRPr="00E721A0">
        <w:rPr>
          <w:rFonts w:ascii="Arial" w:hAnsi="Arial" w:cs="Arial"/>
          <w:i/>
          <w:iCs/>
          <w:sz w:val="20"/>
          <w:szCs w:val="20"/>
        </w:rPr>
        <w:t>Anderson v Stonnington City Council (No 2)</w:t>
      </w:r>
      <w:r w:rsidR="00E721A0" w:rsidRPr="00E721A0">
        <w:rPr>
          <w:rFonts w:ascii="Arial" w:hAnsi="Arial" w:cs="Arial"/>
          <w:sz w:val="20"/>
          <w:szCs w:val="20"/>
        </w:rPr>
        <w:t xml:space="preserve"> </w:t>
      </w:r>
      <w:r w:rsidR="00E721A0">
        <w:rPr>
          <w:rFonts w:ascii="Arial" w:hAnsi="Arial" w:cs="Arial"/>
          <w:sz w:val="20"/>
          <w:szCs w:val="20"/>
        </w:rPr>
        <w:t xml:space="preserve">[2020] VSCA 238.  </w:t>
      </w:r>
      <w:r w:rsidR="00C7180E">
        <w:rPr>
          <w:rFonts w:ascii="Arial" w:hAnsi="Arial" w:cs="Arial"/>
          <w:sz w:val="20"/>
        </w:rPr>
        <w:t>A</w:t>
      </w:r>
      <w:r w:rsidR="00E721A0">
        <w:rPr>
          <w:rFonts w:ascii="Arial" w:hAnsi="Arial" w:cs="Arial"/>
          <w:sz w:val="20"/>
        </w:rPr>
        <w:t xml:space="preserve"> </w:t>
      </w:r>
      <w:r w:rsidR="00C7180E">
        <w:rPr>
          <w:rFonts w:ascii="Arial" w:hAnsi="Arial" w:cs="Arial"/>
          <w:sz w:val="20"/>
        </w:rPr>
        <w:t xml:space="preserve">test for the exercise of the power to order costs in protection proceedings </w:t>
      </w:r>
      <w:r>
        <w:rPr>
          <w:rFonts w:ascii="Arial" w:hAnsi="Arial" w:cs="Arial"/>
          <w:sz w:val="20"/>
        </w:rPr>
        <w:t xml:space="preserve">is set out in the </w:t>
      </w:r>
      <w:r w:rsidR="00390222">
        <w:rPr>
          <w:rFonts w:ascii="Arial" w:hAnsi="Arial" w:cs="Arial"/>
          <w:sz w:val="20"/>
        </w:rPr>
        <w:t xml:space="preserve">unreported </w:t>
      </w:r>
      <w:r>
        <w:rPr>
          <w:rFonts w:ascii="Arial" w:hAnsi="Arial" w:cs="Arial"/>
          <w:sz w:val="20"/>
        </w:rPr>
        <w:t xml:space="preserve">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w:t>
      </w:r>
      <w:r w:rsidR="00390222">
        <w:rPr>
          <w:rFonts w:ascii="Arial" w:hAnsi="Arial" w:cs="Arial"/>
          <w:i/>
          <w:sz w:val="20"/>
        </w:rPr>
        <w:t xml:space="preserve">and Maher and </w:t>
      </w:r>
      <w:r>
        <w:rPr>
          <w:rFonts w:ascii="Arial" w:hAnsi="Arial" w:cs="Arial"/>
          <w:i/>
          <w:sz w:val="20"/>
        </w:rPr>
        <w:t>O</w:t>
      </w:r>
      <w:r w:rsidR="00390222">
        <w:rPr>
          <w:rFonts w:ascii="Arial" w:hAnsi="Arial" w:cs="Arial"/>
          <w:i/>
          <w:sz w:val="20"/>
        </w:rPr>
        <w:t>ther</w:t>
      </w:r>
      <w:r>
        <w:rPr>
          <w:rFonts w:ascii="Arial" w:hAnsi="Arial" w:cs="Arial"/>
          <w:i/>
          <w:sz w:val="20"/>
        </w:rPr>
        <w:t xml:space="preserve">s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r w:rsidR="008B7CCD">
        <w:rPr>
          <w:rFonts w:ascii="Arial" w:hAnsi="Arial" w:cs="Arial"/>
          <w:iCs/>
          <w:sz w:val="20"/>
        </w:rPr>
        <w:t xml:space="preserve"> [emphasis added]</w:t>
      </w:r>
      <w:r>
        <w:rPr>
          <w:rFonts w:ascii="Arial" w:hAnsi="Arial" w:cs="Arial"/>
          <w:iCs/>
          <w:sz w:val="20"/>
        </w:rPr>
        <w:t>-</w:t>
      </w:r>
    </w:p>
    <w:p w14:paraId="0D7F3702" w14:textId="16245485" w:rsidR="00390222" w:rsidRDefault="00B21DA4" w:rsidP="00390222">
      <w:pPr>
        <w:spacing w:before="60"/>
        <w:ind w:left="454" w:right="454"/>
        <w:jc w:val="both"/>
        <w:rPr>
          <w:rFonts w:ascii="Arial" w:hAnsi="Arial" w:cs="Arial"/>
          <w:iCs/>
          <w:sz w:val="20"/>
        </w:rPr>
      </w:pPr>
      <w:r>
        <w:rPr>
          <w:rFonts w:ascii="Arial" w:hAnsi="Arial" w:cs="Arial"/>
          <w:iCs/>
          <w:sz w:val="20"/>
        </w:rPr>
        <w:t>“</w:t>
      </w:r>
      <w:r w:rsidR="00390222">
        <w:rPr>
          <w:rFonts w:ascii="Arial" w:hAnsi="Arial" w:cs="Arial"/>
          <w:iCs/>
          <w:sz w:val="20"/>
        </w:rPr>
        <w:t>This is an appeal against an order made by the Magistrate of the Children’s Court sitting at Warrnambool awarding costs of the respondents of $1,680.</w:t>
      </w:r>
    </w:p>
    <w:p w14:paraId="0ACB38D4" w14:textId="310886C0" w:rsidR="00390222" w:rsidRDefault="00390222" w:rsidP="00390222">
      <w:pPr>
        <w:spacing w:before="60"/>
        <w:ind w:left="454" w:right="454"/>
        <w:jc w:val="both"/>
        <w:rPr>
          <w:rFonts w:ascii="Arial" w:hAnsi="Arial" w:cs="Arial"/>
          <w:iCs/>
          <w:sz w:val="20"/>
        </w:rPr>
      </w:pPr>
      <w:r>
        <w:rPr>
          <w:rFonts w:ascii="Arial" w:hAnsi="Arial" w:cs="Arial"/>
          <w:iCs/>
          <w:sz w:val="20"/>
        </w:rPr>
        <w:t xml:space="preserve">On 27 February 1996 the appellant issued a protection application pursuant to the </w:t>
      </w:r>
      <w:r w:rsidRPr="00390222">
        <w:rPr>
          <w:rFonts w:ascii="Arial" w:hAnsi="Arial" w:cs="Arial"/>
          <w:i/>
          <w:sz w:val="20"/>
        </w:rPr>
        <w:t>Children and Young Persons Act 1989</w:t>
      </w:r>
      <w:r>
        <w:rPr>
          <w:rFonts w:ascii="Arial" w:hAnsi="Arial" w:cs="Arial"/>
          <w:iCs/>
          <w:sz w:val="20"/>
        </w:rPr>
        <w:t>.  On 9 August 1996 the Magistrate in a reserved decision ordered costs against the appellant after the protection application was withdrawn and struck out with the consent of the parties.</w:t>
      </w:r>
    </w:p>
    <w:p w14:paraId="2B67DDD5" w14:textId="74B0A17C" w:rsidR="00390222" w:rsidRDefault="00390222" w:rsidP="00390222">
      <w:pPr>
        <w:spacing w:before="60"/>
        <w:ind w:left="454" w:right="454"/>
        <w:jc w:val="both"/>
        <w:rPr>
          <w:rFonts w:ascii="Arial" w:hAnsi="Arial" w:cs="Arial"/>
          <w:iCs/>
          <w:sz w:val="20"/>
        </w:rPr>
      </w:pPr>
      <w:r>
        <w:rPr>
          <w:rFonts w:ascii="Arial" w:hAnsi="Arial" w:cs="Arial"/>
          <w:iCs/>
          <w:sz w:val="20"/>
        </w:rPr>
        <w:t>The power of the Magistrate to order costs was not disputed but a submission was made on behalf of the appellant that costs should not be ordered.  The substance of those submissions appears from the affidavit material in this appeal and is not in dispute.  In summary it was put that such orders are rarely made because the Department’s job was a difficult one, that the Department was justified in becoming involved in the matter and issuing a protection application when it did, that the circumstances of the child had changed and the changes justified the withdrawal of the application which was properly issued originally, and that the history of the matter</w:t>
      </w:r>
      <w:r w:rsidR="008B7CCD">
        <w:rPr>
          <w:rFonts w:ascii="Arial" w:hAnsi="Arial" w:cs="Arial"/>
          <w:iCs/>
          <w:sz w:val="20"/>
        </w:rPr>
        <w:t xml:space="preserve"> militated against the grant of costs.  It was conceded that the amount of costs, if granted, was appropriate.</w:t>
      </w:r>
    </w:p>
    <w:p w14:paraId="37301998" w14:textId="0E1B1884" w:rsidR="008B7CCD" w:rsidRDefault="008B7CCD" w:rsidP="00390222">
      <w:pPr>
        <w:spacing w:before="60"/>
        <w:ind w:left="454" w:right="454"/>
        <w:jc w:val="both"/>
        <w:rPr>
          <w:rFonts w:ascii="Arial" w:hAnsi="Arial" w:cs="Arial"/>
          <w:iCs/>
          <w:sz w:val="20"/>
        </w:rPr>
      </w:pPr>
      <w:r>
        <w:rPr>
          <w:rFonts w:ascii="Arial" w:hAnsi="Arial" w:cs="Arial"/>
          <w:iCs/>
          <w:sz w:val="20"/>
        </w:rPr>
        <w:t xml:space="preserve">In my opinion the combined effect of s.24 of the </w:t>
      </w:r>
      <w:r w:rsidRPr="008B7CCD">
        <w:rPr>
          <w:rFonts w:ascii="Arial" w:hAnsi="Arial" w:cs="Arial"/>
          <w:i/>
          <w:sz w:val="20"/>
        </w:rPr>
        <w:t>Children and Young Persons Act</w:t>
      </w:r>
      <w:r>
        <w:rPr>
          <w:rFonts w:ascii="Arial" w:hAnsi="Arial" w:cs="Arial"/>
          <w:iCs/>
          <w:sz w:val="20"/>
        </w:rPr>
        <w:t xml:space="preserve"> [in similar terms to s.528 of the CYFA] and s.131 of the Magistrates’ Court Act is to provide a statutory basis for the jurisdiction in the Magistrates’ Court to award costs in cases such as the present.  (See also </w:t>
      </w:r>
      <w:r w:rsidRPr="008B7CCD">
        <w:rPr>
          <w:rFonts w:ascii="Arial" w:hAnsi="Arial" w:cs="Arial"/>
          <w:i/>
          <w:sz w:val="20"/>
        </w:rPr>
        <w:t>Wilson v McDougall</w:t>
      </w:r>
      <w:r>
        <w:rPr>
          <w:rFonts w:ascii="Arial" w:hAnsi="Arial" w:cs="Arial"/>
          <w:iCs/>
          <w:sz w:val="20"/>
        </w:rPr>
        <w:t xml:space="preserve"> (1987) 11 NSWER. 241.)</w:t>
      </w:r>
    </w:p>
    <w:p w14:paraId="371DA931" w14:textId="3356B4BC" w:rsidR="008B7CCD" w:rsidRDefault="008B7CCD" w:rsidP="00390222">
      <w:pPr>
        <w:spacing w:before="60"/>
        <w:ind w:left="454" w:right="454"/>
        <w:jc w:val="both"/>
        <w:rPr>
          <w:rFonts w:ascii="Arial" w:hAnsi="Arial" w:cs="Arial"/>
          <w:iCs/>
          <w:sz w:val="20"/>
        </w:rPr>
      </w:pPr>
      <w:r>
        <w:rPr>
          <w:rFonts w:ascii="Arial" w:hAnsi="Arial" w:cs="Arial"/>
          <w:iCs/>
          <w:sz w:val="20"/>
        </w:rPr>
        <w:t xml:space="preserve">The question remains whether this Court should in this case interfere with the Magistrate’s discretion in awarding costs.  In my opinion, the ‘strong presumption in favour of the correctness of the decision appealed from’ particularly where it relates to the discretion in respect of costs has not been displaced.  It has not been demonstrated that irrelevant considerations have been taken into account or relevant considerations have not been taken into account.  Nor is the decision on its face plainly wrong.  (See </w:t>
      </w:r>
      <w:r w:rsidRPr="008B7CCD">
        <w:rPr>
          <w:rFonts w:ascii="Arial" w:hAnsi="Arial" w:cs="Arial"/>
          <w:i/>
          <w:sz w:val="20"/>
        </w:rPr>
        <w:t>Australia Coal and Shale Employees Federation v Commonwealth</w:t>
      </w:r>
      <w:r>
        <w:rPr>
          <w:rFonts w:ascii="Arial" w:hAnsi="Arial" w:cs="Arial"/>
          <w:iCs/>
          <w:sz w:val="20"/>
        </w:rPr>
        <w:t xml:space="preserve"> (1953) 94 CLR 621.)</w:t>
      </w:r>
    </w:p>
    <w:p w14:paraId="3C9FC059" w14:textId="547E3116" w:rsidR="00B21DA4" w:rsidRDefault="008B7CCD" w:rsidP="004A2A38">
      <w:pPr>
        <w:spacing w:before="60"/>
        <w:ind w:left="454" w:right="454"/>
        <w:jc w:val="both"/>
        <w:rPr>
          <w:rFonts w:ascii="Arial" w:hAnsi="Arial" w:cs="Arial"/>
          <w:b/>
          <w:bCs/>
          <w:iCs/>
          <w:sz w:val="20"/>
        </w:rPr>
      </w:pPr>
      <w:r>
        <w:rPr>
          <w:rFonts w:ascii="Arial" w:hAnsi="Arial" w:cs="Arial"/>
          <w:iCs/>
          <w:sz w:val="20"/>
        </w:rPr>
        <w:t xml:space="preserve">There was argument before me as to the nature of the discretion to be exercised in relation to proceedings under the </w:t>
      </w:r>
      <w:r w:rsidRPr="008B7CCD">
        <w:rPr>
          <w:rFonts w:ascii="Arial" w:hAnsi="Arial" w:cs="Arial"/>
          <w:i/>
          <w:sz w:val="20"/>
        </w:rPr>
        <w:t>Children and Young Persons Act</w:t>
      </w:r>
      <w:r>
        <w:rPr>
          <w:rFonts w:ascii="Arial" w:hAnsi="Arial" w:cs="Arial"/>
          <w:i/>
          <w:sz w:val="20"/>
        </w:rPr>
        <w:t xml:space="preserve"> </w:t>
      </w:r>
      <w:r w:rsidRPr="008B7CCD">
        <w:rPr>
          <w:rFonts w:ascii="Arial" w:hAnsi="Arial" w:cs="Arial"/>
          <w:iCs/>
          <w:sz w:val="20"/>
        </w:rPr>
        <w:t xml:space="preserve">where a protection application is involved.  </w:t>
      </w:r>
      <w:r>
        <w:rPr>
          <w:rFonts w:ascii="Arial" w:hAnsi="Arial" w:cs="Arial"/>
          <w:iCs/>
          <w:sz w:val="20"/>
        </w:rPr>
        <w:t xml:space="preserve">I agree with the appellant’s submissions that the </w:t>
      </w:r>
      <w:r w:rsidR="00B21DA4">
        <w:rPr>
          <w:rFonts w:ascii="Arial" w:hAnsi="Arial" w:cs="Arial"/>
          <w:iCs/>
          <w:sz w:val="20"/>
        </w:rPr>
        <w:t xml:space="preserve">discretion is to be exercised on grounds different from those referred to in </w:t>
      </w:r>
      <w:proofErr w:type="spellStart"/>
      <w:r w:rsidR="00B21DA4">
        <w:rPr>
          <w:rFonts w:ascii="Arial" w:hAnsi="Arial" w:cs="Arial"/>
          <w:i/>
          <w:sz w:val="20"/>
        </w:rPr>
        <w:t>Latoudis</w:t>
      </w:r>
      <w:proofErr w:type="spellEnd"/>
      <w:r w:rsidR="00B21DA4">
        <w:rPr>
          <w:rFonts w:ascii="Arial" w:hAnsi="Arial" w:cs="Arial"/>
          <w:i/>
          <w:sz w:val="20"/>
        </w:rPr>
        <w:t xml:space="preserve"> v Casey</w:t>
      </w:r>
      <w:r>
        <w:rPr>
          <w:rFonts w:ascii="Arial" w:hAnsi="Arial" w:cs="Arial"/>
          <w:iCs/>
          <w:sz w:val="20"/>
        </w:rPr>
        <w:t xml:space="preserve"> (1991) 170 CLR 534.</w:t>
      </w:r>
      <w:r w:rsidR="00B21DA4">
        <w:rPr>
          <w:rFonts w:ascii="Arial" w:hAnsi="Arial" w:cs="Arial"/>
          <w:iCs/>
          <w:sz w:val="20"/>
        </w:rPr>
        <w:t xml:space="preserve">  </w:t>
      </w:r>
      <w:r w:rsidR="00B21DA4" w:rsidRPr="00093E02">
        <w:rPr>
          <w:rFonts w:ascii="Arial" w:hAnsi="Arial" w:cs="Arial"/>
          <w:b/>
          <w:bCs/>
          <w:iCs/>
          <w:sz w:val="20"/>
        </w:rPr>
        <w:t xml:space="preserve">Protection application proceedings are not criminal proceedings and by their very nature are for the benefit of the children with whom they are concerned: see </w:t>
      </w:r>
      <w:r w:rsidR="00B21DA4" w:rsidRPr="00093E02">
        <w:rPr>
          <w:rFonts w:ascii="Arial" w:hAnsi="Arial" w:cs="Arial"/>
          <w:b/>
          <w:bCs/>
          <w:i/>
          <w:sz w:val="20"/>
        </w:rPr>
        <w:t xml:space="preserve">M &amp; </w:t>
      </w:r>
      <w:proofErr w:type="spellStart"/>
      <w:r w:rsidR="00B21DA4" w:rsidRPr="00093E02">
        <w:rPr>
          <w:rFonts w:ascii="Arial" w:hAnsi="Arial" w:cs="Arial"/>
          <w:b/>
          <w:bCs/>
          <w:i/>
          <w:sz w:val="20"/>
        </w:rPr>
        <w:t>Ors</w:t>
      </w:r>
      <w:proofErr w:type="spellEnd"/>
      <w:r w:rsidR="00B21DA4" w:rsidRPr="00093E02">
        <w:rPr>
          <w:rFonts w:ascii="Arial" w:hAnsi="Arial" w:cs="Arial"/>
          <w:b/>
          <w:bCs/>
          <w:i/>
          <w:sz w:val="20"/>
        </w:rPr>
        <w:t xml:space="preserve"> v M</w:t>
      </w:r>
      <w:r w:rsidR="00B21DA4" w:rsidRPr="00093E02">
        <w:rPr>
          <w:rFonts w:ascii="Arial" w:hAnsi="Arial" w:cs="Arial"/>
          <w:b/>
          <w:bCs/>
          <w:iCs/>
          <w:sz w:val="20"/>
        </w:rPr>
        <w:t xml:space="preserve"> [1993] 1 VR 391.</w:t>
      </w:r>
      <w:r w:rsidRPr="00093E02">
        <w:rPr>
          <w:rFonts w:ascii="Arial" w:hAnsi="Arial" w:cs="Arial"/>
          <w:b/>
          <w:bCs/>
          <w:iCs/>
          <w:sz w:val="20"/>
        </w:rPr>
        <w:t>)</w:t>
      </w:r>
      <w:r w:rsidR="00B21DA4" w:rsidRPr="00093E02">
        <w:rPr>
          <w:rFonts w:ascii="Arial" w:hAnsi="Arial" w:cs="Arial"/>
          <w:b/>
          <w:bCs/>
          <w:iCs/>
          <w:sz w:val="20"/>
        </w:rPr>
        <w:t xml:space="preserve">  A protection application may be appropriately brought but by the time the matter comes up for hearing circumstances may have changed so that it may then be equally appropriately withdrawn. This is one matter which may, in an appropriate case, affect the exercise of the </w:t>
      </w:r>
      <w:proofErr w:type="gramStart"/>
      <w:r w:rsidR="00B21DA4" w:rsidRPr="00093E02">
        <w:rPr>
          <w:rFonts w:ascii="Arial" w:hAnsi="Arial" w:cs="Arial"/>
          <w:b/>
          <w:bCs/>
          <w:iCs/>
          <w:sz w:val="20"/>
        </w:rPr>
        <w:t>costs</w:t>
      </w:r>
      <w:proofErr w:type="gramEnd"/>
      <w:r w:rsidR="00B21DA4" w:rsidRPr="00093E02">
        <w:rPr>
          <w:rFonts w:ascii="Arial" w:hAnsi="Arial" w:cs="Arial"/>
          <w:b/>
          <w:bCs/>
          <w:iCs/>
          <w:sz w:val="20"/>
        </w:rPr>
        <w:t xml:space="preserve">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1ECDB0E0" w14:textId="25B097F8" w:rsidR="004A2A38" w:rsidRPr="004A2A38" w:rsidRDefault="004A2A38" w:rsidP="004A2A38">
      <w:pPr>
        <w:spacing w:before="60"/>
        <w:ind w:left="454" w:right="454"/>
        <w:jc w:val="both"/>
        <w:rPr>
          <w:rFonts w:ascii="Arial" w:hAnsi="Arial" w:cs="Arial"/>
          <w:iCs/>
          <w:sz w:val="20"/>
        </w:rPr>
      </w:pPr>
      <w:r w:rsidRPr="004A2A38">
        <w:rPr>
          <w:rFonts w:ascii="Arial" w:hAnsi="Arial" w:cs="Arial"/>
          <w:iCs/>
          <w:sz w:val="20"/>
        </w:rPr>
        <w:t>The appeal stands dismissed with costs.</w:t>
      </w:r>
      <w:r>
        <w:rPr>
          <w:rFonts w:ascii="Arial" w:hAnsi="Arial" w:cs="Arial"/>
          <w:iCs/>
          <w:sz w:val="20"/>
        </w:rPr>
        <w:t>”</w:t>
      </w:r>
    </w:p>
    <w:p w14:paraId="57A2EB3A" w14:textId="77777777" w:rsidR="00DE762A" w:rsidRDefault="00DE762A">
      <w:pPr>
        <w:jc w:val="both"/>
        <w:rPr>
          <w:rFonts w:ascii="Arial" w:hAnsi="Arial" w:cs="Arial"/>
          <w:iCs/>
          <w:sz w:val="20"/>
        </w:rPr>
      </w:pPr>
    </w:p>
    <w:p w14:paraId="2026E232" w14:textId="66E8311A"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w:t>
      </w:r>
      <w:r w:rsidR="008B7CCD">
        <w:rPr>
          <w:rFonts w:ascii="Arial" w:hAnsi="Arial" w:cs="Arial"/>
          <w:i/>
          <w:sz w:val="20"/>
        </w:rPr>
        <w:t xml:space="preserve">and Maher and Others </w:t>
      </w:r>
      <w:r>
        <w:rPr>
          <w:rFonts w:ascii="Arial" w:hAnsi="Arial" w:cs="Arial"/>
          <w:sz w:val="20"/>
        </w:rPr>
        <w:t>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w:t>
      </w:r>
      <w:r w:rsidRPr="008F69CC">
        <w:rPr>
          <w:rFonts w:ascii="Arial" w:hAnsi="Arial" w:cs="Arial"/>
          <w:sz w:val="20"/>
        </w:rPr>
        <w:lastRenderedPageBreak/>
        <w:t xml:space="preserve">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87" w:name="_3.9.4_Family_Division"/>
      <w:bookmarkStart w:id="1088" w:name="B394"/>
      <w:bookmarkStart w:id="1089" w:name="_Toc30754533"/>
      <w:bookmarkStart w:id="1090" w:name="_Toc30756973"/>
      <w:bookmarkStart w:id="1091" w:name="_Toc30757522"/>
      <w:bookmarkStart w:id="1092" w:name="_Toc30757922"/>
      <w:bookmarkStart w:id="1093" w:name="_Toc30762683"/>
      <w:bookmarkStart w:id="1094" w:name="_Toc30767337"/>
      <w:bookmarkStart w:id="1095" w:name="_Toc34823353"/>
      <w:bookmarkStart w:id="1096" w:name="_Toc58831515"/>
      <w:bookmarkEnd w:id="1085"/>
      <w:bookmarkEnd w:id="1087"/>
      <w:bookmarkEnd w:id="1088"/>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89"/>
      <w:bookmarkEnd w:id="1090"/>
      <w:bookmarkEnd w:id="1091"/>
      <w:bookmarkEnd w:id="1092"/>
      <w:bookmarkEnd w:id="1093"/>
      <w:bookmarkEnd w:id="1094"/>
      <w:bookmarkEnd w:id="1095"/>
      <w:bookmarkEnd w:id="1096"/>
    </w:p>
    <w:p w14:paraId="2C053109" w14:textId="77777777" w:rsidR="00D11291" w:rsidRDefault="00103848" w:rsidP="001B5152">
      <w:pPr>
        <w:jc w:val="both"/>
        <w:rPr>
          <w:rFonts w:ascii="Arial" w:hAnsi="Arial" w:cs="Arial"/>
          <w:sz w:val="20"/>
        </w:rPr>
      </w:pPr>
      <w:bookmarkStart w:id="1097" w:name="_Toc30608811"/>
      <w:bookmarkStart w:id="1098" w:name="_Toc30610025"/>
      <w:bookmarkStart w:id="1099" w:name="_Toc30610269"/>
      <w:bookmarkStart w:id="1100" w:name="_Toc30638423"/>
      <w:bookmarkStart w:id="1101" w:name="_Toc30644232"/>
      <w:bookmarkStart w:id="1102" w:name="_Toc30644635"/>
      <w:bookmarkStart w:id="1103" w:name="_Toc30645185"/>
      <w:bookmarkStart w:id="1104" w:name="_Toc30646396"/>
      <w:bookmarkStart w:id="1105" w:name="_Toc30646691"/>
      <w:bookmarkStart w:id="1106" w:name="_Toc30646802"/>
      <w:bookmarkStart w:id="1107" w:name="_Toc30648159"/>
      <w:bookmarkStart w:id="1108" w:name="_Toc30649057"/>
      <w:bookmarkStart w:id="1109" w:name="_Toc30649133"/>
      <w:bookmarkStart w:id="1110" w:name="_Toc30649394"/>
      <w:bookmarkStart w:id="1111" w:name="_Toc30649719"/>
      <w:bookmarkStart w:id="1112" w:name="_Toc30651659"/>
      <w:bookmarkStart w:id="1113" w:name="_Toc30652648"/>
      <w:bookmarkStart w:id="1114" w:name="_Toc30652746"/>
      <w:bookmarkStart w:id="1115" w:name="_Toc30654091"/>
      <w:bookmarkStart w:id="1116" w:name="_Toc30654442"/>
      <w:bookmarkStart w:id="1117" w:name="_Toc30655061"/>
      <w:bookmarkStart w:id="1118" w:name="_Toc30655318"/>
      <w:bookmarkStart w:id="1119" w:name="_Toc30656996"/>
      <w:bookmarkStart w:id="1120" w:name="_Toc30661745"/>
      <w:bookmarkStart w:id="1121" w:name="_Toc30666433"/>
      <w:bookmarkStart w:id="1122" w:name="_Toc30666663"/>
      <w:bookmarkStart w:id="1123" w:name="_Toc30667838"/>
      <w:bookmarkStart w:id="1124" w:name="_Toc30669216"/>
      <w:bookmarkStart w:id="1125" w:name="_Toc30671432"/>
      <w:bookmarkStart w:id="1126" w:name="_Toc30673959"/>
      <w:bookmarkStart w:id="1127" w:name="_Toc30691181"/>
      <w:bookmarkStart w:id="1128" w:name="_Toc30691552"/>
      <w:bookmarkStart w:id="1129" w:name="_Toc30691932"/>
      <w:bookmarkStart w:id="1130" w:name="_Toc30692691"/>
      <w:bookmarkStart w:id="1131" w:name="_Toc30693070"/>
      <w:bookmarkStart w:id="1132" w:name="_Toc30693448"/>
      <w:bookmarkStart w:id="1133" w:name="_Toc30693827"/>
      <w:bookmarkStart w:id="1134" w:name="_Toc30694208"/>
      <w:bookmarkStart w:id="1135" w:name="_Toc30698797"/>
      <w:bookmarkStart w:id="1136" w:name="_Toc30699175"/>
      <w:bookmarkStart w:id="1137" w:name="_Toc30699560"/>
      <w:bookmarkStart w:id="1138" w:name="_Toc30700715"/>
      <w:bookmarkStart w:id="1139" w:name="_Toc30701102"/>
      <w:bookmarkStart w:id="1140"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141" w:name="_3.9.5_Very_limited"/>
      <w:bookmarkStart w:id="1142" w:name="B395"/>
      <w:bookmarkEnd w:id="1086"/>
      <w:bookmarkEnd w:id="1141"/>
      <w:bookmarkEnd w:id="1142"/>
      <w:r>
        <w:rPr>
          <w:rFonts w:ascii="Arial" w:hAnsi="Arial" w:cs="Arial"/>
          <w:b/>
          <w:bCs/>
          <w:sz w:val="20"/>
        </w:rPr>
        <w:t>3.9.5</w:t>
      </w:r>
      <w:r>
        <w:rPr>
          <w:rFonts w:ascii="Arial" w:hAnsi="Arial" w:cs="Arial"/>
          <w:b/>
          <w:bCs/>
          <w:sz w:val="20"/>
        </w:rPr>
        <w:tab/>
        <w:t>Very limited entitlement of self-represented litigants to costs</w:t>
      </w:r>
    </w:p>
    <w:p w14:paraId="6A7397DF" w14:textId="3230A67D"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w:t>
      </w:r>
      <w:r w:rsidR="004A2A38">
        <w:rPr>
          <w:rFonts w:ascii="Arial" w:hAnsi="Arial" w:cs="Arial"/>
          <w:sz w:val="20"/>
        </w:rPr>
        <w:t>–</w:t>
      </w:r>
      <w:r>
        <w:rPr>
          <w:rFonts w:ascii="Arial" w:hAnsi="Arial" w:cs="Arial"/>
          <w:sz w:val="20"/>
        </w:rPr>
        <w:t xml:space="preserve"> a</w:t>
      </w:r>
      <w:r w:rsidR="004A2A38">
        <w:rPr>
          <w:rFonts w:ascii="Arial" w:hAnsi="Arial" w:cs="Arial"/>
          <w:sz w:val="20"/>
        </w:rPr>
        <w:t xml:space="preserve"> </w:t>
      </w:r>
      <w:r>
        <w:rPr>
          <w:rFonts w:ascii="Arial" w:hAnsi="Arial" w:cs="Arial"/>
          <w:sz w:val="20"/>
        </w:rPr>
        <w:t xml:space="preserve">case in which the bulk of the judgment is in [2004] VSC 14 </w:t>
      </w:r>
      <w:r w:rsidR="00657D5F">
        <w:rPr>
          <w:rFonts w:ascii="Arial" w:hAnsi="Arial" w:cs="Arial"/>
          <w:sz w:val="20"/>
        </w:rPr>
        <w:t>–</w:t>
      </w:r>
      <w:r>
        <w:rPr>
          <w:rFonts w:ascii="Arial" w:hAnsi="Arial" w:cs="Arial"/>
          <w:sz w:val="20"/>
        </w:rPr>
        <w:t xml:space="preserve"> Gillard</w:t>
      </w:r>
      <w:r w:rsidR="00657D5F">
        <w:rPr>
          <w:rFonts w:ascii="Arial" w:hAnsi="Arial" w:cs="Arial"/>
          <w:sz w:val="20"/>
        </w:rPr>
        <w:t xml:space="preserve"> </w:t>
      </w:r>
      <w:r>
        <w:rPr>
          <w:rFonts w:ascii="Arial" w:hAnsi="Arial" w:cs="Arial"/>
          <w:sz w:val="20"/>
        </w:rPr>
        <w:t>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135C5506"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w:t>
      </w:r>
      <w:r>
        <w:rPr>
          <w:rFonts w:ascii="Arial" w:hAnsi="Arial" w:cs="Arial"/>
          <w:sz w:val="20"/>
        </w:rPr>
        <w:lastRenderedPageBreak/>
        <w:t xml:space="preserve">(2019) </w:t>
      </w:r>
      <w:r w:rsidR="002D6C1B">
        <w:rPr>
          <w:rFonts w:ascii="Arial" w:hAnsi="Arial" w:cs="Arial"/>
          <w:sz w:val="20"/>
        </w:rPr>
        <w:t>269 CLR 333</w:t>
      </w:r>
      <w:r>
        <w:rPr>
          <w:rFonts w:ascii="Arial" w:hAnsi="Arial" w:cs="Arial"/>
          <w:sz w:val="20"/>
        </w:rPr>
        <w:t xml:space="preserve">;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701CED50" w14:textId="1D63DB86" w:rsidR="00FF604F" w:rsidRPr="00F95F7C" w:rsidRDefault="00FF604F" w:rsidP="002672DD">
      <w:pPr>
        <w:jc w:val="both"/>
        <w:rPr>
          <w:rFonts w:ascii="Arial" w:hAnsi="Arial" w:cs="Arial"/>
          <w:sz w:val="20"/>
        </w:rPr>
      </w:pPr>
      <w:r>
        <w:rPr>
          <w:rFonts w:ascii="Arial" w:hAnsi="Arial" w:cs="Arial"/>
          <w:sz w:val="20"/>
        </w:rPr>
        <w:t xml:space="preserve">In </w:t>
      </w:r>
      <w:r w:rsidR="00F95F7C" w:rsidRPr="00F95F7C">
        <w:rPr>
          <w:rFonts w:ascii="Arial" w:hAnsi="Arial" w:cs="Arial"/>
          <w:i/>
          <w:iCs/>
          <w:sz w:val="20"/>
          <w:szCs w:val="20"/>
        </w:rPr>
        <w:t>McKechnie v State of Victoria (Costs Judgment)</w:t>
      </w:r>
      <w:r w:rsidR="00F95F7C" w:rsidRPr="00F95F7C">
        <w:rPr>
          <w:rFonts w:ascii="Arial" w:hAnsi="Arial" w:cs="Arial"/>
          <w:sz w:val="20"/>
          <w:szCs w:val="20"/>
        </w:rPr>
        <w:t xml:space="preserve"> [2023] VSC 234</w:t>
      </w:r>
      <w:r w:rsidR="00F95F7C">
        <w:rPr>
          <w:rFonts w:ascii="Arial" w:hAnsi="Arial" w:cs="Arial"/>
          <w:sz w:val="20"/>
          <w:szCs w:val="20"/>
        </w:rPr>
        <w:t xml:space="preserve"> at [</w:t>
      </w:r>
      <w:r w:rsidR="00CF4B0E">
        <w:rPr>
          <w:rFonts w:ascii="Arial" w:hAnsi="Arial" w:cs="Arial"/>
          <w:sz w:val="20"/>
          <w:szCs w:val="20"/>
        </w:rPr>
        <w:t>7</w:t>
      </w:r>
      <w:r w:rsidR="00F95F7C">
        <w:rPr>
          <w:rFonts w:ascii="Arial" w:hAnsi="Arial" w:cs="Arial"/>
          <w:sz w:val="20"/>
          <w:szCs w:val="20"/>
        </w:rPr>
        <w:t>]-[</w:t>
      </w:r>
      <w:r w:rsidR="00CF4B0E">
        <w:rPr>
          <w:rFonts w:ascii="Arial" w:hAnsi="Arial" w:cs="Arial"/>
          <w:sz w:val="20"/>
          <w:szCs w:val="20"/>
        </w:rPr>
        <w:t>10</w:t>
      </w:r>
      <w:r w:rsidR="00F95F7C">
        <w:rPr>
          <w:rFonts w:ascii="Arial" w:hAnsi="Arial" w:cs="Arial"/>
          <w:sz w:val="20"/>
          <w:szCs w:val="20"/>
        </w:rPr>
        <w:t>]</w:t>
      </w:r>
      <w:r w:rsidR="00F95F7C" w:rsidRPr="00F95F7C">
        <w:rPr>
          <w:rFonts w:ascii="Arial" w:hAnsi="Arial" w:cs="Arial"/>
          <w:sz w:val="20"/>
          <w:szCs w:val="20"/>
        </w:rPr>
        <w:t xml:space="preserve"> – in refusing costs to the unrepresented plaintiff following </w:t>
      </w:r>
      <w:r w:rsidR="00F95F7C">
        <w:rPr>
          <w:rFonts w:ascii="Arial" w:hAnsi="Arial" w:cs="Arial"/>
          <w:sz w:val="20"/>
          <w:szCs w:val="20"/>
        </w:rPr>
        <w:t>the dismissal of the defendant</w:t>
      </w:r>
      <w:r w:rsidR="00E37ECF">
        <w:rPr>
          <w:rFonts w:ascii="Arial" w:hAnsi="Arial" w:cs="Arial"/>
          <w:sz w:val="20"/>
          <w:szCs w:val="20"/>
        </w:rPr>
        <w:t xml:space="preserve"> State</w:t>
      </w:r>
      <w:r w:rsidR="00F95F7C">
        <w:rPr>
          <w:rFonts w:ascii="Arial" w:hAnsi="Arial" w:cs="Arial"/>
          <w:sz w:val="20"/>
          <w:szCs w:val="20"/>
        </w:rPr>
        <w:t xml:space="preserve">’s summary dismissal summons – Ginnane J also discussed the decisions of the High Court in </w:t>
      </w:r>
      <w:r w:rsidR="00F95F7C" w:rsidRPr="007F3B61">
        <w:rPr>
          <w:rFonts w:ascii="Arial" w:hAnsi="Arial" w:cs="Arial"/>
          <w:i/>
          <w:iCs/>
          <w:sz w:val="20"/>
          <w:szCs w:val="20"/>
        </w:rPr>
        <w:t>Cachia v Hanes</w:t>
      </w:r>
      <w:r w:rsidR="00F95F7C">
        <w:rPr>
          <w:rFonts w:ascii="Arial" w:hAnsi="Arial" w:cs="Arial"/>
          <w:sz w:val="20"/>
          <w:szCs w:val="20"/>
        </w:rPr>
        <w:t xml:space="preserve"> </w:t>
      </w:r>
      <w:r w:rsidR="00B8038A">
        <w:rPr>
          <w:rFonts w:ascii="Arial" w:hAnsi="Arial" w:cs="Arial"/>
          <w:iCs/>
          <w:sz w:val="20"/>
        </w:rPr>
        <w:t xml:space="preserve">(1994) 179 CLR 403 </w:t>
      </w:r>
      <w:r w:rsidR="00F95F7C">
        <w:rPr>
          <w:rFonts w:ascii="Arial" w:hAnsi="Arial" w:cs="Arial"/>
          <w:sz w:val="20"/>
          <w:szCs w:val="20"/>
        </w:rPr>
        <w:t xml:space="preserve">&amp; </w:t>
      </w:r>
      <w:r w:rsidR="00F95F7C" w:rsidRPr="007F3B61">
        <w:rPr>
          <w:rFonts w:ascii="Arial" w:hAnsi="Arial" w:cs="Arial"/>
          <w:i/>
          <w:iCs/>
          <w:sz w:val="20"/>
          <w:szCs w:val="20"/>
        </w:rPr>
        <w:t xml:space="preserve">Bell Lawyers v </w:t>
      </w:r>
      <w:proofErr w:type="spellStart"/>
      <w:r w:rsidR="007F3B61" w:rsidRPr="007F3B61">
        <w:rPr>
          <w:rFonts w:ascii="Arial" w:hAnsi="Arial" w:cs="Arial"/>
          <w:i/>
          <w:iCs/>
          <w:sz w:val="20"/>
          <w:szCs w:val="20"/>
        </w:rPr>
        <w:t>Pentelow</w:t>
      </w:r>
      <w:proofErr w:type="spellEnd"/>
      <w:r w:rsidR="00B8038A">
        <w:rPr>
          <w:rFonts w:ascii="Arial" w:hAnsi="Arial" w:cs="Arial"/>
          <w:i/>
          <w:iCs/>
          <w:sz w:val="20"/>
          <w:szCs w:val="20"/>
        </w:rPr>
        <w:t xml:space="preserve"> </w:t>
      </w:r>
      <w:r w:rsidR="00B8038A">
        <w:rPr>
          <w:rFonts w:ascii="Arial" w:hAnsi="Arial" w:cs="Arial"/>
          <w:sz w:val="20"/>
        </w:rPr>
        <w:t xml:space="preserve">(2019) </w:t>
      </w:r>
      <w:r w:rsidR="0038105B">
        <w:rPr>
          <w:rFonts w:ascii="Arial" w:hAnsi="Arial" w:cs="Arial"/>
          <w:sz w:val="20"/>
        </w:rPr>
        <w:t>269 CLR 333</w:t>
      </w:r>
      <w:r w:rsidR="00B8038A">
        <w:rPr>
          <w:rFonts w:ascii="Arial" w:hAnsi="Arial" w:cs="Arial"/>
          <w:sz w:val="20"/>
        </w:rPr>
        <w:t>; [2019] HCA 29</w:t>
      </w:r>
      <w:r w:rsidR="007F3B61">
        <w:rPr>
          <w:rFonts w:ascii="Arial" w:hAnsi="Arial" w:cs="Arial"/>
          <w:sz w:val="20"/>
          <w:szCs w:val="20"/>
        </w:rPr>
        <w:t>:</w:t>
      </w:r>
    </w:p>
    <w:p w14:paraId="39ECBC33" w14:textId="48E9EE6A" w:rsidR="00ED0D8C" w:rsidRDefault="00626B7C" w:rsidP="00ED0D8C">
      <w:pPr>
        <w:spacing w:before="80"/>
        <w:ind w:left="454" w:right="454"/>
        <w:jc w:val="both"/>
        <w:rPr>
          <w:rFonts w:ascii="Arial" w:hAnsi="Arial" w:cs="Arial"/>
          <w:sz w:val="20"/>
          <w:szCs w:val="20"/>
        </w:rPr>
      </w:pPr>
      <w:r>
        <w:rPr>
          <w:rFonts w:ascii="Arial" w:hAnsi="Arial" w:cs="Arial"/>
          <w:sz w:val="20"/>
          <w:szCs w:val="20"/>
        </w:rPr>
        <w:t xml:space="preserve">[7] </w:t>
      </w:r>
      <w:r w:rsidR="00F95F7C">
        <w:rPr>
          <w:rFonts w:ascii="Arial" w:hAnsi="Arial" w:cs="Arial"/>
          <w:sz w:val="20"/>
          <w:szCs w:val="20"/>
        </w:rPr>
        <w:t>“</w:t>
      </w:r>
      <w:r w:rsidR="00ED0D8C" w:rsidRPr="00ED0D8C">
        <w:rPr>
          <w:rFonts w:ascii="Arial" w:hAnsi="Arial" w:cs="Arial"/>
          <w:i/>
          <w:iCs/>
          <w:sz w:val="20"/>
          <w:szCs w:val="20"/>
        </w:rPr>
        <w:t>Cachia v Hanes</w:t>
      </w:r>
      <w:r w:rsidR="00ED0D8C" w:rsidRPr="00ED0D8C">
        <w:rPr>
          <w:rFonts w:ascii="Arial" w:hAnsi="Arial" w:cs="Arial"/>
          <w:sz w:val="20"/>
          <w:szCs w:val="20"/>
        </w:rPr>
        <w:t>, which concerned the Supreme Court Rules 1970 (NSW), does not support Mr McKechnie’s submissions. In the High Court’s judgment, Mason CJ, Brennan, Deane, Dawson and McHugh JJ stated</w:t>
      </w:r>
      <w:r w:rsidR="00691D29">
        <w:rPr>
          <w:rFonts w:ascii="Arial" w:hAnsi="Arial" w:cs="Arial"/>
          <w:sz w:val="20"/>
          <w:szCs w:val="20"/>
        </w:rPr>
        <w:t xml:space="preserve"> at 410</w:t>
      </w:r>
      <w:r w:rsidR="00ED0D8C" w:rsidRPr="00ED0D8C">
        <w:rPr>
          <w:rFonts w:ascii="Arial" w:hAnsi="Arial" w:cs="Arial"/>
          <w:sz w:val="20"/>
          <w:szCs w:val="20"/>
        </w:rPr>
        <w:t>:</w:t>
      </w:r>
    </w:p>
    <w:p w14:paraId="5756625C" w14:textId="6E54C2EF" w:rsidR="00ED0D8C" w:rsidRDefault="00ED0D8C" w:rsidP="00ED0D8C">
      <w:pPr>
        <w:spacing w:before="80"/>
        <w:ind w:left="907" w:right="907"/>
        <w:jc w:val="both"/>
        <w:rPr>
          <w:rFonts w:ascii="Arial" w:hAnsi="Arial" w:cs="Arial"/>
          <w:sz w:val="20"/>
          <w:szCs w:val="20"/>
        </w:rPr>
      </w:pPr>
      <w:r w:rsidRPr="00ED0D8C">
        <w:rPr>
          <w:rFonts w:ascii="Arial" w:hAnsi="Arial" w:cs="Arial"/>
          <w:sz w:val="18"/>
          <w:szCs w:val="18"/>
        </w:rPr>
        <w:t>To use the Rules to compensate a litigant in person for time lost would cut across their clear intent. Costs, within the meaning of the Rules, are reimbursement for work done or expenses incurred by a practitioner or practitioner’s employee. Compensation for the loss of time of a litigant in person cannot be said to constitute costs within the meaning of the Rules.</w:t>
      </w:r>
    </w:p>
    <w:p w14:paraId="5ECCC8E4" w14:textId="67E6E228" w:rsidR="00ED0D8C" w:rsidRDefault="00691D29" w:rsidP="00ED0D8C">
      <w:pPr>
        <w:spacing w:before="80"/>
        <w:ind w:left="454" w:right="454"/>
        <w:jc w:val="both"/>
        <w:rPr>
          <w:rFonts w:ascii="Arial" w:hAnsi="Arial" w:cs="Arial"/>
          <w:sz w:val="20"/>
          <w:szCs w:val="20"/>
        </w:rPr>
      </w:pPr>
      <w:r>
        <w:rPr>
          <w:rFonts w:ascii="Arial" w:hAnsi="Arial" w:cs="Arial"/>
          <w:sz w:val="20"/>
          <w:szCs w:val="20"/>
        </w:rPr>
        <w:t xml:space="preserve">[8] </w:t>
      </w:r>
      <w:r w:rsidR="00ED0D8C" w:rsidRPr="00ED0D8C">
        <w:rPr>
          <w:rFonts w:ascii="Arial" w:hAnsi="Arial" w:cs="Arial"/>
          <w:sz w:val="20"/>
          <w:szCs w:val="20"/>
        </w:rPr>
        <w:t>Their Honours also stated</w:t>
      </w:r>
      <w:r w:rsidR="0038105B">
        <w:rPr>
          <w:rFonts w:ascii="Arial" w:hAnsi="Arial" w:cs="Arial"/>
          <w:sz w:val="20"/>
          <w:szCs w:val="20"/>
        </w:rPr>
        <w:t xml:space="preserve"> at 414</w:t>
      </w:r>
      <w:r w:rsidR="00ED0D8C" w:rsidRPr="00ED0D8C">
        <w:rPr>
          <w:rFonts w:ascii="Arial" w:hAnsi="Arial" w:cs="Arial"/>
          <w:sz w:val="20"/>
          <w:szCs w:val="20"/>
        </w:rPr>
        <w:t>:</w:t>
      </w:r>
    </w:p>
    <w:p w14:paraId="31200795" w14:textId="524A03AB" w:rsidR="00ED0D8C" w:rsidRDefault="00ED0D8C" w:rsidP="00ED0D8C">
      <w:pPr>
        <w:spacing w:before="80"/>
        <w:ind w:left="907" w:right="907"/>
        <w:jc w:val="both"/>
        <w:rPr>
          <w:rFonts w:ascii="Arial" w:hAnsi="Arial" w:cs="Arial"/>
          <w:sz w:val="20"/>
          <w:szCs w:val="20"/>
        </w:rPr>
      </w:pPr>
      <w:r w:rsidRPr="00ED0D8C">
        <w:rPr>
          <w:rFonts w:ascii="Arial" w:hAnsi="Arial" w:cs="Arial"/>
          <w:sz w:val="18"/>
          <w:szCs w:val="18"/>
        </w:rPr>
        <w:t>Even less do the Rules provide for the substitution of an antithetical basis for the accepted basis upon which a taxation of party and party costs is conducted. We speak of antithesis because, as we have said, the accepted basis for an award of costs is that they are by way of indemnity. They are intended to reimburse a litigant for costs actually incurred, they are not intended to compensate for some other disadvantage or inconvenience suffered by the litigant.</w:t>
      </w:r>
    </w:p>
    <w:p w14:paraId="068E3D0D" w14:textId="6A412D29" w:rsidR="00662432" w:rsidRDefault="002B5AD0" w:rsidP="00662432">
      <w:pPr>
        <w:spacing w:before="80"/>
        <w:ind w:left="454" w:right="454"/>
        <w:jc w:val="both"/>
        <w:rPr>
          <w:rFonts w:ascii="Arial" w:hAnsi="Arial" w:cs="Arial"/>
          <w:sz w:val="20"/>
          <w:szCs w:val="20"/>
        </w:rPr>
      </w:pPr>
      <w:r>
        <w:rPr>
          <w:rFonts w:ascii="Arial" w:hAnsi="Arial" w:cs="Arial"/>
          <w:sz w:val="20"/>
          <w:szCs w:val="20"/>
        </w:rPr>
        <w:t xml:space="preserve">[9] </w:t>
      </w:r>
      <w:r w:rsidR="00ED0D8C" w:rsidRPr="00ED0D8C">
        <w:rPr>
          <w:rFonts w:ascii="Arial" w:hAnsi="Arial" w:cs="Arial"/>
          <w:sz w:val="20"/>
          <w:szCs w:val="20"/>
        </w:rPr>
        <w:t xml:space="preserve">In the later decision in </w:t>
      </w:r>
      <w:r w:rsidR="00ED0D8C" w:rsidRPr="007F3B61">
        <w:rPr>
          <w:rFonts w:ascii="Arial" w:hAnsi="Arial" w:cs="Arial"/>
          <w:i/>
          <w:iCs/>
          <w:sz w:val="20"/>
          <w:szCs w:val="20"/>
        </w:rPr>
        <w:t xml:space="preserve">Bell Lawyers Pty Ltd v </w:t>
      </w:r>
      <w:proofErr w:type="spellStart"/>
      <w:r w:rsidR="00ED0D8C" w:rsidRPr="007F3B61">
        <w:rPr>
          <w:rFonts w:ascii="Arial" w:hAnsi="Arial" w:cs="Arial"/>
          <w:i/>
          <w:iCs/>
          <w:sz w:val="20"/>
          <w:szCs w:val="20"/>
        </w:rPr>
        <w:t>Pentelow</w:t>
      </w:r>
      <w:proofErr w:type="spellEnd"/>
      <w:r w:rsidR="00FA49B5">
        <w:rPr>
          <w:rFonts w:ascii="Arial" w:hAnsi="Arial" w:cs="Arial"/>
          <w:sz w:val="20"/>
          <w:szCs w:val="20"/>
        </w:rPr>
        <w:t xml:space="preserve"> at 339</w:t>
      </w:r>
      <w:r w:rsidR="00BB4986">
        <w:rPr>
          <w:rFonts w:ascii="Arial" w:hAnsi="Arial" w:cs="Arial"/>
          <w:sz w:val="20"/>
          <w:szCs w:val="20"/>
        </w:rPr>
        <w:t>,</w:t>
      </w:r>
      <w:r w:rsidR="00ED0D8C" w:rsidRPr="00ED0D8C">
        <w:rPr>
          <w:rFonts w:ascii="Arial" w:hAnsi="Arial" w:cs="Arial"/>
          <w:sz w:val="20"/>
          <w:szCs w:val="20"/>
        </w:rPr>
        <w:t xml:space="preserve"> </w:t>
      </w:r>
      <w:proofErr w:type="spellStart"/>
      <w:r w:rsidR="00ED0D8C" w:rsidRPr="00ED0D8C">
        <w:rPr>
          <w:rFonts w:ascii="Arial" w:hAnsi="Arial" w:cs="Arial"/>
          <w:sz w:val="20"/>
          <w:szCs w:val="20"/>
        </w:rPr>
        <w:t>Kiefel</w:t>
      </w:r>
      <w:proofErr w:type="spellEnd"/>
      <w:r w:rsidR="00ED0D8C" w:rsidRPr="00ED0D8C">
        <w:rPr>
          <w:rFonts w:ascii="Arial" w:hAnsi="Arial" w:cs="Arial"/>
          <w:sz w:val="20"/>
          <w:szCs w:val="20"/>
        </w:rPr>
        <w:t xml:space="preserve"> CJ, Bell, Keane and Gordon JJ described the general rule as:</w:t>
      </w:r>
    </w:p>
    <w:p w14:paraId="4424D177" w14:textId="4DB7CE1E" w:rsidR="00662432" w:rsidRPr="002B5AD0" w:rsidRDefault="00ED0D8C" w:rsidP="00662432">
      <w:pPr>
        <w:spacing w:before="80"/>
        <w:ind w:left="907" w:right="907"/>
        <w:jc w:val="both"/>
        <w:rPr>
          <w:rFonts w:ascii="Arial" w:hAnsi="Arial" w:cs="Arial"/>
          <w:sz w:val="18"/>
          <w:szCs w:val="18"/>
        </w:rPr>
      </w:pPr>
      <w:r w:rsidRPr="002B5AD0">
        <w:rPr>
          <w:rFonts w:ascii="Arial" w:hAnsi="Arial" w:cs="Arial"/>
          <w:sz w:val="18"/>
          <w:szCs w:val="18"/>
        </w:rPr>
        <w:t>a self-represented litigant may not obtain any recompense for the value of his or her time spent in litigation.</w:t>
      </w:r>
    </w:p>
    <w:p w14:paraId="30B35588" w14:textId="3318BAE2" w:rsidR="00ED0D8C" w:rsidRDefault="002B5AD0" w:rsidP="00ED0D8C">
      <w:pPr>
        <w:spacing w:before="80"/>
        <w:ind w:left="454" w:right="454"/>
        <w:jc w:val="both"/>
        <w:rPr>
          <w:rFonts w:ascii="Arial" w:hAnsi="Arial" w:cs="Arial"/>
          <w:sz w:val="20"/>
          <w:szCs w:val="20"/>
        </w:rPr>
      </w:pPr>
      <w:r>
        <w:rPr>
          <w:rFonts w:ascii="Arial" w:hAnsi="Arial" w:cs="Arial"/>
          <w:sz w:val="20"/>
          <w:szCs w:val="20"/>
        </w:rPr>
        <w:t xml:space="preserve">[10] </w:t>
      </w:r>
      <w:r w:rsidR="00ED0D8C" w:rsidRPr="00ED0D8C">
        <w:rPr>
          <w:rFonts w:ascii="Arial" w:hAnsi="Arial" w:cs="Arial"/>
          <w:sz w:val="20"/>
          <w:szCs w:val="20"/>
        </w:rPr>
        <w:t xml:space="preserve">Their Honours cited </w:t>
      </w:r>
      <w:r w:rsidR="00ED0D8C" w:rsidRPr="007F3B61">
        <w:rPr>
          <w:rFonts w:ascii="Arial" w:hAnsi="Arial" w:cs="Arial"/>
          <w:i/>
          <w:iCs/>
          <w:sz w:val="20"/>
          <w:szCs w:val="20"/>
        </w:rPr>
        <w:t>Cachia v Hanes</w:t>
      </w:r>
      <w:r w:rsidR="00BB4986">
        <w:rPr>
          <w:rFonts w:ascii="Arial" w:hAnsi="Arial" w:cs="Arial"/>
          <w:sz w:val="20"/>
          <w:szCs w:val="20"/>
        </w:rPr>
        <w:t xml:space="preserve"> </w:t>
      </w:r>
      <w:r w:rsidR="00ED0D8C" w:rsidRPr="00ED0D8C">
        <w:rPr>
          <w:rFonts w:ascii="Arial" w:hAnsi="Arial" w:cs="Arial"/>
          <w:sz w:val="20"/>
          <w:szCs w:val="20"/>
        </w:rPr>
        <w:t>for that proposition.</w:t>
      </w:r>
      <w:r w:rsidR="00662432">
        <w:rPr>
          <w:rFonts w:ascii="Arial" w:hAnsi="Arial" w:cs="Arial"/>
          <w:sz w:val="20"/>
          <w:szCs w:val="20"/>
        </w:rPr>
        <w:t>”</w:t>
      </w:r>
    </w:p>
    <w:p w14:paraId="51E74259" w14:textId="6AE50C35" w:rsidR="00ED0D8C" w:rsidRPr="00ED0D8C" w:rsidRDefault="00ED0D8C" w:rsidP="00ED0D8C">
      <w:pPr>
        <w:jc w:val="both"/>
        <w:rPr>
          <w:rFonts w:ascii="Arial" w:hAnsi="Arial" w:cs="Arial"/>
          <w:sz w:val="16"/>
          <w:szCs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143" w:name="_3.9.6_Enforcement_of"/>
      <w:bookmarkStart w:id="1144" w:name="B396"/>
      <w:bookmarkEnd w:id="1143"/>
      <w:bookmarkEnd w:id="1144"/>
      <w:r>
        <w:rPr>
          <w:rFonts w:ascii="Arial" w:hAnsi="Arial" w:cs="Arial"/>
          <w:b/>
          <w:bCs/>
          <w:sz w:val="20"/>
        </w:rPr>
        <w:lastRenderedPageBreak/>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 xml:space="preserve">(2) A person in whose </w:t>
      </w:r>
      <w:proofErr w:type="spellStart"/>
      <w:r w:rsidR="002C34CB" w:rsidRPr="000713BB">
        <w:rPr>
          <w:rFonts w:ascii="Arial" w:hAnsi="Arial" w:cs="Arial"/>
          <w:color w:val="000000"/>
          <w:sz w:val="20"/>
          <w:lang w:val="en-US"/>
        </w:rPr>
        <w:t>favour</w:t>
      </w:r>
      <w:proofErr w:type="spellEnd"/>
      <w:r w:rsidR="002C34CB" w:rsidRPr="000713BB">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5DF93F60" w14:textId="79176075" w:rsidR="00482D33" w:rsidRPr="002C34CB" w:rsidRDefault="00482D33" w:rsidP="00482D33">
      <w:pPr>
        <w:pStyle w:val="Heading3"/>
        <w:keepNext/>
        <w:spacing w:after="120" w:line="240" w:lineRule="auto"/>
        <w:rPr>
          <w:rFonts w:ascii="Arial" w:hAnsi="Arial" w:cs="Arial"/>
          <w:b/>
          <w:bCs/>
          <w:sz w:val="20"/>
          <w:lang w:val="en-AU"/>
        </w:rPr>
      </w:pPr>
      <w:bookmarkStart w:id="1145" w:name="_3.10_Appeals_-"/>
      <w:bookmarkStart w:id="1146" w:name="B310"/>
      <w:bookmarkStart w:id="1147" w:name="_3.9.7_Costs_against"/>
      <w:bookmarkEnd w:id="1145"/>
      <w:bookmarkEnd w:id="1146"/>
      <w:bookmarkEnd w:id="1147"/>
      <w:r>
        <w:rPr>
          <w:rFonts w:ascii="Arial" w:hAnsi="Arial" w:cs="Arial"/>
          <w:b/>
          <w:bCs/>
          <w:sz w:val="20"/>
        </w:rPr>
        <w:t>3.9.7</w:t>
      </w:r>
      <w:r>
        <w:rPr>
          <w:rFonts w:ascii="Arial" w:hAnsi="Arial" w:cs="Arial"/>
          <w:b/>
          <w:bCs/>
          <w:sz w:val="20"/>
        </w:rPr>
        <w:tab/>
        <w:t>Costs against the Court</w:t>
      </w:r>
    </w:p>
    <w:p w14:paraId="1020DF94" w14:textId="7FCE48F6" w:rsidR="00F57477" w:rsidRPr="00F57477" w:rsidRDefault="00F57477" w:rsidP="00056361">
      <w:pPr>
        <w:pStyle w:val="jade-noverticalmargins"/>
        <w:shd w:val="clear" w:color="auto" w:fill="FFFFFF"/>
        <w:spacing w:before="0" w:beforeAutospacing="0" w:after="0" w:afterAutospacing="0"/>
        <w:jc w:val="both"/>
        <w:rPr>
          <w:rFonts w:ascii="Arial" w:hAnsi="Arial" w:cs="Arial"/>
          <w:color w:val="000000"/>
          <w:sz w:val="20"/>
          <w:szCs w:val="20"/>
        </w:rPr>
      </w:pPr>
      <w:r>
        <w:rPr>
          <w:rFonts w:ascii="Arial" w:hAnsi="Arial" w:cs="Arial"/>
          <w:sz w:val="20"/>
          <w:szCs w:val="20"/>
        </w:rPr>
        <w:t xml:space="preserve">In </w:t>
      </w:r>
      <w:r w:rsidRPr="00F57477">
        <w:rPr>
          <w:rFonts w:ascii="Arial" w:hAnsi="Arial" w:cs="Arial"/>
          <w:i/>
          <w:iCs/>
          <w:sz w:val="20"/>
          <w:szCs w:val="20"/>
        </w:rPr>
        <w:t>Magistrates’ Court of Victoria at Heidelberg v Robinson</w:t>
      </w:r>
      <w:r>
        <w:rPr>
          <w:rFonts w:ascii="Arial" w:hAnsi="Arial" w:cs="Arial"/>
          <w:sz w:val="20"/>
          <w:szCs w:val="20"/>
        </w:rPr>
        <w:t xml:space="preserve"> </w:t>
      </w:r>
      <w:r w:rsidRPr="00F57477">
        <w:rPr>
          <w:rFonts w:ascii="Arial" w:hAnsi="Arial" w:cs="Arial"/>
          <w:color w:val="000000"/>
          <w:sz w:val="20"/>
          <w:szCs w:val="20"/>
        </w:rPr>
        <w:t>(2000) 2 VR 233;</w:t>
      </w:r>
      <w:r>
        <w:rPr>
          <w:rFonts w:ascii="Arial" w:hAnsi="Arial" w:cs="Arial"/>
          <w:color w:val="000000"/>
          <w:sz w:val="20"/>
          <w:szCs w:val="20"/>
        </w:rPr>
        <w:t xml:space="preserve"> [2000] VSCA 198 at [1</w:t>
      </w:r>
      <w:r w:rsidR="000E62E2">
        <w:rPr>
          <w:rFonts w:ascii="Arial" w:hAnsi="Arial" w:cs="Arial"/>
          <w:color w:val="000000"/>
          <w:sz w:val="20"/>
          <w:szCs w:val="20"/>
        </w:rPr>
        <w:t>3</w:t>
      </w:r>
      <w:r>
        <w:rPr>
          <w:rFonts w:ascii="Arial" w:hAnsi="Arial" w:cs="Arial"/>
          <w:color w:val="000000"/>
          <w:sz w:val="20"/>
          <w:szCs w:val="20"/>
        </w:rPr>
        <w:t>]</w:t>
      </w:r>
      <w:r w:rsidR="000E62E2">
        <w:rPr>
          <w:rFonts w:ascii="Arial" w:hAnsi="Arial" w:cs="Arial"/>
          <w:color w:val="000000"/>
          <w:sz w:val="20"/>
          <w:szCs w:val="20"/>
        </w:rPr>
        <w:t xml:space="preserve"> &amp; </w:t>
      </w:r>
      <w:r>
        <w:rPr>
          <w:rFonts w:ascii="Arial" w:hAnsi="Arial" w:cs="Arial"/>
          <w:color w:val="000000"/>
          <w:sz w:val="20"/>
          <w:szCs w:val="20"/>
        </w:rPr>
        <w:t>[1</w:t>
      </w:r>
      <w:r w:rsidR="000E62E2">
        <w:rPr>
          <w:rFonts w:ascii="Arial" w:hAnsi="Arial" w:cs="Arial"/>
          <w:color w:val="000000"/>
          <w:sz w:val="20"/>
          <w:szCs w:val="20"/>
        </w:rPr>
        <w:t>0</w:t>
      </w:r>
      <w:r>
        <w:rPr>
          <w:rFonts w:ascii="Arial" w:hAnsi="Arial" w:cs="Arial"/>
          <w:color w:val="000000"/>
          <w:sz w:val="20"/>
          <w:szCs w:val="20"/>
        </w:rPr>
        <w:t>]</w:t>
      </w:r>
      <w:r w:rsidR="000E62E2">
        <w:rPr>
          <w:rFonts w:ascii="Arial" w:hAnsi="Arial" w:cs="Arial"/>
          <w:color w:val="000000"/>
          <w:sz w:val="20"/>
          <w:szCs w:val="20"/>
        </w:rPr>
        <w:t>-[11]</w:t>
      </w:r>
      <w:r>
        <w:rPr>
          <w:rFonts w:ascii="Arial" w:hAnsi="Arial" w:cs="Arial"/>
          <w:color w:val="000000"/>
          <w:sz w:val="20"/>
          <w:szCs w:val="20"/>
        </w:rPr>
        <w:t xml:space="preserve"> Brooking JA, with the </w:t>
      </w:r>
      <w:r w:rsidRPr="00F57477">
        <w:rPr>
          <w:rFonts w:ascii="Arial" w:hAnsi="Arial" w:cs="Arial"/>
          <w:color w:val="000000"/>
          <w:sz w:val="20"/>
          <w:szCs w:val="20"/>
        </w:rPr>
        <w:t>agreement of Charles and Buchanan JJA, surveyed the authorities from Victoria, New South Wales and England and identified the following principles:</w:t>
      </w:r>
    </w:p>
    <w:p w14:paraId="35F69CBB" w14:textId="47F26A10" w:rsid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[13] “…</w:t>
      </w:r>
      <w:r w:rsidR="00F57477" w:rsidRPr="00F57477">
        <w:rPr>
          <w:rFonts w:ascii="Arial" w:hAnsi="Arial" w:cs="Arial"/>
          <w:sz w:val="20"/>
          <w:szCs w:val="20"/>
        </w:rPr>
        <w:t xml:space="preserve">A settled practice has developed of not awarding costs against an inferior court merely because that court has made a mistake. The practice has been to require a clear case of serious misconduct </w:t>
      </w:r>
      <w:r w:rsidR="00F57477">
        <w:rPr>
          <w:rFonts w:ascii="Arial" w:hAnsi="Arial" w:cs="Arial"/>
          <w:sz w:val="20"/>
          <w:szCs w:val="20"/>
        </w:rPr>
        <w:t>–</w:t>
      </w:r>
      <w:r w:rsidR="00F57477" w:rsidRPr="00F57477">
        <w:rPr>
          <w:rFonts w:ascii="Arial" w:hAnsi="Arial" w:cs="Arial"/>
          <w:sz w:val="20"/>
          <w:szCs w:val="20"/>
        </w:rPr>
        <w:t xml:space="preserve"> misconduct</w:t>
      </w:r>
      <w:r w:rsidR="00F57477">
        <w:rPr>
          <w:rFonts w:ascii="Arial" w:hAnsi="Arial" w:cs="Arial"/>
          <w:sz w:val="20"/>
          <w:szCs w:val="20"/>
        </w:rPr>
        <w:t xml:space="preserve"> </w:t>
      </w:r>
      <w:r w:rsidR="00F57477" w:rsidRPr="00F57477">
        <w:rPr>
          <w:rFonts w:ascii="Arial" w:hAnsi="Arial" w:cs="Arial"/>
          <w:sz w:val="20"/>
          <w:szCs w:val="20"/>
        </w:rPr>
        <w:t>of such a nature as to justify an award of costs. Categories of such misconduct have come to be recognised. They are not exhaustive. What the courts have done is lay down principles or guidelines for the exercise of the discretion</w:t>
      </w:r>
      <w:r>
        <w:rPr>
          <w:rFonts w:ascii="Arial" w:hAnsi="Arial" w:cs="Arial"/>
          <w:sz w:val="20"/>
          <w:szCs w:val="20"/>
        </w:rPr>
        <w:t xml:space="preserve">: </w:t>
      </w:r>
      <w:r w:rsidRPr="000E62E2">
        <w:rPr>
          <w:rFonts w:ascii="Arial" w:hAnsi="Arial" w:cs="Arial"/>
          <w:i/>
          <w:iCs/>
          <w:sz w:val="20"/>
          <w:szCs w:val="20"/>
        </w:rPr>
        <w:t xml:space="preserve">Aiden Shipping Co Ltd v </w:t>
      </w:r>
      <w:proofErr w:type="spellStart"/>
      <w:r w:rsidRPr="000E62E2">
        <w:rPr>
          <w:rFonts w:ascii="Arial" w:hAnsi="Arial" w:cs="Arial"/>
          <w:i/>
          <w:iCs/>
          <w:sz w:val="20"/>
          <w:szCs w:val="20"/>
        </w:rPr>
        <w:t>Interbulk</w:t>
      </w:r>
      <w:proofErr w:type="spellEnd"/>
      <w:r w:rsidRPr="000E62E2">
        <w:rPr>
          <w:rFonts w:ascii="Arial" w:hAnsi="Arial" w:cs="Arial"/>
          <w:i/>
          <w:iCs/>
          <w:sz w:val="20"/>
          <w:szCs w:val="20"/>
        </w:rPr>
        <w:t xml:space="preserve"> Ltd</w:t>
      </w:r>
      <w:r>
        <w:rPr>
          <w:rFonts w:ascii="Arial" w:hAnsi="Arial" w:cs="Arial"/>
          <w:sz w:val="20"/>
          <w:szCs w:val="20"/>
        </w:rPr>
        <w:t xml:space="preserve"> [1986] AC 965 at 975 per Lord Goff; </w:t>
      </w:r>
      <w:r w:rsidRPr="000E62E2">
        <w:rPr>
          <w:rFonts w:ascii="Arial" w:hAnsi="Arial" w:cs="Arial"/>
          <w:i/>
          <w:iCs/>
          <w:sz w:val="20"/>
          <w:szCs w:val="20"/>
        </w:rPr>
        <w:t>Symphony Group Plc v Hodgson</w:t>
      </w:r>
      <w:r>
        <w:rPr>
          <w:rFonts w:ascii="Arial" w:hAnsi="Arial" w:cs="Arial"/>
          <w:sz w:val="20"/>
          <w:szCs w:val="20"/>
        </w:rPr>
        <w:t xml:space="preserve"> [1994] QB 179 at 192 per Balcombe LJ; </w:t>
      </w:r>
      <w:proofErr w:type="spellStart"/>
      <w:r>
        <w:rPr>
          <w:rFonts w:ascii="Arial" w:hAnsi="Arial" w:cs="Arial"/>
          <w:sz w:val="20"/>
          <w:szCs w:val="20"/>
        </w:rPr>
        <w:t>Norbis</w:t>
      </w:r>
      <w:proofErr w:type="spellEnd"/>
      <w:r>
        <w:rPr>
          <w:rFonts w:ascii="Arial" w:hAnsi="Arial" w:cs="Arial"/>
          <w:sz w:val="20"/>
          <w:szCs w:val="20"/>
        </w:rPr>
        <w:t xml:space="preserve"> v </w:t>
      </w:r>
      <w:proofErr w:type="spellStart"/>
      <w:r>
        <w:rPr>
          <w:rFonts w:ascii="Arial" w:hAnsi="Arial" w:cs="Arial"/>
          <w:sz w:val="20"/>
          <w:szCs w:val="20"/>
        </w:rPr>
        <w:t>Norbis</w:t>
      </w:r>
      <w:proofErr w:type="spellEnd"/>
      <w:r>
        <w:rPr>
          <w:rFonts w:ascii="Arial" w:hAnsi="Arial" w:cs="Arial"/>
          <w:sz w:val="20"/>
          <w:szCs w:val="20"/>
        </w:rPr>
        <w:t xml:space="preserve"> (1986) 161 CLR 513; </w:t>
      </w:r>
      <w:proofErr w:type="spellStart"/>
      <w:r w:rsidRPr="000E62E2">
        <w:rPr>
          <w:rFonts w:ascii="Arial" w:hAnsi="Arial" w:cs="Arial"/>
          <w:i/>
          <w:iCs/>
          <w:sz w:val="20"/>
          <w:szCs w:val="20"/>
        </w:rPr>
        <w:t>Latoudis</w:t>
      </w:r>
      <w:proofErr w:type="spellEnd"/>
      <w:r w:rsidRPr="000E62E2">
        <w:rPr>
          <w:rFonts w:ascii="Arial" w:hAnsi="Arial" w:cs="Arial"/>
          <w:i/>
          <w:iCs/>
          <w:sz w:val="20"/>
          <w:szCs w:val="20"/>
        </w:rPr>
        <w:t xml:space="preserve"> v Casey</w:t>
      </w:r>
      <w:r>
        <w:rPr>
          <w:rFonts w:ascii="Arial" w:hAnsi="Arial" w:cs="Arial"/>
          <w:sz w:val="20"/>
          <w:szCs w:val="20"/>
        </w:rPr>
        <w:t xml:space="preserve"> (1990) 170 CLR 534 at 541-2 per Mason CJ, 544-5 per Brennan J, 558-9 per Dawson J and 562 per Toohey J; </w:t>
      </w:r>
      <w:r w:rsidRPr="000E62E2">
        <w:rPr>
          <w:rFonts w:ascii="Arial" w:hAnsi="Arial" w:cs="Arial"/>
          <w:i/>
          <w:iCs/>
          <w:sz w:val="20"/>
          <w:szCs w:val="20"/>
        </w:rPr>
        <w:t xml:space="preserve">El </w:t>
      </w:r>
      <w:proofErr w:type="spellStart"/>
      <w:r w:rsidRPr="000E62E2">
        <w:rPr>
          <w:rFonts w:ascii="Arial" w:hAnsi="Arial" w:cs="Arial"/>
          <w:i/>
          <w:iCs/>
          <w:sz w:val="20"/>
          <w:szCs w:val="20"/>
        </w:rPr>
        <w:t>Deeb</w:t>
      </w:r>
      <w:proofErr w:type="spellEnd"/>
      <w:r w:rsidRPr="000E62E2">
        <w:rPr>
          <w:rFonts w:ascii="Arial" w:hAnsi="Arial" w:cs="Arial"/>
          <w:i/>
          <w:iCs/>
          <w:sz w:val="20"/>
          <w:szCs w:val="20"/>
        </w:rPr>
        <w:t xml:space="preserve"> v Magistrates’ Court of South Australia</w:t>
      </w:r>
      <w:r>
        <w:rPr>
          <w:rFonts w:ascii="Arial" w:hAnsi="Arial" w:cs="Arial"/>
          <w:sz w:val="20"/>
          <w:szCs w:val="20"/>
        </w:rPr>
        <w:t xml:space="preserve"> (1999) 72 SASR 596 at 599.”</w:t>
      </w:r>
    </w:p>
    <w:p w14:paraId="3DED7211" w14:textId="77777777" w:rsidR="000E62E2"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[10] “…</w:t>
      </w:r>
      <w:r w:rsidR="00F57477" w:rsidRPr="00F57477">
        <w:rPr>
          <w:rFonts w:ascii="Arial" w:hAnsi="Arial" w:cs="Arial"/>
          <w:sz w:val="20"/>
          <w:szCs w:val="20"/>
        </w:rPr>
        <w:t>In my view, the notion of serious misconduct or serious impropriety may be said to underlie the award of costs against inferior courts provided that it is understood that there may be misconduct or impropriety notwithstanding the absence of any </w:t>
      </w:r>
      <w:r w:rsidR="00F57477" w:rsidRPr="00F57477">
        <w:rPr>
          <w:rFonts w:ascii="Arial" w:hAnsi="Arial" w:cs="Arial"/>
          <w:i/>
          <w:iCs/>
          <w:sz w:val="20"/>
          <w:szCs w:val="20"/>
        </w:rPr>
        <w:t>knowing</w:t>
      </w:r>
      <w:r w:rsidR="00F57477" w:rsidRPr="00F57477">
        <w:rPr>
          <w:rFonts w:ascii="Arial" w:hAnsi="Arial" w:cs="Arial"/>
          <w:sz w:val="20"/>
          <w:szCs w:val="20"/>
        </w:rPr>
        <w:t xml:space="preserve"> departure from elementary principles. By this I mean that the person or persons constituting the court may be said to be guilty of serious misconduct or serious impropriety if they failed to observe some fundamental principle of justice notwithstanding that they were ignorant of that principle. Some principles are so fundamental that it may be regarded as misconduct or impropriety in the necessary sense for an inferior court not to observe them notwithstanding that the court is unaware of them. There is, I think, here to be drawn a distinction between rules of substantive law and the fundamental rules of natural justice. The superior court may be prepared to regard even </w:t>
      </w:r>
      <w:r w:rsidR="00F57477">
        <w:rPr>
          <w:rFonts w:ascii="Arial" w:hAnsi="Arial" w:cs="Arial"/>
          <w:sz w:val="20"/>
          <w:szCs w:val="20"/>
        </w:rPr>
        <w:t>‘</w:t>
      </w:r>
      <w:r w:rsidR="00F57477" w:rsidRPr="00F57477">
        <w:rPr>
          <w:rFonts w:ascii="Arial" w:hAnsi="Arial" w:cs="Arial"/>
          <w:sz w:val="20"/>
          <w:szCs w:val="20"/>
        </w:rPr>
        <w:t>an astounding blunder</w:t>
      </w:r>
      <w:r w:rsidR="00F57477">
        <w:rPr>
          <w:rFonts w:ascii="Arial" w:hAnsi="Arial" w:cs="Arial"/>
          <w:sz w:val="20"/>
          <w:szCs w:val="20"/>
        </w:rPr>
        <w:t>’</w:t>
      </w:r>
      <w:r w:rsidR="00F57477" w:rsidRPr="00F57477">
        <w:rPr>
          <w:rFonts w:ascii="Arial" w:hAnsi="Arial" w:cs="Arial"/>
          <w:sz w:val="20"/>
          <w:szCs w:val="20"/>
        </w:rPr>
        <w:t xml:space="preserve"> in a matter of substantive law as not exhibiting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xml:space="preserve"> in a necessary sense and, in the absence of </w:t>
      </w:r>
      <w:r w:rsidR="00F57477">
        <w:rPr>
          <w:rFonts w:ascii="Arial" w:hAnsi="Arial" w:cs="Arial"/>
          <w:sz w:val="20"/>
          <w:szCs w:val="20"/>
        </w:rPr>
        <w:t>‘</w:t>
      </w:r>
      <w:r w:rsidR="00F57477" w:rsidRPr="00F57477">
        <w:rPr>
          <w:rFonts w:ascii="Arial" w:hAnsi="Arial" w:cs="Arial"/>
          <w:sz w:val="20"/>
          <w:szCs w:val="20"/>
        </w:rPr>
        <w:t>perversity</w:t>
      </w:r>
      <w:r w:rsidR="00F57477">
        <w:rPr>
          <w:rFonts w:ascii="Arial" w:hAnsi="Arial" w:cs="Arial"/>
          <w:sz w:val="20"/>
          <w:szCs w:val="20"/>
        </w:rPr>
        <w:t>’</w:t>
      </w:r>
      <w:r w:rsidR="00F57477" w:rsidRPr="00F57477">
        <w:rPr>
          <w:rFonts w:ascii="Arial" w:hAnsi="Arial" w:cs="Arial"/>
          <w:sz w:val="20"/>
          <w:szCs w:val="20"/>
        </w:rPr>
        <w:t xml:space="preserve">, may decline to make an order for costs against the inferior court, although a stage might be reached at which the rule of substantive law that had, albeit through ignorance, not been applied was so fundamental as to require the case to be viewed as one of misconduct or impropriety and so as making an award of costs appropriate. But when one is concerned, not with some “ordinary” rule of substantive law, but with the fundamental principles concerning procedural fairness or natural justice, the inferior court may be held not to be excused by its own ignorance. In considering the suggestion of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and what is to be excused, one cannot overlook the fact that the lay and honorary justice has given way to the legally qualified professional magistrate. But in saying this I do not wish to suggest that a mere blunder should attract an award of costs: the approach should still be benign, or reasonably so, where a bona fide mistake has been made.</w:t>
      </w:r>
    </w:p>
    <w:p w14:paraId="276C9B3F" w14:textId="5F5D2C49" w:rsidR="00F57477" w:rsidRP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 xml:space="preserve">[11] …Marks J in </w:t>
      </w:r>
      <w:r w:rsidRPr="000E62E2">
        <w:rPr>
          <w:rFonts w:ascii="Arial" w:hAnsi="Arial" w:cs="Arial"/>
          <w:i/>
          <w:iCs/>
          <w:sz w:val="20"/>
          <w:szCs w:val="20"/>
        </w:rPr>
        <w:t>Edwards v Hutchins</w:t>
      </w:r>
      <w:r>
        <w:rPr>
          <w:rFonts w:ascii="Arial" w:hAnsi="Arial" w:cs="Arial"/>
          <w:sz w:val="20"/>
          <w:szCs w:val="20"/>
        </w:rPr>
        <w:t xml:space="preserve"> (Supreme Court of Victoria, unreported, 31/10/1990) said that [the New South Wales authorities] supported the proposition that an order for costs would not ordinarily be made against a magistrate in the absence of perverse or shameful </w:t>
      </w:r>
      <w:r w:rsidR="003D3944">
        <w:rPr>
          <w:rFonts w:ascii="Arial" w:hAnsi="Arial" w:cs="Arial"/>
          <w:sz w:val="20"/>
          <w:szCs w:val="20"/>
        </w:rPr>
        <w:t xml:space="preserve">in </w:t>
      </w:r>
      <w:r>
        <w:rPr>
          <w:rFonts w:ascii="Arial" w:hAnsi="Arial" w:cs="Arial"/>
          <w:sz w:val="20"/>
          <w:szCs w:val="20"/>
        </w:rPr>
        <w:t xml:space="preserve">conduct…In </w:t>
      </w:r>
      <w:r w:rsidRPr="003D3944">
        <w:rPr>
          <w:rFonts w:ascii="Arial" w:hAnsi="Arial" w:cs="Arial"/>
          <w:i/>
          <w:iCs/>
          <w:sz w:val="20"/>
          <w:szCs w:val="20"/>
        </w:rPr>
        <w:t>Munro v West</w:t>
      </w:r>
      <w:r>
        <w:rPr>
          <w:rFonts w:ascii="Arial" w:hAnsi="Arial" w:cs="Arial"/>
          <w:sz w:val="20"/>
          <w:szCs w:val="20"/>
        </w:rPr>
        <w:t xml:space="preserve"> (Supreme Court of Victoria, unreported, 07/03/1997) Smith J derived from them the test of whether there was a clear case of </w:t>
      </w:r>
      <w:r w:rsidR="003D3944">
        <w:rPr>
          <w:rFonts w:ascii="Arial" w:hAnsi="Arial" w:cs="Arial"/>
          <w:sz w:val="20"/>
          <w:szCs w:val="20"/>
        </w:rPr>
        <w:t xml:space="preserve">serious misconduct.  </w:t>
      </w:r>
      <w:r w:rsidR="003D3944">
        <w:rPr>
          <w:rFonts w:ascii="Arial" w:hAnsi="Arial" w:cs="Arial"/>
          <w:sz w:val="20"/>
          <w:szCs w:val="20"/>
        </w:rPr>
        <w:lastRenderedPageBreak/>
        <w:t xml:space="preserve">Chernov J, in </w:t>
      </w:r>
      <w:r w:rsidR="003D3944" w:rsidRPr="003D3944">
        <w:rPr>
          <w:rFonts w:ascii="Arial" w:hAnsi="Arial" w:cs="Arial"/>
          <w:i/>
          <w:iCs/>
          <w:sz w:val="20"/>
          <w:szCs w:val="20"/>
        </w:rPr>
        <w:t>Charter Homes Pty Ltd v Housing Guarantee Fund Ltd</w:t>
      </w:r>
      <w:r w:rsidR="003D3944">
        <w:rPr>
          <w:rFonts w:ascii="Arial" w:hAnsi="Arial" w:cs="Arial"/>
          <w:sz w:val="20"/>
          <w:szCs w:val="20"/>
        </w:rPr>
        <w:t xml:space="preserve"> (Supreme Court of Victoria, unreported, 07/03/1997) used a number of expressions to be derived from the decisions in New South Wales, as did Charles JA, speaking for the court, in </w:t>
      </w:r>
      <w:r w:rsidR="003D3944" w:rsidRPr="003D3944">
        <w:rPr>
          <w:rFonts w:ascii="Arial" w:hAnsi="Arial" w:cs="Arial"/>
          <w:i/>
          <w:iCs/>
          <w:sz w:val="20"/>
          <w:szCs w:val="20"/>
        </w:rPr>
        <w:t>Psychologists’ Registration Board of Victoria v Herald &amp; Weekly Times Ltd</w:t>
      </w:r>
      <w:r w:rsidR="003D3944">
        <w:rPr>
          <w:rFonts w:ascii="Arial" w:hAnsi="Arial" w:cs="Arial"/>
          <w:sz w:val="20"/>
          <w:szCs w:val="20"/>
        </w:rPr>
        <w:t xml:space="preserve"> [2000] VSCA 118 at [111].”</w:t>
      </w:r>
    </w:p>
    <w:p w14:paraId="44927E3D" w14:textId="77777777" w:rsidR="00056361" w:rsidRDefault="00056361" w:rsidP="00056361">
      <w:pPr>
        <w:pStyle w:val="NormalWeb"/>
        <w:shd w:val="clear" w:color="auto" w:fill="FFFFFF"/>
        <w:spacing w:before="0" w:beforeAutospacing="0" w:after="0" w:afterAutospacing="0"/>
        <w:jc w:val="both"/>
        <w:rPr>
          <w:rFonts w:ascii="Arial" w:hAnsi="Arial" w:cs="Arial"/>
          <w:sz w:val="20"/>
          <w:szCs w:val="20"/>
        </w:rPr>
      </w:pPr>
    </w:p>
    <w:p w14:paraId="6E03747C" w14:textId="626E8288" w:rsidR="00056361" w:rsidRDefault="003D3944" w:rsidP="00056361">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In </w:t>
      </w:r>
      <w:r w:rsidRPr="00482D33">
        <w:rPr>
          <w:rFonts w:ascii="Arial" w:hAnsi="Arial" w:cs="Arial"/>
          <w:i/>
          <w:iCs/>
          <w:sz w:val="20"/>
          <w:szCs w:val="20"/>
        </w:rPr>
        <w:t>Travis v Rando &amp; Anor</w:t>
      </w:r>
      <w:r>
        <w:rPr>
          <w:rFonts w:ascii="Arial" w:hAnsi="Arial" w:cs="Arial"/>
          <w:sz w:val="20"/>
          <w:szCs w:val="20"/>
        </w:rPr>
        <w:t xml:space="preserve"> [2022] VSC 782, in refusing applications by both parties for costs against the Magistrates’ Court of Victoria in a case in which the presiding magistrate had made “an error </w:t>
      </w:r>
      <w:r w:rsidRPr="003D3944">
        <w:rPr>
          <w:rFonts w:ascii="Arial" w:hAnsi="Arial" w:cs="Arial"/>
          <w:sz w:val="20"/>
          <w:szCs w:val="20"/>
        </w:rPr>
        <w:t>relating to the fundamental principles concerning procedural fairness and natural justice</w:t>
      </w:r>
      <w:r>
        <w:rPr>
          <w:rFonts w:ascii="Arial" w:hAnsi="Arial" w:cs="Arial"/>
          <w:sz w:val="20"/>
          <w:szCs w:val="20"/>
        </w:rPr>
        <w:t xml:space="preserve">”, Irving </w:t>
      </w:r>
      <w:proofErr w:type="spellStart"/>
      <w:r>
        <w:rPr>
          <w:rFonts w:ascii="Arial" w:hAnsi="Arial" w:cs="Arial"/>
          <w:sz w:val="20"/>
          <w:szCs w:val="20"/>
        </w:rPr>
        <w:t>AsJ</w:t>
      </w:r>
      <w:proofErr w:type="spellEnd"/>
      <w:r w:rsidR="00056361">
        <w:rPr>
          <w:rFonts w:ascii="Arial" w:hAnsi="Arial" w:cs="Arial"/>
          <w:sz w:val="20"/>
          <w:szCs w:val="20"/>
        </w:rPr>
        <w:t>-</w:t>
      </w:r>
    </w:p>
    <w:p w14:paraId="7EF18BF5" w14:textId="1EFB6B75" w:rsidR="00056361" w:rsidRDefault="005D0117">
      <w:pPr>
        <w:pStyle w:val="NormalWeb"/>
        <w:numPr>
          <w:ilvl w:val="0"/>
          <w:numId w:val="94"/>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t xml:space="preserve">cited at [8] the above dicta of Brooking JA in </w:t>
      </w:r>
      <w:r w:rsidRPr="00F57477">
        <w:rPr>
          <w:rFonts w:ascii="Arial" w:hAnsi="Arial" w:cs="Arial"/>
          <w:i/>
          <w:iCs/>
          <w:sz w:val="20"/>
          <w:szCs w:val="20"/>
        </w:rPr>
        <w:t>Magistrates’ Court of Victoria at Heidelberg v Robinson</w:t>
      </w:r>
      <w:r w:rsidR="003D3944">
        <w:rPr>
          <w:rFonts w:ascii="Arial" w:hAnsi="Arial" w:cs="Arial"/>
          <w:sz w:val="20"/>
          <w:szCs w:val="20"/>
        </w:rPr>
        <w:t xml:space="preserve"> </w:t>
      </w:r>
      <w:r>
        <w:rPr>
          <w:rFonts w:ascii="Arial" w:hAnsi="Arial" w:cs="Arial"/>
          <w:sz w:val="20"/>
          <w:szCs w:val="20"/>
        </w:rPr>
        <w:t>at [10] &amp; [13]</w:t>
      </w:r>
      <w:r w:rsidR="00056361">
        <w:rPr>
          <w:rFonts w:ascii="Arial" w:hAnsi="Arial" w:cs="Arial"/>
          <w:sz w:val="20"/>
          <w:szCs w:val="20"/>
        </w:rPr>
        <w:t>; and</w:t>
      </w:r>
    </w:p>
    <w:p w14:paraId="50E772E5" w14:textId="1CE93620" w:rsidR="00F57477" w:rsidRPr="00F57477" w:rsidRDefault="00056361">
      <w:pPr>
        <w:pStyle w:val="NormalWeb"/>
        <w:numPr>
          <w:ilvl w:val="0"/>
          <w:numId w:val="94"/>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t xml:space="preserve">noted </w:t>
      </w:r>
      <w:r w:rsidR="005D0117">
        <w:rPr>
          <w:rFonts w:ascii="Arial" w:hAnsi="Arial" w:cs="Arial"/>
          <w:sz w:val="20"/>
          <w:szCs w:val="20"/>
        </w:rPr>
        <w:t xml:space="preserve">at [9] that Brooking JA </w:t>
      </w:r>
      <w:r>
        <w:rPr>
          <w:rFonts w:ascii="Arial" w:hAnsi="Arial" w:cs="Arial"/>
          <w:sz w:val="20"/>
          <w:szCs w:val="20"/>
        </w:rPr>
        <w:t xml:space="preserve">had </w:t>
      </w:r>
      <w:r w:rsidR="005D0117">
        <w:rPr>
          <w:rFonts w:ascii="Arial" w:hAnsi="Arial" w:cs="Arial"/>
          <w:sz w:val="20"/>
          <w:szCs w:val="20"/>
        </w:rPr>
        <w:t xml:space="preserve">considered </w:t>
      </w:r>
      <w:r>
        <w:rPr>
          <w:rFonts w:ascii="Arial" w:hAnsi="Arial" w:cs="Arial"/>
          <w:sz w:val="20"/>
          <w:szCs w:val="20"/>
        </w:rPr>
        <w:t xml:space="preserve">at [7] </w:t>
      </w:r>
      <w:r w:rsidR="005D0117">
        <w:rPr>
          <w:rFonts w:ascii="Arial" w:hAnsi="Arial" w:cs="Arial"/>
          <w:sz w:val="20"/>
          <w:szCs w:val="20"/>
        </w:rPr>
        <w:t xml:space="preserve">that the word ‘perverse’ </w:t>
      </w:r>
      <w:r>
        <w:rPr>
          <w:rFonts w:ascii="Arial" w:hAnsi="Arial" w:cs="Arial"/>
          <w:sz w:val="20"/>
          <w:szCs w:val="20"/>
        </w:rPr>
        <w:t>was used in the New South Wales cases to “suggest something more than error, or manifest error, and conveys some such notion as obstinacy or persistence in error”.</w:t>
      </w:r>
    </w:p>
    <w:p w14:paraId="5A2FA789" w14:textId="6CAE4DA5" w:rsidR="00F57477" w:rsidRDefault="00056361" w:rsidP="00093E02">
      <w:pPr>
        <w:pStyle w:val="NormalWeb"/>
        <w:keepNext/>
        <w:keepLines/>
        <w:shd w:val="clear" w:color="auto" w:fill="FFFFFF"/>
        <w:spacing w:before="60" w:beforeAutospacing="0" w:after="0" w:afterAutospacing="0"/>
        <w:rPr>
          <w:rFonts w:ascii="Arial" w:hAnsi="Arial" w:cs="Arial"/>
          <w:sz w:val="20"/>
          <w:szCs w:val="20"/>
        </w:rPr>
      </w:pPr>
      <w:r>
        <w:rPr>
          <w:rFonts w:ascii="Arial" w:hAnsi="Arial" w:cs="Arial"/>
          <w:sz w:val="20"/>
          <w:szCs w:val="20"/>
        </w:rPr>
        <w:t xml:space="preserve">At [14] Irving </w:t>
      </w:r>
      <w:proofErr w:type="spellStart"/>
      <w:r>
        <w:rPr>
          <w:rFonts w:ascii="Arial" w:hAnsi="Arial" w:cs="Arial"/>
          <w:sz w:val="20"/>
          <w:szCs w:val="20"/>
        </w:rPr>
        <w:t>AsJ</w:t>
      </w:r>
      <w:proofErr w:type="spellEnd"/>
      <w:r>
        <w:rPr>
          <w:rFonts w:ascii="Arial" w:hAnsi="Arial" w:cs="Arial"/>
          <w:sz w:val="20"/>
          <w:szCs w:val="20"/>
        </w:rPr>
        <w:t xml:space="preserve"> concluded:</w:t>
      </w:r>
    </w:p>
    <w:p w14:paraId="07FF653A" w14:textId="2BA859A1" w:rsidR="00056361" w:rsidRDefault="00056361" w:rsidP="00056361">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w:t>
      </w:r>
      <w:r w:rsidRPr="003D3944">
        <w:rPr>
          <w:rFonts w:ascii="Arial" w:hAnsi="Arial" w:cs="Arial"/>
          <w:sz w:val="20"/>
          <w:szCs w:val="20"/>
        </w:rPr>
        <w:t>In refusing to allow Travis to make submissions or to stand the matter down to allow Travis to obtain the relevant authority, the Magistrate was clearly acting on his own, albeit incorrect, understanding of the law.</w:t>
      </w:r>
      <w:r>
        <w:rPr>
          <w:rFonts w:ascii="Arial" w:hAnsi="Arial" w:cs="Arial"/>
          <w:sz w:val="20"/>
          <w:szCs w:val="20"/>
        </w:rPr>
        <w:t xml:space="preserve"> </w:t>
      </w:r>
      <w:r w:rsidRPr="003D3944">
        <w:rPr>
          <w:rFonts w:ascii="Arial" w:hAnsi="Arial" w:cs="Arial"/>
          <w:sz w:val="20"/>
          <w:szCs w:val="20"/>
        </w:rPr>
        <w:t xml:space="preserve"> I</w:t>
      </w:r>
      <w:r>
        <w:rPr>
          <w:rFonts w:ascii="Arial" w:hAnsi="Arial" w:cs="Arial"/>
          <w:sz w:val="20"/>
          <w:szCs w:val="20"/>
        </w:rPr>
        <w:t xml:space="preserve"> </w:t>
      </w:r>
      <w:r w:rsidRPr="003D3944">
        <w:rPr>
          <w:rFonts w:ascii="Arial" w:hAnsi="Arial" w:cs="Arial"/>
          <w:sz w:val="20"/>
          <w:szCs w:val="20"/>
        </w:rPr>
        <w:t xml:space="preserve">cannot however be satisfied that the Magistrate acted in a way that meant his manifest error can be regarded as serious misconduct. </w:t>
      </w:r>
      <w:r>
        <w:rPr>
          <w:rFonts w:ascii="Arial" w:hAnsi="Arial" w:cs="Arial"/>
          <w:sz w:val="20"/>
          <w:szCs w:val="20"/>
        </w:rPr>
        <w:t xml:space="preserve"> </w:t>
      </w:r>
      <w:r w:rsidRPr="003D3944">
        <w:rPr>
          <w:rFonts w:ascii="Arial" w:hAnsi="Arial" w:cs="Arial"/>
          <w:sz w:val="20"/>
          <w:szCs w:val="20"/>
        </w:rPr>
        <w:t>The</w:t>
      </w:r>
      <w:r>
        <w:rPr>
          <w:rFonts w:ascii="Arial" w:hAnsi="Arial" w:cs="Arial"/>
          <w:sz w:val="20"/>
          <w:szCs w:val="20"/>
        </w:rPr>
        <w:t xml:space="preserve"> </w:t>
      </w:r>
      <w:r w:rsidRPr="003D3944">
        <w:rPr>
          <w:rFonts w:ascii="Arial" w:hAnsi="Arial" w:cs="Arial"/>
          <w:sz w:val="20"/>
          <w:szCs w:val="20"/>
        </w:rPr>
        <w:t>consequence of the Magistrate’s actions was serious in that the prosecution was denied procedural fairness.  In my view the brief extract of the transcript provided does not clearly show that the Magistrate acted with obstinance or persisted in error when viewed in the context of his own misunderstanding of the law.  Bearing in mind the caution with which the Court should approach ordering costs against an inferior court, I am not satisfied that it is appropriate to make such a costs order in this matter.</w:t>
      </w:r>
      <w:r>
        <w:rPr>
          <w:rFonts w:ascii="Arial" w:hAnsi="Arial" w:cs="Arial"/>
          <w:sz w:val="20"/>
          <w:szCs w:val="20"/>
        </w:rPr>
        <w:t>”</w:t>
      </w:r>
    </w:p>
    <w:p w14:paraId="4EB59EBC" w14:textId="16C7335E" w:rsidR="00056361" w:rsidRDefault="00056361" w:rsidP="00056361">
      <w:pPr>
        <w:pStyle w:val="NormalWeb"/>
        <w:shd w:val="clear" w:color="auto" w:fill="FFFFFF"/>
        <w:spacing w:before="0" w:beforeAutospacing="0" w:after="0" w:afterAutospacing="0"/>
        <w:rPr>
          <w:rFonts w:ascii="Arial" w:hAnsi="Arial" w:cs="Arial"/>
          <w:sz w:val="20"/>
          <w:szCs w:val="20"/>
        </w:rPr>
      </w:pPr>
    </w:p>
    <w:p w14:paraId="730A4F59" w14:textId="711CAD10" w:rsidR="00F6291A" w:rsidRPr="00F6291A" w:rsidRDefault="00F6291A" w:rsidP="00F6291A">
      <w:pPr>
        <w:pStyle w:val="NormalWeb"/>
        <w:shd w:val="clear" w:color="auto" w:fill="FFFFFF"/>
        <w:spacing w:before="0" w:beforeAutospacing="0" w:after="0" w:afterAutospacing="0"/>
        <w:jc w:val="both"/>
        <w:rPr>
          <w:rFonts w:ascii="Arial" w:hAnsi="Arial" w:cs="Arial"/>
          <w:sz w:val="20"/>
          <w:szCs w:val="20"/>
        </w:rPr>
      </w:pPr>
      <w:r w:rsidRPr="00F6291A">
        <w:rPr>
          <w:rFonts w:ascii="Arial" w:hAnsi="Arial" w:cs="Arial"/>
          <w:sz w:val="20"/>
          <w:szCs w:val="20"/>
        </w:rPr>
        <w:t xml:space="preserve">See also </w:t>
      </w:r>
      <w:proofErr w:type="spellStart"/>
      <w:r w:rsidRPr="00F6291A">
        <w:rPr>
          <w:rFonts w:ascii="Arial" w:eastAsia="Book Antiqua" w:hAnsi="Arial" w:cs="Arial"/>
          <w:i/>
          <w:sz w:val="20"/>
          <w:szCs w:val="20"/>
        </w:rPr>
        <w:t>Swebbs</w:t>
      </w:r>
      <w:proofErr w:type="spellEnd"/>
      <w:r w:rsidRPr="00F6291A">
        <w:rPr>
          <w:rFonts w:ascii="Arial" w:eastAsia="Book Antiqua" w:hAnsi="Arial" w:cs="Arial"/>
          <w:i/>
          <w:sz w:val="20"/>
          <w:szCs w:val="20"/>
        </w:rPr>
        <w:t xml:space="preserve"> v Magistrates’ Court of Victoria (No 2)</w:t>
      </w:r>
      <w:r w:rsidRPr="00F6291A">
        <w:rPr>
          <w:rFonts w:ascii="Arial" w:hAnsi="Arial" w:cs="Arial"/>
          <w:sz w:val="20"/>
          <w:szCs w:val="20"/>
        </w:rPr>
        <w:t xml:space="preserve"> [2017] VSC 339 (Ginnane J); </w:t>
      </w:r>
      <w:r w:rsidRPr="00F6291A">
        <w:rPr>
          <w:rFonts w:ascii="Arial" w:hAnsi="Arial" w:cs="Arial"/>
          <w:i/>
          <w:iCs/>
          <w:sz w:val="20"/>
          <w:szCs w:val="20"/>
        </w:rPr>
        <w:t>DDD v Magistrates’ Court of Victoria</w:t>
      </w:r>
      <w:r>
        <w:rPr>
          <w:rFonts w:ascii="Arial" w:hAnsi="Arial" w:cs="Arial"/>
          <w:sz w:val="20"/>
          <w:szCs w:val="20"/>
        </w:rPr>
        <w:t xml:space="preserve"> [2023] VSC 89 at [167] (Croucher J)</w:t>
      </w:r>
      <w:r w:rsidRPr="00F6291A">
        <w:rPr>
          <w:rFonts w:ascii="Arial" w:hAnsi="Arial" w:cs="Arial"/>
          <w:sz w:val="20"/>
          <w:szCs w:val="20"/>
        </w:rPr>
        <w:t>.</w:t>
      </w:r>
    </w:p>
    <w:p w14:paraId="3B26F26F" w14:textId="697C51A9" w:rsidR="00F6291A" w:rsidRDefault="00F6291A" w:rsidP="00056361">
      <w:pPr>
        <w:pStyle w:val="NormalWeb"/>
        <w:shd w:val="clear" w:color="auto" w:fill="FFFFFF"/>
        <w:spacing w:before="0" w:beforeAutospacing="0" w:after="0" w:afterAutospacing="0"/>
        <w:rPr>
          <w:rFonts w:ascii="Arial" w:hAnsi="Arial" w:cs="Arial"/>
          <w:sz w:val="20"/>
          <w:szCs w:val="20"/>
        </w:rPr>
      </w:pPr>
    </w:p>
    <w:p w14:paraId="727BBB91" w14:textId="3EEEA7DE" w:rsidR="00170463" w:rsidRPr="002C34CB" w:rsidRDefault="00170463" w:rsidP="00170463">
      <w:pPr>
        <w:pStyle w:val="Heading3"/>
        <w:keepNext/>
        <w:spacing w:after="120" w:line="240" w:lineRule="auto"/>
        <w:rPr>
          <w:rFonts w:ascii="Arial" w:hAnsi="Arial" w:cs="Arial"/>
          <w:b/>
          <w:bCs/>
          <w:sz w:val="20"/>
          <w:lang w:val="en-AU"/>
        </w:rPr>
      </w:pPr>
      <w:bookmarkStart w:id="1148" w:name="_3.9.8_The_Appeal"/>
      <w:bookmarkEnd w:id="1148"/>
      <w:r>
        <w:rPr>
          <w:rFonts w:ascii="Arial" w:hAnsi="Arial" w:cs="Arial"/>
          <w:b/>
          <w:bCs/>
          <w:sz w:val="20"/>
        </w:rPr>
        <w:t>3.9.8</w:t>
      </w:r>
      <w:r>
        <w:rPr>
          <w:rFonts w:ascii="Arial" w:hAnsi="Arial" w:cs="Arial"/>
          <w:b/>
          <w:bCs/>
          <w:sz w:val="20"/>
        </w:rPr>
        <w:tab/>
      </w:r>
      <w:r w:rsidR="001C3EC1">
        <w:rPr>
          <w:rFonts w:ascii="Arial" w:hAnsi="Arial" w:cs="Arial"/>
          <w:b/>
          <w:bCs/>
          <w:sz w:val="20"/>
        </w:rPr>
        <w:t>Costs i</w:t>
      </w:r>
      <w:r w:rsidR="00411175">
        <w:rPr>
          <w:rFonts w:ascii="Arial" w:hAnsi="Arial" w:cs="Arial"/>
          <w:b/>
          <w:bCs/>
          <w:sz w:val="20"/>
        </w:rPr>
        <w:t xml:space="preserve">ndemnity </w:t>
      </w:r>
      <w:r w:rsidR="001C3EC1">
        <w:rPr>
          <w:rFonts w:ascii="Arial" w:hAnsi="Arial" w:cs="Arial"/>
          <w:b/>
          <w:bCs/>
          <w:sz w:val="20"/>
        </w:rPr>
        <w:t>c</w:t>
      </w:r>
      <w:r w:rsidR="00411175">
        <w:rPr>
          <w:rFonts w:ascii="Arial" w:hAnsi="Arial" w:cs="Arial"/>
          <w:b/>
          <w:bCs/>
          <w:sz w:val="20"/>
        </w:rPr>
        <w:t xml:space="preserve">ertificates under the </w:t>
      </w:r>
      <w:r>
        <w:rPr>
          <w:rFonts w:ascii="Arial" w:hAnsi="Arial" w:cs="Arial"/>
          <w:b/>
          <w:bCs/>
          <w:sz w:val="20"/>
        </w:rPr>
        <w:t>Appeal Costs Act</w:t>
      </w:r>
    </w:p>
    <w:p w14:paraId="0F4DC05D" w14:textId="2051288D" w:rsidR="00482D33" w:rsidRPr="00C47ABC" w:rsidRDefault="00C47ABC" w:rsidP="00482D33">
      <w:pPr>
        <w:jc w:val="both"/>
        <w:rPr>
          <w:rFonts w:ascii="Arial" w:hAnsi="Arial" w:cs="Arial"/>
          <w:sz w:val="16"/>
          <w:szCs w:val="16"/>
        </w:rPr>
      </w:pPr>
      <w:r w:rsidRPr="00C47ABC">
        <w:rPr>
          <w:rFonts w:ascii="Arial" w:hAnsi="Arial" w:cs="Arial"/>
          <w:sz w:val="20"/>
          <w:szCs w:val="20"/>
        </w:rPr>
        <w:t xml:space="preserve">The </w:t>
      </w:r>
      <w:r w:rsidRPr="00C47ABC">
        <w:rPr>
          <w:rFonts w:ascii="Arial" w:hAnsi="Arial" w:cs="Arial"/>
          <w:i/>
          <w:iCs/>
          <w:sz w:val="20"/>
          <w:szCs w:val="20"/>
        </w:rPr>
        <w:t>Appeal Costs Act 199</w:t>
      </w:r>
      <w:r>
        <w:rPr>
          <w:rFonts w:ascii="Arial" w:hAnsi="Arial" w:cs="Arial"/>
          <w:i/>
          <w:iCs/>
          <w:sz w:val="20"/>
          <w:szCs w:val="20"/>
        </w:rPr>
        <w:t>8</w:t>
      </w:r>
      <w:r w:rsidRPr="00C47ABC">
        <w:rPr>
          <w:rFonts w:ascii="Arial" w:hAnsi="Arial" w:cs="Arial"/>
          <w:sz w:val="20"/>
          <w:szCs w:val="20"/>
        </w:rPr>
        <w:t xml:space="preserve"> [ACA] – which re-enacts with amendments the </w:t>
      </w:r>
      <w:r w:rsidRPr="00C47ABC">
        <w:rPr>
          <w:rFonts w:ascii="Arial" w:hAnsi="Arial" w:cs="Arial"/>
          <w:i/>
          <w:iCs/>
          <w:sz w:val="20"/>
          <w:szCs w:val="20"/>
        </w:rPr>
        <w:t>Appeal Costs Act 1964</w:t>
      </w:r>
      <w:r w:rsidRPr="00C47ABC">
        <w:rPr>
          <w:rFonts w:ascii="Arial" w:hAnsi="Arial" w:cs="Arial"/>
          <w:sz w:val="20"/>
          <w:szCs w:val="20"/>
        </w:rPr>
        <w:t xml:space="preserve">. </w:t>
      </w:r>
      <w:r>
        <w:rPr>
          <w:rFonts w:ascii="Arial" w:hAnsi="Arial" w:cs="Arial"/>
          <w:sz w:val="20"/>
          <w:szCs w:val="20"/>
        </w:rPr>
        <w:t xml:space="preserve">– empowers </w:t>
      </w:r>
      <w:r w:rsidR="005B16EA">
        <w:rPr>
          <w:rFonts w:ascii="Arial" w:hAnsi="Arial" w:cs="Arial"/>
          <w:sz w:val="20"/>
          <w:szCs w:val="20"/>
        </w:rPr>
        <w:t xml:space="preserve">the </w:t>
      </w:r>
      <w:r>
        <w:rPr>
          <w:rFonts w:ascii="Arial" w:hAnsi="Arial" w:cs="Arial"/>
          <w:sz w:val="20"/>
          <w:szCs w:val="20"/>
        </w:rPr>
        <w:t xml:space="preserve">issue </w:t>
      </w:r>
      <w:r w:rsidR="005B16EA">
        <w:rPr>
          <w:rFonts w:ascii="Arial" w:hAnsi="Arial" w:cs="Arial"/>
          <w:sz w:val="20"/>
          <w:szCs w:val="20"/>
        </w:rPr>
        <w:t xml:space="preserve">of </w:t>
      </w:r>
      <w:r w:rsidR="00411175">
        <w:rPr>
          <w:rFonts w:ascii="Arial" w:hAnsi="Arial" w:cs="Arial"/>
          <w:sz w:val="20"/>
          <w:szCs w:val="20"/>
        </w:rPr>
        <w:t xml:space="preserve">an </w:t>
      </w:r>
      <w:r>
        <w:rPr>
          <w:rFonts w:ascii="Arial" w:hAnsi="Arial" w:cs="Arial"/>
          <w:sz w:val="20"/>
          <w:szCs w:val="20"/>
        </w:rPr>
        <w:t>indemnity certificate</w:t>
      </w:r>
      <w:r w:rsidR="00411175">
        <w:rPr>
          <w:rFonts w:ascii="Arial" w:hAnsi="Arial" w:cs="Arial"/>
          <w:sz w:val="20"/>
          <w:szCs w:val="20"/>
        </w:rPr>
        <w:t xml:space="preserve"> [IC]</w:t>
      </w:r>
      <w:r>
        <w:rPr>
          <w:rFonts w:ascii="Arial" w:hAnsi="Arial" w:cs="Arial"/>
          <w:sz w:val="20"/>
          <w:szCs w:val="20"/>
        </w:rPr>
        <w:t xml:space="preserve"> to cover limited or specific costs of specified parties in certain circumstances.</w:t>
      </w:r>
      <w:r w:rsidR="009747F2">
        <w:rPr>
          <w:rFonts w:ascii="Arial" w:hAnsi="Arial" w:cs="Arial"/>
          <w:sz w:val="20"/>
          <w:szCs w:val="20"/>
        </w:rPr>
        <w:t xml:space="preserve">  </w:t>
      </w:r>
      <w:r w:rsidR="00170463">
        <w:rPr>
          <w:rFonts w:ascii="Arial" w:hAnsi="Arial" w:cs="Arial"/>
          <w:sz w:val="20"/>
          <w:szCs w:val="20"/>
        </w:rPr>
        <w:t xml:space="preserve">There are </w:t>
      </w:r>
      <w:r w:rsidR="00BD58DE">
        <w:rPr>
          <w:rFonts w:ascii="Arial" w:hAnsi="Arial" w:cs="Arial"/>
          <w:sz w:val="20"/>
          <w:szCs w:val="20"/>
        </w:rPr>
        <w:t xml:space="preserve">essentially </w:t>
      </w:r>
      <w:r w:rsidR="008777EC">
        <w:rPr>
          <w:rFonts w:ascii="Arial" w:hAnsi="Arial" w:cs="Arial"/>
          <w:sz w:val="20"/>
          <w:szCs w:val="20"/>
        </w:rPr>
        <w:t>4</w:t>
      </w:r>
      <w:r w:rsidR="00170463">
        <w:rPr>
          <w:rFonts w:ascii="Arial" w:hAnsi="Arial" w:cs="Arial"/>
          <w:sz w:val="20"/>
          <w:szCs w:val="20"/>
        </w:rPr>
        <w:t xml:space="preserve"> separate </w:t>
      </w:r>
      <w:r w:rsidR="008777EC">
        <w:rPr>
          <w:rFonts w:ascii="Arial" w:hAnsi="Arial" w:cs="Arial"/>
          <w:sz w:val="20"/>
          <w:szCs w:val="20"/>
        </w:rPr>
        <w:t>categories</w:t>
      </w:r>
      <w:r w:rsidR="00BD58DE">
        <w:rPr>
          <w:rFonts w:ascii="Arial" w:hAnsi="Arial" w:cs="Arial"/>
          <w:sz w:val="20"/>
          <w:szCs w:val="20"/>
        </w:rPr>
        <w:t xml:space="preserve"> of applications pursuant to</w:t>
      </w:r>
      <w:r w:rsidR="00170463">
        <w:rPr>
          <w:rFonts w:ascii="Arial" w:hAnsi="Arial" w:cs="Arial"/>
          <w:sz w:val="20"/>
          <w:szCs w:val="20"/>
        </w:rPr>
        <w:t xml:space="preserve"> which </w:t>
      </w:r>
      <w:r w:rsidR="00BD58DE">
        <w:rPr>
          <w:rFonts w:ascii="Arial" w:hAnsi="Arial" w:cs="Arial"/>
          <w:sz w:val="20"/>
          <w:szCs w:val="20"/>
        </w:rPr>
        <w:t>indemnity certificates under the ACA may be issued</w:t>
      </w:r>
      <w:r w:rsidR="005B16EA">
        <w:rPr>
          <w:rFonts w:ascii="Arial" w:hAnsi="Arial" w:cs="Arial"/>
          <w:sz w:val="20"/>
          <w:szCs w:val="20"/>
        </w:rPr>
        <w:t xml:space="preserve"> by various courts</w:t>
      </w:r>
      <w:r w:rsidR="00BD58DE">
        <w:rPr>
          <w:rFonts w:ascii="Arial" w:hAnsi="Arial" w:cs="Arial"/>
          <w:sz w:val="20"/>
          <w:szCs w:val="20"/>
        </w:rPr>
        <w:t>:</w:t>
      </w:r>
    </w:p>
    <w:p w14:paraId="13432D32" w14:textId="7C99413A" w:rsidR="00482D33" w:rsidRPr="00C705DB" w:rsidRDefault="00BD58DE">
      <w:pPr>
        <w:pStyle w:val="ListParagraph"/>
        <w:numPr>
          <w:ilvl w:val="0"/>
          <w:numId w:val="95"/>
        </w:numPr>
        <w:ind w:left="357" w:hanging="357"/>
        <w:jc w:val="both"/>
        <w:rPr>
          <w:rFonts w:ascii="Arial" w:hAnsi="Arial" w:cs="Arial"/>
          <w:b/>
          <w:bCs/>
          <w:sz w:val="20"/>
        </w:rPr>
      </w:pPr>
      <w:r w:rsidRPr="00C705DB">
        <w:rPr>
          <w:rFonts w:ascii="Arial" w:hAnsi="Arial" w:cs="Arial"/>
          <w:b/>
          <w:bCs/>
          <w:sz w:val="20"/>
        </w:rPr>
        <w:t>Part 2</w:t>
      </w:r>
      <w:r w:rsidR="00C705DB" w:rsidRPr="00C705DB">
        <w:rPr>
          <w:rFonts w:ascii="Arial" w:hAnsi="Arial" w:cs="Arial"/>
          <w:b/>
          <w:bCs/>
          <w:sz w:val="20"/>
        </w:rPr>
        <w:t>-Entitlement to payment in civil matters</w:t>
      </w:r>
    </w:p>
    <w:p w14:paraId="6FE166B3" w14:textId="118AB569" w:rsidR="00BD58DE" w:rsidRDefault="00C705DB" w:rsidP="00C705DB">
      <w:pPr>
        <w:ind w:left="35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in respect of successful appeal – s.4</w:t>
      </w:r>
    </w:p>
    <w:p w14:paraId="399BAD56" w14:textId="6563379C" w:rsidR="00C705DB" w:rsidRDefault="00C705DB" w:rsidP="00C705DB">
      <w:pPr>
        <w:ind w:left="357"/>
        <w:jc w:val="both"/>
        <w:rPr>
          <w:rFonts w:ascii="Arial" w:hAnsi="Arial" w:cs="Arial"/>
          <w:sz w:val="20"/>
          <w:szCs w:val="20"/>
        </w:rPr>
      </w:pPr>
      <w:r>
        <w:rPr>
          <w:rFonts w:ascii="Arial" w:hAnsi="Arial" w:cs="Arial"/>
          <w:sz w:val="20"/>
          <w:szCs w:val="20"/>
        </w:rPr>
        <w:t xml:space="preserve">Application by successful appellant for grant of </w:t>
      </w:r>
      <w:r w:rsidR="00411175">
        <w:rPr>
          <w:rFonts w:ascii="Arial" w:hAnsi="Arial" w:cs="Arial"/>
          <w:sz w:val="20"/>
          <w:szCs w:val="20"/>
        </w:rPr>
        <w:t>IC</w:t>
      </w:r>
      <w:r>
        <w:rPr>
          <w:rFonts w:ascii="Arial" w:hAnsi="Arial" w:cs="Arial"/>
          <w:sz w:val="20"/>
          <w:szCs w:val="20"/>
        </w:rPr>
        <w:t xml:space="preserve"> in certain circ</w:t>
      </w:r>
      <w:r w:rsidR="00411175">
        <w:rPr>
          <w:rFonts w:ascii="Arial" w:hAnsi="Arial" w:cs="Arial"/>
          <w:sz w:val="20"/>
          <w:szCs w:val="20"/>
        </w:rPr>
        <w:t>umstance</w:t>
      </w:r>
      <w:r>
        <w:rPr>
          <w:rFonts w:ascii="Arial" w:hAnsi="Arial" w:cs="Arial"/>
          <w:sz w:val="20"/>
          <w:szCs w:val="20"/>
        </w:rPr>
        <w:t>s – s.7</w:t>
      </w:r>
    </w:p>
    <w:p w14:paraId="003E071C" w14:textId="74042270" w:rsidR="00C705DB" w:rsidRDefault="00C705DB" w:rsidP="00C705DB">
      <w:pPr>
        <w:ind w:left="357"/>
        <w:jc w:val="both"/>
        <w:rPr>
          <w:rFonts w:ascii="Arial" w:hAnsi="Arial" w:cs="Arial"/>
          <w:sz w:val="20"/>
          <w:szCs w:val="20"/>
        </w:rPr>
      </w:pPr>
      <w:r>
        <w:rPr>
          <w:rFonts w:ascii="Arial" w:hAnsi="Arial" w:cs="Arial"/>
          <w:sz w:val="20"/>
          <w:szCs w:val="20"/>
        </w:rPr>
        <w:t>Appellant ordered to pay costs of new trial entitled to be indemnified – s.8</w:t>
      </w:r>
    </w:p>
    <w:p w14:paraId="5DAA1267" w14:textId="3A3CD7EE" w:rsidR="00C705DB" w:rsidRDefault="00C705DB" w:rsidP="00C705DB">
      <w:pPr>
        <w:ind w:left="35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civil proceeding discontinued and new trial ordered – s.10</w:t>
      </w:r>
    </w:p>
    <w:p w14:paraId="3CCD2D5C" w14:textId="3FD97A7B" w:rsidR="00C705DB" w:rsidRPr="00C705DB" w:rsidRDefault="00C705DB">
      <w:pPr>
        <w:pStyle w:val="ListParagraph"/>
        <w:numPr>
          <w:ilvl w:val="0"/>
          <w:numId w:val="95"/>
        </w:numPr>
        <w:ind w:left="357" w:hanging="357"/>
        <w:jc w:val="both"/>
        <w:rPr>
          <w:rFonts w:ascii="Arial" w:hAnsi="Arial" w:cs="Arial"/>
          <w:b/>
          <w:bCs/>
          <w:sz w:val="20"/>
        </w:rPr>
      </w:pPr>
      <w:r>
        <w:rPr>
          <w:rFonts w:ascii="Arial" w:hAnsi="Arial" w:cs="Arial"/>
          <w:b/>
          <w:bCs/>
          <w:sz w:val="20"/>
        </w:rPr>
        <w:t>Part</w:t>
      </w:r>
      <w:r w:rsidR="008777EC">
        <w:rPr>
          <w:rFonts w:ascii="Arial" w:hAnsi="Arial" w:cs="Arial"/>
          <w:b/>
          <w:bCs/>
          <w:sz w:val="20"/>
        </w:rPr>
        <w:t xml:space="preserve"> 3</w:t>
      </w:r>
      <w:r>
        <w:rPr>
          <w:rFonts w:ascii="Arial" w:hAnsi="Arial" w:cs="Arial"/>
          <w:b/>
          <w:bCs/>
          <w:sz w:val="20"/>
        </w:rPr>
        <w:t>-Entitlement to payment in criminal matters involving appeals/cases stated</w:t>
      </w:r>
    </w:p>
    <w:p w14:paraId="6AF84CE4" w14:textId="28AFD53A"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appellant for </w:t>
      </w:r>
      <w:r w:rsidR="00411175">
        <w:rPr>
          <w:rFonts w:ascii="Arial" w:hAnsi="Arial" w:cs="Arial"/>
          <w:sz w:val="20"/>
          <w:szCs w:val="20"/>
        </w:rPr>
        <w:t>IC</w:t>
      </w:r>
      <w:r>
        <w:rPr>
          <w:rFonts w:ascii="Arial" w:hAnsi="Arial" w:cs="Arial"/>
          <w:sz w:val="20"/>
          <w:szCs w:val="20"/>
        </w:rPr>
        <w:t xml:space="preserve"> if appeal against conviction is successful – s.14</w:t>
      </w:r>
    </w:p>
    <w:p w14:paraId="35F10C60" w14:textId="70EDB238"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w:t>
      </w:r>
      <w:r w:rsidR="008777EC">
        <w:rPr>
          <w:rFonts w:ascii="Arial" w:hAnsi="Arial" w:cs="Arial"/>
          <w:sz w:val="20"/>
          <w:szCs w:val="20"/>
        </w:rPr>
        <w:t>respo</w:t>
      </w:r>
      <w:r>
        <w:rPr>
          <w:rFonts w:ascii="Arial" w:hAnsi="Arial" w:cs="Arial"/>
          <w:sz w:val="20"/>
          <w:szCs w:val="20"/>
        </w:rPr>
        <w:t>n</w:t>
      </w:r>
      <w:r w:rsidR="008777EC">
        <w:rPr>
          <w:rFonts w:ascii="Arial" w:hAnsi="Arial" w:cs="Arial"/>
          <w:sz w:val="20"/>
          <w:szCs w:val="20"/>
        </w:rPr>
        <w:t>den</w:t>
      </w:r>
      <w:r>
        <w:rPr>
          <w:rFonts w:ascii="Arial" w:hAnsi="Arial" w:cs="Arial"/>
          <w:sz w:val="20"/>
          <w:szCs w:val="20"/>
        </w:rPr>
        <w:t xml:space="preserve">t for </w:t>
      </w:r>
      <w:r w:rsidR="00411175">
        <w:rPr>
          <w:rFonts w:ascii="Arial" w:hAnsi="Arial" w:cs="Arial"/>
          <w:sz w:val="20"/>
          <w:szCs w:val="20"/>
        </w:rPr>
        <w:t>IC</w:t>
      </w:r>
      <w:r>
        <w:rPr>
          <w:rFonts w:ascii="Arial" w:hAnsi="Arial" w:cs="Arial"/>
          <w:sz w:val="20"/>
          <w:szCs w:val="20"/>
        </w:rPr>
        <w:t xml:space="preserve"> if </w:t>
      </w:r>
      <w:r w:rsidR="008777EC">
        <w:rPr>
          <w:rFonts w:ascii="Arial" w:hAnsi="Arial" w:cs="Arial"/>
          <w:sz w:val="20"/>
          <w:szCs w:val="20"/>
        </w:rPr>
        <w:t>the Crown or DPP appeals</w:t>
      </w:r>
      <w:r>
        <w:rPr>
          <w:rFonts w:ascii="Arial" w:hAnsi="Arial" w:cs="Arial"/>
          <w:sz w:val="20"/>
          <w:szCs w:val="20"/>
        </w:rPr>
        <w:t xml:space="preserve"> – s.1</w:t>
      </w:r>
      <w:r w:rsidR="008777EC">
        <w:rPr>
          <w:rFonts w:ascii="Arial" w:hAnsi="Arial" w:cs="Arial"/>
          <w:sz w:val="20"/>
          <w:szCs w:val="20"/>
        </w:rPr>
        <w:t>5</w:t>
      </w:r>
    </w:p>
    <w:p w14:paraId="1E892AEA" w14:textId="1C267784"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interlocutory appeal by the accused is successful – s.15A</w:t>
      </w:r>
    </w:p>
    <w:p w14:paraId="3AE8E90C" w14:textId="4665A92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if interlocutory appeal by prosecution– s.15B</w:t>
      </w:r>
    </w:p>
    <w:p w14:paraId="24F4F779" w14:textId="35B683E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case stated for Court of Appeal – s.15C</w:t>
      </w:r>
    </w:p>
    <w:p w14:paraId="77A0227A" w14:textId="6FB2D68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criminal proceeding discontinued and new trial ordered</w:t>
      </w:r>
      <w:r>
        <w:rPr>
          <w:rFonts w:ascii="Arial" w:hAnsi="Arial" w:cs="Arial"/>
          <w:sz w:val="20"/>
          <w:szCs w:val="20"/>
        </w:rPr>
        <w:t xml:space="preserve"> – s.1</w:t>
      </w:r>
      <w:r w:rsidR="005B16EA">
        <w:rPr>
          <w:rFonts w:ascii="Arial" w:hAnsi="Arial" w:cs="Arial"/>
          <w:sz w:val="20"/>
          <w:szCs w:val="20"/>
        </w:rPr>
        <w:t>6</w:t>
      </w:r>
    </w:p>
    <w:p w14:paraId="5557981B" w14:textId="6EA6D41D"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w:t>
      </w:r>
      <w:r w:rsidR="005B16EA">
        <w:rPr>
          <w:rFonts w:ascii="Arial" w:hAnsi="Arial" w:cs="Arial"/>
          <w:sz w:val="20"/>
          <w:szCs w:val="20"/>
        </w:rPr>
        <w:t xml:space="preserve">accused </w:t>
      </w:r>
      <w:r>
        <w:rPr>
          <w:rFonts w:ascii="Arial" w:hAnsi="Arial" w:cs="Arial"/>
          <w:sz w:val="20"/>
          <w:szCs w:val="20"/>
        </w:rPr>
        <w:t xml:space="preserve">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DPP applies for continuation of prosecution of person previously acquitted</w:t>
      </w:r>
      <w:r>
        <w:rPr>
          <w:rFonts w:ascii="Arial" w:hAnsi="Arial" w:cs="Arial"/>
          <w:sz w:val="20"/>
          <w:szCs w:val="20"/>
        </w:rPr>
        <w:t xml:space="preserve"> – s.1</w:t>
      </w:r>
      <w:r w:rsidR="005B16EA">
        <w:rPr>
          <w:rFonts w:ascii="Arial" w:hAnsi="Arial" w:cs="Arial"/>
          <w:sz w:val="20"/>
          <w:szCs w:val="20"/>
        </w:rPr>
        <w:t>7A</w:t>
      </w:r>
    </w:p>
    <w:p w14:paraId="387C269C" w14:textId="729CA509" w:rsidR="005B16EA" w:rsidRPr="00C705DB" w:rsidRDefault="005B16EA">
      <w:pPr>
        <w:pStyle w:val="ListParagraph"/>
        <w:keepNext/>
        <w:keepLines/>
        <w:numPr>
          <w:ilvl w:val="0"/>
          <w:numId w:val="95"/>
        </w:numPr>
        <w:ind w:left="357" w:hanging="357"/>
        <w:jc w:val="both"/>
        <w:rPr>
          <w:rFonts w:ascii="Arial" w:hAnsi="Arial" w:cs="Arial"/>
          <w:b/>
          <w:bCs/>
          <w:sz w:val="20"/>
        </w:rPr>
      </w:pPr>
      <w:r>
        <w:rPr>
          <w:rFonts w:ascii="Arial" w:hAnsi="Arial" w:cs="Arial"/>
          <w:b/>
          <w:bCs/>
          <w:sz w:val="20"/>
        </w:rPr>
        <w:t>Part 4-Indemnity certificates in cases stated</w:t>
      </w:r>
    </w:p>
    <w:p w14:paraId="167077E6" w14:textId="25842A3B" w:rsidR="00411175" w:rsidRDefault="005B16EA" w:rsidP="00411175">
      <w:pPr>
        <w:ind w:left="1094" w:hanging="737"/>
        <w:jc w:val="both"/>
        <w:rPr>
          <w:rFonts w:ascii="Arial" w:hAnsi="Arial" w:cs="Arial"/>
          <w:sz w:val="20"/>
          <w:szCs w:val="20"/>
        </w:rPr>
      </w:pPr>
      <w:r>
        <w:rPr>
          <w:rFonts w:ascii="Arial" w:hAnsi="Arial" w:cs="Arial"/>
          <w:sz w:val="20"/>
        </w:rPr>
        <w:t>Applicat</w:t>
      </w:r>
      <w:r w:rsidR="00411175">
        <w:rPr>
          <w:rFonts w:ascii="Arial" w:hAnsi="Arial" w:cs="Arial"/>
          <w:sz w:val="20"/>
        </w:rPr>
        <w:t>ion</w:t>
      </w:r>
      <w:r>
        <w:rPr>
          <w:rFonts w:ascii="Arial" w:hAnsi="Arial" w:cs="Arial"/>
          <w:sz w:val="20"/>
        </w:rPr>
        <w:t xml:space="preserve"> by any party other than the Crown for </w:t>
      </w:r>
      <w:r w:rsidR="00411175">
        <w:rPr>
          <w:rFonts w:ascii="Arial" w:hAnsi="Arial" w:cs="Arial"/>
          <w:sz w:val="20"/>
        </w:rPr>
        <w:t>IC</w:t>
      </w:r>
      <w:r>
        <w:rPr>
          <w:rFonts w:ascii="Arial" w:hAnsi="Arial" w:cs="Arial"/>
          <w:sz w:val="20"/>
        </w:rPr>
        <w:t xml:space="preserve"> in any proceeding in which a case is stated or a question of law is reserved </w:t>
      </w:r>
      <w:r w:rsidR="00411175">
        <w:rPr>
          <w:rFonts w:ascii="Arial" w:hAnsi="Arial" w:cs="Arial"/>
          <w:sz w:val="20"/>
        </w:rPr>
        <w:t>– s.19</w:t>
      </w:r>
    </w:p>
    <w:p w14:paraId="6C8BCC8F" w14:textId="6696DFC1" w:rsidR="00411175" w:rsidRPr="00C705DB" w:rsidRDefault="00411175">
      <w:pPr>
        <w:pStyle w:val="ListParagraph"/>
        <w:numPr>
          <w:ilvl w:val="0"/>
          <w:numId w:val="95"/>
        </w:numPr>
        <w:ind w:left="357" w:hanging="357"/>
        <w:jc w:val="both"/>
        <w:rPr>
          <w:rFonts w:ascii="Arial" w:hAnsi="Arial" w:cs="Arial"/>
          <w:b/>
          <w:bCs/>
          <w:sz w:val="20"/>
        </w:rPr>
      </w:pPr>
      <w:r>
        <w:rPr>
          <w:rFonts w:ascii="Arial" w:hAnsi="Arial" w:cs="Arial"/>
          <w:b/>
          <w:bCs/>
          <w:sz w:val="20"/>
        </w:rPr>
        <w:t>Indemnity certificate if a criminal proceeding is adjourned – s.17</w:t>
      </w:r>
    </w:p>
    <w:p w14:paraId="4CC767CF" w14:textId="51F57800" w:rsidR="005B16EA" w:rsidRPr="005B16EA" w:rsidRDefault="00411175" w:rsidP="005B16EA">
      <w:pPr>
        <w:ind w:left="357"/>
        <w:jc w:val="both"/>
        <w:rPr>
          <w:rFonts w:ascii="Arial" w:hAnsi="Arial" w:cs="Arial"/>
          <w:sz w:val="20"/>
        </w:rPr>
      </w:pPr>
      <w:r>
        <w:rPr>
          <w:rFonts w:ascii="Arial" w:hAnsi="Arial" w:cs="Arial"/>
          <w:sz w:val="20"/>
        </w:rPr>
        <w:t>Note that there is no equivalent provision where a civil proceeding is adjourned</w:t>
      </w:r>
    </w:p>
    <w:p w14:paraId="455A8900" w14:textId="77777777" w:rsidR="0095053F" w:rsidRDefault="0095053F" w:rsidP="0095053F">
      <w:pPr>
        <w:pStyle w:val="NormalWeb"/>
        <w:shd w:val="clear" w:color="auto" w:fill="FFFFFF"/>
        <w:spacing w:before="0" w:beforeAutospacing="0" w:after="0" w:afterAutospacing="0"/>
        <w:rPr>
          <w:rFonts w:ascii="Arial" w:hAnsi="Arial" w:cs="Arial"/>
          <w:sz w:val="20"/>
          <w:szCs w:val="20"/>
        </w:rPr>
      </w:pPr>
    </w:p>
    <w:p w14:paraId="3D46ABBA" w14:textId="16DDB9DC" w:rsidR="0095053F" w:rsidRPr="002C34CB" w:rsidRDefault="0095053F" w:rsidP="0095053F">
      <w:pPr>
        <w:pStyle w:val="Heading3"/>
        <w:keepNext/>
        <w:spacing w:after="120" w:line="240" w:lineRule="auto"/>
        <w:rPr>
          <w:rFonts w:ascii="Arial" w:hAnsi="Arial" w:cs="Arial"/>
          <w:b/>
          <w:bCs/>
          <w:sz w:val="20"/>
          <w:lang w:val="en-AU"/>
        </w:rPr>
      </w:pPr>
      <w:bookmarkStart w:id="1149" w:name="_3.9.9_Costs_of"/>
      <w:bookmarkEnd w:id="1149"/>
      <w:r>
        <w:rPr>
          <w:rFonts w:ascii="Arial" w:hAnsi="Arial" w:cs="Arial"/>
          <w:b/>
          <w:bCs/>
          <w:sz w:val="20"/>
        </w:rPr>
        <w:t>3.9.9</w:t>
      </w:r>
      <w:r>
        <w:rPr>
          <w:rFonts w:ascii="Arial" w:hAnsi="Arial" w:cs="Arial"/>
          <w:b/>
          <w:bCs/>
          <w:sz w:val="20"/>
        </w:rPr>
        <w:tab/>
        <w:t>Costs of an intervener/contradictor</w:t>
      </w:r>
    </w:p>
    <w:p w14:paraId="63A17D8D" w14:textId="366A4179" w:rsidR="0095053F" w:rsidRPr="0095053F" w:rsidRDefault="0095053F" w:rsidP="00482D33">
      <w:pPr>
        <w:jc w:val="both"/>
        <w:rPr>
          <w:rFonts w:ascii="Arial" w:hAnsi="Arial" w:cs="Arial"/>
          <w:sz w:val="16"/>
          <w:szCs w:val="16"/>
        </w:rPr>
      </w:pPr>
      <w:r>
        <w:rPr>
          <w:rFonts w:ascii="Arial" w:hAnsi="Arial" w:cs="Arial"/>
          <w:sz w:val="20"/>
          <w:szCs w:val="20"/>
        </w:rPr>
        <w:t xml:space="preserve">In </w:t>
      </w:r>
      <w:r w:rsidRPr="0095053F">
        <w:rPr>
          <w:rFonts w:ascii="Arial" w:hAnsi="Arial" w:cs="Arial"/>
          <w:i/>
          <w:iCs/>
          <w:sz w:val="20"/>
          <w:szCs w:val="20"/>
        </w:rPr>
        <w:t>In the matter of Border Express Pty Ltd (No 2)</w:t>
      </w:r>
      <w:r w:rsidRPr="0095053F">
        <w:rPr>
          <w:rFonts w:ascii="Arial" w:hAnsi="Arial" w:cs="Arial"/>
          <w:sz w:val="20"/>
          <w:szCs w:val="20"/>
        </w:rPr>
        <w:t xml:space="preserve"> [2024] VSC 41 </w:t>
      </w:r>
      <w:r>
        <w:rPr>
          <w:rFonts w:ascii="Arial" w:hAnsi="Arial" w:cs="Arial"/>
          <w:sz w:val="20"/>
          <w:szCs w:val="20"/>
        </w:rPr>
        <w:t>the p</w:t>
      </w:r>
      <w:r w:rsidRPr="0095053F">
        <w:rPr>
          <w:rFonts w:ascii="Arial" w:hAnsi="Arial" w:cs="Arial"/>
          <w:sz w:val="20"/>
          <w:szCs w:val="20"/>
        </w:rPr>
        <w:t xml:space="preserve">laintiff’s proceeding </w:t>
      </w:r>
      <w:r>
        <w:rPr>
          <w:rFonts w:ascii="Arial" w:hAnsi="Arial" w:cs="Arial"/>
          <w:sz w:val="20"/>
          <w:szCs w:val="20"/>
        </w:rPr>
        <w:t>had been</w:t>
      </w:r>
      <w:r w:rsidRPr="0095053F">
        <w:rPr>
          <w:rFonts w:ascii="Arial" w:hAnsi="Arial" w:cs="Arial"/>
          <w:sz w:val="20"/>
          <w:szCs w:val="20"/>
        </w:rPr>
        <w:t xml:space="preserve"> dismissed</w:t>
      </w:r>
      <w:r>
        <w:rPr>
          <w:rFonts w:ascii="Arial" w:hAnsi="Arial" w:cs="Arial"/>
          <w:sz w:val="20"/>
          <w:szCs w:val="20"/>
        </w:rPr>
        <w:t xml:space="preserve">.  There was an </w:t>
      </w:r>
      <w:r w:rsidRPr="0095053F">
        <w:rPr>
          <w:rFonts w:ascii="Arial" w:hAnsi="Arial" w:cs="Arial"/>
          <w:sz w:val="20"/>
          <w:szCs w:val="20"/>
        </w:rPr>
        <w:t xml:space="preserve">intervener who </w:t>
      </w:r>
      <w:r>
        <w:rPr>
          <w:rFonts w:ascii="Arial" w:hAnsi="Arial" w:cs="Arial"/>
          <w:sz w:val="20"/>
          <w:szCs w:val="20"/>
        </w:rPr>
        <w:t xml:space="preserve">protected the intervener’s interests but </w:t>
      </w:r>
      <w:r w:rsidR="00BA0870">
        <w:rPr>
          <w:rFonts w:ascii="Arial" w:hAnsi="Arial" w:cs="Arial"/>
          <w:sz w:val="20"/>
          <w:szCs w:val="20"/>
        </w:rPr>
        <w:t xml:space="preserve">who </w:t>
      </w:r>
      <w:r w:rsidRPr="0095053F">
        <w:rPr>
          <w:rFonts w:ascii="Arial" w:hAnsi="Arial" w:cs="Arial"/>
          <w:sz w:val="20"/>
          <w:szCs w:val="20"/>
        </w:rPr>
        <w:t>also took on the role as a contradictor on all issues</w:t>
      </w:r>
      <w:r>
        <w:rPr>
          <w:rFonts w:ascii="Arial" w:hAnsi="Arial" w:cs="Arial"/>
          <w:sz w:val="20"/>
          <w:szCs w:val="20"/>
        </w:rPr>
        <w:t xml:space="preserve">.  </w:t>
      </w:r>
      <w:proofErr w:type="spellStart"/>
      <w:r>
        <w:rPr>
          <w:rFonts w:ascii="Arial" w:hAnsi="Arial" w:cs="Arial"/>
          <w:sz w:val="20"/>
          <w:szCs w:val="20"/>
        </w:rPr>
        <w:t>Attiwil</w:t>
      </w:r>
      <w:r w:rsidR="00BA0870">
        <w:rPr>
          <w:rFonts w:ascii="Arial" w:hAnsi="Arial" w:cs="Arial"/>
          <w:sz w:val="20"/>
          <w:szCs w:val="20"/>
        </w:rPr>
        <w:t>l</w:t>
      </w:r>
      <w:proofErr w:type="spellEnd"/>
      <w:r>
        <w:rPr>
          <w:rFonts w:ascii="Arial" w:hAnsi="Arial" w:cs="Arial"/>
          <w:sz w:val="20"/>
          <w:szCs w:val="20"/>
        </w:rPr>
        <w:t xml:space="preserve"> J ordered that the plaintiff pay the </w:t>
      </w:r>
      <w:r w:rsidRPr="0095053F">
        <w:rPr>
          <w:rFonts w:ascii="Arial" w:hAnsi="Arial" w:cs="Arial"/>
          <w:sz w:val="20"/>
          <w:szCs w:val="20"/>
        </w:rPr>
        <w:t>intervener’s costs on a standard basis</w:t>
      </w:r>
      <w:r>
        <w:rPr>
          <w:rFonts w:ascii="Arial" w:hAnsi="Arial" w:cs="Arial"/>
          <w:sz w:val="20"/>
          <w:szCs w:val="20"/>
        </w:rPr>
        <w:t>.  At [3] his Honour summarised the applicable law as follows:</w:t>
      </w:r>
    </w:p>
    <w:p w14:paraId="16C15554" w14:textId="77777777" w:rsidR="0095053F" w:rsidRDefault="0095053F" w:rsidP="0095053F">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w:t>
      </w:r>
      <w:r w:rsidRPr="0095053F">
        <w:rPr>
          <w:rFonts w:ascii="Arial" w:hAnsi="Arial" w:cs="Arial"/>
          <w:sz w:val="20"/>
          <w:szCs w:val="20"/>
        </w:rPr>
        <w:t xml:space="preserve">Pursuant to s 24 of the </w:t>
      </w:r>
      <w:r w:rsidRPr="00BA0870">
        <w:rPr>
          <w:rFonts w:ascii="Arial" w:hAnsi="Arial" w:cs="Arial"/>
          <w:i/>
          <w:iCs/>
          <w:sz w:val="20"/>
          <w:szCs w:val="20"/>
        </w:rPr>
        <w:t>Supreme Court Act 1986</w:t>
      </w:r>
      <w:r w:rsidRPr="0095053F">
        <w:rPr>
          <w:rFonts w:ascii="Arial" w:hAnsi="Arial" w:cs="Arial"/>
          <w:sz w:val="20"/>
          <w:szCs w:val="20"/>
        </w:rPr>
        <w:t xml:space="preserve"> (Vic), the costs of and incidental to the proceeding are in the discretion of the Court, and the Court has full power to determine by whom and to what extent the costs are to be paid. The discretion must</w:t>
      </w:r>
      <w:r>
        <w:rPr>
          <w:rFonts w:ascii="Arial" w:hAnsi="Arial" w:cs="Arial"/>
          <w:sz w:val="20"/>
          <w:szCs w:val="20"/>
        </w:rPr>
        <w:t xml:space="preserve"> </w:t>
      </w:r>
      <w:r w:rsidRPr="0095053F">
        <w:rPr>
          <w:rFonts w:ascii="Arial" w:hAnsi="Arial" w:cs="Arial"/>
          <w:sz w:val="20"/>
          <w:szCs w:val="20"/>
        </w:rPr>
        <w:t>be exercised judicially.</w:t>
      </w:r>
      <w:r>
        <w:rPr>
          <w:rFonts w:ascii="Arial" w:hAnsi="Arial" w:cs="Arial"/>
          <w:sz w:val="20"/>
          <w:szCs w:val="20"/>
        </w:rPr>
        <w:t xml:space="preserve">  </w:t>
      </w:r>
      <w:r w:rsidRPr="0095053F">
        <w:rPr>
          <w:rFonts w:ascii="Arial" w:hAnsi="Arial" w:cs="Arial"/>
          <w:sz w:val="20"/>
          <w:szCs w:val="20"/>
        </w:rPr>
        <w:lastRenderedPageBreak/>
        <w:t>The applicable principles concerning the costs of an intervener were not in dispute and may be relevantly summarised as follows:</w:t>
      </w:r>
    </w:p>
    <w:p w14:paraId="7B979C52" w14:textId="1FA85D0E"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an intervener has the rights, duties and liabilities of a party to a proceeding, but an intervener’s interests are in no way the same as those of other parties to a proceeding;</w:t>
      </w:r>
      <w:r w:rsidR="00BA0870">
        <w:rPr>
          <w:rFonts w:ascii="Arial" w:hAnsi="Arial" w:cs="Arial"/>
          <w:sz w:val="20"/>
          <w:szCs w:val="20"/>
        </w:rPr>
        <w:t xml:space="preserve">  s</w:t>
      </w:r>
      <w:r w:rsidR="00BA0870" w:rsidRPr="0095053F">
        <w:rPr>
          <w:rFonts w:ascii="Arial" w:hAnsi="Arial" w:cs="Arial"/>
          <w:sz w:val="20"/>
          <w:szCs w:val="20"/>
        </w:rPr>
        <w:t xml:space="preserve">ee </w:t>
      </w:r>
      <w:r w:rsidR="00BA0870" w:rsidRPr="00BA0870">
        <w:rPr>
          <w:rFonts w:ascii="Arial" w:hAnsi="Arial" w:cs="Arial"/>
          <w:i/>
          <w:iCs/>
          <w:sz w:val="20"/>
          <w:szCs w:val="20"/>
        </w:rPr>
        <w:t xml:space="preserve">Motor Trades Association of Australia Superannuation Fund Pty Ltd v </w:t>
      </w:r>
      <w:proofErr w:type="spellStart"/>
      <w:r w:rsidR="00BA0870" w:rsidRPr="00BA0870">
        <w:rPr>
          <w:rFonts w:ascii="Arial" w:hAnsi="Arial" w:cs="Arial"/>
          <w:i/>
          <w:iCs/>
          <w:sz w:val="20"/>
          <w:szCs w:val="20"/>
        </w:rPr>
        <w:t>Rickus</w:t>
      </w:r>
      <w:proofErr w:type="spellEnd"/>
      <w:r w:rsidR="00BA0870" w:rsidRPr="0095053F">
        <w:rPr>
          <w:rFonts w:ascii="Arial" w:hAnsi="Arial" w:cs="Arial"/>
          <w:sz w:val="20"/>
          <w:szCs w:val="20"/>
        </w:rPr>
        <w:t xml:space="preserve"> [2007] FCA 1878 [34] and </w:t>
      </w:r>
      <w:r w:rsidR="00BA0870" w:rsidRPr="00BA0870">
        <w:rPr>
          <w:rFonts w:ascii="Arial" w:hAnsi="Arial" w:cs="Arial"/>
          <w:i/>
          <w:iCs/>
          <w:sz w:val="20"/>
          <w:szCs w:val="20"/>
        </w:rPr>
        <w:t>Johnston v Cameron</w:t>
      </w:r>
      <w:r w:rsidR="00BA0870" w:rsidRPr="0095053F">
        <w:rPr>
          <w:rFonts w:ascii="Arial" w:hAnsi="Arial" w:cs="Arial"/>
          <w:sz w:val="20"/>
          <w:szCs w:val="20"/>
        </w:rPr>
        <w:t xml:space="preserve"> [2002] FCAFC 301 [18]–[19], citing </w:t>
      </w:r>
      <w:r w:rsidR="00BA0870" w:rsidRPr="00BA0870">
        <w:rPr>
          <w:rFonts w:ascii="Arial" w:hAnsi="Arial" w:cs="Arial"/>
          <w:i/>
          <w:iCs/>
          <w:sz w:val="20"/>
          <w:szCs w:val="20"/>
        </w:rPr>
        <w:t xml:space="preserve">Ruddock v </w:t>
      </w:r>
      <w:proofErr w:type="spellStart"/>
      <w:r w:rsidR="00BA0870" w:rsidRPr="00BA0870">
        <w:rPr>
          <w:rFonts w:ascii="Arial" w:hAnsi="Arial" w:cs="Arial"/>
          <w:i/>
          <w:iCs/>
          <w:sz w:val="20"/>
          <w:szCs w:val="20"/>
        </w:rPr>
        <w:t>Vadarlis</w:t>
      </w:r>
      <w:proofErr w:type="spellEnd"/>
      <w:r w:rsidR="00BA0870" w:rsidRPr="00BA0870">
        <w:rPr>
          <w:rFonts w:ascii="Arial" w:hAnsi="Arial" w:cs="Arial"/>
          <w:i/>
          <w:iCs/>
          <w:sz w:val="20"/>
          <w:szCs w:val="20"/>
        </w:rPr>
        <w:t xml:space="preserve"> (No 2)</w:t>
      </w:r>
      <w:r w:rsidR="00BA0870" w:rsidRPr="0095053F">
        <w:rPr>
          <w:rFonts w:ascii="Arial" w:hAnsi="Arial" w:cs="Arial"/>
          <w:sz w:val="20"/>
          <w:szCs w:val="20"/>
        </w:rPr>
        <w:t xml:space="preserve"> (2001) 115 FCR 229 [53]</w:t>
      </w:r>
      <w:r w:rsidR="00E40FDE">
        <w:rPr>
          <w:rFonts w:ascii="Arial" w:hAnsi="Arial" w:cs="Arial"/>
          <w:sz w:val="20"/>
          <w:szCs w:val="20"/>
        </w:rPr>
        <w:t>;</w:t>
      </w:r>
    </w:p>
    <w:p w14:paraId="15CD71FC" w14:textId="21926F91"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as a general rule an intervener neither pays nor receives costs</w:t>
      </w:r>
      <w:r w:rsidR="00BA0870">
        <w:rPr>
          <w:rFonts w:ascii="Arial" w:hAnsi="Arial" w:cs="Arial"/>
          <w:sz w:val="20"/>
          <w:szCs w:val="20"/>
        </w:rPr>
        <w:t xml:space="preserve">: </w:t>
      </w:r>
      <w:proofErr w:type="spellStart"/>
      <w:r w:rsidR="00BA0870" w:rsidRPr="00BA0870">
        <w:rPr>
          <w:rFonts w:ascii="Arial" w:hAnsi="Arial" w:cs="Arial"/>
          <w:i/>
          <w:iCs/>
          <w:sz w:val="20"/>
          <w:szCs w:val="20"/>
        </w:rPr>
        <w:t>Mandalinic</w:t>
      </w:r>
      <w:proofErr w:type="spellEnd"/>
      <w:r w:rsidR="00BA0870" w:rsidRPr="00BA0870">
        <w:rPr>
          <w:rFonts w:ascii="Arial" w:hAnsi="Arial" w:cs="Arial"/>
          <w:i/>
          <w:iCs/>
          <w:sz w:val="20"/>
          <w:szCs w:val="20"/>
        </w:rPr>
        <w:t xml:space="preserve"> v Stone (Liquidator) (No 2)</w:t>
      </w:r>
      <w:r w:rsidR="00BA0870" w:rsidRPr="0095053F">
        <w:rPr>
          <w:rFonts w:ascii="Arial" w:hAnsi="Arial" w:cs="Arial"/>
          <w:sz w:val="20"/>
          <w:szCs w:val="20"/>
        </w:rPr>
        <w:t xml:space="preserve"> [2023] FCAFC 176 [4</w:t>
      </w:r>
      <w:proofErr w:type="gramStart"/>
      <w:r w:rsidR="00BA0870" w:rsidRPr="0095053F">
        <w:rPr>
          <w:rFonts w:ascii="Arial" w:hAnsi="Arial" w:cs="Arial"/>
          <w:sz w:val="20"/>
          <w:szCs w:val="20"/>
        </w:rPr>
        <w:t>]</w:t>
      </w:r>
      <w:r w:rsidRPr="0095053F">
        <w:rPr>
          <w:rFonts w:ascii="Arial" w:hAnsi="Arial" w:cs="Arial"/>
          <w:sz w:val="20"/>
          <w:szCs w:val="20"/>
        </w:rPr>
        <w:t>;</w:t>
      </w:r>
      <w:proofErr w:type="gramEnd"/>
    </w:p>
    <w:p w14:paraId="039A5C34" w14:textId="003E0747"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 xml:space="preserve">there is no </w:t>
      </w:r>
      <w:r w:rsidR="00BA0870">
        <w:rPr>
          <w:rFonts w:ascii="Arial" w:hAnsi="Arial" w:cs="Arial"/>
          <w:sz w:val="20"/>
          <w:szCs w:val="20"/>
        </w:rPr>
        <w:t>‘</w:t>
      </w:r>
      <w:r w:rsidRPr="0095053F">
        <w:rPr>
          <w:rFonts w:ascii="Arial" w:hAnsi="Arial" w:cs="Arial"/>
          <w:sz w:val="20"/>
          <w:szCs w:val="20"/>
        </w:rPr>
        <w:t>usual practice</w:t>
      </w:r>
      <w:r w:rsidR="00BA0870">
        <w:rPr>
          <w:rFonts w:ascii="Arial" w:hAnsi="Arial" w:cs="Arial"/>
          <w:sz w:val="20"/>
          <w:szCs w:val="20"/>
        </w:rPr>
        <w:t>’</w:t>
      </w:r>
      <w:r w:rsidRPr="0095053F">
        <w:rPr>
          <w:rFonts w:ascii="Arial" w:hAnsi="Arial" w:cs="Arial"/>
          <w:sz w:val="20"/>
          <w:szCs w:val="20"/>
        </w:rPr>
        <w:t xml:space="preserve"> of ordering costs in an intervener’s favour when the outcome of a proceeding accords with submissions advanced by the intervener</w:t>
      </w:r>
      <w:r w:rsidR="00BA0870">
        <w:rPr>
          <w:rFonts w:ascii="Arial" w:hAnsi="Arial" w:cs="Arial"/>
          <w:sz w:val="20"/>
          <w:szCs w:val="20"/>
        </w:rPr>
        <w:t xml:space="preserve">: see </w:t>
      </w:r>
      <w:r w:rsidR="00BA0870" w:rsidRPr="00BA0870">
        <w:rPr>
          <w:rFonts w:ascii="Arial" w:hAnsi="Arial" w:cs="Arial"/>
          <w:i/>
          <w:iCs/>
          <w:sz w:val="20"/>
          <w:szCs w:val="20"/>
        </w:rPr>
        <w:t>Johnston</w:t>
      </w:r>
      <w:r w:rsidR="00BA0870" w:rsidRPr="0095053F">
        <w:rPr>
          <w:rFonts w:ascii="Arial" w:hAnsi="Arial" w:cs="Arial"/>
          <w:sz w:val="20"/>
          <w:szCs w:val="20"/>
        </w:rPr>
        <w:t xml:space="preserve"> </w:t>
      </w:r>
      <w:r w:rsidR="00BA0870">
        <w:rPr>
          <w:rFonts w:ascii="Arial" w:hAnsi="Arial" w:cs="Arial"/>
          <w:sz w:val="20"/>
          <w:szCs w:val="20"/>
        </w:rPr>
        <w:t>at</w:t>
      </w:r>
      <w:r w:rsidR="00BA0870" w:rsidRPr="0095053F">
        <w:rPr>
          <w:rFonts w:ascii="Arial" w:hAnsi="Arial" w:cs="Arial"/>
          <w:sz w:val="20"/>
          <w:szCs w:val="20"/>
        </w:rPr>
        <w:t xml:space="preserve"> [18]</w:t>
      </w:r>
      <w:r w:rsidR="00BA0870">
        <w:rPr>
          <w:rFonts w:ascii="Arial" w:hAnsi="Arial" w:cs="Arial"/>
          <w:sz w:val="20"/>
          <w:szCs w:val="20"/>
        </w:rPr>
        <w:t>-</w:t>
      </w:r>
      <w:r w:rsidR="00BA0870" w:rsidRPr="0095053F">
        <w:rPr>
          <w:rFonts w:ascii="Arial" w:hAnsi="Arial" w:cs="Arial"/>
          <w:sz w:val="20"/>
          <w:szCs w:val="20"/>
        </w:rPr>
        <w:t>[19]</w:t>
      </w:r>
      <w:r w:rsidR="00BA0870">
        <w:rPr>
          <w:rFonts w:ascii="Arial" w:hAnsi="Arial" w:cs="Arial"/>
          <w:sz w:val="20"/>
          <w:szCs w:val="20"/>
        </w:rPr>
        <w:t>; t</w:t>
      </w:r>
      <w:r w:rsidRPr="0095053F">
        <w:rPr>
          <w:rFonts w:ascii="Arial" w:hAnsi="Arial" w:cs="Arial"/>
          <w:sz w:val="20"/>
          <w:szCs w:val="20"/>
        </w:rPr>
        <w:t xml:space="preserve">his is in contrast to the position of a party to a proceeding, such as a plaintiff or a </w:t>
      </w:r>
      <w:proofErr w:type="gramStart"/>
      <w:r w:rsidRPr="0095053F">
        <w:rPr>
          <w:rFonts w:ascii="Arial" w:hAnsi="Arial" w:cs="Arial"/>
          <w:sz w:val="20"/>
          <w:szCs w:val="20"/>
        </w:rPr>
        <w:t>defendant;</w:t>
      </w:r>
      <w:proofErr w:type="gramEnd"/>
    </w:p>
    <w:p w14:paraId="79685388" w14:textId="21A884A3"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an intervener cannot expect, as a matter of course, that an unsuccessful party to the proceeding in which the intervener has intruded should bear the extra burden of the intervener’s costs even if the intervention was well intentioned and proved to be of assistance to the court</w:t>
      </w:r>
      <w:r w:rsidR="00BA0870">
        <w:rPr>
          <w:rFonts w:ascii="Arial" w:hAnsi="Arial" w:cs="Arial"/>
          <w:sz w:val="20"/>
          <w:szCs w:val="20"/>
        </w:rPr>
        <w:t xml:space="preserve">: </w:t>
      </w:r>
      <w:r w:rsidR="00BA0870" w:rsidRPr="00BA0870">
        <w:rPr>
          <w:rFonts w:ascii="Arial" w:hAnsi="Arial" w:cs="Arial"/>
          <w:i/>
          <w:iCs/>
          <w:sz w:val="20"/>
          <w:szCs w:val="20"/>
        </w:rPr>
        <w:t>City of Burnside v Attorney-General of South Australia</w:t>
      </w:r>
      <w:r w:rsidR="00BA0870" w:rsidRPr="0095053F">
        <w:rPr>
          <w:rFonts w:ascii="Arial" w:hAnsi="Arial" w:cs="Arial"/>
          <w:sz w:val="20"/>
          <w:szCs w:val="20"/>
        </w:rPr>
        <w:t xml:space="preserve"> (1994) 63 SASR 65, </w:t>
      </w:r>
      <w:proofErr w:type="gramStart"/>
      <w:r w:rsidR="00BA0870" w:rsidRPr="0095053F">
        <w:rPr>
          <w:rFonts w:ascii="Arial" w:hAnsi="Arial" w:cs="Arial"/>
          <w:sz w:val="20"/>
          <w:szCs w:val="20"/>
        </w:rPr>
        <w:t>67</w:t>
      </w:r>
      <w:r w:rsidRPr="0095053F">
        <w:rPr>
          <w:rFonts w:ascii="Arial" w:hAnsi="Arial" w:cs="Arial"/>
          <w:sz w:val="20"/>
          <w:szCs w:val="20"/>
        </w:rPr>
        <w:t>;</w:t>
      </w:r>
      <w:proofErr w:type="gramEnd"/>
    </w:p>
    <w:p w14:paraId="7F595560" w14:textId="7D277AB8" w:rsidR="00BA0870"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private litigants should not have to pay additional sums in legal fees for the general good of the administration of justice and in the elucidation of a statute of particular concern to an intervenor</w:t>
      </w:r>
      <w:r w:rsidR="00BA0870">
        <w:rPr>
          <w:rFonts w:ascii="Arial" w:hAnsi="Arial" w:cs="Arial"/>
          <w:sz w:val="20"/>
          <w:szCs w:val="20"/>
        </w:rPr>
        <w:t xml:space="preserve">: </w:t>
      </w:r>
      <w:r w:rsidR="00BA0870" w:rsidRPr="00BA0870">
        <w:rPr>
          <w:rFonts w:ascii="Arial" w:hAnsi="Arial" w:cs="Arial"/>
          <w:i/>
          <w:iCs/>
          <w:sz w:val="20"/>
          <w:szCs w:val="20"/>
        </w:rPr>
        <w:t>Tonto Home Loans Australia Pty Ltd v Tavares (No 2)</w:t>
      </w:r>
      <w:r w:rsidR="00BA0870" w:rsidRPr="0095053F">
        <w:rPr>
          <w:rFonts w:ascii="Arial" w:hAnsi="Arial" w:cs="Arial"/>
          <w:sz w:val="20"/>
          <w:szCs w:val="20"/>
        </w:rPr>
        <w:t xml:space="preserve"> [2012] NSWCA 129 [7</w:t>
      </w:r>
      <w:proofErr w:type="gramStart"/>
      <w:r w:rsidR="00BA0870" w:rsidRPr="0095053F">
        <w:rPr>
          <w:rFonts w:ascii="Arial" w:hAnsi="Arial" w:cs="Arial"/>
          <w:sz w:val="20"/>
          <w:szCs w:val="20"/>
        </w:rPr>
        <w:t>]</w:t>
      </w:r>
      <w:r w:rsidRPr="0095053F">
        <w:rPr>
          <w:rFonts w:ascii="Arial" w:hAnsi="Arial" w:cs="Arial"/>
          <w:sz w:val="20"/>
          <w:szCs w:val="20"/>
        </w:rPr>
        <w:t>;</w:t>
      </w:r>
      <w:proofErr w:type="gramEnd"/>
    </w:p>
    <w:p w14:paraId="5FE6A718" w14:textId="215E6859" w:rsidR="008373EF"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there are instances in which courts have made a costs order in favour of an intervener where the intervention was necessary to protect the interests of the intervener</w:t>
      </w:r>
      <w:r w:rsidR="00BA0870">
        <w:rPr>
          <w:rFonts w:ascii="Arial" w:hAnsi="Arial" w:cs="Arial"/>
          <w:sz w:val="20"/>
          <w:szCs w:val="20"/>
        </w:rPr>
        <w:t xml:space="preserve">: </w:t>
      </w:r>
      <w:proofErr w:type="spellStart"/>
      <w:r w:rsidR="00BA0870" w:rsidRPr="00BA0870">
        <w:rPr>
          <w:rFonts w:ascii="Arial" w:hAnsi="Arial" w:cs="Arial"/>
          <w:i/>
          <w:iCs/>
          <w:sz w:val="20"/>
          <w:szCs w:val="20"/>
        </w:rPr>
        <w:t>Mandalinic</w:t>
      </w:r>
      <w:proofErr w:type="spellEnd"/>
      <w:r w:rsidR="00BA0870" w:rsidRPr="0095053F">
        <w:rPr>
          <w:rFonts w:ascii="Arial" w:hAnsi="Arial" w:cs="Arial"/>
          <w:sz w:val="20"/>
          <w:szCs w:val="20"/>
        </w:rPr>
        <w:t xml:space="preserve"> </w:t>
      </w:r>
      <w:r w:rsidR="00BA0870">
        <w:rPr>
          <w:rFonts w:ascii="Arial" w:hAnsi="Arial" w:cs="Arial"/>
          <w:sz w:val="20"/>
          <w:szCs w:val="20"/>
        </w:rPr>
        <w:t>at</w:t>
      </w:r>
      <w:r w:rsidR="00BA0870" w:rsidRPr="0095053F">
        <w:rPr>
          <w:rFonts w:ascii="Arial" w:hAnsi="Arial" w:cs="Arial"/>
          <w:sz w:val="20"/>
          <w:szCs w:val="20"/>
        </w:rPr>
        <w:t xml:space="preserve"> [4]</w:t>
      </w:r>
      <w:r w:rsidR="008373EF">
        <w:rPr>
          <w:rFonts w:ascii="Arial" w:hAnsi="Arial" w:cs="Arial"/>
          <w:sz w:val="20"/>
          <w:szCs w:val="20"/>
        </w:rPr>
        <w:t>-</w:t>
      </w:r>
      <w:r w:rsidR="00BA0870" w:rsidRPr="0095053F">
        <w:rPr>
          <w:rFonts w:ascii="Arial" w:hAnsi="Arial" w:cs="Arial"/>
          <w:sz w:val="20"/>
          <w:szCs w:val="20"/>
        </w:rPr>
        <w:t>[5]</w:t>
      </w:r>
      <w:r w:rsidR="003B74AF">
        <w:rPr>
          <w:rFonts w:ascii="Arial" w:hAnsi="Arial" w:cs="Arial"/>
          <w:sz w:val="20"/>
          <w:szCs w:val="20"/>
        </w:rPr>
        <w:t>; i</w:t>
      </w:r>
      <w:r w:rsidRPr="0095053F">
        <w:rPr>
          <w:rFonts w:ascii="Arial" w:hAnsi="Arial" w:cs="Arial"/>
          <w:sz w:val="20"/>
          <w:szCs w:val="20"/>
        </w:rPr>
        <w:t xml:space="preserve">n </w:t>
      </w:r>
      <w:r w:rsidRPr="00BA0870">
        <w:rPr>
          <w:rFonts w:ascii="Arial" w:hAnsi="Arial" w:cs="Arial"/>
          <w:i/>
          <w:iCs/>
          <w:sz w:val="20"/>
          <w:szCs w:val="20"/>
        </w:rPr>
        <w:t>City of Burnside v Attorney-General of South Australia</w:t>
      </w:r>
      <w:r w:rsidRPr="0095053F">
        <w:rPr>
          <w:rFonts w:ascii="Arial" w:hAnsi="Arial" w:cs="Arial"/>
          <w:sz w:val="20"/>
          <w:szCs w:val="20"/>
        </w:rPr>
        <w:t xml:space="preserve">, </w:t>
      </w:r>
      <w:proofErr w:type="spellStart"/>
      <w:r w:rsidRPr="0095053F">
        <w:rPr>
          <w:rFonts w:ascii="Arial" w:hAnsi="Arial" w:cs="Arial"/>
          <w:sz w:val="20"/>
          <w:szCs w:val="20"/>
        </w:rPr>
        <w:t>Debelle</w:t>
      </w:r>
      <w:proofErr w:type="spellEnd"/>
      <w:r w:rsidRPr="0095053F">
        <w:rPr>
          <w:rFonts w:ascii="Arial" w:hAnsi="Arial" w:cs="Arial"/>
          <w:sz w:val="20"/>
          <w:szCs w:val="20"/>
        </w:rPr>
        <w:t xml:space="preserve"> J observed </w:t>
      </w:r>
      <w:r w:rsidR="008373EF">
        <w:rPr>
          <w:rFonts w:ascii="Arial" w:hAnsi="Arial" w:cs="Arial"/>
          <w:sz w:val="20"/>
          <w:szCs w:val="20"/>
        </w:rPr>
        <w:t xml:space="preserve">at 67 </w:t>
      </w:r>
      <w:r w:rsidRPr="0095053F">
        <w:rPr>
          <w:rFonts w:ascii="Arial" w:hAnsi="Arial" w:cs="Arial"/>
          <w:sz w:val="20"/>
          <w:szCs w:val="20"/>
        </w:rPr>
        <w:t xml:space="preserve">that </w:t>
      </w:r>
      <w:r w:rsidR="00BA0870">
        <w:rPr>
          <w:rFonts w:ascii="Arial" w:hAnsi="Arial" w:cs="Arial"/>
          <w:sz w:val="20"/>
          <w:szCs w:val="20"/>
        </w:rPr>
        <w:t>‘</w:t>
      </w:r>
      <w:r w:rsidRPr="0095053F">
        <w:rPr>
          <w:rFonts w:ascii="Arial" w:hAnsi="Arial" w:cs="Arial"/>
          <w:sz w:val="20"/>
          <w:szCs w:val="20"/>
        </w:rPr>
        <w:t>generally speaking, a successful intervener will recover costs only if the intervention was necessary to protect his interest</w:t>
      </w:r>
      <w:r w:rsidR="00BA0870">
        <w:rPr>
          <w:rFonts w:ascii="Arial" w:hAnsi="Arial" w:cs="Arial"/>
          <w:sz w:val="20"/>
          <w:szCs w:val="20"/>
        </w:rPr>
        <w:t>’</w:t>
      </w:r>
      <w:r w:rsidRPr="0095053F">
        <w:rPr>
          <w:rFonts w:ascii="Arial" w:hAnsi="Arial" w:cs="Arial"/>
          <w:sz w:val="20"/>
          <w:szCs w:val="20"/>
        </w:rPr>
        <w:t>;</w:t>
      </w:r>
    </w:p>
    <w:p w14:paraId="1651B8F6" w14:textId="072CC515" w:rsidR="008373EF" w:rsidRDefault="0095053F" w:rsidP="003E4770">
      <w:pPr>
        <w:pStyle w:val="NormalWeb"/>
        <w:numPr>
          <w:ilvl w:val="0"/>
          <w:numId w:val="116"/>
        </w:numPr>
        <w:shd w:val="clear" w:color="auto" w:fill="FFFFFF"/>
        <w:spacing w:before="60" w:beforeAutospacing="0" w:after="0" w:afterAutospacing="0"/>
        <w:ind w:right="454"/>
        <w:jc w:val="both"/>
        <w:rPr>
          <w:rFonts w:ascii="Arial" w:hAnsi="Arial" w:cs="Arial"/>
          <w:sz w:val="20"/>
          <w:szCs w:val="20"/>
        </w:rPr>
      </w:pPr>
      <w:r w:rsidRPr="0095053F">
        <w:rPr>
          <w:rFonts w:ascii="Arial" w:hAnsi="Arial" w:cs="Arial"/>
          <w:sz w:val="20"/>
          <w:szCs w:val="20"/>
        </w:rPr>
        <w:t xml:space="preserve">there are instances in which courts have made an order for costs in favour of an intervener in circumstances in which the intervener had a </w:t>
      </w:r>
      <w:r w:rsidR="008373EF">
        <w:rPr>
          <w:rFonts w:ascii="Arial" w:hAnsi="Arial" w:cs="Arial"/>
          <w:sz w:val="20"/>
          <w:szCs w:val="20"/>
        </w:rPr>
        <w:t>‘</w:t>
      </w:r>
      <w:r w:rsidRPr="0095053F">
        <w:rPr>
          <w:rFonts w:ascii="Arial" w:hAnsi="Arial" w:cs="Arial"/>
          <w:sz w:val="20"/>
          <w:szCs w:val="20"/>
        </w:rPr>
        <w:t>special interest</w:t>
      </w:r>
      <w:r w:rsidR="008373EF">
        <w:rPr>
          <w:rFonts w:ascii="Arial" w:hAnsi="Arial" w:cs="Arial"/>
          <w:sz w:val="20"/>
          <w:szCs w:val="20"/>
        </w:rPr>
        <w:t>’ {</w:t>
      </w:r>
      <w:proofErr w:type="spellStart"/>
      <w:r w:rsidR="008373EF" w:rsidRPr="008373EF">
        <w:rPr>
          <w:rFonts w:ascii="Arial" w:hAnsi="Arial" w:cs="Arial"/>
          <w:i/>
          <w:iCs/>
          <w:sz w:val="20"/>
          <w:szCs w:val="20"/>
        </w:rPr>
        <w:t>Xat</w:t>
      </w:r>
      <w:proofErr w:type="spellEnd"/>
      <w:r w:rsidR="008373EF" w:rsidRPr="008373EF">
        <w:rPr>
          <w:rFonts w:ascii="Arial" w:hAnsi="Arial" w:cs="Arial"/>
          <w:i/>
          <w:iCs/>
          <w:sz w:val="20"/>
          <w:szCs w:val="20"/>
        </w:rPr>
        <w:t xml:space="preserve"> Ky v </w:t>
      </w:r>
      <w:proofErr w:type="spellStart"/>
      <w:r w:rsidR="008373EF" w:rsidRPr="008373EF">
        <w:rPr>
          <w:rFonts w:ascii="Arial" w:hAnsi="Arial" w:cs="Arial"/>
          <w:i/>
          <w:iCs/>
          <w:sz w:val="20"/>
          <w:szCs w:val="20"/>
        </w:rPr>
        <w:t>Australvic</w:t>
      </w:r>
      <w:proofErr w:type="spellEnd"/>
      <w:r w:rsidR="008373EF" w:rsidRPr="008373EF">
        <w:rPr>
          <w:rFonts w:ascii="Arial" w:hAnsi="Arial" w:cs="Arial"/>
          <w:i/>
          <w:iCs/>
          <w:sz w:val="20"/>
          <w:szCs w:val="20"/>
        </w:rPr>
        <w:t xml:space="preserve"> Property Management Pty Ltd (No 2)</w:t>
      </w:r>
      <w:r w:rsidR="008373EF" w:rsidRPr="008373EF">
        <w:rPr>
          <w:rFonts w:ascii="Arial" w:hAnsi="Arial" w:cs="Arial"/>
          <w:sz w:val="20"/>
          <w:szCs w:val="20"/>
        </w:rPr>
        <w:t xml:space="preserve"> [2007] FCA 1785 [22]</w:t>
      </w:r>
      <w:r w:rsidR="008373EF">
        <w:rPr>
          <w:rFonts w:ascii="Arial" w:hAnsi="Arial" w:cs="Arial"/>
          <w:sz w:val="20"/>
          <w:szCs w:val="20"/>
        </w:rPr>
        <w:t xml:space="preserve">} </w:t>
      </w:r>
      <w:r w:rsidRPr="0095053F">
        <w:rPr>
          <w:rFonts w:ascii="Arial" w:hAnsi="Arial" w:cs="Arial"/>
          <w:sz w:val="20"/>
          <w:szCs w:val="20"/>
        </w:rPr>
        <w:t xml:space="preserve">or a </w:t>
      </w:r>
      <w:r w:rsidR="008373EF">
        <w:rPr>
          <w:rFonts w:ascii="Arial" w:hAnsi="Arial" w:cs="Arial"/>
          <w:sz w:val="20"/>
          <w:szCs w:val="20"/>
        </w:rPr>
        <w:t>‘</w:t>
      </w:r>
      <w:r w:rsidRPr="0095053F">
        <w:rPr>
          <w:rFonts w:ascii="Arial" w:hAnsi="Arial" w:cs="Arial"/>
          <w:sz w:val="20"/>
          <w:szCs w:val="20"/>
        </w:rPr>
        <w:t>legitimate interest</w:t>
      </w:r>
      <w:r w:rsidR="008373EF">
        <w:rPr>
          <w:rFonts w:ascii="Arial" w:hAnsi="Arial" w:cs="Arial"/>
          <w:sz w:val="20"/>
          <w:szCs w:val="20"/>
        </w:rPr>
        <w:t>’ {</w:t>
      </w:r>
      <w:r w:rsidR="008373EF" w:rsidRPr="008373EF">
        <w:rPr>
          <w:rFonts w:ascii="Arial" w:hAnsi="Arial" w:cs="Arial"/>
          <w:i/>
          <w:iCs/>
          <w:sz w:val="20"/>
          <w:szCs w:val="20"/>
        </w:rPr>
        <w:t>Motor Trades</w:t>
      </w:r>
      <w:r w:rsidR="008373EF" w:rsidRPr="008373EF">
        <w:rPr>
          <w:rFonts w:ascii="Arial" w:hAnsi="Arial" w:cs="Arial"/>
          <w:sz w:val="20"/>
          <w:szCs w:val="20"/>
        </w:rPr>
        <w:t xml:space="preserve"> </w:t>
      </w:r>
      <w:r w:rsidR="008373EF">
        <w:rPr>
          <w:rFonts w:ascii="Arial" w:hAnsi="Arial" w:cs="Arial"/>
          <w:sz w:val="20"/>
          <w:szCs w:val="20"/>
        </w:rPr>
        <w:t>at</w:t>
      </w:r>
      <w:r w:rsidR="008373EF" w:rsidRPr="008373EF">
        <w:rPr>
          <w:rFonts w:ascii="Arial" w:hAnsi="Arial" w:cs="Arial"/>
          <w:sz w:val="20"/>
          <w:szCs w:val="20"/>
        </w:rPr>
        <w:t xml:space="preserve"> [34]–[35]</w:t>
      </w:r>
      <w:r w:rsidR="008373EF">
        <w:rPr>
          <w:rFonts w:ascii="Arial" w:hAnsi="Arial" w:cs="Arial"/>
          <w:sz w:val="20"/>
          <w:szCs w:val="20"/>
        </w:rPr>
        <w:t xml:space="preserve"> &amp;</w:t>
      </w:r>
      <w:r w:rsidR="008373EF" w:rsidRPr="008373EF">
        <w:rPr>
          <w:rFonts w:ascii="Arial" w:hAnsi="Arial" w:cs="Arial"/>
          <w:sz w:val="20"/>
          <w:szCs w:val="20"/>
        </w:rPr>
        <w:t xml:space="preserve"> [38]</w:t>
      </w:r>
      <w:r w:rsidR="008373EF">
        <w:rPr>
          <w:rFonts w:ascii="Arial" w:hAnsi="Arial" w:cs="Arial"/>
          <w:sz w:val="20"/>
          <w:szCs w:val="20"/>
        </w:rPr>
        <w:t>}</w:t>
      </w:r>
      <w:r w:rsidRPr="0095053F">
        <w:rPr>
          <w:rFonts w:ascii="Arial" w:hAnsi="Arial" w:cs="Arial"/>
          <w:sz w:val="20"/>
          <w:szCs w:val="20"/>
        </w:rPr>
        <w:t xml:space="preserve"> or an </w:t>
      </w:r>
      <w:r w:rsidR="008373EF">
        <w:rPr>
          <w:rFonts w:ascii="Arial" w:hAnsi="Arial" w:cs="Arial"/>
          <w:sz w:val="20"/>
          <w:szCs w:val="20"/>
        </w:rPr>
        <w:t>‘</w:t>
      </w:r>
      <w:r w:rsidRPr="0095053F">
        <w:rPr>
          <w:rFonts w:ascii="Arial" w:hAnsi="Arial" w:cs="Arial"/>
          <w:sz w:val="20"/>
          <w:szCs w:val="20"/>
        </w:rPr>
        <w:t>interest</w:t>
      </w:r>
      <w:r w:rsidR="008373EF">
        <w:rPr>
          <w:rFonts w:ascii="Arial" w:hAnsi="Arial" w:cs="Arial"/>
          <w:sz w:val="20"/>
          <w:szCs w:val="20"/>
        </w:rPr>
        <w:t>’</w:t>
      </w:r>
      <w:r w:rsidRPr="0095053F">
        <w:rPr>
          <w:rFonts w:ascii="Arial" w:hAnsi="Arial" w:cs="Arial"/>
          <w:sz w:val="20"/>
          <w:szCs w:val="20"/>
        </w:rPr>
        <w:t xml:space="preserve"> in the proceeding</w:t>
      </w:r>
      <w:r w:rsidR="008373EF">
        <w:rPr>
          <w:rFonts w:ascii="Arial" w:hAnsi="Arial" w:cs="Arial"/>
          <w:sz w:val="20"/>
          <w:szCs w:val="20"/>
        </w:rPr>
        <w:t xml:space="preserve"> {</w:t>
      </w:r>
      <w:r w:rsidR="008373EF" w:rsidRPr="008373EF">
        <w:rPr>
          <w:rFonts w:ascii="Arial" w:hAnsi="Arial" w:cs="Arial"/>
          <w:i/>
          <w:iCs/>
          <w:sz w:val="20"/>
          <w:szCs w:val="20"/>
        </w:rPr>
        <w:t>Queensland North Australia Pty Ltd v Takeovers Panel</w:t>
      </w:r>
      <w:r w:rsidR="008373EF" w:rsidRPr="008373EF">
        <w:rPr>
          <w:rFonts w:ascii="Arial" w:hAnsi="Arial" w:cs="Arial"/>
          <w:sz w:val="20"/>
          <w:szCs w:val="20"/>
        </w:rPr>
        <w:t xml:space="preserve"> (2014) 100 ACSR 358 [235]</w:t>
      </w:r>
      <w:r w:rsidR="008373EF">
        <w:rPr>
          <w:rFonts w:ascii="Arial" w:hAnsi="Arial" w:cs="Arial"/>
          <w:sz w:val="20"/>
          <w:szCs w:val="20"/>
        </w:rPr>
        <w:t>}</w:t>
      </w:r>
      <w:r w:rsidRPr="0095053F">
        <w:rPr>
          <w:rFonts w:ascii="Arial" w:hAnsi="Arial" w:cs="Arial"/>
          <w:sz w:val="20"/>
          <w:szCs w:val="20"/>
        </w:rPr>
        <w:t xml:space="preserve"> where those interests were different to a parties’ interests</w:t>
      </w:r>
      <w:r w:rsidR="008373EF">
        <w:rPr>
          <w:rFonts w:ascii="Arial" w:hAnsi="Arial" w:cs="Arial"/>
          <w:sz w:val="20"/>
          <w:szCs w:val="20"/>
        </w:rPr>
        <w:t xml:space="preserve"> {</w:t>
      </w:r>
      <w:r w:rsidR="008373EF" w:rsidRPr="008373EF">
        <w:rPr>
          <w:rFonts w:ascii="Arial" w:hAnsi="Arial" w:cs="Arial"/>
          <w:i/>
          <w:iCs/>
          <w:sz w:val="20"/>
          <w:szCs w:val="20"/>
        </w:rPr>
        <w:t>Motor Trades</w:t>
      </w:r>
      <w:r w:rsidR="008373EF" w:rsidRPr="008373EF">
        <w:rPr>
          <w:rFonts w:ascii="Arial" w:hAnsi="Arial" w:cs="Arial"/>
          <w:sz w:val="20"/>
          <w:szCs w:val="20"/>
        </w:rPr>
        <w:t xml:space="preserve"> </w:t>
      </w:r>
      <w:r w:rsidR="008373EF">
        <w:rPr>
          <w:rFonts w:ascii="Arial" w:hAnsi="Arial" w:cs="Arial"/>
          <w:sz w:val="20"/>
          <w:szCs w:val="20"/>
        </w:rPr>
        <w:t>at</w:t>
      </w:r>
      <w:r w:rsidR="008373EF" w:rsidRPr="008373EF">
        <w:rPr>
          <w:rFonts w:ascii="Arial" w:hAnsi="Arial" w:cs="Arial"/>
          <w:sz w:val="20"/>
          <w:szCs w:val="20"/>
        </w:rPr>
        <w:t xml:space="preserve"> [38]</w:t>
      </w:r>
      <w:r w:rsidR="008373EF">
        <w:rPr>
          <w:rFonts w:ascii="Arial" w:hAnsi="Arial" w:cs="Arial"/>
          <w:sz w:val="20"/>
          <w:szCs w:val="20"/>
        </w:rPr>
        <w:t>}</w:t>
      </w:r>
      <w:r w:rsidRPr="0095053F">
        <w:rPr>
          <w:rFonts w:ascii="Arial" w:hAnsi="Arial" w:cs="Arial"/>
          <w:sz w:val="20"/>
          <w:szCs w:val="20"/>
        </w:rPr>
        <w:t>;</w:t>
      </w:r>
      <w:r w:rsidR="008373EF">
        <w:rPr>
          <w:rFonts w:ascii="Arial" w:hAnsi="Arial" w:cs="Arial"/>
          <w:sz w:val="20"/>
          <w:szCs w:val="20"/>
        </w:rPr>
        <w:t xml:space="preserve"> </w:t>
      </w:r>
      <w:r w:rsidRPr="0095053F">
        <w:rPr>
          <w:rFonts w:ascii="Arial" w:hAnsi="Arial" w:cs="Arial"/>
          <w:sz w:val="20"/>
          <w:szCs w:val="20"/>
        </w:rPr>
        <w:t>and</w:t>
      </w:r>
    </w:p>
    <w:p w14:paraId="5B49590F" w14:textId="5219D9A4" w:rsidR="0095053F" w:rsidRPr="008373EF" w:rsidRDefault="0095053F" w:rsidP="003E4770">
      <w:pPr>
        <w:pStyle w:val="NormalWeb"/>
        <w:numPr>
          <w:ilvl w:val="0"/>
          <w:numId w:val="116"/>
        </w:numPr>
        <w:shd w:val="clear" w:color="auto" w:fill="FFFFFF"/>
        <w:spacing w:before="60" w:beforeAutospacing="0" w:after="0" w:afterAutospacing="0"/>
        <w:ind w:left="811" w:right="454" w:hanging="357"/>
        <w:jc w:val="both"/>
        <w:rPr>
          <w:rFonts w:ascii="Arial" w:hAnsi="Arial" w:cs="Arial"/>
          <w:sz w:val="16"/>
          <w:szCs w:val="16"/>
        </w:rPr>
      </w:pPr>
      <w:r w:rsidRPr="008373EF">
        <w:rPr>
          <w:rFonts w:ascii="Arial" w:hAnsi="Arial" w:cs="Arial"/>
          <w:sz w:val="20"/>
          <w:szCs w:val="20"/>
        </w:rPr>
        <w:t xml:space="preserve">an order for costs either in favour or against an intervener must also </w:t>
      </w:r>
      <w:proofErr w:type="gramStart"/>
      <w:r w:rsidRPr="008373EF">
        <w:rPr>
          <w:rFonts w:ascii="Arial" w:hAnsi="Arial" w:cs="Arial"/>
          <w:sz w:val="20"/>
          <w:szCs w:val="20"/>
        </w:rPr>
        <w:t>take into account</w:t>
      </w:r>
      <w:proofErr w:type="gramEnd"/>
      <w:r w:rsidRPr="008373EF">
        <w:rPr>
          <w:rFonts w:ascii="Arial" w:hAnsi="Arial" w:cs="Arial"/>
          <w:sz w:val="20"/>
          <w:szCs w:val="20"/>
        </w:rPr>
        <w:t xml:space="preserve"> the role the intervener assumed and the intervener’s participation in the proceeding</w:t>
      </w:r>
      <w:r w:rsidR="008373EF" w:rsidRPr="008373EF">
        <w:rPr>
          <w:rFonts w:ascii="Arial" w:hAnsi="Arial" w:cs="Arial"/>
          <w:sz w:val="20"/>
          <w:szCs w:val="20"/>
        </w:rPr>
        <w:t xml:space="preserve">: </w:t>
      </w:r>
      <w:r w:rsidR="008373EF" w:rsidRPr="008373EF">
        <w:rPr>
          <w:rFonts w:ascii="Arial" w:hAnsi="Arial" w:cs="Arial"/>
          <w:i/>
          <w:iCs/>
          <w:sz w:val="20"/>
          <w:szCs w:val="20"/>
        </w:rPr>
        <w:t>Motor Trades</w:t>
      </w:r>
      <w:r w:rsidR="008373EF" w:rsidRPr="008373EF">
        <w:rPr>
          <w:rFonts w:ascii="Arial" w:hAnsi="Arial" w:cs="Arial"/>
          <w:sz w:val="20"/>
          <w:szCs w:val="20"/>
        </w:rPr>
        <w:t xml:space="preserve"> at [34]</w:t>
      </w:r>
      <w:r w:rsidRPr="008373EF">
        <w:rPr>
          <w:rFonts w:ascii="Arial" w:hAnsi="Arial" w:cs="Arial"/>
          <w:sz w:val="20"/>
          <w:szCs w:val="20"/>
        </w:rPr>
        <w:t>.</w:t>
      </w:r>
      <w:r w:rsidR="008373EF" w:rsidRPr="008373EF">
        <w:rPr>
          <w:rFonts w:ascii="Arial" w:hAnsi="Arial" w:cs="Arial"/>
          <w:sz w:val="20"/>
          <w:szCs w:val="20"/>
        </w:rPr>
        <w:t>”</w:t>
      </w:r>
    </w:p>
    <w:p w14:paraId="688FF34D" w14:textId="77777777" w:rsidR="0095053F" w:rsidRPr="00791730" w:rsidRDefault="0095053F" w:rsidP="00482D33">
      <w:pPr>
        <w:jc w:val="both"/>
        <w:rPr>
          <w:rFonts w:ascii="Arial" w:hAnsi="Arial" w:cs="Arial"/>
          <w:sz w:val="20"/>
          <w:szCs w:val="20"/>
        </w:rPr>
      </w:pPr>
    </w:p>
    <w:p w14:paraId="3A172CC0" w14:textId="59937954" w:rsidR="005B1EBA" w:rsidRDefault="005B1EBA" w:rsidP="005B1EBA">
      <w:pPr>
        <w:pStyle w:val="Heading2"/>
        <w:keepNext/>
        <w:tabs>
          <w:tab w:val="left" w:pos="567"/>
        </w:tabs>
        <w:spacing w:line="240" w:lineRule="auto"/>
        <w:rPr>
          <w:rFonts w:ascii="Arial" w:hAnsi="Arial" w:cs="Arial"/>
          <w:b/>
          <w:bCs/>
        </w:rPr>
      </w:pPr>
      <w:bookmarkStart w:id="1150" w:name="_3.10_Appeals/Reviews"/>
      <w:bookmarkEnd w:id="1150"/>
      <w:r>
        <w:rPr>
          <w:rFonts w:ascii="Arial" w:hAnsi="Arial" w:cs="Arial"/>
          <w:b/>
          <w:bCs/>
        </w:rPr>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151" w:name="_3.10.1_Appeals_to"/>
    <w:bookmarkStart w:id="1152" w:name="_Hlk96596487"/>
    <w:bookmarkEnd w:id="1151"/>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0A960FAD" w:rsidR="00E978C0" w:rsidRDefault="00E978C0" w:rsidP="00692743">
      <w:pPr>
        <w:jc w:val="both"/>
        <w:rPr>
          <w:rFonts w:ascii="Arial" w:hAnsi="Arial" w:cs="Arial"/>
          <w:sz w:val="20"/>
        </w:rPr>
      </w:pPr>
    </w:p>
    <w:p w14:paraId="39E411D3" w14:textId="7D8CAB68" w:rsidR="00CC6128" w:rsidRDefault="00CC6128" w:rsidP="00CC6128">
      <w:pPr>
        <w:pBdr>
          <w:top w:val="thinThickThinSmallGap" w:sz="24" w:space="1" w:color="auto"/>
        </w:pBdr>
        <w:jc w:val="both"/>
        <w:rPr>
          <w:rFonts w:ascii="Arial" w:hAnsi="Arial" w:cs="Arial"/>
          <w:sz w:val="20"/>
        </w:rPr>
      </w:pPr>
    </w:p>
    <w:p w14:paraId="735F169C" w14:textId="0B4249EF" w:rsidR="00CC6128" w:rsidRDefault="00CC6128" w:rsidP="00CC6128">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 final order made in child protection proceedings in the Family Division of the Children’s Court – formerly created by s.328 of the CYFA – has been removed, following the repeal of that section by s.3 of the </w:t>
      </w:r>
      <w:r w:rsidR="00A962F2">
        <w:rPr>
          <w:rFonts w:ascii="Arial" w:hAnsi="Arial" w:cs="Arial"/>
          <w:sz w:val="20"/>
        </w:rPr>
        <w:t xml:space="preserve">rather </w:t>
      </w:r>
      <w:r>
        <w:rPr>
          <w:rFonts w:ascii="Arial" w:hAnsi="Arial" w:cs="Arial"/>
          <w:sz w:val="20"/>
        </w:rPr>
        <w:t xml:space="preserve">misleadingly-named </w:t>
      </w:r>
      <w:r w:rsidRPr="00607388">
        <w:rPr>
          <w:rFonts w:ascii="Arial" w:hAnsi="Arial" w:cs="Arial"/>
          <w:i/>
          <w:iCs/>
          <w:sz w:val="20"/>
        </w:rPr>
        <w:t>Justice Legislation Amendment (Criminal Appeals</w:t>
      </w:r>
      <w:r>
        <w:rPr>
          <w:rFonts w:ascii="Arial" w:hAnsi="Arial" w:cs="Arial"/>
          <w:i/>
          <w:iCs/>
          <w:sz w:val="20"/>
        </w:rPr>
        <w:t>)</w:t>
      </w:r>
      <w:r w:rsidRPr="00607388">
        <w:rPr>
          <w:rFonts w:ascii="Arial" w:hAnsi="Arial" w:cs="Arial"/>
          <w:i/>
          <w:iCs/>
          <w:sz w:val="20"/>
        </w:rPr>
        <w:t xml:space="preserve"> Act 2019</w:t>
      </w:r>
      <w:r>
        <w:rPr>
          <w:rFonts w:ascii="Arial" w:hAnsi="Arial" w:cs="Arial"/>
          <w:sz w:val="20"/>
        </w:rPr>
        <w:t>.  The only avenues of “appeal” in relation to orders made by judges or magistrates in child protection proceedings are:</w:t>
      </w:r>
    </w:p>
    <w:p w14:paraId="21F36339" w14:textId="77777777" w:rsidR="00CC6128" w:rsidRPr="00210AE6" w:rsidRDefault="00CC6128" w:rsidP="00CC6128">
      <w:pPr>
        <w:pStyle w:val="ListParagraph"/>
        <w:numPr>
          <w:ilvl w:val="0"/>
          <w:numId w:val="79"/>
        </w:numPr>
        <w:ind w:left="357" w:hanging="357"/>
        <w:jc w:val="both"/>
        <w:rPr>
          <w:rFonts w:ascii="Arial" w:hAnsi="Arial" w:cs="Arial"/>
          <w:sz w:val="20"/>
        </w:rPr>
      </w:pPr>
      <w:r w:rsidRPr="00210AE6">
        <w:rPr>
          <w:rFonts w:ascii="Arial" w:hAnsi="Arial" w:cs="Arial"/>
          <w:sz w:val="20"/>
        </w:rPr>
        <w:t xml:space="preserve">appeals under s.329 CYFA or judicial reviews under Order 56 Supreme Court Rules where there is an alleged error of </w:t>
      </w:r>
      <w:proofErr w:type="gramStart"/>
      <w:r w:rsidRPr="00210AE6">
        <w:rPr>
          <w:rFonts w:ascii="Arial" w:hAnsi="Arial" w:cs="Arial"/>
          <w:sz w:val="20"/>
        </w:rPr>
        <w:t>law;</w:t>
      </w:r>
      <w:proofErr w:type="gramEnd"/>
      <w:r w:rsidRPr="00210AE6">
        <w:rPr>
          <w:rFonts w:ascii="Arial" w:hAnsi="Arial" w:cs="Arial"/>
          <w:sz w:val="20"/>
        </w:rPr>
        <w:t xml:space="preserve"> or</w:t>
      </w:r>
    </w:p>
    <w:p w14:paraId="113241A0" w14:textId="77777777" w:rsidR="00CC6128" w:rsidRPr="00210AE6" w:rsidRDefault="00CC6128" w:rsidP="00CC6128">
      <w:pPr>
        <w:pStyle w:val="ListParagraph"/>
        <w:numPr>
          <w:ilvl w:val="0"/>
          <w:numId w:val="79"/>
        </w:numPr>
        <w:ind w:left="357" w:hanging="357"/>
        <w:jc w:val="both"/>
        <w:rPr>
          <w:rFonts w:ascii="Arial" w:hAnsi="Arial" w:cs="Arial"/>
          <w:sz w:val="20"/>
        </w:rPr>
      </w:pPr>
      <w:r w:rsidRPr="00210AE6">
        <w:rPr>
          <w:rFonts w:ascii="Arial" w:hAnsi="Arial" w:cs="Arial"/>
          <w:sz w:val="20"/>
        </w:rPr>
        <w:t>IAO appeals pursuant to s.271 CYFA.</w:t>
      </w:r>
    </w:p>
    <w:p w14:paraId="500C4847" w14:textId="35849728" w:rsidR="00CC6128" w:rsidRDefault="00CC6128" w:rsidP="00CC6128">
      <w:pPr>
        <w:jc w:val="both"/>
        <w:rPr>
          <w:rFonts w:ascii="Arial" w:hAnsi="Arial" w:cs="Arial"/>
          <w:sz w:val="20"/>
        </w:rPr>
      </w:pPr>
    </w:p>
    <w:p w14:paraId="5AD191F7" w14:textId="77777777" w:rsidR="00A962F2" w:rsidRDefault="00A962F2" w:rsidP="00A962F2">
      <w:pPr>
        <w:jc w:val="both"/>
        <w:rPr>
          <w:rFonts w:ascii="Arial" w:hAnsi="Arial" w:cs="Arial"/>
          <w:sz w:val="20"/>
        </w:rPr>
      </w:pPr>
      <w:r>
        <w:rPr>
          <w:rFonts w:ascii="Arial" w:hAnsi="Arial" w:cs="Arial"/>
          <w:sz w:val="20"/>
        </w:rPr>
        <w:t xml:space="preserve">Purposes of the </w:t>
      </w:r>
      <w:proofErr w:type="gramStart"/>
      <w:r>
        <w:rPr>
          <w:rFonts w:ascii="Arial" w:hAnsi="Arial" w:cs="Arial"/>
          <w:sz w:val="20"/>
        </w:rPr>
        <w:t xml:space="preserve">aforementioned </w:t>
      </w:r>
      <w:r w:rsidRPr="00607388">
        <w:rPr>
          <w:rFonts w:ascii="Arial" w:hAnsi="Arial" w:cs="Arial"/>
          <w:i/>
          <w:iCs/>
          <w:sz w:val="20"/>
        </w:rPr>
        <w:t>Justice</w:t>
      </w:r>
      <w:proofErr w:type="gramEnd"/>
      <w:r w:rsidRPr="00607388">
        <w:rPr>
          <w:rFonts w:ascii="Arial" w:hAnsi="Arial" w:cs="Arial"/>
          <w:i/>
          <w:iCs/>
          <w:sz w:val="20"/>
        </w:rPr>
        <w:t xml:space="preserve"> Legislation Amendment (Criminal Appeals</w:t>
      </w:r>
      <w:r>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 in s.1(c) amendments of both the</w:t>
      </w:r>
      <w:r w:rsidRPr="008D14CC">
        <w:rPr>
          <w:rFonts w:ascii="Arial" w:hAnsi="Arial" w:cs="Arial"/>
          <w:sz w:val="20"/>
        </w:rPr>
        <w:t xml:space="preserve"> CYFA </w:t>
      </w:r>
      <w:r>
        <w:rPr>
          <w:rFonts w:ascii="Arial" w:hAnsi="Arial" w:cs="Arial"/>
          <w:sz w:val="20"/>
        </w:rPr>
        <w:t xml:space="preserve">and the </w:t>
      </w:r>
      <w:r w:rsidRPr="008D14CC">
        <w:rPr>
          <w:rFonts w:ascii="Arial" w:hAnsi="Arial" w:cs="Arial"/>
          <w:i/>
          <w:iCs/>
          <w:sz w:val="20"/>
        </w:rPr>
        <w:t>Criminal Procedure Act 2009</w:t>
      </w:r>
      <w:r>
        <w:rPr>
          <w:rFonts w:ascii="Arial" w:hAnsi="Arial" w:cs="Arial"/>
          <w:sz w:val="20"/>
        </w:rPr>
        <w:t>:</w:t>
      </w:r>
    </w:p>
    <w:p w14:paraId="34D98E2B" w14:textId="77777777" w:rsidR="00A962F2" w:rsidRDefault="00A962F2" w:rsidP="00A962F2">
      <w:pPr>
        <w:pStyle w:val="ListParagraph"/>
        <w:numPr>
          <w:ilvl w:val="0"/>
          <w:numId w:val="79"/>
        </w:numPr>
        <w:ind w:left="357" w:hanging="357"/>
        <w:jc w:val="both"/>
        <w:rPr>
          <w:rFonts w:ascii="Arial" w:hAnsi="Arial" w:cs="Arial"/>
          <w:sz w:val="20"/>
        </w:rPr>
      </w:pPr>
      <w:r>
        <w:rPr>
          <w:rFonts w:ascii="Arial" w:hAnsi="Arial" w:cs="Arial"/>
          <w:sz w:val="20"/>
        </w:rPr>
        <w:t>to abolish de novo appeals against convictions recorded in summary proceedings and to provide instead for those appeals to be by way of rehearing; and</w:t>
      </w:r>
    </w:p>
    <w:p w14:paraId="192FCE82" w14:textId="77777777" w:rsidR="00A962F2" w:rsidRDefault="00A962F2" w:rsidP="00A962F2">
      <w:pPr>
        <w:pStyle w:val="ListParagraph"/>
        <w:numPr>
          <w:ilvl w:val="0"/>
          <w:numId w:val="79"/>
        </w:numPr>
        <w:ind w:left="357" w:hanging="357"/>
        <w:jc w:val="both"/>
        <w:rPr>
          <w:rFonts w:ascii="Arial" w:hAnsi="Arial" w:cs="Arial"/>
          <w:sz w:val="20"/>
        </w:rPr>
      </w:pPr>
      <w:r>
        <w:rPr>
          <w:rFonts w:ascii="Arial" w:hAnsi="Arial" w:cs="Arial"/>
          <w:sz w:val="20"/>
        </w:rPr>
        <w:lastRenderedPageBreak/>
        <w:t>to abolish de novo appeals against sentences imposed in summary proceedings and to provide instead for a different kind of appeal against those sentences.</w:t>
      </w:r>
    </w:p>
    <w:p w14:paraId="5A11FE42" w14:textId="77777777" w:rsidR="00A962F2" w:rsidRDefault="00A962F2" w:rsidP="00A962F2">
      <w:pPr>
        <w:jc w:val="both"/>
        <w:rPr>
          <w:rFonts w:ascii="Arial" w:hAnsi="Arial" w:cs="Arial"/>
          <w:sz w:val="20"/>
        </w:rPr>
      </w:pPr>
    </w:p>
    <w:p w14:paraId="7F540A2E" w14:textId="20B2AAC4" w:rsidR="00A962F2" w:rsidRDefault="00A962F2" w:rsidP="00A962F2">
      <w:pPr>
        <w:jc w:val="both"/>
        <w:rPr>
          <w:rFonts w:ascii="Arial" w:hAnsi="Arial" w:cs="Arial"/>
          <w:sz w:val="20"/>
        </w:rPr>
      </w:pPr>
      <w:r>
        <w:rPr>
          <w:rFonts w:ascii="Arial" w:hAnsi="Arial" w:cs="Arial"/>
          <w:sz w:val="20"/>
        </w:rPr>
        <w:t xml:space="preserve">However, the amendments referred to in s.1(c) are not yet in effect.  Their default commencement date was originally extended from 03/07/2021 to 01/01/2023.  Their default commencement date has been further extended to 05/07/2025 by s.9(1) of the </w:t>
      </w:r>
      <w:r w:rsidRPr="00607388">
        <w:rPr>
          <w:rFonts w:ascii="Arial" w:hAnsi="Arial" w:cs="Arial"/>
          <w:i/>
          <w:iCs/>
          <w:sz w:val="20"/>
        </w:rPr>
        <w:t>Justice Legislation Amendment (</w:t>
      </w:r>
      <w:r>
        <w:rPr>
          <w:rFonts w:ascii="Arial" w:hAnsi="Arial" w:cs="Arial"/>
          <w:i/>
          <w:iCs/>
          <w:sz w:val="20"/>
        </w:rPr>
        <w:t>Trial by Judge Alone and Other Matters</w:t>
      </w:r>
      <w:r w:rsidRPr="00607388">
        <w:rPr>
          <w:rFonts w:ascii="Arial" w:hAnsi="Arial" w:cs="Arial"/>
          <w:i/>
          <w:iCs/>
          <w:sz w:val="20"/>
        </w:rPr>
        <w:t>)</w:t>
      </w:r>
      <w:r>
        <w:rPr>
          <w:rFonts w:ascii="Arial" w:hAnsi="Arial" w:cs="Arial"/>
          <w:i/>
          <w:iCs/>
          <w:sz w:val="20"/>
        </w:rPr>
        <w:t xml:space="preserve"> Act</w:t>
      </w:r>
      <w:r w:rsidRPr="00607388">
        <w:rPr>
          <w:rFonts w:ascii="Arial" w:hAnsi="Arial" w:cs="Arial"/>
          <w:i/>
          <w:iCs/>
          <w:sz w:val="20"/>
        </w:rPr>
        <w:t xml:space="preserve"> 20</w:t>
      </w:r>
      <w:r>
        <w:rPr>
          <w:rFonts w:ascii="Arial" w:hAnsi="Arial" w:cs="Arial"/>
          <w:i/>
          <w:iCs/>
          <w:sz w:val="20"/>
        </w:rPr>
        <w:t>22</w:t>
      </w:r>
      <w:r>
        <w:rPr>
          <w:rFonts w:ascii="Arial" w:hAnsi="Arial" w:cs="Arial"/>
          <w:sz w:val="20"/>
        </w:rPr>
        <w:t>.</w:t>
      </w:r>
    </w:p>
    <w:p w14:paraId="79D8594C" w14:textId="77777777" w:rsidR="00A962F2" w:rsidRDefault="00A962F2" w:rsidP="00CC6128">
      <w:pPr>
        <w:jc w:val="both"/>
        <w:rPr>
          <w:rFonts w:ascii="Arial" w:hAnsi="Arial" w:cs="Arial"/>
          <w:sz w:val="20"/>
        </w:rPr>
      </w:pPr>
    </w:p>
    <w:p w14:paraId="45405F3D" w14:textId="77777777" w:rsidR="00CC6128" w:rsidRDefault="00CC6128" w:rsidP="00CC6128">
      <w:pPr>
        <w:pBdr>
          <w:top w:val="thinThickThinSmallGap" w:sz="24" w:space="1" w:color="auto"/>
        </w:pBdr>
        <w:jc w:val="both"/>
        <w:rPr>
          <w:rFonts w:ascii="Arial" w:hAnsi="Arial" w:cs="Arial"/>
          <w:sz w:val="20"/>
        </w:rPr>
      </w:pPr>
    </w:p>
    <w:p w14:paraId="76EE28F1" w14:textId="592D3954" w:rsidR="00CC6128" w:rsidRDefault="005B1EBA" w:rsidP="00692743">
      <w:pPr>
        <w:jc w:val="both"/>
        <w:rPr>
          <w:rFonts w:ascii="Arial" w:hAnsi="Arial" w:cs="Arial"/>
          <w:sz w:val="20"/>
        </w:rPr>
      </w:pPr>
      <w:proofErr w:type="gramStart"/>
      <w:r>
        <w:rPr>
          <w:rFonts w:ascii="Arial" w:hAnsi="Arial" w:cs="Arial"/>
          <w:sz w:val="20"/>
        </w:rPr>
        <w:t xml:space="preserve">Using the word "appeal" in a </w:t>
      </w:r>
      <w:r w:rsidR="00B73D9F">
        <w:rPr>
          <w:rFonts w:ascii="Arial" w:hAnsi="Arial" w:cs="Arial"/>
          <w:sz w:val="20"/>
        </w:rPr>
        <w:t>broad</w:t>
      </w:r>
      <w:r>
        <w:rPr>
          <w:rFonts w:ascii="Arial" w:hAnsi="Arial" w:cs="Arial"/>
          <w:sz w:val="20"/>
        </w:rPr>
        <w:t xml:space="preserve"> sense, there</w:t>
      </w:r>
      <w:proofErr w:type="gramEnd"/>
      <w:r>
        <w:rPr>
          <w:rFonts w:ascii="Arial" w:hAnsi="Arial" w:cs="Arial"/>
          <w:sz w:val="20"/>
        </w:rPr>
        <w:t xml:space="preserve"> are</w:t>
      </w:r>
      <w:r w:rsidR="00CC6128">
        <w:rPr>
          <w:rFonts w:ascii="Arial" w:hAnsi="Arial" w:cs="Arial"/>
          <w:sz w:val="20"/>
        </w:rPr>
        <w:t>–</w:t>
      </w:r>
    </w:p>
    <w:p w14:paraId="53A9654A" w14:textId="40B684EB" w:rsidR="00CC6128" w:rsidRPr="00CC6128" w:rsidRDefault="005B1EBA" w:rsidP="00CC6128">
      <w:pPr>
        <w:pStyle w:val="ListParagraph"/>
        <w:numPr>
          <w:ilvl w:val="0"/>
          <w:numId w:val="79"/>
        </w:numPr>
        <w:ind w:left="357" w:hanging="357"/>
        <w:jc w:val="both"/>
        <w:rPr>
          <w:rFonts w:ascii="Arial" w:hAnsi="Arial" w:cs="Arial"/>
          <w:iCs/>
          <w:sz w:val="20"/>
          <w:szCs w:val="24"/>
        </w:rPr>
      </w:pPr>
      <w:r>
        <w:rPr>
          <w:rFonts w:ascii="Arial" w:hAnsi="Arial" w:cs="Arial"/>
          <w:sz w:val="20"/>
        </w:rPr>
        <w:t>f</w:t>
      </w:r>
      <w:r w:rsidR="002F439D">
        <w:rPr>
          <w:rFonts w:ascii="Arial" w:hAnsi="Arial" w:cs="Arial"/>
          <w:sz w:val="20"/>
        </w:rPr>
        <w:t>ive</w:t>
      </w:r>
      <w:r>
        <w:rPr>
          <w:rFonts w:ascii="Arial" w:hAnsi="Arial" w:cs="Arial"/>
          <w:sz w:val="20"/>
        </w:rPr>
        <w:t xml:space="preserve"> different types of appeal </w:t>
      </w:r>
      <w:r w:rsidR="00CC6128">
        <w:rPr>
          <w:rFonts w:ascii="Arial" w:hAnsi="Arial" w:cs="Arial"/>
          <w:sz w:val="20"/>
        </w:rPr>
        <w:t xml:space="preserve">to a higher court </w:t>
      </w:r>
      <w:r>
        <w:rPr>
          <w:rFonts w:ascii="Arial" w:hAnsi="Arial" w:cs="Arial"/>
          <w:sz w:val="20"/>
        </w:rPr>
        <w:t xml:space="preserve">(see </w:t>
      </w:r>
      <w:r w:rsidR="00A962F2">
        <w:rPr>
          <w:rFonts w:ascii="Arial" w:hAnsi="Arial" w:cs="Arial"/>
          <w:sz w:val="20"/>
        </w:rPr>
        <w:t xml:space="preserve">the </w:t>
      </w:r>
      <w:r>
        <w:rPr>
          <w:rFonts w:ascii="Arial" w:hAnsi="Arial" w:cs="Arial"/>
          <w:sz w:val="20"/>
        </w:rPr>
        <w:t xml:space="preserve">table </w:t>
      </w:r>
      <w:r w:rsidR="00A962F2">
        <w:rPr>
          <w:rFonts w:ascii="Arial" w:hAnsi="Arial" w:cs="Arial"/>
          <w:sz w:val="20"/>
        </w:rPr>
        <w:t>below</w:t>
      </w:r>
      <w:r>
        <w:rPr>
          <w:rFonts w:ascii="Arial" w:hAnsi="Arial" w:cs="Arial"/>
          <w:sz w:val="20"/>
        </w:rPr>
        <w:t xml:space="preserve">) from a decision of </w:t>
      </w:r>
      <w:r w:rsidR="00CC6128">
        <w:rPr>
          <w:rFonts w:ascii="Arial" w:hAnsi="Arial" w:cs="Arial"/>
          <w:sz w:val="20"/>
        </w:rPr>
        <w:t xml:space="preserve">the President or a magistrate of </w:t>
      </w:r>
      <w:r>
        <w:rPr>
          <w:rFonts w:ascii="Arial" w:hAnsi="Arial" w:cs="Arial"/>
          <w:sz w:val="20"/>
        </w:rPr>
        <w:t xml:space="preserve">the </w:t>
      </w:r>
      <w:r w:rsidR="00CC6128">
        <w:rPr>
          <w:rFonts w:ascii="Arial" w:hAnsi="Arial" w:cs="Arial"/>
          <w:sz w:val="20"/>
        </w:rPr>
        <w:t>Children’s Court; and</w:t>
      </w:r>
    </w:p>
    <w:p w14:paraId="71F4EDE1" w14:textId="0317653A" w:rsidR="00CC6128" w:rsidRPr="00987CA2" w:rsidRDefault="00CC6128" w:rsidP="00CC6128">
      <w:pPr>
        <w:pStyle w:val="ListParagraph"/>
        <w:numPr>
          <w:ilvl w:val="0"/>
          <w:numId w:val="79"/>
        </w:numPr>
        <w:ind w:left="357" w:hanging="357"/>
        <w:jc w:val="both"/>
        <w:rPr>
          <w:rFonts w:ascii="Arial" w:hAnsi="Arial" w:cs="Arial"/>
          <w:iCs/>
          <w:sz w:val="20"/>
          <w:szCs w:val="24"/>
        </w:rPr>
      </w:pPr>
      <w:r>
        <w:rPr>
          <w:rFonts w:ascii="Arial" w:hAnsi="Arial" w:cs="Arial"/>
          <w:sz w:val="20"/>
        </w:rPr>
        <w:t xml:space="preserve">three different paths (see </w:t>
      </w:r>
      <w:r w:rsidR="00A962F2">
        <w:rPr>
          <w:rFonts w:ascii="Arial" w:hAnsi="Arial" w:cs="Arial"/>
          <w:sz w:val="20"/>
        </w:rPr>
        <w:t xml:space="preserve">the </w:t>
      </w:r>
      <w:r>
        <w:rPr>
          <w:rFonts w:ascii="Arial" w:hAnsi="Arial" w:cs="Arial"/>
          <w:sz w:val="20"/>
        </w:rPr>
        <w:t xml:space="preserve">diagram </w:t>
      </w:r>
      <w:r w:rsidR="00A962F2">
        <w:rPr>
          <w:rFonts w:ascii="Arial" w:hAnsi="Arial" w:cs="Arial"/>
          <w:sz w:val="20"/>
        </w:rPr>
        <w:t>below</w:t>
      </w:r>
      <w:r>
        <w:rPr>
          <w:rFonts w:ascii="Arial" w:hAnsi="Arial" w:cs="Arial"/>
          <w:sz w:val="20"/>
        </w:rPr>
        <w:t>).</w:t>
      </w:r>
    </w:p>
    <w:p w14:paraId="5454353B" w14:textId="7A8D6C2D" w:rsidR="00692743" w:rsidRDefault="00692743" w:rsidP="00692743">
      <w:pPr>
        <w:jc w:val="both"/>
        <w:rPr>
          <w:rFonts w:ascii="Arial" w:hAnsi="Arial" w:cs="Arial"/>
          <w:sz w:val="20"/>
        </w:rPr>
      </w:pPr>
    </w:p>
    <w:p w14:paraId="30AC984B" w14:textId="51007C3D" w:rsidR="00B73D9F" w:rsidRDefault="00B73D9F" w:rsidP="00CC6128">
      <w:pPr>
        <w:jc w:val="both"/>
        <w:rPr>
          <w:rFonts w:ascii="Arial" w:hAnsi="Arial" w:cs="Arial"/>
          <w:sz w:val="20"/>
          <w:szCs w:val="20"/>
        </w:rPr>
      </w:pPr>
      <w:r>
        <w:rPr>
          <w:rFonts w:ascii="Arial" w:hAnsi="Arial" w:cs="Arial"/>
          <w:color w:val="000000"/>
          <w:sz w:val="20"/>
        </w:rPr>
        <w:t xml:space="preserve">In </w:t>
      </w:r>
      <w:r w:rsidRPr="00DB14A3">
        <w:rPr>
          <w:rFonts w:ascii="Arial" w:hAnsi="Arial" w:cs="Arial"/>
          <w:i/>
          <w:iCs/>
          <w:color w:val="000000"/>
          <w:sz w:val="20"/>
        </w:rPr>
        <w:t>JV v Children’s Court of Victoria &amp; Anor</w:t>
      </w:r>
      <w:r>
        <w:rPr>
          <w:rFonts w:ascii="Arial" w:hAnsi="Arial" w:cs="Arial"/>
          <w:color w:val="000000"/>
          <w:sz w:val="20"/>
        </w:rPr>
        <w:t xml:space="preserve"> [2023] VSC 656 Forbes J discussed </w:t>
      </w:r>
      <w:r w:rsidR="00CC6128">
        <w:rPr>
          <w:rFonts w:ascii="Arial" w:hAnsi="Arial" w:cs="Arial"/>
          <w:color w:val="000000"/>
          <w:sz w:val="20"/>
        </w:rPr>
        <w:t>an</w:t>
      </w:r>
      <w:r>
        <w:rPr>
          <w:rFonts w:ascii="Arial" w:hAnsi="Arial" w:cs="Arial"/>
          <w:color w:val="000000"/>
          <w:sz w:val="20"/>
        </w:rPr>
        <w:t xml:space="preserve"> aspect of the relationship between these </w:t>
      </w:r>
      <w:r w:rsidR="00CC6128">
        <w:rPr>
          <w:rFonts w:ascii="Arial" w:hAnsi="Arial" w:cs="Arial"/>
          <w:color w:val="000000"/>
          <w:sz w:val="20"/>
        </w:rPr>
        <w:t>types of “appeal”</w:t>
      </w:r>
      <w:r>
        <w:rPr>
          <w:rFonts w:ascii="Arial" w:hAnsi="Arial" w:cs="Arial"/>
          <w:color w:val="000000"/>
          <w:sz w:val="20"/>
        </w:rPr>
        <w:t xml:space="preserve">.  The accused JV had been found guilty – after a 5-day trial before a magistrate – of one charge of rape and one each of production, </w:t>
      </w:r>
      <w:proofErr w:type="gramStart"/>
      <w:r>
        <w:rPr>
          <w:rFonts w:ascii="Arial" w:hAnsi="Arial" w:cs="Arial"/>
          <w:color w:val="000000"/>
          <w:sz w:val="20"/>
        </w:rPr>
        <w:t>possession</w:t>
      </w:r>
      <w:proofErr w:type="gramEnd"/>
      <w:r>
        <w:rPr>
          <w:rFonts w:ascii="Arial" w:hAnsi="Arial" w:cs="Arial"/>
          <w:color w:val="000000"/>
          <w:sz w:val="20"/>
        </w:rPr>
        <w:t xml:space="preserve"> and distribution of child abuse material.  The magistrate had provided only oral reasons and had not delivered anticipated written reasons.  JV sought judicial review under Order 56 of the </w:t>
      </w:r>
      <w:r w:rsidRPr="00DB14A3">
        <w:rPr>
          <w:rFonts w:ascii="Arial" w:hAnsi="Arial" w:cs="Arial"/>
          <w:i/>
          <w:iCs/>
          <w:color w:val="000000"/>
          <w:sz w:val="20"/>
        </w:rPr>
        <w:t>Supreme Court (Civil Procedure) Rules 2015</w:t>
      </w:r>
      <w:r>
        <w:rPr>
          <w:rFonts w:ascii="Arial" w:hAnsi="Arial" w:cs="Arial"/>
          <w:color w:val="000000"/>
          <w:sz w:val="20"/>
        </w:rPr>
        <w:t xml:space="preserve"> (Vic) on the sole ground that the Magistrate failed to give adequate reasons for his decision.  Her Honour found that the magistrate’s reasons were inadequate and made orders quashing the Magistrate’s orders and remitting the matter </w:t>
      </w:r>
      <w:r>
        <w:rPr>
          <w:rFonts w:ascii="Arial" w:hAnsi="Arial" w:cs="Arial"/>
          <w:sz w:val="20"/>
          <w:szCs w:val="20"/>
        </w:rPr>
        <w:t>back to the Children’s Court to be heard b</w:t>
      </w:r>
      <w:r w:rsidR="00CC6128">
        <w:rPr>
          <w:rFonts w:ascii="Arial" w:hAnsi="Arial" w:cs="Arial"/>
          <w:sz w:val="20"/>
          <w:szCs w:val="20"/>
        </w:rPr>
        <w:t>y</w:t>
      </w:r>
      <w:r>
        <w:rPr>
          <w:rFonts w:ascii="Arial" w:hAnsi="Arial" w:cs="Arial"/>
          <w:sz w:val="20"/>
          <w:szCs w:val="20"/>
        </w:rPr>
        <w:t xml:space="preserve"> a different magistrate.  In so doing, </w:t>
      </w:r>
      <w:r w:rsidR="00A962F2">
        <w:rPr>
          <w:rFonts w:ascii="Arial" w:hAnsi="Arial" w:cs="Arial"/>
          <w:sz w:val="20"/>
          <w:szCs w:val="20"/>
        </w:rPr>
        <w:t xml:space="preserve">for reasons detailed </w:t>
      </w:r>
      <w:r>
        <w:rPr>
          <w:rFonts w:ascii="Arial" w:hAnsi="Arial" w:cs="Arial"/>
          <w:sz w:val="20"/>
          <w:szCs w:val="20"/>
        </w:rPr>
        <w:t>at [81]-[102] her Honour:</w:t>
      </w:r>
    </w:p>
    <w:p w14:paraId="685B37C8" w14:textId="2BAE990C" w:rsidR="00B73D9F" w:rsidRPr="00987CA2" w:rsidRDefault="00B73D9F" w:rsidP="00B73D9F">
      <w:pPr>
        <w:pStyle w:val="ListParagraph"/>
        <w:numPr>
          <w:ilvl w:val="0"/>
          <w:numId w:val="79"/>
        </w:numPr>
        <w:ind w:left="357" w:hanging="357"/>
        <w:jc w:val="both"/>
        <w:rPr>
          <w:rFonts w:ascii="Arial" w:hAnsi="Arial" w:cs="Arial"/>
          <w:iCs/>
          <w:sz w:val="20"/>
          <w:szCs w:val="24"/>
        </w:rPr>
      </w:pPr>
      <w:r w:rsidRPr="00987CA2">
        <w:rPr>
          <w:rFonts w:ascii="Arial" w:hAnsi="Arial" w:cs="Arial"/>
          <w:color w:val="000000"/>
          <w:sz w:val="20"/>
        </w:rPr>
        <w:t xml:space="preserve">rejected the </w:t>
      </w:r>
      <w:r>
        <w:rPr>
          <w:rFonts w:ascii="Arial" w:hAnsi="Arial" w:cs="Arial"/>
          <w:color w:val="000000"/>
          <w:sz w:val="20"/>
        </w:rPr>
        <w:t xml:space="preserve">second </w:t>
      </w:r>
      <w:r w:rsidRPr="00987CA2">
        <w:rPr>
          <w:rFonts w:ascii="Arial" w:hAnsi="Arial" w:cs="Arial"/>
          <w:color w:val="000000"/>
          <w:sz w:val="20"/>
        </w:rPr>
        <w:t>respondent’s submission that as a matter of discretion relief should be refused because the applicant ha</w:t>
      </w:r>
      <w:r w:rsidR="00A962F2">
        <w:rPr>
          <w:rFonts w:ascii="Arial" w:hAnsi="Arial" w:cs="Arial"/>
          <w:color w:val="000000"/>
          <w:sz w:val="20"/>
        </w:rPr>
        <w:t>d</w:t>
      </w:r>
      <w:r w:rsidRPr="00987CA2">
        <w:rPr>
          <w:rFonts w:ascii="Arial" w:hAnsi="Arial" w:cs="Arial"/>
          <w:color w:val="000000"/>
          <w:sz w:val="20"/>
        </w:rPr>
        <w:t xml:space="preserve"> two alternative remedies: (a) an appeal to the Supreme Court on a question of law under s.430P(1) of the CYFA; and (b) a rehearing appeal to the County Court under s.424 of the CYFA</w:t>
      </w:r>
      <w:r>
        <w:rPr>
          <w:rFonts w:ascii="Arial" w:hAnsi="Arial" w:cs="Arial"/>
          <w:color w:val="000000"/>
          <w:sz w:val="20"/>
        </w:rPr>
        <w:t>; and</w:t>
      </w:r>
    </w:p>
    <w:p w14:paraId="0E77D8E3" w14:textId="77777777" w:rsidR="00B73D9F" w:rsidRPr="00987CA2" w:rsidRDefault="00B73D9F" w:rsidP="00B73D9F">
      <w:pPr>
        <w:pStyle w:val="ListParagraph"/>
        <w:numPr>
          <w:ilvl w:val="0"/>
          <w:numId w:val="79"/>
        </w:numPr>
        <w:ind w:left="357" w:hanging="357"/>
        <w:jc w:val="both"/>
        <w:rPr>
          <w:rFonts w:ascii="Arial" w:hAnsi="Arial" w:cs="Arial"/>
          <w:iCs/>
          <w:sz w:val="20"/>
          <w:szCs w:val="24"/>
        </w:rPr>
      </w:pPr>
      <w:r w:rsidRPr="00987CA2">
        <w:rPr>
          <w:rFonts w:ascii="Arial" w:hAnsi="Arial" w:cs="Arial"/>
          <w:color w:val="000000"/>
          <w:sz w:val="20"/>
        </w:rPr>
        <w:t xml:space="preserve">discussed the cases of </w:t>
      </w:r>
      <w:proofErr w:type="spellStart"/>
      <w:r w:rsidRPr="00987CA2">
        <w:rPr>
          <w:rFonts w:ascii="Arial" w:hAnsi="Arial" w:cs="Arial"/>
          <w:i/>
          <w:iCs/>
          <w:sz w:val="20"/>
        </w:rPr>
        <w:t>Kuek</w:t>
      </w:r>
      <w:proofErr w:type="spellEnd"/>
      <w:r w:rsidRPr="00987CA2">
        <w:rPr>
          <w:rFonts w:ascii="Arial" w:hAnsi="Arial" w:cs="Arial"/>
          <w:i/>
          <w:iCs/>
          <w:sz w:val="20"/>
        </w:rPr>
        <w:t xml:space="preserve"> v Victoria Legal Aid</w:t>
      </w:r>
      <w:r w:rsidRPr="00987CA2">
        <w:rPr>
          <w:rFonts w:ascii="Arial" w:hAnsi="Arial" w:cs="Arial"/>
          <w:sz w:val="20"/>
        </w:rPr>
        <w:t xml:space="preserve"> (2001) 3 VR 289; </w:t>
      </w:r>
      <w:r w:rsidRPr="00987CA2">
        <w:rPr>
          <w:rFonts w:ascii="Arial" w:hAnsi="Arial" w:cs="Arial"/>
          <w:i/>
          <w:iCs/>
          <w:sz w:val="20"/>
        </w:rPr>
        <w:t>Perkins v Victorian Bar</w:t>
      </w:r>
      <w:r w:rsidRPr="00987CA2">
        <w:rPr>
          <w:rFonts w:ascii="Arial" w:hAnsi="Arial" w:cs="Arial"/>
          <w:sz w:val="20"/>
        </w:rPr>
        <w:t xml:space="preserve"> [2007] VSCA 107; </w:t>
      </w:r>
      <w:r w:rsidRPr="00987CA2">
        <w:rPr>
          <w:rFonts w:ascii="Arial" w:hAnsi="Arial" w:cs="Arial"/>
          <w:i/>
          <w:iCs/>
          <w:sz w:val="20"/>
        </w:rPr>
        <w:t>Garde-Wilson v Legal Services Board</w:t>
      </w:r>
      <w:r w:rsidRPr="00987CA2">
        <w:rPr>
          <w:rFonts w:ascii="Arial" w:hAnsi="Arial" w:cs="Arial"/>
          <w:sz w:val="20"/>
        </w:rPr>
        <w:t xml:space="preserve"> (2008) 19 VR 398.</w:t>
      </w:r>
    </w:p>
    <w:p w14:paraId="021807FC" w14:textId="77777777" w:rsidR="008B34B1" w:rsidRPr="00836E86" w:rsidRDefault="008B34B1" w:rsidP="00836E86">
      <w:pPr>
        <w:jc w:val="both"/>
        <w:rPr>
          <w:rFonts w:ascii="Arial" w:hAnsi="Arial" w:cs="Arial"/>
          <w:sz w:val="20"/>
        </w:rPr>
      </w:pPr>
      <w:bookmarkStart w:id="1153" w:name="_Hlk150847001"/>
    </w:p>
    <w:bookmarkEnd w:id="1152"/>
    <w:bookmarkEnd w:id="1153"/>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pPr>
        <w:pStyle w:val="ListParagraph"/>
        <w:numPr>
          <w:ilvl w:val="0"/>
          <w:numId w:val="79"/>
        </w:numPr>
        <w:rPr>
          <w:rFonts w:ascii="Arial" w:hAnsi="Arial" w:cs="Arial"/>
          <w:sz w:val="20"/>
        </w:rPr>
      </w:pPr>
      <w:r w:rsidRPr="00836E86">
        <w:rPr>
          <w:rFonts w:ascii="Arial" w:hAnsi="Arial" w:cs="Arial"/>
          <w:sz w:val="20"/>
        </w:rPr>
        <w:br w:type="page"/>
      </w:r>
    </w:p>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14:paraId="071F81CC" w14:textId="1B95E8C2" w:rsidR="004A2800" w:rsidRDefault="00C954B8" w:rsidP="00A9750C">
      <w:pPr>
        <w:spacing w:after="120"/>
        <w:jc w:val="both"/>
        <w:rPr>
          <w:rFonts w:ascii="Arial" w:hAnsi="Arial" w:cs="Arial"/>
          <w:sz w:val="20"/>
        </w:rPr>
      </w:pPr>
      <w:r>
        <w:rPr>
          <w:noProof/>
        </w:rPr>
        <w:lastRenderedPageBreak/>
        <mc:AlternateContent>
          <mc:Choice Requires="wps">
            <w:drawing>
              <wp:anchor distT="0" distB="0" distL="114298" distR="114298" simplePos="0" relativeHeight="251659264" behindDoc="0" locked="0" layoutInCell="1" allowOverlap="1" wp14:anchorId="4EB84E10" wp14:editId="1CFC715E">
                <wp:simplePos x="0" y="0"/>
                <wp:positionH relativeFrom="column">
                  <wp:posOffset>2986404</wp:posOffset>
                </wp:positionH>
                <wp:positionV relativeFrom="paragraph">
                  <wp:posOffset>2924810</wp:posOffset>
                </wp:positionV>
                <wp:extent cx="0" cy="378460"/>
                <wp:effectExtent l="76200" t="38100" r="38100" b="2540"/>
                <wp:wrapNone/>
                <wp:docPr id="18879107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19050">
                          <a:solidFill>
                            <a:srgbClr val="000000"/>
                          </a:solidFill>
                          <a:round/>
                          <a:headEnd type="triangle" w="med" len="med"/>
                          <a:tailEnd/>
                        </a:ln>
                      </wps:spPr>
                      <wps:bodyPr/>
                    </wps:wsp>
                  </a:graphicData>
                </a:graphic>
                <wp14:sizeRelH relativeFrom="page">
                  <wp14:pctWidth>0</wp14:pctWidth>
                </wp14:sizeRelH>
                <wp14:sizeRelV relativeFrom="page">
                  <wp14:pctHeight>0</wp14:pctHeight>
                </wp14:sizeRelV>
              </wp:anchor>
            </w:drawing>
          </mc:Choice>
          <mc:Fallback>
            <w:pict>
              <v:line w14:anchorId="4B2640A4" id="Straight Connector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" strokeweight="1.5pt">
                <v:stroke startarrow="block"/>
              </v:line>
            </w:pict>
          </mc:Fallback>
        </mc:AlternateContent>
      </w:r>
      <w:r>
        <w:rPr>
          <w:noProof/>
        </w:rPr>
        <mc:AlternateContent>
          <mc:Choice Requires="wpg">
            <w:drawing>
              <wp:inline distT="0" distB="0" distL="0" distR="0" wp14:anchorId="13F6CF0E" wp14:editId="71D1DF9E">
                <wp:extent cx="5723890" cy="4819650"/>
                <wp:effectExtent l="33655" t="26670" r="33655" b="11430"/>
                <wp:docPr id="31502150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819650"/>
                          <a:chOff x="1418" y="1418"/>
                          <a:chExt cx="9014" cy="6566"/>
                        </a:xfrm>
                      </wpg:grpSpPr>
                      <wps:wsp>
                        <wps:cNvPr id="340638664" name="Line 3"/>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3144455"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284889" name="Group 169"/>
                        <wpg:cNvGrpSpPr>
                          <a:grpSpLocks/>
                        </wpg:cNvGrpSpPr>
                        <wpg:grpSpPr bwMode="auto">
                          <a:xfrm>
                            <a:off x="1418" y="1418"/>
                            <a:ext cx="9014" cy="6566"/>
                            <a:chOff x="1439" y="1418"/>
                            <a:chExt cx="9014" cy="6566"/>
                          </a:xfrm>
                        </wpg:grpSpPr>
                        <wps:wsp>
                          <wps:cNvPr id="118876140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5436198" name="Text Box 171"/>
                          <wps:cNvSpPr txBox="1">
                            <a:spLocks noChangeArrowheads="1"/>
                          </wps:cNvSpPr>
                          <wps:spPr bwMode="auto">
                            <a:xfrm>
                              <a:off x="1559" y="5538"/>
                              <a:ext cx="1678" cy="1523"/>
                            </a:xfrm>
                            <a:prstGeom prst="rect">
                              <a:avLst/>
                            </a:prstGeom>
                            <a:solidFill>
                              <a:srgbClr val="C0C0C0">
                                <a:alpha val="50195"/>
                              </a:srgbClr>
                            </a:solidFill>
                            <a:ln w="9525">
                              <a:solidFill>
                                <a:srgbClr val="000000"/>
                              </a:solidFill>
                              <a:miter lim="800000"/>
                              <a:headEnd/>
                              <a:tailEnd/>
                            </a:ln>
                          </wps:spPr>
                          <wps:txbx>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(Criminal Div)</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wps:txbx>
                          <wps:bodyPr rot="0" vert="horz" wrap="square" lIns="91440" tIns="18000" rIns="91440" bIns="36000" anchor="t" anchorCtr="0" upright="1">
                            <a:noAutofit/>
                          </wps:bodyPr>
                        </wps:wsp>
                        <wps:wsp>
                          <wps:cNvPr id="1221144917"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758480"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340619"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018924361" name="Text Box 175"/>
                          <wps:cNvSpPr txBox="1">
                            <a:spLocks noChangeArrowheads="1"/>
                          </wps:cNvSpPr>
                          <wps:spPr bwMode="auto">
                            <a:xfrm>
                              <a:off x="2375" y="7445"/>
                              <a:ext cx="3024" cy="539"/>
                            </a:xfrm>
                            <a:prstGeom prst="rect">
                              <a:avLst/>
                            </a:prstGeom>
                            <a:solidFill>
                              <a:srgbClr val="800080"/>
                            </a:solidFill>
                            <a:ln w="9525">
                              <a:solidFill>
                                <a:srgbClr val="000000"/>
                              </a:solidFill>
                              <a:miter lim="800000"/>
                              <a:headEnd/>
                              <a:tailEnd/>
                            </a:ln>
                          </wps:spPr>
                          <wps:txbx>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101398246"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0156588"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2362945" name="Text Box 178"/>
                          <wps:cNvSpPr txBox="1">
                            <a:spLocks noChangeArrowheads="1"/>
                          </wps:cNvSpPr>
                          <wps:spPr bwMode="auto">
                            <a:xfrm>
                              <a:off x="6119" y="7445"/>
                              <a:ext cx="3024" cy="539"/>
                            </a:xfrm>
                            <a:prstGeom prst="rect">
                              <a:avLst/>
                            </a:prstGeom>
                            <a:solidFill>
                              <a:srgbClr val="339966"/>
                            </a:solidFill>
                            <a:ln w="9525">
                              <a:solidFill>
                                <a:srgbClr val="000000"/>
                              </a:solidFill>
                              <a:miter lim="800000"/>
                              <a:headEnd/>
                              <a:tailEnd/>
                            </a:ln>
                          </wps:spPr>
                          <wps:txbx>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383332662"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52369825"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671242542"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29176670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94311773"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36231614"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1580222" name="Text Box 185"/>
                          <wps:cNvSpPr txBox="1">
                            <a:spLocks noChangeArrowheads="1"/>
                          </wps:cNvSpPr>
                          <wps:spPr bwMode="auto">
                            <a:xfrm>
                              <a:off x="8642" y="5782"/>
                              <a:ext cx="1678" cy="932"/>
                            </a:xfrm>
                            <a:prstGeom prst="rect">
                              <a:avLst/>
                            </a:prstGeom>
                            <a:solidFill>
                              <a:srgbClr val="C0C0C0">
                                <a:alpha val="50195"/>
                              </a:srgbClr>
                            </a:solidFill>
                            <a:ln w="9525">
                              <a:solidFill>
                                <a:srgbClr val="000000"/>
                              </a:solidFill>
                              <a:miter lim="800000"/>
                              <a:headEnd/>
                              <a:tailEnd/>
                            </a:ln>
                          </wps:spPr>
                          <wps:txbx>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1572270210"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8051641" name="Text Box 187"/>
                          <wps:cNvSpPr txBox="1">
                            <a:spLocks noChangeArrowheads="1"/>
                          </wps:cNvSpPr>
                          <wps:spPr bwMode="auto">
                            <a:xfrm>
                              <a:off x="6359" y="6698"/>
                              <a:ext cx="2098" cy="687"/>
                            </a:xfrm>
                            <a:prstGeom prst="rect">
                              <a:avLst/>
                            </a:prstGeom>
                            <a:solidFill>
                              <a:srgbClr val="C0C0C0">
                                <a:alpha val="50195"/>
                              </a:srgbClr>
                            </a:solidFill>
                            <a:ln w="9525">
                              <a:solidFill>
                                <a:srgbClr val="000000"/>
                              </a:solidFill>
                              <a:miter lim="800000"/>
                              <a:headEnd/>
                              <a:tailEnd/>
                            </a:ln>
                          </wps:spPr>
                          <wps:txbx>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wps:txbx>
                          <wps:bodyPr rot="0" vert="horz" wrap="square" lIns="91440" tIns="18000" rIns="91440" bIns="36000" anchor="t" anchorCtr="0" upright="1">
                            <a:noAutofit/>
                          </wps:bodyPr>
                        </wps:wsp>
                      </wpg:grpSp>
                    </wpg:wgp>
                  </a:graphicData>
                </a:graphic>
              </wp:inline>
            </w:drawing>
          </mc:Choice>
          <mc:Fallback>
            <w:pict>
              <v:group w14:anchorId="13F6CF0E" id="Group 166" o:spid="_x0000_s1026" style="width:450.7pt;height:379.5pt;mso-position-horizontal-relative:char;mso-position-vertical-relative:line" coordorigin="1418,1418" coordsize="9014,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">
                <v:line id="Line 3"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" strokeweight="1.5pt">
                  <v:stroke endarrow="block"/>
                </v:line>
                <v:group id="Group 169" o:spid="_x0000_s1029"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" strokeweight="1.5pt"/>
                  <v:shapetype id="_x0000_t202" coordsize="21600,21600" o:spt="202" path="m,l,21600r21600,l21600,xe">
                    <v:stroke joinstyle="miter"/>
                    <v:path gradientshapeok="t" o:connecttype="rect"/>
                  </v:shapetype>
                  <v:shape id="Text Box 171" o:spid="_x0000_s1031"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(Criminal Div)</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1035"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" strokeweight="1.5pt">
                    <v:stroke endarrow="block"/>
                  </v:line>
                  <v:shape id="Text Box 178" o:spid="_x0000_s1038"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" strokeweight="1.5pt">
                    <v:stroke startarrow="block"/>
                  </v:line>
                  <v:shape id="Text Box 185" o:spid="_x0000_s1045"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" strokeweight="1.5pt">
                    <v:stroke startarrow="block"/>
                  </v:line>
                  <v:shape id="Text Box 187" o:spid="_x0000_s1047"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54" w:name="_Hlk89260004"/>
            <w:r>
              <w:rPr>
                <w:rFonts w:ascii="Arial" w:hAnsi="Arial" w:cs="Arial"/>
                <w:sz w:val="20"/>
              </w:rPr>
              <w:t xml:space="preserve">grant any relief or remedy in the nature of certiorari, mandamus, prohibition or quo warranto </w:t>
            </w:r>
            <w:bookmarkEnd w:id="1154"/>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pPr>
              <w:pStyle w:val="ListParagraph"/>
              <w:keepNext/>
              <w:keepLines/>
              <w:numPr>
                <w:ilvl w:val="0"/>
                <w:numId w:val="78"/>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pPr>
              <w:pStyle w:val="ListParagraph"/>
              <w:keepNext/>
              <w:keepLines/>
              <w:numPr>
                <w:ilvl w:val="0"/>
                <w:numId w:val="78"/>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pPr>
              <w:pStyle w:val="ListParagraph"/>
              <w:keepNext/>
              <w:keepLines/>
              <w:numPr>
                <w:ilvl w:val="0"/>
                <w:numId w:val="78"/>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pPr>
              <w:pStyle w:val="ListParagraph"/>
              <w:keepNext/>
              <w:keepLines/>
              <w:numPr>
                <w:ilvl w:val="0"/>
                <w:numId w:val="78"/>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21987CDE"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55"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55"/>
            <w:r>
              <w:rPr>
                <w:rFonts w:ascii="Arial" w:hAnsi="Arial" w:cs="Arial"/>
                <w:iCs/>
                <w:sz w:val="20"/>
              </w:rPr>
              <w:t xml:space="preserve">relating to appeals against an order of the Family Division of the CCV making or refusing to make an intervention order is contained in </w:t>
            </w:r>
            <w:r w:rsidR="00AB747A" w:rsidRPr="00B43A11">
              <w:rPr>
                <w:rFonts w:ascii="Arial" w:hAnsi="Arial" w:cs="Arial"/>
                <w:b/>
                <w:bCs/>
                <w:iCs/>
                <w:sz w:val="20"/>
                <w:shd w:val="clear" w:color="auto" w:fill="C5E0B3" w:themeFill="accent6" w:themeFillTint="66"/>
              </w:rPr>
              <w:t>Part</w:t>
            </w:r>
            <w:r w:rsidRPr="00B43A11">
              <w:rPr>
                <w:rFonts w:ascii="Arial" w:hAnsi="Arial" w:cs="Arial"/>
                <w:b/>
                <w:bCs/>
                <w:iCs/>
                <w:sz w:val="20"/>
                <w:shd w:val="clear" w:color="auto" w:fill="C5E0B3" w:themeFill="accent6" w:themeFillTint="66"/>
              </w:rPr>
              <w:t xml:space="preserve"> 6.14</w:t>
            </w:r>
            <w:r>
              <w:rPr>
                <w:rFonts w:ascii="Arial" w:hAnsi="Arial" w:cs="Arial"/>
                <w:iCs/>
                <w:sz w:val="20"/>
              </w:rPr>
              <w:t xml:space="preserve"> of these Research Materials.</w:t>
            </w:r>
          </w:p>
        </w:tc>
      </w:tr>
    </w:tbl>
    <w:p w14:paraId="2A7318C7" w14:textId="77777777" w:rsidR="00987CA2" w:rsidRDefault="00987CA2" w:rsidP="00E60F08">
      <w:pPr>
        <w:jc w:val="both"/>
        <w:rPr>
          <w:rFonts w:ascii="Arial" w:hAnsi="Arial" w:cs="Arial"/>
          <w:iCs/>
          <w:sz w:val="20"/>
        </w:rPr>
      </w:pPr>
    </w:p>
    <w:p w14:paraId="57B7FDBD" w14:textId="6371A94D" w:rsidR="00E60F08" w:rsidRDefault="00E60F08" w:rsidP="00E60F08">
      <w:pPr>
        <w:jc w:val="both"/>
        <w:rPr>
          <w:rFonts w:ascii="Arial" w:hAnsi="Arial" w:cs="Arial"/>
          <w:sz w:val="20"/>
        </w:rPr>
      </w:pPr>
      <w:r w:rsidRPr="007E32F7">
        <w:rPr>
          <w:rFonts w:ascii="Arial" w:hAnsi="Arial" w:cs="Arial"/>
          <w:iCs/>
          <w:sz w:val="20"/>
        </w:rPr>
        <w:lastRenderedPageBreak/>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 xml:space="preserve">H v R &amp; </w:t>
      </w:r>
      <w:proofErr w:type="spellStart"/>
      <w:r w:rsidRPr="00A7661E">
        <w:rPr>
          <w:rFonts w:ascii="Arial" w:hAnsi="Arial" w:cs="Arial"/>
          <w:i/>
          <w:iCs/>
          <w:sz w:val="20"/>
        </w:rPr>
        <w:t>Ors</w:t>
      </w:r>
      <w:proofErr w:type="spellEnd"/>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Southwell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w:t>
      </w:r>
      <w:proofErr w:type="spellStart"/>
      <w:r w:rsidR="00B21DA4">
        <w:rPr>
          <w:rFonts w:ascii="Arial" w:hAnsi="Arial" w:cs="Arial"/>
          <w:sz w:val="20"/>
        </w:rPr>
        <w:t>Habersberger</w:t>
      </w:r>
      <w:proofErr w:type="spellEnd"/>
      <w:r w:rsidR="00B21DA4">
        <w:rPr>
          <w:rFonts w:ascii="Arial" w:hAnsi="Arial" w:cs="Arial"/>
          <w:sz w:val="20"/>
        </w:rPr>
        <w:t xml:space="preserve">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56" w:name="_3.10.2_Reviews_of"/>
    <w:bookmarkEnd w:id="1156"/>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pPr>
        <w:pStyle w:val="ListParagraph"/>
        <w:keepNext/>
        <w:keepLines/>
        <w:numPr>
          <w:ilvl w:val="0"/>
          <w:numId w:val="80"/>
        </w:numPr>
        <w:ind w:left="357" w:hanging="357"/>
        <w:jc w:val="both"/>
        <w:rPr>
          <w:rFonts w:ascii="Arial" w:hAnsi="Arial" w:cs="Arial"/>
          <w:sz w:val="20"/>
        </w:rPr>
      </w:pPr>
      <w:r>
        <w:rPr>
          <w:rFonts w:ascii="Arial" w:hAnsi="Arial" w:cs="Arial"/>
          <w:sz w:val="20"/>
        </w:rPr>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pPr>
        <w:pStyle w:val="ListParagraph"/>
        <w:numPr>
          <w:ilvl w:val="0"/>
          <w:numId w:val="80"/>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57" w:name="_3.11_Case_stated"/>
      <w:bookmarkStart w:id="1158" w:name="B311"/>
      <w:bookmarkEnd w:id="1157"/>
      <w:bookmarkEnd w:id="1158"/>
      <w:r>
        <w:rPr>
          <w:rFonts w:ascii="Arial" w:hAnsi="Arial" w:cs="Arial"/>
          <w:b/>
          <w:bCs/>
        </w:rPr>
        <w:lastRenderedPageBreak/>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59"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60" w:name="_3.12_The_Children’s"/>
      <w:bookmarkEnd w:id="1160"/>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439A4CA5"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w:t>
      </w:r>
      <w:r w:rsidR="004B696B">
        <w:rPr>
          <w:rFonts w:ascii="Arial" w:hAnsi="Arial" w:cs="Arial"/>
          <w:b/>
          <w:bCs/>
          <w:sz w:val="20"/>
          <w:szCs w:val="20"/>
          <w:shd w:val="clear" w:color="auto" w:fill="C5E0B3"/>
        </w:rPr>
        <w:t>Part</w:t>
      </w:r>
      <w:r w:rsidRPr="00395B17">
        <w:rPr>
          <w:rFonts w:ascii="Arial" w:hAnsi="Arial" w:cs="Arial"/>
          <w:b/>
          <w:bCs/>
          <w:sz w:val="20"/>
          <w:szCs w:val="20"/>
          <w:shd w:val="clear" w:color="auto" w:fill="C5E0B3"/>
        </w:rPr>
        <w:t xml:space="preserve">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lastRenderedPageBreak/>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pPr>
              <w:numPr>
                <w:ilvl w:val="0"/>
                <w:numId w:val="59"/>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pPr>
              <w:numPr>
                <w:ilvl w:val="0"/>
                <w:numId w:val="60"/>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pPr>
              <w:numPr>
                <w:ilvl w:val="0"/>
                <w:numId w:val="61"/>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987CA2">
            <w:pPr>
              <w:keepNext/>
              <w:keepLines/>
              <w:numPr>
                <w:ilvl w:val="0"/>
                <w:numId w:val="61"/>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pPr>
              <w:numPr>
                <w:ilvl w:val="0"/>
                <w:numId w:val="61"/>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pPr>
              <w:numPr>
                <w:ilvl w:val="0"/>
                <w:numId w:val="62"/>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pPr>
              <w:numPr>
                <w:ilvl w:val="0"/>
                <w:numId w:val="62"/>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pPr>
              <w:numPr>
                <w:ilvl w:val="0"/>
                <w:numId w:val="61"/>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pPr>
              <w:numPr>
                <w:ilvl w:val="0"/>
                <w:numId w:val="60"/>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pPr>
        <w:numPr>
          <w:ilvl w:val="0"/>
          <w:numId w:val="96"/>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pPr>
        <w:numPr>
          <w:ilvl w:val="0"/>
          <w:numId w:val="96"/>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pPr>
        <w:numPr>
          <w:ilvl w:val="0"/>
          <w:numId w:val="63"/>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59"/>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61" w:name="_3.13_Court’s_powers"/>
      <w:bookmarkStart w:id="1162" w:name="_3.13_Execution_of"/>
      <w:bookmarkEnd w:id="1161"/>
      <w:bookmarkEnd w:id="1162"/>
      <w:r>
        <w:rPr>
          <w:rFonts w:ascii="Arial" w:hAnsi="Arial" w:cs="Arial"/>
          <w:b/>
          <w:bCs/>
        </w:rPr>
        <w:lastRenderedPageBreak/>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pPr>
        <w:numPr>
          <w:ilvl w:val="0"/>
          <w:numId w:val="63"/>
        </w:numPr>
        <w:ind w:left="357" w:hanging="357"/>
        <w:jc w:val="both"/>
        <w:rPr>
          <w:rFonts w:ascii="Arial" w:hAnsi="Arial" w:cs="Arial"/>
          <w:sz w:val="20"/>
          <w:szCs w:val="20"/>
        </w:rPr>
      </w:pPr>
      <w:bookmarkStart w:id="1163" w:name="_Toc514752899"/>
      <w:r>
        <w:rPr>
          <w:rFonts w:ascii="Arial" w:hAnsi="Arial" w:cs="Arial"/>
          <w:sz w:val="20"/>
          <w:szCs w:val="20"/>
        </w:rPr>
        <w:t>an officer of the police force of the State in which the person is found; or</w:t>
      </w:r>
    </w:p>
    <w:p w14:paraId="4046181B" w14:textId="7DE98275"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64" w:name="_Toc514752900"/>
      <w:bookmarkEnd w:id="1163"/>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pPr>
        <w:numPr>
          <w:ilvl w:val="0"/>
          <w:numId w:val="63"/>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pPr>
        <w:numPr>
          <w:ilvl w:val="0"/>
          <w:numId w:val="63"/>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pPr>
        <w:numPr>
          <w:ilvl w:val="0"/>
          <w:numId w:val="63"/>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pPr>
        <w:numPr>
          <w:ilvl w:val="0"/>
          <w:numId w:val="63"/>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pPr>
        <w:pStyle w:val="acthead5"/>
        <w:numPr>
          <w:ilvl w:val="0"/>
          <w:numId w:val="74"/>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pPr>
        <w:pStyle w:val="acthead5"/>
        <w:numPr>
          <w:ilvl w:val="0"/>
          <w:numId w:val="74"/>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AB747A">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65" w:name="_Toc514752904"/>
      <w:bookmarkEnd w:id="1164"/>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50"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 xml:space="preserve">Re </w:t>
        </w:r>
        <w:proofErr w:type="spellStart"/>
        <w:r w:rsidRPr="00FE313D">
          <w:rPr>
            <w:rStyle w:val="Hyperlink"/>
            <w:rFonts w:ascii="Arial" w:hAnsi="Arial" w:cs="Arial"/>
            <w:i/>
            <w:iCs/>
            <w:color w:val="000000" w:themeColor="text1"/>
            <w:sz w:val="20"/>
            <w:szCs w:val="20"/>
            <w:u w:val="none"/>
            <w:bdr w:val="none" w:sz="0" w:space="0" w:color="auto" w:frame="1"/>
            <w:shd w:val="clear" w:color="auto" w:fill="FFFFFF"/>
          </w:rPr>
          <w:t>Taleb</w:t>
        </w:r>
        <w:proofErr w:type="spellEnd"/>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65"/>
    <w:p w14:paraId="4C4C39D9" w14:textId="77777777" w:rsidR="00B7111B" w:rsidRPr="00B7111B" w:rsidRDefault="00B7111B" w:rsidP="00B7111B">
      <w:pPr>
        <w:rPr>
          <w:rFonts w:ascii="Arial" w:hAnsi="Arial" w:cs="Arial"/>
          <w:sz w:val="20"/>
        </w:rPr>
      </w:pPr>
    </w:p>
    <w:p w14:paraId="3CE71612" w14:textId="0DA0021F" w:rsidR="00B21DA4" w:rsidRDefault="00E53EDA" w:rsidP="007E729F">
      <w:pPr>
        <w:spacing w:before="120"/>
        <w:jc w:val="center"/>
        <w:rPr>
          <w:color w:val="000000"/>
          <w:sz w:val="20"/>
        </w:rPr>
      </w:pPr>
      <w:r>
        <w:rPr>
          <w:noProof/>
        </w:rPr>
        <w:drawing>
          <wp:inline distT="0" distB="0" distL="0" distR="0" wp14:anchorId="4E7E2505" wp14:editId="585F0EC6">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B21DA4" w:rsidSect="00821C83">
      <w:footerReference w:type="default" r:id="rId52"/>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BD02" w14:textId="77777777" w:rsidR="00F368C4" w:rsidRDefault="00F368C4">
      <w:r>
        <w:separator/>
      </w:r>
    </w:p>
  </w:endnote>
  <w:endnote w:type="continuationSeparator" w:id="0">
    <w:p w14:paraId="10F88A5C" w14:textId="77777777" w:rsidR="00F368C4" w:rsidRDefault="00F3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58F2769C"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32E193EF"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7417A5">
      <w:rPr>
        <w:rStyle w:val="PageNumber"/>
        <w:rFonts w:ascii="Arial" w:hAnsi="Arial" w:cs="Arial"/>
        <w:b/>
        <w:bCs/>
        <w:color w:val="000000"/>
        <w:sz w:val="16"/>
      </w:rPr>
      <w:t>2</w:t>
    </w:r>
    <w:r w:rsidR="00D010E0">
      <w:rPr>
        <w:rStyle w:val="PageNumber"/>
        <w:rFonts w:ascii="Arial" w:hAnsi="Arial" w:cs="Arial"/>
        <w:b/>
        <w:bCs/>
        <w:color w:val="000000"/>
        <w:sz w:val="16"/>
      </w:rPr>
      <w:t>5</w:t>
    </w:r>
    <w:r w:rsidR="007417A5">
      <w:rPr>
        <w:rStyle w:val="PageNumber"/>
        <w:rFonts w:ascii="Arial" w:hAnsi="Arial" w:cs="Arial"/>
        <w:b/>
        <w:bCs/>
        <w:color w:val="000000"/>
        <w:sz w:val="16"/>
      </w:rPr>
      <w:t xml:space="preserve"> </w:t>
    </w:r>
    <w:r w:rsidR="002E3476">
      <w:rPr>
        <w:rStyle w:val="PageNumber"/>
        <w:rFonts w:ascii="Arial" w:hAnsi="Arial" w:cs="Arial"/>
        <w:b/>
        <w:bCs/>
        <w:color w:val="000000"/>
        <w:sz w:val="16"/>
      </w:rPr>
      <w:t>March</w:t>
    </w:r>
    <w:r w:rsidR="00D53EB8">
      <w:rPr>
        <w:rStyle w:val="PageNumber"/>
        <w:rFonts w:ascii="Arial" w:hAnsi="Arial" w:cs="Arial"/>
        <w:b/>
        <w:bCs/>
        <w:color w:val="000000"/>
        <w:sz w:val="16"/>
      </w:rPr>
      <w:t xml:space="preserve"> 2024</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0CFB" w14:textId="77777777" w:rsidR="00F368C4" w:rsidRDefault="00F368C4">
      <w:r>
        <w:separator/>
      </w:r>
    </w:p>
  </w:footnote>
  <w:footnote w:type="continuationSeparator" w:id="0">
    <w:p w14:paraId="5D713EC7" w14:textId="77777777" w:rsidR="00F368C4" w:rsidRDefault="00F3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41902"/>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2"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695C85"/>
    <w:multiLevelType w:val="hybridMultilevel"/>
    <w:tmpl w:val="2F00858C"/>
    <w:lvl w:ilvl="0" w:tplc="CC4AC22E">
      <w:start w:val="2"/>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6BD3610"/>
    <w:multiLevelType w:val="hybridMultilevel"/>
    <w:tmpl w:val="BB22AB92"/>
    <w:lvl w:ilvl="0" w:tplc="3BE8B6D0">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8" w15:restartNumberingAfterBreak="0">
    <w:nsid w:val="071E2E6B"/>
    <w:multiLevelType w:val="hybridMultilevel"/>
    <w:tmpl w:val="F056D104"/>
    <w:lvl w:ilvl="0" w:tplc="FFFFFFFF">
      <w:start w:val="1"/>
      <w:numFmt w:val="decimal"/>
      <w:lvlText w:val="(%1)"/>
      <w:lvlJc w:val="left"/>
      <w:pPr>
        <w:tabs>
          <w:tab w:val="num" w:pos="1140"/>
        </w:tabs>
        <w:ind w:left="1140" w:hanging="57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11" w15:restartNumberingAfterBreak="0">
    <w:nsid w:val="0746273C"/>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12"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4"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9B792B"/>
    <w:multiLevelType w:val="hybridMultilevel"/>
    <w:tmpl w:val="4C60878E"/>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E401C1"/>
    <w:multiLevelType w:val="hybridMultilevel"/>
    <w:tmpl w:val="2F425CB8"/>
    <w:lvl w:ilvl="0" w:tplc="C6AADADE">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34E479E"/>
    <w:multiLevelType w:val="hybridMultilevel"/>
    <w:tmpl w:val="2CC84E92"/>
    <w:lvl w:ilvl="0" w:tplc="B98223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23FC36EF"/>
    <w:multiLevelType w:val="hybridMultilevel"/>
    <w:tmpl w:val="6BDA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026099"/>
    <w:multiLevelType w:val="hybridMultilevel"/>
    <w:tmpl w:val="83B8B224"/>
    <w:lvl w:ilvl="0" w:tplc="4F7CBCE0">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0" w15:restartNumberingAfterBreak="0">
    <w:nsid w:val="26611F2B"/>
    <w:multiLevelType w:val="hybridMultilevel"/>
    <w:tmpl w:val="9894EDCC"/>
    <w:lvl w:ilvl="0" w:tplc="E9EC863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26FD6E21"/>
    <w:multiLevelType w:val="hybridMultilevel"/>
    <w:tmpl w:val="84B6BA60"/>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7826C7"/>
    <w:multiLevelType w:val="hybridMultilevel"/>
    <w:tmpl w:val="0EA2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C90D53"/>
    <w:multiLevelType w:val="hybridMultilevel"/>
    <w:tmpl w:val="CB6EDA5C"/>
    <w:lvl w:ilvl="0" w:tplc="075E2182">
      <w:start w:val="1"/>
      <w:numFmt w:val="lowerRoman"/>
      <w:lvlText w:val="(%1)"/>
      <w:lvlJc w:val="left"/>
      <w:pPr>
        <w:ind w:left="774" w:hanging="360"/>
      </w:pPr>
      <w:rPr>
        <w:rFonts w:ascii="Arial" w:hAnsi="Arial" w:hint="default"/>
        <w:b/>
        <w:i w:val="0"/>
        <w:color w:val="000000"/>
        <w:sz w:val="20"/>
        <w:szCs w:val="3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9"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0" w15:restartNumberingAfterBreak="0">
    <w:nsid w:val="311F1D5E"/>
    <w:multiLevelType w:val="hybridMultilevel"/>
    <w:tmpl w:val="675839D0"/>
    <w:lvl w:ilvl="0" w:tplc="EA066FCC">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43" w15:restartNumberingAfterBreak="0">
    <w:nsid w:val="33005254"/>
    <w:multiLevelType w:val="hybridMultilevel"/>
    <w:tmpl w:val="7A4E5F50"/>
    <w:lvl w:ilvl="0" w:tplc="576075C4">
      <w:start w:val="1"/>
      <w:numFmt w:val="decimal"/>
      <w:lvlText w:val="%1."/>
      <w:lvlJc w:val="left"/>
      <w:pPr>
        <w:ind w:left="927" w:hanging="360"/>
      </w:pPr>
      <w:rPr>
        <w:rFonts w:ascii="Arial" w:hAnsi="Arial" w:hint="default"/>
        <w:b w:val="0"/>
        <w:i w:val="0"/>
        <w:sz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0"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3A982B4D"/>
    <w:multiLevelType w:val="hybridMultilevel"/>
    <w:tmpl w:val="BB22AB92"/>
    <w:lvl w:ilvl="0" w:tplc="FFFFFFFF">
      <w:start w:val="1"/>
      <w:numFmt w:val="lowerLetter"/>
      <w:lvlText w:val="(%1)"/>
      <w:lvlJc w:val="left"/>
      <w:pPr>
        <w:ind w:left="1381" w:hanging="360"/>
      </w:pPr>
      <w:rPr>
        <w:rFonts w:hint="default"/>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58"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9"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0"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41035986"/>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62"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1A64161"/>
    <w:multiLevelType w:val="multilevel"/>
    <w:tmpl w:val="BAC80654"/>
    <w:lvl w:ilvl="0">
      <w:start w:val="1"/>
      <w:numFmt w:val="decimal"/>
      <w:pStyle w:val="CCVNumberLevel1"/>
      <w:lvlText w:val="%1"/>
      <w:lvlJc w:val="left"/>
      <w:pPr>
        <w:tabs>
          <w:tab w:val="num" w:pos="1134"/>
        </w:tabs>
        <w:ind w:left="1134" w:hanging="567"/>
      </w:pPr>
      <w:rPr>
        <w:rFonts w:ascii="Arial" w:hAnsi="Arial" w:hint="default"/>
        <w:b w:val="0"/>
        <w:i w:val="0"/>
        <w:sz w:val="20"/>
      </w:rPr>
    </w:lvl>
    <w:lvl w:ilvl="1">
      <w:start w:val="1"/>
      <w:numFmt w:val="lowerLetter"/>
      <w:pStyle w:val="CCVNumberLevel2"/>
      <w:lvlText w:val="(%2)"/>
      <w:lvlJc w:val="left"/>
      <w:pPr>
        <w:tabs>
          <w:tab w:val="num" w:pos="1701"/>
        </w:tabs>
        <w:ind w:left="1701" w:hanging="567"/>
      </w:pPr>
      <w:rPr>
        <w:rFonts w:ascii="Arial" w:hAnsi="Arial" w:hint="default"/>
        <w:b w:val="0"/>
        <w:i w:val="0"/>
        <w:sz w:val="24"/>
      </w:rPr>
    </w:lvl>
    <w:lvl w:ilvl="2">
      <w:start w:val="1"/>
      <w:numFmt w:val="lowerRoman"/>
      <w:pStyle w:val="CCVNumberLevel3"/>
      <w:lvlText w:val="(%3)"/>
      <w:lvlJc w:val="left"/>
      <w:pPr>
        <w:tabs>
          <w:tab w:val="num" w:pos="2268"/>
        </w:tabs>
        <w:ind w:left="2268" w:hanging="567"/>
      </w:pPr>
      <w:rPr>
        <w:rFonts w:ascii="Arial" w:hAnsi="Aria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hanging="32766"/>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65"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6"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67" w15:restartNumberingAfterBreak="0">
    <w:nsid w:val="458410AC"/>
    <w:multiLevelType w:val="hybridMultilevel"/>
    <w:tmpl w:val="7402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1"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C710B2"/>
    <w:multiLevelType w:val="hybridMultilevel"/>
    <w:tmpl w:val="4C1409BC"/>
    <w:lvl w:ilvl="0" w:tplc="318E78D2">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927FAD"/>
    <w:multiLevelType w:val="hybridMultilevel"/>
    <w:tmpl w:val="D0B6881E"/>
    <w:lvl w:ilvl="0" w:tplc="0C090005">
      <w:start w:val="1"/>
      <w:numFmt w:val="bullet"/>
      <w:lvlText w:val=""/>
      <w:lvlJc w:val="left"/>
      <w:pPr>
        <w:ind w:left="720" w:hanging="360"/>
      </w:pPr>
      <w:rPr>
        <w:rFonts w:ascii="Wingdings" w:hAnsi="Wingding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B0533C4"/>
    <w:multiLevelType w:val="hybridMultilevel"/>
    <w:tmpl w:val="00E497FE"/>
    <w:lvl w:ilvl="0" w:tplc="C63EE45A">
      <w:start w:val="1"/>
      <w:numFmt w:val="decimal"/>
      <w:lvlText w:val="%1."/>
      <w:lvlJc w:val="left"/>
      <w:pPr>
        <w:ind w:left="720" w:hanging="360"/>
      </w:pPr>
      <w:rPr>
        <w:rFonts w:ascii="Times New Roman" w:hAnsi="Times New Roman" w:cs="Times New Roman"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B356908"/>
    <w:multiLevelType w:val="hybridMultilevel"/>
    <w:tmpl w:val="0A165ABC"/>
    <w:lvl w:ilvl="0" w:tplc="4B92B93E">
      <w:start w:val="3"/>
      <w:numFmt w:val="bullet"/>
      <w:lvlText w:val=""/>
      <w:lvlJc w:val="left"/>
      <w:pPr>
        <w:ind w:left="814" w:hanging="360"/>
      </w:pPr>
      <w:rPr>
        <w:rFonts w:ascii="Symbol" w:eastAsia="Times New Roman" w:hAnsi="Symbo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7"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F496A28"/>
    <w:multiLevelType w:val="hybridMultilevel"/>
    <w:tmpl w:val="758C17AA"/>
    <w:lvl w:ilvl="0" w:tplc="CAA827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0" w15:restartNumberingAfterBreak="0">
    <w:nsid w:val="4FD84F47"/>
    <w:multiLevelType w:val="hybridMultilevel"/>
    <w:tmpl w:val="9894EDC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3" w15:restartNumberingAfterBreak="0">
    <w:nsid w:val="52DA32B5"/>
    <w:multiLevelType w:val="hybridMultilevel"/>
    <w:tmpl w:val="772C337E"/>
    <w:lvl w:ilvl="0" w:tplc="FFFFFFFF">
      <w:start w:val="1"/>
      <w:numFmt w:val="lowerLetter"/>
      <w:lvlText w:val="(%1)"/>
      <w:lvlJc w:val="left"/>
      <w:pPr>
        <w:ind w:left="1782" w:hanging="465"/>
      </w:pPr>
      <w:rPr>
        <w:rFonts w:hint="default"/>
      </w:rPr>
    </w:lvl>
    <w:lvl w:ilvl="1" w:tplc="FFFFFFFF" w:tentative="1">
      <w:start w:val="1"/>
      <w:numFmt w:val="lowerLetter"/>
      <w:lvlText w:val="%2."/>
      <w:lvlJc w:val="left"/>
      <w:pPr>
        <w:ind w:left="2397" w:hanging="360"/>
      </w:pPr>
    </w:lvl>
    <w:lvl w:ilvl="2" w:tplc="FFFFFFFF" w:tentative="1">
      <w:start w:val="1"/>
      <w:numFmt w:val="lowerRoman"/>
      <w:lvlText w:val="%3."/>
      <w:lvlJc w:val="right"/>
      <w:pPr>
        <w:ind w:left="3117" w:hanging="180"/>
      </w:pPr>
    </w:lvl>
    <w:lvl w:ilvl="3" w:tplc="FFFFFFFF" w:tentative="1">
      <w:start w:val="1"/>
      <w:numFmt w:val="decimal"/>
      <w:lvlText w:val="%4."/>
      <w:lvlJc w:val="left"/>
      <w:pPr>
        <w:ind w:left="3837" w:hanging="360"/>
      </w:pPr>
    </w:lvl>
    <w:lvl w:ilvl="4" w:tplc="FFFFFFFF" w:tentative="1">
      <w:start w:val="1"/>
      <w:numFmt w:val="lowerLetter"/>
      <w:lvlText w:val="%5."/>
      <w:lvlJc w:val="left"/>
      <w:pPr>
        <w:ind w:left="4557" w:hanging="360"/>
      </w:pPr>
    </w:lvl>
    <w:lvl w:ilvl="5" w:tplc="FFFFFFFF" w:tentative="1">
      <w:start w:val="1"/>
      <w:numFmt w:val="lowerRoman"/>
      <w:lvlText w:val="%6."/>
      <w:lvlJc w:val="right"/>
      <w:pPr>
        <w:ind w:left="5277" w:hanging="180"/>
      </w:pPr>
    </w:lvl>
    <w:lvl w:ilvl="6" w:tplc="FFFFFFFF" w:tentative="1">
      <w:start w:val="1"/>
      <w:numFmt w:val="decimal"/>
      <w:lvlText w:val="%7."/>
      <w:lvlJc w:val="left"/>
      <w:pPr>
        <w:ind w:left="5997" w:hanging="360"/>
      </w:pPr>
    </w:lvl>
    <w:lvl w:ilvl="7" w:tplc="FFFFFFFF" w:tentative="1">
      <w:start w:val="1"/>
      <w:numFmt w:val="lowerLetter"/>
      <w:lvlText w:val="%8."/>
      <w:lvlJc w:val="left"/>
      <w:pPr>
        <w:ind w:left="6717" w:hanging="360"/>
      </w:pPr>
    </w:lvl>
    <w:lvl w:ilvl="8" w:tplc="FFFFFFFF" w:tentative="1">
      <w:start w:val="1"/>
      <w:numFmt w:val="lowerRoman"/>
      <w:lvlText w:val="%9."/>
      <w:lvlJc w:val="right"/>
      <w:pPr>
        <w:ind w:left="7437" w:hanging="180"/>
      </w:pPr>
    </w:lvl>
  </w:abstractNum>
  <w:abstractNum w:abstractNumId="84"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75B117C"/>
    <w:multiLevelType w:val="hybridMultilevel"/>
    <w:tmpl w:val="070CB49C"/>
    <w:lvl w:ilvl="0" w:tplc="762ACCC4">
      <w:start w:val="2"/>
      <w:numFmt w:val="bullet"/>
      <w:lvlText w:val=""/>
      <w:lvlJc w:val="left"/>
      <w:pPr>
        <w:ind w:left="720" w:hanging="360"/>
      </w:pPr>
      <w:rPr>
        <w:rFonts w:ascii="Wingdings 2" w:hAnsi="Wingdings 2"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5ABA5468"/>
    <w:multiLevelType w:val="hybridMultilevel"/>
    <w:tmpl w:val="BB22AB92"/>
    <w:lvl w:ilvl="0" w:tplc="FFFFFFFF">
      <w:start w:val="1"/>
      <w:numFmt w:val="lowerLetter"/>
      <w:lvlText w:val="(%1)"/>
      <w:lvlJc w:val="left"/>
      <w:pPr>
        <w:ind w:left="1381" w:hanging="360"/>
      </w:pPr>
      <w:rPr>
        <w:rFonts w:hint="default"/>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91"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92"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DAA115B"/>
    <w:multiLevelType w:val="hybridMultilevel"/>
    <w:tmpl w:val="D3CE28A0"/>
    <w:lvl w:ilvl="0" w:tplc="DE88A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E9F4304"/>
    <w:multiLevelType w:val="hybridMultilevel"/>
    <w:tmpl w:val="772C337E"/>
    <w:lvl w:ilvl="0" w:tplc="035644D8">
      <w:start w:val="1"/>
      <w:numFmt w:val="lowerLetter"/>
      <w:lvlText w:val="(%1)"/>
      <w:lvlJc w:val="left"/>
      <w:pPr>
        <w:ind w:left="1782" w:hanging="465"/>
      </w:pPr>
      <w:rPr>
        <w:rFonts w:hint="default"/>
      </w:rPr>
    </w:lvl>
    <w:lvl w:ilvl="1" w:tplc="0C090019" w:tentative="1">
      <w:start w:val="1"/>
      <w:numFmt w:val="lowerLetter"/>
      <w:lvlText w:val="%2."/>
      <w:lvlJc w:val="left"/>
      <w:pPr>
        <w:ind w:left="2397" w:hanging="360"/>
      </w:pPr>
    </w:lvl>
    <w:lvl w:ilvl="2" w:tplc="0C09001B" w:tentative="1">
      <w:start w:val="1"/>
      <w:numFmt w:val="lowerRoman"/>
      <w:lvlText w:val="%3."/>
      <w:lvlJc w:val="right"/>
      <w:pPr>
        <w:ind w:left="3117" w:hanging="180"/>
      </w:pPr>
    </w:lvl>
    <w:lvl w:ilvl="3" w:tplc="0C09000F" w:tentative="1">
      <w:start w:val="1"/>
      <w:numFmt w:val="decimal"/>
      <w:lvlText w:val="%4."/>
      <w:lvlJc w:val="left"/>
      <w:pPr>
        <w:ind w:left="3837" w:hanging="360"/>
      </w:pPr>
    </w:lvl>
    <w:lvl w:ilvl="4" w:tplc="0C090019" w:tentative="1">
      <w:start w:val="1"/>
      <w:numFmt w:val="lowerLetter"/>
      <w:lvlText w:val="%5."/>
      <w:lvlJc w:val="left"/>
      <w:pPr>
        <w:ind w:left="4557" w:hanging="360"/>
      </w:pPr>
    </w:lvl>
    <w:lvl w:ilvl="5" w:tplc="0C09001B" w:tentative="1">
      <w:start w:val="1"/>
      <w:numFmt w:val="lowerRoman"/>
      <w:lvlText w:val="%6."/>
      <w:lvlJc w:val="right"/>
      <w:pPr>
        <w:ind w:left="5277" w:hanging="180"/>
      </w:pPr>
    </w:lvl>
    <w:lvl w:ilvl="6" w:tplc="0C09000F" w:tentative="1">
      <w:start w:val="1"/>
      <w:numFmt w:val="decimal"/>
      <w:lvlText w:val="%7."/>
      <w:lvlJc w:val="left"/>
      <w:pPr>
        <w:ind w:left="5997" w:hanging="360"/>
      </w:pPr>
    </w:lvl>
    <w:lvl w:ilvl="7" w:tplc="0C090019" w:tentative="1">
      <w:start w:val="1"/>
      <w:numFmt w:val="lowerLetter"/>
      <w:lvlText w:val="%8."/>
      <w:lvlJc w:val="left"/>
      <w:pPr>
        <w:ind w:left="6717" w:hanging="360"/>
      </w:pPr>
    </w:lvl>
    <w:lvl w:ilvl="8" w:tplc="0C09001B" w:tentative="1">
      <w:start w:val="1"/>
      <w:numFmt w:val="lowerRoman"/>
      <w:lvlText w:val="%9."/>
      <w:lvlJc w:val="right"/>
      <w:pPr>
        <w:ind w:left="7437" w:hanging="180"/>
      </w:pPr>
    </w:lvl>
  </w:abstractNum>
  <w:abstractNum w:abstractNumId="95" w15:restartNumberingAfterBreak="0">
    <w:nsid w:val="60BA0A62"/>
    <w:multiLevelType w:val="hybridMultilevel"/>
    <w:tmpl w:val="AB30CFA4"/>
    <w:lvl w:ilvl="0" w:tplc="B40E2AD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97"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8"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6A7D90"/>
    <w:multiLevelType w:val="hybridMultilevel"/>
    <w:tmpl w:val="2DE62F46"/>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59B40BB"/>
    <w:multiLevelType w:val="hybridMultilevel"/>
    <w:tmpl w:val="9894EDC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1" w15:restartNumberingAfterBreak="0">
    <w:nsid w:val="66AF18AF"/>
    <w:multiLevelType w:val="hybridMultilevel"/>
    <w:tmpl w:val="271E0D4E"/>
    <w:lvl w:ilvl="0" w:tplc="C400DA0E">
      <w:start w:val="2"/>
      <w:numFmt w:val="bullet"/>
      <w:lvlText w:val=""/>
      <w:lvlJc w:val="left"/>
      <w:pPr>
        <w:ind w:left="720" w:hanging="360"/>
      </w:pPr>
      <w:rPr>
        <w:rFonts w:ascii="Wingdings 2" w:hAnsi="Wingdings 2"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4"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6"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7"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EFA42C3"/>
    <w:multiLevelType w:val="hybridMultilevel"/>
    <w:tmpl w:val="F434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0" w15:restartNumberingAfterBreak="0">
    <w:nsid w:val="73363B59"/>
    <w:multiLevelType w:val="hybridMultilevel"/>
    <w:tmpl w:val="F692E98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112"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3"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65A3534"/>
    <w:multiLevelType w:val="hybridMultilevel"/>
    <w:tmpl w:val="06B6ACE0"/>
    <w:lvl w:ilvl="0" w:tplc="74F2E8DE">
      <w:start w:val="52"/>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8CCEB06">
      <w:start w:val="1"/>
      <w:numFmt w:val="decimal"/>
      <w:lvlText w:val="(%2)"/>
      <w:lvlJc w:val="left"/>
      <w:pPr>
        <w:ind w:left="1080" w:firstLine="0"/>
      </w:pPr>
      <w:rPr>
        <w:rFonts w:ascii="Arial" w:hAnsi="Arial" w:cs="Book Antiqua" w:hint="default"/>
        <w:b w:val="0"/>
        <w:i w:val="0"/>
        <w:strike w:val="0"/>
        <w:dstrike w:val="0"/>
        <w:color w:val="000000"/>
        <w:sz w:val="18"/>
        <w:szCs w:val="22"/>
        <w:u w:val="none" w:color="000000"/>
        <w:vertAlign w:val="baseline"/>
      </w:rPr>
    </w:lvl>
    <w:lvl w:ilvl="2" w:tplc="5AE4706E">
      <w:start w:val="1"/>
      <w:numFmt w:val="lowerLetter"/>
      <w:lvlText w:val="(%3)"/>
      <w:lvlJc w:val="left"/>
      <w:pPr>
        <w:ind w:left="2880" w:firstLine="0"/>
      </w:pPr>
      <w:rPr>
        <w:rFonts w:ascii="Arial" w:hAnsi="Arial" w:cs="Book Antiqua" w:hint="default"/>
        <w:b w:val="0"/>
        <w:i w:val="0"/>
        <w:strike w:val="0"/>
        <w:dstrike w:val="0"/>
        <w:color w:val="000000"/>
        <w:sz w:val="18"/>
        <w:szCs w:val="22"/>
        <w:u w:val="none" w:color="000000"/>
        <w:vertAlign w:val="baseline"/>
      </w:rPr>
    </w:lvl>
    <w:lvl w:ilvl="3" w:tplc="102836DA">
      <w:start w:val="1"/>
      <w:numFmt w:val="lowerRoman"/>
      <w:lvlText w:val="(%4)"/>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2C85124">
      <w:start w:val="1"/>
      <w:numFmt w:val="lowerLetter"/>
      <w:lvlText w:val="%5"/>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4442F186">
      <w:start w:val="1"/>
      <w:numFmt w:val="lowerRoman"/>
      <w:lvlText w:val="%6"/>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0D40FFC">
      <w:start w:val="1"/>
      <w:numFmt w:val="decimal"/>
      <w:lvlText w:val="%7"/>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DB0FB0A">
      <w:start w:val="1"/>
      <w:numFmt w:val="lowerLetter"/>
      <w:lvlText w:val="%8"/>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F245AA8">
      <w:start w:val="1"/>
      <w:numFmt w:val="lowerRoman"/>
      <w:lvlText w:val="%9"/>
      <w:lvlJc w:val="left"/>
      <w:pPr>
        <w:ind w:left="68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92B312D"/>
    <w:multiLevelType w:val="hybridMultilevel"/>
    <w:tmpl w:val="82602568"/>
    <w:lvl w:ilvl="0" w:tplc="3EACBAB6">
      <w:start w:val="1"/>
      <w:numFmt w:val="decimal"/>
      <w:lvlText w:val="(%1)"/>
      <w:lvlJc w:val="left"/>
      <w:pPr>
        <w:ind w:left="1479" w:hanging="458"/>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19"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79E81750"/>
    <w:multiLevelType w:val="hybridMultilevel"/>
    <w:tmpl w:val="511E47AA"/>
    <w:lvl w:ilvl="0" w:tplc="9E6AB35C">
      <w:start w:val="1"/>
      <w:numFmt w:val="lowerLetter"/>
      <w:lvlText w:val="(%1)"/>
      <w:lvlJc w:val="left"/>
      <w:pPr>
        <w:ind w:left="1095" w:hanging="360"/>
      </w:pPr>
      <w:rPr>
        <w:rFonts w:hint="default"/>
      </w:r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21"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2"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3" w15:restartNumberingAfterBreak="0">
    <w:nsid w:val="7D306DF5"/>
    <w:multiLevelType w:val="hybridMultilevel"/>
    <w:tmpl w:val="80EA11CC"/>
    <w:lvl w:ilvl="0" w:tplc="4934E7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6"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4060094">
    <w:abstractNumId w:val="111"/>
  </w:num>
  <w:num w:numId="2" w16cid:durableId="565148479">
    <w:abstractNumId w:val="37"/>
  </w:num>
  <w:num w:numId="3" w16cid:durableId="734089563">
    <w:abstractNumId w:val="42"/>
  </w:num>
  <w:num w:numId="4" w16cid:durableId="295961182">
    <w:abstractNumId w:val="116"/>
  </w:num>
  <w:num w:numId="5" w16cid:durableId="1956671450">
    <w:abstractNumId w:val="73"/>
  </w:num>
  <w:num w:numId="6" w16cid:durableId="375131689">
    <w:abstractNumId w:val="28"/>
  </w:num>
  <w:num w:numId="7" w16cid:durableId="1461387659">
    <w:abstractNumId w:val="17"/>
  </w:num>
  <w:num w:numId="8" w16cid:durableId="1750467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1250939">
    <w:abstractNumId w:val="78"/>
  </w:num>
  <w:num w:numId="10" w16cid:durableId="339505381">
    <w:abstractNumId w:val="113"/>
  </w:num>
  <w:num w:numId="11" w16cid:durableId="1635987078">
    <w:abstractNumId w:val="77"/>
  </w:num>
  <w:num w:numId="12" w16cid:durableId="1879972971">
    <w:abstractNumId w:val="24"/>
  </w:num>
  <w:num w:numId="13" w16cid:durableId="2097169926">
    <w:abstractNumId w:val="125"/>
  </w:num>
  <w:num w:numId="14" w16cid:durableId="1597321610">
    <w:abstractNumId w:val="4"/>
  </w:num>
  <w:num w:numId="15" w16cid:durableId="612514816">
    <w:abstractNumId w:val="18"/>
  </w:num>
  <w:num w:numId="16" w16cid:durableId="1544903481">
    <w:abstractNumId w:val="5"/>
  </w:num>
  <w:num w:numId="17" w16cid:durableId="662049190">
    <w:abstractNumId w:val="124"/>
  </w:num>
  <w:num w:numId="18" w16cid:durableId="1911886641">
    <w:abstractNumId w:val="14"/>
  </w:num>
  <w:num w:numId="19" w16cid:durableId="2099865530">
    <w:abstractNumId w:val="59"/>
  </w:num>
  <w:num w:numId="20" w16cid:durableId="305933984">
    <w:abstractNumId w:val="10"/>
  </w:num>
  <w:num w:numId="21" w16cid:durableId="395007215">
    <w:abstractNumId w:val="60"/>
  </w:num>
  <w:num w:numId="22" w16cid:durableId="1627001036">
    <w:abstractNumId w:val="89"/>
  </w:num>
  <w:num w:numId="23" w16cid:durableId="1541169070">
    <w:abstractNumId w:val="109"/>
  </w:num>
  <w:num w:numId="24" w16cid:durableId="1867670272">
    <w:abstractNumId w:val="23"/>
  </w:num>
  <w:num w:numId="25" w16cid:durableId="1104961416">
    <w:abstractNumId w:val="104"/>
  </w:num>
  <w:num w:numId="26" w16cid:durableId="875049460">
    <w:abstractNumId w:val="6"/>
  </w:num>
  <w:num w:numId="27" w16cid:durableId="1450199747">
    <w:abstractNumId w:val="112"/>
  </w:num>
  <w:num w:numId="28" w16cid:durableId="1363895009">
    <w:abstractNumId w:val="12"/>
  </w:num>
  <w:num w:numId="29" w16cid:durableId="131407357">
    <w:abstractNumId w:val="50"/>
  </w:num>
  <w:num w:numId="30" w16cid:durableId="1109818330">
    <w:abstractNumId w:val="51"/>
  </w:num>
  <w:num w:numId="31" w16cid:durableId="1304039603">
    <w:abstractNumId w:val="21"/>
  </w:num>
  <w:num w:numId="32" w16cid:durableId="105080445">
    <w:abstractNumId w:val="25"/>
  </w:num>
  <w:num w:numId="33" w16cid:durableId="1951545210">
    <w:abstractNumId w:val="70"/>
  </w:num>
  <w:num w:numId="34" w16cid:durableId="1513686477">
    <w:abstractNumId w:val="119"/>
  </w:num>
  <w:num w:numId="35" w16cid:durableId="782918561">
    <w:abstractNumId w:val="56"/>
  </w:num>
  <w:num w:numId="36" w16cid:durableId="1134712469">
    <w:abstractNumId w:val="36"/>
  </w:num>
  <w:num w:numId="37" w16cid:durableId="515777756">
    <w:abstractNumId w:val="105"/>
  </w:num>
  <w:num w:numId="38" w16cid:durableId="1242787461">
    <w:abstractNumId w:val="62"/>
  </w:num>
  <w:num w:numId="39" w16cid:durableId="804587307">
    <w:abstractNumId w:val="49"/>
  </w:num>
  <w:num w:numId="40" w16cid:durableId="302388527">
    <w:abstractNumId w:val="54"/>
  </w:num>
  <w:num w:numId="41" w16cid:durableId="1333921571">
    <w:abstractNumId w:val="115"/>
  </w:num>
  <w:num w:numId="42" w16cid:durableId="1012535862">
    <w:abstractNumId w:val="53"/>
  </w:num>
  <w:num w:numId="43" w16cid:durableId="321399952">
    <w:abstractNumId w:val="46"/>
  </w:num>
  <w:num w:numId="44" w16cid:durableId="791363909">
    <w:abstractNumId w:val="26"/>
  </w:num>
  <w:num w:numId="45" w16cid:durableId="1888956811">
    <w:abstractNumId w:val="66"/>
  </w:num>
  <w:num w:numId="46" w16cid:durableId="107354056">
    <w:abstractNumId w:val="2"/>
  </w:num>
  <w:num w:numId="47" w16cid:durableId="64958678">
    <w:abstractNumId w:val="96"/>
  </w:num>
  <w:num w:numId="48" w16cid:durableId="400637028">
    <w:abstractNumId w:val="13"/>
  </w:num>
  <w:num w:numId="49" w16cid:durableId="321589634">
    <w:abstractNumId w:val="9"/>
  </w:num>
  <w:num w:numId="50" w16cid:durableId="1543713457">
    <w:abstractNumId w:val="121"/>
  </w:num>
  <w:num w:numId="51" w16cid:durableId="962344558">
    <w:abstractNumId w:val="88"/>
  </w:num>
  <w:num w:numId="52" w16cid:durableId="1929345919">
    <w:abstractNumId w:val="35"/>
  </w:num>
  <w:num w:numId="53" w16cid:durableId="987397365">
    <w:abstractNumId w:val="81"/>
  </w:num>
  <w:num w:numId="54" w16cid:durableId="124660162">
    <w:abstractNumId w:val="82"/>
  </w:num>
  <w:num w:numId="55" w16cid:durableId="1679697315">
    <w:abstractNumId w:val="85"/>
  </w:num>
  <w:num w:numId="56" w16cid:durableId="496074002">
    <w:abstractNumId w:val="52"/>
  </w:num>
  <w:num w:numId="57" w16cid:durableId="1905094294">
    <w:abstractNumId w:val="107"/>
  </w:num>
  <w:num w:numId="58" w16cid:durableId="2061316609">
    <w:abstractNumId w:val="39"/>
  </w:num>
  <w:num w:numId="59" w16cid:durableId="1040399952">
    <w:abstractNumId w:val="84"/>
  </w:num>
  <w:num w:numId="60" w16cid:durableId="2031249511">
    <w:abstractNumId w:val="92"/>
  </w:num>
  <w:num w:numId="61" w16cid:durableId="626089121">
    <w:abstractNumId w:val="55"/>
  </w:num>
  <w:num w:numId="62" w16cid:durableId="56780148">
    <w:abstractNumId w:val="41"/>
  </w:num>
  <w:num w:numId="63" w16cid:durableId="1055928143">
    <w:abstractNumId w:val="45"/>
  </w:num>
  <w:num w:numId="64" w16cid:durableId="1523276807">
    <w:abstractNumId w:val="122"/>
  </w:num>
  <w:num w:numId="65" w16cid:durableId="297423213">
    <w:abstractNumId w:val="91"/>
  </w:num>
  <w:num w:numId="66" w16cid:durableId="1066612680">
    <w:abstractNumId w:val="97"/>
  </w:num>
  <w:num w:numId="67" w16cid:durableId="1488087089">
    <w:abstractNumId w:val="65"/>
  </w:num>
  <w:num w:numId="68" w16cid:durableId="166991224">
    <w:abstractNumId w:val="58"/>
  </w:num>
  <w:num w:numId="69" w16cid:durableId="1528175381">
    <w:abstractNumId w:val="126"/>
  </w:num>
  <w:num w:numId="70" w16cid:durableId="147748099">
    <w:abstractNumId w:val="86"/>
  </w:num>
  <w:num w:numId="71" w16cid:durableId="1983921348">
    <w:abstractNumId w:val="44"/>
  </w:num>
  <w:num w:numId="72" w16cid:durableId="1095446321">
    <w:abstractNumId w:val="22"/>
  </w:num>
  <w:num w:numId="73" w16cid:durableId="792554023">
    <w:abstractNumId w:val="68"/>
  </w:num>
  <w:num w:numId="74" w16cid:durableId="146478443">
    <w:abstractNumId w:val="98"/>
  </w:num>
  <w:num w:numId="75" w16cid:durableId="1897282059">
    <w:abstractNumId w:val="103"/>
  </w:num>
  <w:num w:numId="76" w16cid:durableId="589043726">
    <w:abstractNumId w:val="106"/>
  </w:num>
  <w:num w:numId="77" w16cid:durableId="132330904">
    <w:abstractNumId w:val="117"/>
  </w:num>
  <w:num w:numId="78" w16cid:durableId="1259290725">
    <w:abstractNumId w:val="71"/>
  </w:num>
  <w:num w:numId="79" w16cid:durableId="192616723">
    <w:abstractNumId w:val="33"/>
  </w:num>
  <w:num w:numId="80" w16cid:durableId="65732712">
    <w:abstractNumId w:val="69"/>
  </w:num>
  <w:num w:numId="81" w16cid:durableId="771241926">
    <w:abstractNumId w:val="64"/>
  </w:num>
  <w:num w:numId="82" w16cid:durableId="2009139626">
    <w:abstractNumId w:val="102"/>
  </w:num>
  <w:num w:numId="83" w16cid:durableId="1672440230">
    <w:abstractNumId w:val="15"/>
  </w:num>
  <w:num w:numId="84" w16cid:durableId="1138763731">
    <w:abstractNumId w:val="47"/>
  </w:num>
  <w:num w:numId="85" w16cid:durableId="704789167">
    <w:abstractNumId w:val="48"/>
  </w:num>
  <w:num w:numId="86" w16cid:durableId="44722775">
    <w:abstractNumId w:val="32"/>
  </w:num>
  <w:num w:numId="87" w16cid:durableId="749696539">
    <w:abstractNumId w:val="34"/>
  </w:num>
  <w:num w:numId="88" w16cid:durableId="1005863644">
    <w:abstractNumId w:val="43"/>
  </w:num>
  <w:num w:numId="89" w16cid:durableId="1947275008">
    <w:abstractNumId w:val="123"/>
  </w:num>
  <w:num w:numId="90" w16cid:durableId="628322409">
    <w:abstractNumId w:val="8"/>
  </w:num>
  <w:num w:numId="91" w16cid:durableId="2023167194">
    <w:abstractNumId w:val="67"/>
  </w:num>
  <w:num w:numId="92" w16cid:durableId="1973318938">
    <w:abstractNumId w:val="19"/>
  </w:num>
  <w:num w:numId="93" w16cid:durableId="1489133808">
    <w:abstractNumId w:val="74"/>
  </w:num>
  <w:num w:numId="94" w16cid:durableId="1075862651">
    <w:abstractNumId w:val="16"/>
  </w:num>
  <w:num w:numId="95" w16cid:durableId="2098937688">
    <w:abstractNumId w:val="38"/>
  </w:num>
  <w:num w:numId="96" w16cid:durableId="968558838">
    <w:abstractNumId w:val="95"/>
  </w:num>
  <w:num w:numId="97" w16cid:durableId="1964190162">
    <w:abstractNumId w:val="63"/>
  </w:num>
  <w:num w:numId="98" w16cid:durableId="2126607290">
    <w:abstractNumId w:val="99"/>
  </w:num>
  <w:num w:numId="99" w16cid:durableId="124659890">
    <w:abstractNumId w:val="30"/>
  </w:num>
  <w:num w:numId="100" w16cid:durableId="125513698">
    <w:abstractNumId w:val="100"/>
  </w:num>
  <w:num w:numId="101" w16cid:durableId="373575974">
    <w:abstractNumId w:val="80"/>
  </w:num>
  <w:num w:numId="102" w16cid:durableId="1457329956">
    <w:abstractNumId w:val="3"/>
  </w:num>
  <w:num w:numId="103" w16cid:durableId="1256476952">
    <w:abstractNumId w:val="72"/>
  </w:num>
  <w:num w:numId="104" w16cid:durableId="24527185">
    <w:abstractNumId w:val="40"/>
  </w:num>
  <w:num w:numId="105" w16cid:durableId="2094281104">
    <w:abstractNumId w:val="118"/>
  </w:num>
  <w:num w:numId="106" w16cid:durableId="1164778413">
    <w:abstractNumId w:val="79"/>
  </w:num>
  <w:num w:numId="107" w16cid:durableId="733510554">
    <w:abstractNumId w:val="7"/>
  </w:num>
  <w:num w:numId="108" w16cid:durableId="1667393598">
    <w:abstractNumId w:val="90"/>
  </w:num>
  <w:num w:numId="109" w16cid:durableId="1609854549">
    <w:abstractNumId w:val="57"/>
  </w:num>
  <w:num w:numId="110" w16cid:durableId="841624849">
    <w:abstractNumId w:val="101"/>
  </w:num>
  <w:num w:numId="111" w16cid:durableId="968365606">
    <w:abstractNumId w:val="110"/>
  </w:num>
  <w:num w:numId="112" w16cid:durableId="1801454312">
    <w:abstractNumId w:val="31"/>
  </w:num>
  <w:num w:numId="113" w16cid:durableId="553664009">
    <w:abstractNumId w:val="114"/>
  </w:num>
  <w:num w:numId="114" w16cid:durableId="1901492">
    <w:abstractNumId w:val="120"/>
  </w:num>
  <w:num w:numId="115" w16cid:durableId="392970761">
    <w:abstractNumId w:val="76"/>
  </w:num>
  <w:num w:numId="116" w16cid:durableId="361591996">
    <w:abstractNumId w:val="29"/>
  </w:num>
  <w:num w:numId="117" w16cid:durableId="1612590982">
    <w:abstractNumId w:val="20"/>
  </w:num>
  <w:num w:numId="118" w16cid:durableId="939025160">
    <w:abstractNumId w:val="94"/>
  </w:num>
  <w:num w:numId="119" w16cid:durableId="125320294">
    <w:abstractNumId w:val="83"/>
  </w:num>
  <w:num w:numId="120" w16cid:durableId="1907836501">
    <w:abstractNumId w:val="93"/>
  </w:num>
  <w:num w:numId="121" w16cid:durableId="911045753">
    <w:abstractNumId w:val="61"/>
  </w:num>
  <w:num w:numId="122" w16cid:durableId="1798641617">
    <w:abstractNumId w:val="11"/>
  </w:num>
  <w:num w:numId="123" w16cid:durableId="548884287">
    <w:abstractNumId w:val="1"/>
  </w:num>
  <w:num w:numId="124" w16cid:durableId="1180389216">
    <w:abstractNumId w:val="108"/>
  </w:num>
  <w:num w:numId="125" w16cid:durableId="1803844807">
    <w:abstractNumId w:val="27"/>
  </w:num>
  <w:num w:numId="126" w16cid:durableId="520776025">
    <w:abstractNumId w:val="75"/>
  </w:num>
  <w:num w:numId="127" w16cid:durableId="1058936860">
    <w:abstractNumId w:val="8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01A3"/>
    <w:rsid w:val="000014E7"/>
    <w:rsid w:val="00002F81"/>
    <w:rsid w:val="00003B37"/>
    <w:rsid w:val="0000408D"/>
    <w:rsid w:val="00004C01"/>
    <w:rsid w:val="000059C5"/>
    <w:rsid w:val="00005A7F"/>
    <w:rsid w:val="00005CF6"/>
    <w:rsid w:val="0000672E"/>
    <w:rsid w:val="0001045F"/>
    <w:rsid w:val="000107B6"/>
    <w:rsid w:val="00010B64"/>
    <w:rsid w:val="00010EF6"/>
    <w:rsid w:val="000115EF"/>
    <w:rsid w:val="0001163B"/>
    <w:rsid w:val="00011663"/>
    <w:rsid w:val="00012E45"/>
    <w:rsid w:val="00013912"/>
    <w:rsid w:val="00013A6A"/>
    <w:rsid w:val="0001482B"/>
    <w:rsid w:val="0001701E"/>
    <w:rsid w:val="00017266"/>
    <w:rsid w:val="00021517"/>
    <w:rsid w:val="000225F8"/>
    <w:rsid w:val="000232AB"/>
    <w:rsid w:val="00023C2C"/>
    <w:rsid w:val="00023DF2"/>
    <w:rsid w:val="000241B7"/>
    <w:rsid w:val="0002464F"/>
    <w:rsid w:val="00024EBC"/>
    <w:rsid w:val="00026065"/>
    <w:rsid w:val="0002796D"/>
    <w:rsid w:val="00027D50"/>
    <w:rsid w:val="00030902"/>
    <w:rsid w:val="00030B8C"/>
    <w:rsid w:val="0003177E"/>
    <w:rsid w:val="0003295F"/>
    <w:rsid w:val="000331DE"/>
    <w:rsid w:val="00033752"/>
    <w:rsid w:val="00034E28"/>
    <w:rsid w:val="0003614B"/>
    <w:rsid w:val="00036A58"/>
    <w:rsid w:val="00036A81"/>
    <w:rsid w:val="00036D92"/>
    <w:rsid w:val="00037AB0"/>
    <w:rsid w:val="00037BB7"/>
    <w:rsid w:val="000402D2"/>
    <w:rsid w:val="0004070D"/>
    <w:rsid w:val="00040891"/>
    <w:rsid w:val="00040A58"/>
    <w:rsid w:val="00043275"/>
    <w:rsid w:val="00043500"/>
    <w:rsid w:val="0004378C"/>
    <w:rsid w:val="00045A09"/>
    <w:rsid w:val="00046CCA"/>
    <w:rsid w:val="00050826"/>
    <w:rsid w:val="00050A1B"/>
    <w:rsid w:val="000511A5"/>
    <w:rsid w:val="00051752"/>
    <w:rsid w:val="000518D0"/>
    <w:rsid w:val="000519E6"/>
    <w:rsid w:val="0005276B"/>
    <w:rsid w:val="00052871"/>
    <w:rsid w:val="0005362E"/>
    <w:rsid w:val="000549D0"/>
    <w:rsid w:val="00055286"/>
    <w:rsid w:val="00055F23"/>
    <w:rsid w:val="00056361"/>
    <w:rsid w:val="0005661C"/>
    <w:rsid w:val="00057181"/>
    <w:rsid w:val="0006076E"/>
    <w:rsid w:val="00061C43"/>
    <w:rsid w:val="00061EA1"/>
    <w:rsid w:val="00065668"/>
    <w:rsid w:val="00065DFE"/>
    <w:rsid w:val="00065EBE"/>
    <w:rsid w:val="000661BC"/>
    <w:rsid w:val="00066AA6"/>
    <w:rsid w:val="00066CC5"/>
    <w:rsid w:val="00067BE4"/>
    <w:rsid w:val="00067BEE"/>
    <w:rsid w:val="000713BB"/>
    <w:rsid w:val="0007241B"/>
    <w:rsid w:val="0007304C"/>
    <w:rsid w:val="000750B8"/>
    <w:rsid w:val="00076250"/>
    <w:rsid w:val="00076470"/>
    <w:rsid w:val="0007656A"/>
    <w:rsid w:val="00076DBA"/>
    <w:rsid w:val="00077DAE"/>
    <w:rsid w:val="00077FAD"/>
    <w:rsid w:val="00080BC8"/>
    <w:rsid w:val="00081C0C"/>
    <w:rsid w:val="00082B4E"/>
    <w:rsid w:val="00083DD0"/>
    <w:rsid w:val="00084D11"/>
    <w:rsid w:val="000867E8"/>
    <w:rsid w:val="00087ADD"/>
    <w:rsid w:val="0009094E"/>
    <w:rsid w:val="00091307"/>
    <w:rsid w:val="000913D2"/>
    <w:rsid w:val="000916A7"/>
    <w:rsid w:val="00091804"/>
    <w:rsid w:val="00092030"/>
    <w:rsid w:val="00093AD6"/>
    <w:rsid w:val="00093E02"/>
    <w:rsid w:val="000941AC"/>
    <w:rsid w:val="000953C6"/>
    <w:rsid w:val="00095855"/>
    <w:rsid w:val="00095896"/>
    <w:rsid w:val="00097A80"/>
    <w:rsid w:val="000A0150"/>
    <w:rsid w:val="000A12E1"/>
    <w:rsid w:val="000A17FD"/>
    <w:rsid w:val="000A18D6"/>
    <w:rsid w:val="000A49B9"/>
    <w:rsid w:val="000A52DC"/>
    <w:rsid w:val="000A6838"/>
    <w:rsid w:val="000A6991"/>
    <w:rsid w:val="000A70A8"/>
    <w:rsid w:val="000A7BEB"/>
    <w:rsid w:val="000B1261"/>
    <w:rsid w:val="000B1F28"/>
    <w:rsid w:val="000B2322"/>
    <w:rsid w:val="000B2B0E"/>
    <w:rsid w:val="000B509C"/>
    <w:rsid w:val="000B7637"/>
    <w:rsid w:val="000C0683"/>
    <w:rsid w:val="000C0984"/>
    <w:rsid w:val="000C1A36"/>
    <w:rsid w:val="000C1B40"/>
    <w:rsid w:val="000C2401"/>
    <w:rsid w:val="000C2C50"/>
    <w:rsid w:val="000C33E8"/>
    <w:rsid w:val="000C3D58"/>
    <w:rsid w:val="000C4907"/>
    <w:rsid w:val="000C4BEC"/>
    <w:rsid w:val="000C5609"/>
    <w:rsid w:val="000C56A0"/>
    <w:rsid w:val="000C6196"/>
    <w:rsid w:val="000C6804"/>
    <w:rsid w:val="000C6EB9"/>
    <w:rsid w:val="000C78BF"/>
    <w:rsid w:val="000C7B68"/>
    <w:rsid w:val="000D0C94"/>
    <w:rsid w:val="000D124E"/>
    <w:rsid w:val="000D175A"/>
    <w:rsid w:val="000D1969"/>
    <w:rsid w:val="000D1B14"/>
    <w:rsid w:val="000D204D"/>
    <w:rsid w:val="000D352E"/>
    <w:rsid w:val="000D3BBE"/>
    <w:rsid w:val="000D3DBE"/>
    <w:rsid w:val="000D422E"/>
    <w:rsid w:val="000D5D61"/>
    <w:rsid w:val="000D64F2"/>
    <w:rsid w:val="000D6AB7"/>
    <w:rsid w:val="000D75A3"/>
    <w:rsid w:val="000E07C8"/>
    <w:rsid w:val="000E0A59"/>
    <w:rsid w:val="000E4F95"/>
    <w:rsid w:val="000E5165"/>
    <w:rsid w:val="000E5532"/>
    <w:rsid w:val="000E62E2"/>
    <w:rsid w:val="000E6603"/>
    <w:rsid w:val="000E687D"/>
    <w:rsid w:val="000E7306"/>
    <w:rsid w:val="000E739B"/>
    <w:rsid w:val="000E7516"/>
    <w:rsid w:val="000E755D"/>
    <w:rsid w:val="000F0503"/>
    <w:rsid w:val="000F0819"/>
    <w:rsid w:val="000F0825"/>
    <w:rsid w:val="000F0BE9"/>
    <w:rsid w:val="000F231B"/>
    <w:rsid w:val="000F2367"/>
    <w:rsid w:val="000F2CE5"/>
    <w:rsid w:val="000F4566"/>
    <w:rsid w:val="000F4600"/>
    <w:rsid w:val="000F47B2"/>
    <w:rsid w:val="000F5EA5"/>
    <w:rsid w:val="000F61E4"/>
    <w:rsid w:val="000F6855"/>
    <w:rsid w:val="000F68CD"/>
    <w:rsid w:val="000F6D07"/>
    <w:rsid w:val="000F6F09"/>
    <w:rsid w:val="00101B91"/>
    <w:rsid w:val="00103848"/>
    <w:rsid w:val="0010619F"/>
    <w:rsid w:val="00106472"/>
    <w:rsid w:val="00106CE3"/>
    <w:rsid w:val="00106F0D"/>
    <w:rsid w:val="001079B7"/>
    <w:rsid w:val="001103C4"/>
    <w:rsid w:val="00110910"/>
    <w:rsid w:val="00110FC0"/>
    <w:rsid w:val="00111409"/>
    <w:rsid w:val="00112116"/>
    <w:rsid w:val="00112B39"/>
    <w:rsid w:val="001135DC"/>
    <w:rsid w:val="00113B8F"/>
    <w:rsid w:val="00113DC3"/>
    <w:rsid w:val="00114460"/>
    <w:rsid w:val="00114B38"/>
    <w:rsid w:val="00115A9E"/>
    <w:rsid w:val="00115F89"/>
    <w:rsid w:val="001165F1"/>
    <w:rsid w:val="00116645"/>
    <w:rsid w:val="0011696D"/>
    <w:rsid w:val="00117D3F"/>
    <w:rsid w:val="00120AA9"/>
    <w:rsid w:val="001216CB"/>
    <w:rsid w:val="001217FA"/>
    <w:rsid w:val="001218A5"/>
    <w:rsid w:val="00122115"/>
    <w:rsid w:val="001222C4"/>
    <w:rsid w:val="001227DA"/>
    <w:rsid w:val="00122DC7"/>
    <w:rsid w:val="00123639"/>
    <w:rsid w:val="001244F4"/>
    <w:rsid w:val="0012457E"/>
    <w:rsid w:val="00125BB7"/>
    <w:rsid w:val="00125C7E"/>
    <w:rsid w:val="00125CDE"/>
    <w:rsid w:val="00130028"/>
    <w:rsid w:val="0013005F"/>
    <w:rsid w:val="001301E8"/>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07F"/>
    <w:rsid w:val="001478D7"/>
    <w:rsid w:val="00147CF9"/>
    <w:rsid w:val="0015163D"/>
    <w:rsid w:val="00151B7F"/>
    <w:rsid w:val="001526BC"/>
    <w:rsid w:val="00152F96"/>
    <w:rsid w:val="00153D9F"/>
    <w:rsid w:val="001543AC"/>
    <w:rsid w:val="00154576"/>
    <w:rsid w:val="00154EF2"/>
    <w:rsid w:val="0015519F"/>
    <w:rsid w:val="00157216"/>
    <w:rsid w:val="00157258"/>
    <w:rsid w:val="00157791"/>
    <w:rsid w:val="00160204"/>
    <w:rsid w:val="001620A2"/>
    <w:rsid w:val="00162B24"/>
    <w:rsid w:val="00162CDC"/>
    <w:rsid w:val="001634DC"/>
    <w:rsid w:val="00164487"/>
    <w:rsid w:val="00164501"/>
    <w:rsid w:val="0016528E"/>
    <w:rsid w:val="00165700"/>
    <w:rsid w:val="0016581C"/>
    <w:rsid w:val="00165BA9"/>
    <w:rsid w:val="001664F4"/>
    <w:rsid w:val="00166A93"/>
    <w:rsid w:val="00167D46"/>
    <w:rsid w:val="001703F5"/>
    <w:rsid w:val="00170463"/>
    <w:rsid w:val="00171207"/>
    <w:rsid w:val="00171716"/>
    <w:rsid w:val="00172140"/>
    <w:rsid w:val="0017286C"/>
    <w:rsid w:val="00174184"/>
    <w:rsid w:val="00174CDB"/>
    <w:rsid w:val="00174E0B"/>
    <w:rsid w:val="00176FC3"/>
    <w:rsid w:val="00177119"/>
    <w:rsid w:val="00177483"/>
    <w:rsid w:val="00177B34"/>
    <w:rsid w:val="00180C61"/>
    <w:rsid w:val="00180C7F"/>
    <w:rsid w:val="00181DA6"/>
    <w:rsid w:val="00182570"/>
    <w:rsid w:val="00183219"/>
    <w:rsid w:val="00183750"/>
    <w:rsid w:val="00183A81"/>
    <w:rsid w:val="00185DB2"/>
    <w:rsid w:val="00186335"/>
    <w:rsid w:val="001866AC"/>
    <w:rsid w:val="00187C4A"/>
    <w:rsid w:val="00187EBB"/>
    <w:rsid w:val="00190B72"/>
    <w:rsid w:val="001916D0"/>
    <w:rsid w:val="00191D39"/>
    <w:rsid w:val="00192094"/>
    <w:rsid w:val="00192DC4"/>
    <w:rsid w:val="00192DEC"/>
    <w:rsid w:val="0019386A"/>
    <w:rsid w:val="00193DD0"/>
    <w:rsid w:val="00194114"/>
    <w:rsid w:val="00195961"/>
    <w:rsid w:val="00195E9F"/>
    <w:rsid w:val="00195FE4"/>
    <w:rsid w:val="0019628D"/>
    <w:rsid w:val="001974A4"/>
    <w:rsid w:val="001A10A8"/>
    <w:rsid w:val="001A1BF2"/>
    <w:rsid w:val="001A1DB0"/>
    <w:rsid w:val="001A272E"/>
    <w:rsid w:val="001A32B1"/>
    <w:rsid w:val="001A6F5D"/>
    <w:rsid w:val="001A7C0E"/>
    <w:rsid w:val="001B0974"/>
    <w:rsid w:val="001B1B22"/>
    <w:rsid w:val="001B27B5"/>
    <w:rsid w:val="001B31CC"/>
    <w:rsid w:val="001B409F"/>
    <w:rsid w:val="001B417C"/>
    <w:rsid w:val="001B5152"/>
    <w:rsid w:val="001B53EE"/>
    <w:rsid w:val="001B5E53"/>
    <w:rsid w:val="001B615A"/>
    <w:rsid w:val="001B6181"/>
    <w:rsid w:val="001B6C9D"/>
    <w:rsid w:val="001B6F80"/>
    <w:rsid w:val="001B7502"/>
    <w:rsid w:val="001C04BC"/>
    <w:rsid w:val="001C057A"/>
    <w:rsid w:val="001C0754"/>
    <w:rsid w:val="001C0801"/>
    <w:rsid w:val="001C0A81"/>
    <w:rsid w:val="001C1A52"/>
    <w:rsid w:val="001C1A58"/>
    <w:rsid w:val="001C3A9B"/>
    <w:rsid w:val="001C3EC1"/>
    <w:rsid w:val="001C4AC1"/>
    <w:rsid w:val="001C577A"/>
    <w:rsid w:val="001C5874"/>
    <w:rsid w:val="001C5ADD"/>
    <w:rsid w:val="001C5BEF"/>
    <w:rsid w:val="001C63BA"/>
    <w:rsid w:val="001C6EDC"/>
    <w:rsid w:val="001C735B"/>
    <w:rsid w:val="001D1138"/>
    <w:rsid w:val="001D1B06"/>
    <w:rsid w:val="001D1ED3"/>
    <w:rsid w:val="001D2D7D"/>
    <w:rsid w:val="001D5204"/>
    <w:rsid w:val="001D5A40"/>
    <w:rsid w:val="001D6106"/>
    <w:rsid w:val="001D6E4B"/>
    <w:rsid w:val="001D728B"/>
    <w:rsid w:val="001E1939"/>
    <w:rsid w:val="001E2974"/>
    <w:rsid w:val="001E3DF8"/>
    <w:rsid w:val="001E4091"/>
    <w:rsid w:val="001E5616"/>
    <w:rsid w:val="001E644D"/>
    <w:rsid w:val="001F1C85"/>
    <w:rsid w:val="001F471C"/>
    <w:rsid w:val="001F4A69"/>
    <w:rsid w:val="001F5308"/>
    <w:rsid w:val="001F5C49"/>
    <w:rsid w:val="001F6405"/>
    <w:rsid w:val="00200C40"/>
    <w:rsid w:val="00201B53"/>
    <w:rsid w:val="002028BD"/>
    <w:rsid w:val="00203A43"/>
    <w:rsid w:val="00203BDC"/>
    <w:rsid w:val="00204B08"/>
    <w:rsid w:val="00204DCF"/>
    <w:rsid w:val="00205820"/>
    <w:rsid w:val="00206252"/>
    <w:rsid w:val="00206786"/>
    <w:rsid w:val="0020725F"/>
    <w:rsid w:val="00207377"/>
    <w:rsid w:val="00210AE6"/>
    <w:rsid w:val="002119B0"/>
    <w:rsid w:val="00211B03"/>
    <w:rsid w:val="002125C5"/>
    <w:rsid w:val="00212E38"/>
    <w:rsid w:val="00212E60"/>
    <w:rsid w:val="00212EED"/>
    <w:rsid w:val="00213156"/>
    <w:rsid w:val="00213989"/>
    <w:rsid w:val="00213AF3"/>
    <w:rsid w:val="002146E6"/>
    <w:rsid w:val="00215ED7"/>
    <w:rsid w:val="00216E00"/>
    <w:rsid w:val="002176AF"/>
    <w:rsid w:val="0022031F"/>
    <w:rsid w:val="002208A5"/>
    <w:rsid w:val="00220EE2"/>
    <w:rsid w:val="0022246F"/>
    <w:rsid w:val="00223160"/>
    <w:rsid w:val="002236D7"/>
    <w:rsid w:val="002237E5"/>
    <w:rsid w:val="00223C73"/>
    <w:rsid w:val="0022435A"/>
    <w:rsid w:val="0022482A"/>
    <w:rsid w:val="0022664B"/>
    <w:rsid w:val="0022688E"/>
    <w:rsid w:val="002278A3"/>
    <w:rsid w:val="002279EF"/>
    <w:rsid w:val="002304A5"/>
    <w:rsid w:val="00230740"/>
    <w:rsid w:val="002307C4"/>
    <w:rsid w:val="002318F3"/>
    <w:rsid w:val="00231C66"/>
    <w:rsid w:val="0023201F"/>
    <w:rsid w:val="00232FC7"/>
    <w:rsid w:val="002337CA"/>
    <w:rsid w:val="00233F7A"/>
    <w:rsid w:val="00235A6D"/>
    <w:rsid w:val="00235CEF"/>
    <w:rsid w:val="002361E6"/>
    <w:rsid w:val="00236BA4"/>
    <w:rsid w:val="00240A76"/>
    <w:rsid w:val="00241128"/>
    <w:rsid w:val="00241E82"/>
    <w:rsid w:val="00242D71"/>
    <w:rsid w:val="00243264"/>
    <w:rsid w:val="002432ED"/>
    <w:rsid w:val="00244269"/>
    <w:rsid w:val="00245936"/>
    <w:rsid w:val="00245F15"/>
    <w:rsid w:val="00247019"/>
    <w:rsid w:val="00251161"/>
    <w:rsid w:val="00251510"/>
    <w:rsid w:val="0025187C"/>
    <w:rsid w:val="00251B63"/>
    <w:rsid w:val="002531BB"/>
    <w:rsid w:val="002535E9"/>
    <w:rsid w:val="00254A8B"/>
    <w:rsid w:val="00254D99"/>
    <w:rsid w:val="00255E07"/>
    <w:rsid w:val="00256ED0"/>
    <w:rsid w:val="00260CFC"/>
    <w:rsid w:val="00261D55"/>
    <w:rsid w:val="00261FB4"/>
    <w:rsid w:val="00262368"/>
    <w:rsid w:val="00262D47"/>
    <w:rsid w:val="00263A4E"/>
    <w:rsid w:val="0026410F"/>
    <w:rsid w:val="0026450D"/>
    <w:rsid w:val="00265B2B"/>
    <w:rsid w:val="00265EDD"/>
    <w:rsid w:val="0026646A"/>
    <w:rsid w:val="002672DD"/>
    <w:rsid w:val="00267FDA"/>
    <w:rsid w:val="002702CF"/>
    <w:rsid w:val="0027049C"/>
    <w:rsid w:val="002739E9"/>
    <w:rsid w:val="002742FA"/>
    <w:rsid w:val="00275880"/>
    <w:rsid w:val="00275FE4"/>
    <w:rsid w:val="00276AE6"/>
    <w:rsid w:val="00280C26"/>
    <w:rsid w:val="00280E46"/>
    <w:rsid w:val="00281614"/>
    <w:rsid w:val="002816DF"/>
    <w:rsid w:val="0028265F"/>
    <w:rsid w:val="0028327B"/>
    <w:rsid w:val="002837EB"/>
    <w:rsid w:val="00284820"/>
    <w:rsid w:val="0028493B"/>
    <w:rsid w:val="0028556C"/>
    <w:rsid w:val="00286C7D"/>
    <w:rsid w:val="00286FE5"/>
    <w:rsid w:val="0028731D"/>
    <w:rsid w:val="00287CDB"/>
    <w:rsid w:val="00290658"/>
    <w:rsid w:val="002923A8"/>
    <w:rsid w:val="00292662"/>
    <w:rsid w:val="00292976"/>
    <w:rsid w:val="00293754"/>
    <w:rsid w:val="00293B0A"/>
    <w:rsid w:val="00294C4B"/>
    <w:rsid w:val="0029551B"/>
    <w:rsid w:val="002A163C"/>
    <w:rsid w:val="002A3922"/>
    <w:rsid w:val="002A3CDF"/>
    <w:rsid w:val="002A4A1B"/>
    <w:rsid w:val="002A4DFE"/>
    <w:rsid w:val="002A6040"/>
    <w:rsid w:val="002A6DFB"/>
    <w:rsid w:val="002B0A3C"/>
    <w:rsid w:val="002B13FD"/>
    <w:rsid w:val="002B1B43"/>
    <w:rsid w:val="002B29D9"/>
    <w:rsid w:val="002B3CAB"/>
    <w:rsid w:val="002B489D"/>
    <w:rsid w:val="002B5741"/>
    <w:rsid w:val="002B5AD0"/>
    <w:rsid w:val="002B767D"/>
    <w:rsid w:val="002B76AE"/>
    <w:rsid w:val="002B7946"/>
    <w:rsid w:val="002B7FAB"/>
    <w:rsid w:val="002C016F"/>
    <w:rsid w:val="002C057B"/>
    <w:rsid w:val="002C0A9F"/>
    <w:rsid w:val="002C2817"/>
    <w:rsid w:val="002C288E"/>
    <w:rsid w:val="002C28EF"/>
    <w:rsid w:val="002C2CA5"/>
    <w:rsid w:val="002C34CB"/>
    <w:rsid w:val="002C4432"/>
    <w:rsid w:val="002C49B7"/>
    <w:rsid w:val="002C50BD"/>
    <w:rsid w:val="002C528F"/>
    <w:rsid w:val="002C6A0B"/>
    <w:rsid w:val="002C7A51"/>
    <w:rsid w:val="002D0A0E"/>
    <w:rsid w:val="002D140D"/>
    <w:rsid w:val="002D1BA6"/>
    <w:rsid w:val="002D267E"/>
    <w:rsid w:val="002D2E79"/>
    <w:rsid w:val="002D3459"/>
    <w:rsid w:val="002D4271"/>
    <w:rsid w:val="002D42B7"/>
    <w:rsid w:val="002D4688"/>
    <w:rsid w:val="002D4885"/>
    <w:rsid w:val="002D5717"/>
    <w:rsid w:val="002D645A"/>
    <w:rsid w:val="002D6C1B"/>
    <w:rsid w:val="002D7B02"/>
    <w:rsid w:val="002D7CD8"/>
    <w:rsid w:val="002E0712"/>
    <w:rsid w:val="002E1818"/>
    <w:rsid w:val="002E3476"/>
    <w:rsid w:val="002E4AE1"/>
    <w:rsid w:val="002E5AF5"/>
    <w:rsid w:val="002E6D28"/>
    <w:rsid w:val="002E6F9D"/>
    <w:rsid w:val="002E72AC"/>
    <w:rsid w:val="002E777F"/>
    <w:rsid w:val="002F016A"/>
    <w:rsid w:val="002F03EC"/>
    <w:rsid w:val="002F04DC"/>
    <w:rsid w:val="002F0A94"/>
    <w:rsid w:val="002F1043"/>
    <w:rsid w:val="002F2123"/>
    <w:rsid w:val="002F3741"/>
    <w:rsid w:val="002F37B2"/>
    <w:rsid w:val="002F407F"/>
    <w:rsid w:val="002F439D"/>
    <w:rsid w:val="002F575D"/>
    <w:rsid w:val="002F57EB"/>
    <w:rsid w:val="002F5EE0"/>
    <w:rsid w:val="002F6061"/>
    <w:rsid w:val="002F664D"/>
    <w:rsid w:val="002F68AE"/>
    <w:rsid w:val="0030111F"/>
    <w:rsid w:val="00301624"/>
    <w:rsid w:val="00302F4D"/>
    <w:rsid w:val="00302F70"/>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8BC"/>
    <w:rsid w:val="00320AF5"/>
    <w:rsid w:val="00320BA9"/>
    <w:rsid w:val="00320CD4"/>
    <w:rsid w:val="0032133B"/>
    <w:rsid w:val="00321875"/>
    <w:rsid w:val="00321E2C"/>
    <w:rsid w:val="00321FE8"/>
    <w:rsid w:val="0032248F"/>
    <w:rsid w:val="00322A96"/>
    <w:rsid w:val="00322B0B"/>
    <w:rsid w:val="00322E63"/>
    <w:rsid w:val="00323243"/>
    <w:rsid w:val="003232A7"/>
    <w:rsid w:val="00324327"/>
    <w:rsid w:val="00326300"/>
    <w:rsid w:val="00326821"/>
    <w:rsid w:val="00327B2A"/>
    <w:rsid w:val="00330558"/>
    <w:rsid w:val="00330A33"/>
    <w:rsid w:val="0033244E"/>
    <w:rsid w:val="003339B5"/>
    <w:rsid w:val="00333B7F"/>
    <w:rsid w:val="00333CE4"/>
    <w:rsid w:val="0033471C"/>
    <w:rsid w:val="00334789"/>
    <w:rsid w:val="003356F2"/>
    <w:rsid w:val="003356F4"/>
    <w:rsid w:val="003361DB"/>
    <w:rsid w:val="00337356"/>
    <w:rsid w:val="00337CF5"/>
    <w:rsid w:val="00337EE3"/>
    <w:rsid w:val="0034027C"/>
    <w:rsid w:val="00341B84"/>
    <w:rsid w:val="00342362"/>
    <w:rsid w:val="00343BB1"/>
    <w:rsid w:val="003453BB"/>
    <w:rsid w:val="003455FE"/>
    <w:rsid w:val="003461D0"/>
    <w:rsid w:val="00346213"/>
    <w:rsid w:val="00347170"/>
    <w:rsid w:val="0034739F"/>
    <w:rsid w:val="00347753"/>
    <w:rsid w:val="003478E0"/>
    <w:rsid w:val="00347A50"/>
    <w:rsid w:val="00350068"/>
    <w:rsid w:val="00351A45"/>
    <w:rsid w:val="00352003"/>
    <w:rsid w:val="00352572"/>
    <w:rsid w:val="003550C2"/>
    <w:rsid w:val="003553EF"/>
    <w:rsid w:val="003562E8"/>
    <w:rsid w:val="003568B4"/>
    <w:rsid w:val="00356C5D"/>
    <w:rsid w:val="00360D14"/>
    <w:rsid w:val="0036113A"/>
    <w:rsid w:val="0036207C"/>
    <w:rsid w:val="003624AB"/>
    <w:rsid w:val="00362817"/>
    <w:rsid w:val="0036492C"/>
    <w:rsid w:val="00365696"/>
    <w:rsid w:val="00365F1D"/>
    <w:rsid w:val="00365FFA"/>
    <w:rsid w:val="00366260"/>
    <w:rsid w:val="003664B6"/>
    <w:rsid w:val="0036737E"/>
    <w:rsid w:val="003675B1"/>
    <w:rsid w:val="00367E55"/>
    <w:rsid w:val="00370401"/>
    <w:rsid w:val="003714F9"/>
    <w:rsid w:val="00371B6D"/>
    <w:rsid w:val="00371F00"/>
    <w:rsid w:val="003730F5"/>
    <w:rsid w:val="0037342E"/>
    <w:rsid w:val="00375B0C"/>
    <w:rsid w:val="0037745C"/>
    <w:rsid w:val="003776D2"/>
    <w:rsid w:val="00377C70"/>
    <w:rsid w:val="0038023D"/>
    <w:rsid w:val="00380C1F"/>
    <w:rsid w:val="0038105B"/>
    <w:rsid w:val="00382B52"/>
    <w:rsid w:val="00383570"/>
    <w:rsid w:val="003839DB"/>
    <w:rsid w:val="00383CE0"/>
    <w:rsid w:val="003856B0"/>
    <w:rsid w:val="003874CD"/>
    <w:rsid w:val="00387C91"/>
    <w:rsid w:val="00390222"/>
    <w:rsid w:val="00390D54"/>
    <w:rsid w:val="003918CF"/>
    <w:rsid w:val="0039305E"/>
    <w:rsid w:val="00394692"/>
    <w:rsid w:val="00394863"/>
    <w:rsid w:val="00395B17"/>
    <w:rsid w:val="003967DB"/>
    <w:rsid w:val="003979FC"/>
    <w:rsid w:val="00397B47"/>
    <w:rsid w:val="00397E3F"/>
    <w:rsid w:val="003A0C37"/>
    <w:rsid w:val="003A0EED"/>
    <w:rsid w:val="003A171C"/>
    <w:rsid w:val="003A17A5"/>
    <w:rsid w:val="003A34A6"/>
    <w:rsid w:val="003A633D"/>
    <w:rsid w:val="003A6434"/>
    <w:rsid w:val="003A66DA"/>
    <w:rsid w:val="003A6B6B"/>
    <w:rsid w:val="003A79CE"/>
    <w:rsid w:val="003B12EF"/>
    <w:rsid w:val="003B1399"/>
    <w:rsid w:val="003B1EF0"/>
    <w:rsid w:val="003B275F"/>
    <w:rsid w:val="003B2977"/>
    <w:rsid w:val="003B3AA1"/>
    <w:rsid w:val="003B3E91"/>
    <w:rsid w:val="003B578F"/>
    <w:rsid w:val="003B68A0"/>
    <w:rsid w:val="003B727D"/>
    <w:rsid w:val="003B74AF"/>
    <w:rsid w:val="003C16E4"/>
    <w:rsid w:val="003C2346"/>
    <w:rsid w:val="003C267D"/>
    <w:rsid w:val="003C2DA9"/>
    <w:rsid w:val="003C4CF1"/>
    <w:rsid w:val="003C5A0B"/>
    <w:rsid w:val="003C69DA"/>
    <w:rsid w:val="003C6FD1"/>
    <w:rsid w:val="003C751E"/>
    <w:rsid w:val="003D1974"/>
    <w:rsid w:val="003D25C5"/>
    <w:rsid w:val="003D36F6"/>
    <w:rsid w:val="003D3944"/>
    <w:rsid w:val="003D3F43"/>
    <w:rsid w:val="003D4884"/>
    <w:rsid w:val="003D7031"/>
    <w:rsid w:val="003D7DEC"/>
    <w:rsid w:val="003D7E6D"/>
    <w:rsid w:val="003E16D8"/>
    <w:rsid w:val="003E184D"/>
    <w:rsid w:val="003E2745"/>
    <w:rsid w:val="003E39F7"/>
    <w:rsid w:val="003E4770"/>
    <w:rsid w:val="003E58CE"/>
    <w:rsid w:val="003E6965"/>
    <w:rsid w:val="003E72C0"/>
    <w:rsid w:val="003E7D71"/>
    <w:rsid w:val="003E7E55"/>
    <w:rsid w:val="003F031E"/>
    <w:rsid w:val="003F03DA"/>
    <w:rsid w:val="003F0FF9"/>
    <w:rsid w:val="003F13A6"/>
    <w:rsid w:val="003F5C2C"/>
    <w:rsid w:val="003F685D"/>
    <w:rsid w:val="004000FE"/>
    <w:rsid w:val="00400FD1"/>
    <w:rsid w:val="00401844"/>
    <w:rsid w:val="004019DA"/>
    <w:rsid w:val="00401CB6"/>
    <w:rsid w:val="00402BC6"/>
    <w:rsid w:val="0040353D"/>
    <w:rsid w:val="004039AA"/>
    <w:rsid w:val="0040411A"/>
    <w:rsid w:val="004045F7"/>
    <w:rsid w:val="0040623A"/>
    <w:rsid w:val="00406381"/>
    <w:rsid w:val="004078C3"/>
    <w:rsid w:val="00407EDF"/>
    <w:rsid w:val="004108DD"/>
    <w:rsid w:val="00410AFB"/>
    <w:rsid w:val="00411175"/>
    <w:rsid w:val="00411410"/>
    <w:rsid w:val="004121E4"/>
    <w:rsid w:val="004127B9"/>
    <w:rsid w:val="00413016"/>
    <w:rsid w:val="00413325"/>
    <w:rsid w:val="0041421A"/>
    <w:rsid w:val="00414240"/>
    <w:rsid w:val="00414EEE"/>
    <w:rsid w:val="00420048"/>
    <w:rsid w:val="00420B13"/>
    <w:rsid w:val="00420DC3"/>
    <w:rsid w:val="0042120A"/>
    <w:rsid w:val="00421364"/>
    <w:rsid w:val="00421AED"/>
    <w:rsid w:val="004225E0"/>
    <w:rsid w:val="0042273B"/>
    <w:rsid w:val="00423D61"/>
    <w:rsid w:val="00424596"/>
    <w:rsid w:val="004246F9"/>
    <w:rsid w:val="00424B8F"/>
    <w:rsid w:val="00425537"/>
    <w:rsid w:val="004258E8"/>
    <w:rsid w:val="0042616E"/>
    <w:rsid w:val="00427CCB"/>
    <w:rsid w:val="00431504"/>
    <w:rsid w:val="00432055"/>
    <w:rsid w:val="00432373"/>
    <w:rsid w:val="00433AC1"/>
    <w:rsid w:val="00433C3C"/>
    <w:rsid w:val="00434DAA"/>
    <w:rsid w:val="00434FF4"/>
    <w:rsid w:val="00435CC5"/>
    <w:rsid w:val="00436D06"/>
    <w:rsid w:val="00437039"/>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5DC"/>
    <w:rsid w:val="004618DC"/>
    <w:rsid w:val="00462F9B"/>
    <w:rsid w:val="00464863"/>
    <w:rsid w:val="0046503F"/>
    <w:rsid w:val="00465206"/>
    <w:rsid w:val="00467443"/>
    <w:rsid w:val="004675A0"/>
    <w:rsid w:val="0047078B"/>
    <w:rsid w:val="0047194B"/>
    <w:rsid w:val="00472A52"/>
    <w:rsid w:val="00473DC8"/>
    <w:rsid w:val="00474886"/>
    <w:rsid w:val="004756F5"/>
    <w:rsid w:val="00477335"/>
    <w:rsid w:val="0047783E"/>
    <w:rsid w:val="0048027E"/>
    <w:rsid w:val="004803EE"/>
    <w:rsid w:val="00481276"/>
    <w:rsid w:val="00482D33"/>
    <w:rsid w:val="004834ED"/>
    <w:rsid w:val="00484192"/>
    <w:rsid w:val="00484D2A"/>
    <w:rsid w:val="0048537C"/>
    <w:rsid w:val="00485DC0"/>
    <w:rsid w:val="00486A96"/>
    <w:rsid w:val="00487801"/>
    <w:rsid w:val="004907C7"/>
    <w:rsid w:val="0049095D"/>
    <w:rsid w:val="00490AA3"/>
    <w:rsid w:val="00490B0F"/>
    <w:rsid w:val="0049196B"/>
    <w:rsid w:val="00491B99"/>
    <w:rsid w:val="00492138"/>
    <w:rsid w:val="00492ABD"/>
    <w:rsid w:val="00492FB4"/>
    <w:rsid w:val="0049359F"/>
    <w:rsid w:val="004938F3"/>
    <w:rsid w:val="00493A72"/>
    <w:rsid w:val="004940A1"/>
    <w:rsid w:val="004971CD"/>
    <w:rsid w:val="004A0842"/>
    <w:rsid w:val="004A14F1"/>
    <w:rsid w:val="004A2800"/>
    <w:rsid w:val="004A2A38"/>
    <w:rsid w:val="004A3510"/>
    <w:rsid w:val="004A39B1"/>
    <w:rsid w:val="004A3CA5"/>
    <w:rsid w:val="004A41B9"/>
    <w:rsid w:val="004A50B3"/>
    <w:rsid w:val="004A588A"/>
    <w:rsid w:val="004A6A4A"/>
    <w:rsid w:val="004A6E11"/>
    <w:rsid w:val="004A78BC"/>
    <w:rsid w:val="004B0292"/>
    <w:rsid w:val="004B120D"/>
    <w:rsid w:val="004B180C"/>
    <w:rsid w:val="004B366C"/>
    <w:rsid w:val="004B406E"/>
    <w:rsid w:val="004B4C42"/>
    <w:rsid w:val="004B5277"/>
    <w:rsid w:val="004B641C"/>
    <w:rsid w:val="004B696B"/>
    <w:rsid w:val="004C0561"/>
    <w:rsid w:val="004C09F7"/>
    <w:rsid w:val="004C1008"/>
    <w:rsid w:val="004C15FC"/>
    <w:rsid w:val="004C1632"/>
    <w:rsid w:val="004C2D7E"/>
    <w:rsid w:val="004C360E"/>
    <w:rsid w:val="004C3BEA"/>
    <w:rsid w:val="004C50DF"/>
    <w:rsid w:val="004C594D"/>
    <w:rsid w:val="004C7702"/>
    <w:rsid w:val="004C7E7D"/>
    <w:rsid w:val="004D0577"/>
    <w:rsid w:val="004D1ED3"/>
    <w:rsid w:val="004D215B"/>
    <w:rsid w:val="004D279B"/>
    <w:rsid w:val="004D27E3"/>
    <w:rsid w:val="004D2B8C"/>
    <w:rsid w:val="004D3373"/>
    <w:rsid w:val="004D3636"/>
    <w:rsid w:val="004D3CB9"/>
    <w:rsid w:val="004D3E5D"/>
    <w:rsid w:val="004D4999"/>
    <w:rsid w:val="004D5488"/>
    <w:rsid w:val="004D5892"/>
    <w:rsid w:val="004D71C9"/>
    <w:rsid w:val="004D789C"/>
    <w:rsid w:val="004D794C"/>
    <w:rsid w:val="004D795E"/>
    <w:rsid w:val="004E0EA2"/>
    <w:rsid w:val="004E3768"/>
    <w:rsid w:val="004E3CDB"/>
    <w:rsid w:val="004E4A11"/>
    <w:rsid w:val="004E4D03"/>
    <w:rsid w:val="004E60EF"/>
    <w:rsid w:val="004E7A72"/>
    <w:rsid w:val="004F16FC"/>
    <w:rsid w:val="004F1D2B"/>
    <w:rsid w:val="004F1D47"/>
    <w:rsid w:val="004F1EE7"/>
    <w:rsid w:val="004F2207"/>
    <w:rsid w:val="004F4392"/>
    <w:rsid w:val="004F4AAD"/>
    <w:rsid w:val="004F5588"/>
    <w:rsid w:val="004F7367"/>
    <w:rsid w:val="00500A1D"/>
    <w:rsid w:val="00501614"/>
    <w:rsid w:val="0050217E"/>
    <w:rsid w:val="005022CC"/>
    <w:rsid w:val="0050249F"/>
    <w:rsid w:val="00502675"/>
    <w:rsid w:val="00504A28"/>
    <w:rsid w:val="00505C19"/>
    <w:rsid w:val="00505E83"/>
    <w:rsid w:val="00506DE2"/>
    <w:rsid w:val="005100FF"/>
    <w:rsid w:val="0051022B"/>
    <w:rsid w:val="00510529"/>
    <w:rsid w:val="00510572"/>
    <w:rsid w:val="00510BDE"/>
    <w:rsid w:val="005114B0"/>
    <w:rsid w:val="005131F6"/>
    <w:rsid w:val="00513906"/>
    <w:rsid w:val="00514EE6"/>
    <w:rsid w:val="00515B4A"/>
    <w:rsid w:val="00516072"/>
    <w:rsid w:val="00516711"/>
    <w:rsid w:val="005174D6"/>
    <w:rsid w:val="00520380"/>
    <w:rsid w:val="00522538"/>
    <w:rsid w:val="00522914"/>
    <w:rsid w:val="00523E9C"/>
    <w:rsid w:val="005244F8"/>
    <w:rsid w:val="00525652"/>
    <w:rsid w:val="0052646E"/>
    <w:rsid w:val="00527D6C"/>
    <w:rsid w:val="00530FF4"/>
    <w:rsid w:val="00532145"/>
    <w:rsid w:val="0053241A"/>
    <w:rsid w:val="0053266D"/>
    <w:rsid w:val="00532A74"/>
    <w:rsid w:val="00532DB6"/>
    <w:rsid w:val="00533907"/>
    <w:rsid w:val="00533E88"/>
    <w:rsid w:val="00534680"/>
    <w:rsid w:val="00534D65"/>
    <w:rsid w:val="00535250"/>
    <w:rsid w:val="00537E2D"/>
    <w:rsid w:val="005407D6"/>
    <w:rsid w:val="005418C0"/>
    <w:rsid w:val="00543601"/>
    <w:rsid w:val="00543627"/>
    <w:rsid w:val="00544892"/>
    <w:rsid w:val="005452C5"/>
    <w:rsid w:val="005459DC"/>
    <w:rsid w:val="00546E95"/>
    <w:rsid w:val="0055165E"/>
    <w:rsid w:val="00551BE8"/>
    <w:rsid w:val="00551CB1"/>
    <w:rsid w:val="00551DD9"/>
    <w:rsid w:val="0055288A"/>
    <w:rsid w:val="005539BE"/>
    <w:rsid w:val="00553AB5"/>
    <w:rsid w:val="005544D2"/>
    <w:rsid w:val="00556BDC"/>
    <w:rsid w:val="00556BEC"/>
    <w:rsid w:val="0056008F"/>
    <w:rsid w:val="005619F6"/>
    <w:rsid w:val="00561F79"/>
    <w:rsid w:val="005646C2"/>
    <w:rsid w:val="005665A7"/>
    <w:rsid w:val="00566C92"/>
    <w:rsid w:val="00566F3D"/>
    <w:rsid w:val="00567193"/>
    <w:rsid w:val="0057045A"/>
    <w:rsid w:val="00570C0D"/>
    <w:rsid w:val="00571CA4"/>
    <w:rsid w:val="0057380D"/>
    <w:rsid w:val="005744C0"/>
    <w:rsid w:val="0057478A"/>
    <w:rsid w:val="005751D4"/>
    <w:rsid w:val="00577432"/>
    <w:rsid w:val="00580F59"/>
    <w:rsid w:val="0058105B"/>
    <w:rsid w:val="0058166A"/>
    <w:rsid w:val="00581FD7"/>
    <w:rsid w:val="00582465"/>
    <w:rsid w:val="0058391B"/>
    <w:rsid w:val="00583B5C"/>
    <w:rsid w:val="00585686"/>
    <w:rsid w:val="005866F0"/>
    <w:rsid w:val="0058675C"/>
    <w:rsid w:val="005875FB"/>
    <w:rsid w:val="00587727"/>
    <w:rsid w:val="00587B3F"/>
    <w:rsid w:val="00590A7D"/>
    <w:rsid w:val="0059119D"/>
    <w:rsid w:val="005927BD"/>
    <w:rsid w:val="00592CF8"/>
    <w:rsid w:val="00593D06"/>
    <w:rsid w:val="005942F2"/>
    <w:rsid w:val="0059511C"/>
    <w:rsid w:val="00595D01"/>
    <w:rsid w:val="00595D4C"/>
    <w:rsid w:val="00595FF5"/>
    <w:rsid w:val="005960F3"/>
    <w:rsid w:val="0059676A"/>
    <w:rsid w:val="005973A3"/>
    <w:rsid w:val="00597810"/>
    <w:rsid w:val="005A00C5"/>
    <w:rsid w:val="005A0688"/>
    <w:rsid w:val="005A09C4"/>
    <w:rsid w:val="005A1683"/>
    <w:rsid w:val="005A168E"/>
    <w:rsid w:val="005A196C"/>
    <w:rsid w:val="005A22DC"/>
    <w:rsid w:val="005A28D8"/>
    <w:rsid w:val="005A28E0"/>
    <w:rsid w:val="005A2D16"/>
    <w:rsid w:val="005A301B"/>
    <w:rsid w:val="005A369B"/>
    <w:rsid w:val="005A4786"/>
    <w:rsid w:val="005A6044"/>
    <w:rsid w:val="005A659A"/>
    <w:rsid w:val="005B06C8"/>
    <w:rsid w:val="005B0B37"/>
    <w:rsid w:val="005B16EA"/>
    <w:rsid w:val="005B1C54"/>
    <w:rsid w:val="005B1DDA"/>
    <w:rsid w:val="005B1EBA"/>
    <w:rsid w:val="005B24B9"/>
    <w:rsid w:val="005B34E5"/>
    <w:rsid w:val="005B4D0F"/>
    <w:rsid w:val="005B4DEF"/>
    <w:rsid w:val="005B6779"/>
    <w:rsid w:val="005C1A86"/>
    <w:rsid w:val="005C1DBA"/>
    <w:rsid w:val="005C385E"/>
    <w:rsid w:val="005C3DA0"/>
    <w:rsid w:val="005C4AB8"/>
    <w:rsid w:val="005C7620"/>
    <w:rsid w:val="005C7950"/>
    <w:rsid w:val="005D0117"/>
    <w:rsid w:val="005D1CA1"/>
    <w:rsid w:val="005D297C"/>
    <w:rsid w:val="005D4DC5"/>
    <w:rsid w:val="005D582F"/>
    <w:rsid w:val="005D5AEE"/>
    <w:rsid w:val="005D6EA1"/>
    <w:rsid w:val="005E1242"/>
    <w:rsid w:val="005E1671"/>
    <w:rsid w:val="005E185B"/>
    <w:rsid w:val="005E2285"/>
    <w:rsid w:val="005E26CF"/>
    <w:rsid w:val="005E3379"/>
    <w:rsid w:val="005E4A71"/>
    <w:rsid w:val="005E5264"/>
    <w:rsid w:val="005E5575"/>
    <w:rsid w:val="005E5743"/>
    <w:rsid w:val="005E584D"/>
    <w:rsid w:val="005E5FD2"/>
    <w:rsid w:val="005E6F10"/>
    <w:rsid w:val="005E78FA"/>
    <w:rsid w:val="005F0874"/>
    <w:rsid w:val="005F08ED"/>
    <w:rsid w:val="005F1CAA"/>
    <w:rsid w:val="005F20D1"/>
    <w:rsid w:val="005F231E"/>
    <w:rsid w:val="005F285B"/>
    <w:rsid w:val="005F3737"/>
    <w:rsid w:val="005F489A"/>
    <w:rsid w:val="005F51B0"/>
    <w:rsid w:val="005F6834"/>
    <w:rsid w:val="005F6D4A"/>
    <w:rsid w:val="0060031F"/>
    <w:rsid w:val="006003EF"/>
    <w:rsid w:val="006004E0"/>
    <w:rsid w:val="00601F5F"/>
    <w:rsid w:val="0060284E"/>
    <w:rsid w:val="00602CE7"/>
    <w:rsid w:val="00603A93"/>
    <w:rsid w:val="006042EB"/>
    <w:rsid w:val="0060443B"/>
    <w:rsid w:val="00604632"/>
    <w:rsid w:val="006055C4"/>
    <w:rsid w:val="00607388"/>
    <w:rsid w:val="00610405"/>
    <w:rsid w:val="00610450"/>
    <w:rsid w:val="00610C5F"/>
    <w:rsid w:val="00611F3E"/>
    <w:rsid w:val="00613344"/>
    <w:rsid w:val="00614172"/>
    <w:rsid w:val="006145DF"/>
    <w:rsid w:val="00614896"/>
    <w:rsid w:val="00614A56"/>
    <w:rsid w:val="006152D6"/>
    <w:rsid w:val="00615BCC"/>
    <w:rsid w:val="00620B3E"/>
    <w:rsid w:val="00620D09"/>
    <w:rsid w:val="00620D75"/>
    <w:rsid w:val="00622F7B"/>
    <w:rsid w:val="006238E8"/>
    <w:rsid w:val="006241E8"/>
    <w:rsid w:val="00624803"/>
    <w:rsid w:val="00625D04"/>
    <w:rsid w:val="00626134"/>
    <w:rsid w:val="00626B7C"/>
    <w:rsid w:val="00630DCD"/>
    <w:rsid w:val="0063109C"/>
    <w:rsid w:val="00631A8B"/>
    <w:rsid w:val="00633ADE"/>
    <w:rsid w:val="00634227"/>
    <w:rsid w:val="00634286"/>
    <w:rsid w:val="00635EEC"/>
    <w:rsid w:val="0063616B"/>
    <w:rsid w:val="00637107"/>
    <w:rsid w:val="0063720A"/>
    <w:rsid w:val="00637F39"/>
    <w:rsid w:val="00641166"/>
    <w:rsid w:val="00641C60"/>
    <w:rsid w:val="006426B4"/>
    <w:rsid w:val="00643564"/>
    <w:rsid w:val="00643C18"/>
    <w:rsid w:val="00644A0A"/>
    <w:rsid w:val="00651374"/>
    <w:rsid w:val="00651711"/>
    <w:rsid w:val="00652415"/>
    <w:rsid w:val="00653599"/>
    <w:rsid w:val="0065371A"/>
    <w:rsid w:val="00653A4C"/>
    <w:rsid w:val="006544E2"/>
    <w:rsid w:val="00656542"/>
    <w:rsid w:val="006567E9"/>
    <w:rsid w:val="00657BE8"/>
    <w:rsid w:val="00657D5F"/>
    <w:rsid w:val="00657ED2"/>
    <w:rsid w:val="00662432"/>
    <w:rsid w:val="0066245E"/>
    <w:rsid w:val="0066351D"/>
    <w:rsid w:val="00663B93"/>
    <w:rsid w:val="00665F5B"/>
    <w:rsid w:val="006668EB"/>
    <w:rsid w:val="006669AD"/>
    <w:rsid w:val="00666A3F"/>
    <w:rsid w:val="00666DB4"/>
    <w:rsid w:val="00667D1D"/>
    <w:rsid w:val="006700EF"/>
    <w:rsid w:val="00671EF0"/>
    <w:rsid w:val="006720CE"/>
    <w:rsid w:val="00672C6F"/>
    <w:rsid w:val="00673861"/>
    <w:rsid w:val="0067468A"/>
    <w:rsid w:val="006747D4"/>
    <w:rsid w:val="00674997"/>
    <w:rsid w:val="00675999"/>
    <w:rsid w:val="00675A5C"/>
    <w:rsid w:val="00675F4B"/>
    <w:rsid w:val="00677106"/>
    <w:rsid w:val="0068249A"/>
    <w:rsid w:val="006834E4"/>
    <w:rsid w:val="00684E16"/>
    <w:rsid w:val="00685327"/>
    <w:rsid w:val="0068576A"/>
    <w:rsid w:val="00685B88"/>
    <w:rsid w:val="00687573"/>
    <w:rsid w:val="00690B6B"/>
    <w:rsid w:val="00690E1C"/>
    <w:rsid w:val="00690F0C"/>
    <w:rsid w:val="006919FA"/>
    <w:rsid w:val="00691D29"/>
    <w:rsid w:val="00692743"/>
    <w:rsid w:val="00695238"/>
    <w:rsid w:val="0069648C"/>
    <w:rsid w:val="00697FB6"/>
    <w:rsid w:val="006A0225"/>
    <w:rsid w:val="006A0318"/>
    <w:rsid w:val="006A0F25"/>
    <w:rsid w:val="006A0F58"/>
    <w:rsid w:val="006A1FF6"/>
    <w:rsid w:val="006A3796"/>
    <w:rsid w:val="006A4B50"/>
    <w:rsid w:val="006A4C81"/>
    <w:rsid w:val="006A4D5A"/>
    <w:rsid w:val="006A5C83"/>
    <w:rsid w:val="006A5D56"/>
    <w:rsid w:val="006A65AB"/>
    <w:rsid w:val="006A6BC3"/>
    <w:rsid w:val="006A6CF8"/>
    <w:rsid w:val="006A707F"/>
    <w:rsid w:val="006B140A"/>
    <w:rsid w:val="006B1579"/>
    <w:rsid w:val="006B1805"/>
    <w:rsid w:val="006B184A"/>
    <w:rsid w:val="006B1B1F"/>
    <w:rsid w:val="006B1CD2"/>
    <w:rsid w:val="006B2259"/>
    <w:rsid w:val="006B45E3"/>
    <w:rsid w:val="006B4665"/>
    <w:rsid w:val="006B6441"/>
    <w:rsid w:val="006B6807"/>
    <w:rsid w:val="006B6A68"/>
    <w:rsid w:val="006B7221"/>
    <w:rsid w:val="006B7499"/>
    <w:rsid w:val="006B7D00"/>
    <w:rsid w:val="006C05E9"/>
    <w:rsid w:val="006C0E70"/>
    <w:rsid w:val="006C0FB7"/>
    <w:rsid w:val="006C4114"/>
    <w:rsid w:val="006C4A9A"/>
    <w:rsid w:val="006C56CE"/>
    <w:rsid w:val="006C5771"/>
    <w:rsid w:val="006C5E0D"/>
    <w:rsid w:val="006C654A"/>
    <w:rsid w:val="006C6F79"/>
    <w:rsid w:val="006C7EDC"/>
    <w:rsid w:val="006D013C"/>
    <w:rsid w:val="006D150C"/>
    <w:rsid w:val="006D1EC8"/>
    <w:rsid w:val="006D2666"/>
    <w:rsid w:val="006D3226"/>
    <w:rsid w:val="006D335A"/>
    <w:rsid w:val="006D3686"/>
    <w:rsid w:val="006D47B2"/>
    <w:rsid w:val="006D48BF"/>
    <w:rsid w:val="006D4E0D"/>
    <w:rsid w:val="006D4E83"/>
    <w:rsid w:val="006D4FDA"/>
    <w:rsid w:val="006D5687"/>
    <w:rsid w:val="006D679D"/>
    <w:rsid w:val="006D6DA8"/>
    <w:rsid w:val="006E045C"/>
    <w:rsid w:val="006E07A0"/>
    <w:rsid w:val="006E101D"/>
    <w:rsid w:val="006E18F9"/>
    <w:rsid w:val="006E3EFF"/>
    <w:rsid w:val="006E50FD"/>
    <w:rsid w:val="006E5C27"/>
    <w:rsid w:val="006E7362"/>
    <w:rsid w:val="006F089E"/>
    <w:rsid w:val="006F09F2"/>
    <w:rsid w:val="006F0EF3"/>
    <w:rsid w:val="006F11F6"/>
    <w:rsid w:val="006F15A6"/>
    <w:rsid w:val="006F327E"/>
    <w:rsid w:val="006F461C"/>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257"/>
    <w:rsid w:val="00715AEF"/>
    <w:rsid w:val="00716457"/>
    <w:rsid w:val="0071787E"/>
    <w:rsid w:val="00720618"/>
    <w:rsid w:val="00720704"/>
    <w:rsid w:val="00720966"/>
    <w:rsid w:val="00720FCE"/>
    <w:rsid w:val="007214B6"/>
    <w:rsid w:val="00721C88"/>
    <w:rsid w:val="007227A8"/>
    <w:rsid w:val="00722F42"/>
    <w:rsid w:val="00723E2E"/>
    <w:rsid w:val="00723F0C"/>
    <w:rsid w:val="00725095"/>
    <w:rsid w:val="00725634"/>
    <w:rsid w:val="00725925"/>
    <w:rsid w:val="0072700C"/>
    <w:rsid w:val="00727D20"/>
    <w:rsid w:val="007303D3"/>
    <w:rsid w:val="00730D3C"/>
    <w:rsid w:val="0073144A"/>
    <w:rsid w:val="00731675"/>
    <w:rsid w:val="007316B8"/>
    <w:rsid w:val="00731772"/>
    <w:rsid w:val="00731AFB"/>
    <w:rsid w:val="00732C4F"/>
    <w:rsid w:val="007340AC"/>
    <w:rsid w:val="0073424A"/>
    <w:rsid w:val="00734FFF"/>
    <w:rsid w:val="00735ADA"/>
    <w:rsid w:val="00736DBA"/>
    <w:rsid w:val="007374B2"/>
    <w:rsid w:val="007375E5"/>
    <w:rsid w:val="007402FF"/>
    <w:rsid w:val="007407C2"/>
    <w:rsid w:val="0074095E"/>
    <w:rsid w:val="007417A5"/>
    <w:rsid w:val="00741D02"/>
    <w:rsid w:val="00742DAE"/>
    <w:rsid w:val="00742FD8"/>
    <w:rsid w:val="0074509D"/>
    <w:rsid w:val="00745530"/>
    <w:rsid w:val="007466FB"/>
    <w:rsid w:val="0074692B"/>
    <w:rsid w:val="00747350"/>
    <w:rsid w:val="00747F56"/>
    <w:rsid w:val="00751B50"/>
    <w:rsid w:val="007526D0"/>
    <w:rsid w:val="007527CB"/>
    <w:rsid w:val="007531A3"/>
    <w:rsid w:val="00753D44"/>
    <w:rsid w:val="00755563"/>
    <w:rsid w:val="00756701"/>
    <w:rsid w:val="00756901"/>
    <w:rsid w:val="007572D2"/>
    <w:rsid w:val="00757331"/>
    <w:rsid w:val="00757619"/>
    <w:rsid w:val="007577FA"/>
    <w:rsid w:val="00760769"/>
    <w:rsid w:val="00760F63"/>
    <w:rsid w:val="007619D7"/>
    <w:rsid w:val="0076262B"/>
    <w:rsid w:val="007627E0"/>
    <w:rsid w:val="0076640B"/>
    <w:rsid w:val="007672DA"/>
    <w:rsid w:val="007675FA"/>
    <w:rsid w:val="00767629"/>
    <w:rsid w:val="00767AA0"/>
    <w:rsid w:val="00767D69"/>
    <w:rsid w:val="007715F2"/>
    <w:rsid w:val="00771DA4"/>
    <w:rsid w:val="007730F3"/>
    <w:rsid w:val="0077310B"/>
    <w:rsid w:val="00775499"/>
    <w:rsid w:val="007756AC"/>
    <w:rsid w:val="00775924"/>
    <w:rsid w:val="007809A5"/>
    <w:rsid w:val="0078587D"/>
    <w:rsid w:val="0078631D"/>
    <w:rsid w:val="007875B5"/>
    <w:rsid w:val="00790822"/>
    <w:rsid w:val="0079118D"/>
    <w:rsid w:val="00791552"/>
    <w:rsid w:val="007915A3"/>
    <w:rsid w:val="00791730"/>
    <w:rsid w:val="00794542"/>
    <w:rsid w:val="00794C42"/>
    <w:rsid w:val="007961CE"/>
    <w:rsid w:val="00796306"/>
    <w:rsid w:val="007964B5"/>
    <w:rsid w:val="0079759B"/>
    <w:rsid w:val="007A12D2"/>
    <w:rsid w:val="007A2B68"/>
    <w:rsid w:val="007A321D"/>
    <w:rsid w:val="007A3695"/>
    <w:rsid w:val="007A379E"/>
    <w:rsid w:val="007A4837"/>
    <w:rsid w:val="007A49E9"/>
    <w:rsid w:val="007A64B3"/>
    <w:rsid w:val="007A7235"/>
    <w:rsid w:val="007B1842"/>
    <w:rsid w:val="007B2122"/>
    <w:rsid w:val="007B22CD"/>
    <w:rsid w:val="007B2D24"/>
    <w:rsid w:val="007B441D"/>
    <w:rsid w:val="007B45EC"/>
    <w:rsid w:val="007B5662"/>
    <w:rsid w:val="007B7A14"/>
    <w:rsid w:val="007C0F54"/>
    <w:rsid w:val="007C10BC"/>
    <w:rsid w:val="007C1C82"/>
    <w:rsid w:val="007C2061"/>
    <w:rsid w:val="007C27F8"/>
    <w:rsid w:val="007C28D4"/>
    <w:rsid w:val="007C3B47"/>
    <w:rsid w:val="007C3C37"/>
    <w:rsid w:val="007C4486"/>
    <w:rsid w:val="007C4A9F"/>
    <w:rsid w:val="007C53E6"/>
    <w:rsid w:val="007C67E9"/>
    <w:rsid w:val="007D0083"/>
    <w:rsid w:val="007D0245"/>
    <w:rsid w:val="007D10ED"/>
    <w:rsid w:val="007D1264"/>
    <w:rsid w:val="007D1460"/>
    <w:rsid w:val="007D2570"/>
    <w:rsid w:val="007D485A"/>
    <w:rsid w:val="007D4A33"/>
    <w:rsid w:val="007D59CE"/>
    <w:rsid w:val="007D7B43"/>
    <w:rsid w:val="007D7E1E"/>
    <w:rsid w:val="007E0222"/>
    <w:rsid w:val="007E1A4D"/>
    <w:rsid w:val="007E32CC"/>
    <w:rsid w:val="007E32F7"/>
    <w:rsid w:val="007E34A7"/>
    <w:rsid w:val="007E3984"/>
    <w:rsid w:val="007E3BB6"/>
    <w:rsid w:val="007E5209"/>
    <w:rsid w:val="007E6250"/>
    <w:rsid w:val="007E729F"/>
    <w:rsid w:val="007F0996"/>
    <w:rsid w:val="007F24BB"/>
    <w:rsid w:val="007F3B61"/>
    <w:rsid w:val="007F4436"/>
    <w:rsid w:val="007F483A"/>
    <w:rsid w:val="007F4A62"/>
    <w:rsid w:val="007F4FC0"/>
    <w:rsid w:val="007F6791"/>
    <w:rsid w:val="007F72D9"/>
    <w:rsid w:val="007F7FD5"/>
    <w:rsid w:val="0080151D"/>
    <w:rsid w:val="008015BB"/>
    <w:rsid w:val="0080292F"/>
    <w:rsid w:val="0080350E"/>
    <w:rsid w:val="00803645"/>
    <w:rsid w:val="00803AFF"/>
    <w:rsid w:val="008045B0"/>
    <w:rsid w:val="008072E4"/>
    <w:rsid w:val="008076AA"/>
    <w:rsid w:val="0080785C"/>
    <w:rsid w:val="008111C6"/>
    <w:rsid w:val="00812268"/>
    <w:rsid w:val="00812B08"/>
    <w:rsid w:val="00813B7E"/>
    <w:rsid w:val="00814E1B"/>
    <w:rsid w:val="00815258"/>
    <w:rsid w:val="008157EE"/>
    <w:rsid w:val="008158FA"/>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0595"/>
    <w:rsid w:val="008322D5"/>
    <w:rsid w:val="00833097"/>
    <w:rsid w:val="00834407"/>
    <w:rsid w:val="008345B0"/>
    <w:rsid w:val="00834741"/>
    <w:rsid w:val="008357AD"/>
    <w:rsid w:val="00835AF7"/>
    <w:rsid w:val="00836A07"/>
    <w:rsid w:val="00836E86"/>
    <w:rsid w:val="008373EF"/>
    <w:rsid w:val="0084022D"/>
    <w:rsid w:val="00840CE7"/>
    <w:rsid w:val="00840F82"/>
    <w:rsid w:val="00841623"/>
    <w:rsid w:val="00841F71"/>
    <w:rsid w:val="00842E90"/>
    <w:rsid w:val="00843765"/>
    <w:rsid w:val="00843C81"/>
    <w:rsid w:val="0084573E"/>
    <w:rsid w:val="00845E95"/>
    <w:rsid w:val="00847A99"/>
    <w:rsid w:val="00850058"/>
    <w:rsid w:val="008508CE"/>
    <w:rsid w:val="00851AAB"/>
    <w:rsid w:val="00852729"/>
    <w:rsid w:val="00852DE6"/>
    <w:rsid w:val="00853002"/>
    <w:rsid w:val="00853329"/>
    <w:rsid w:val="00854172"/>
    <w:rsid w:val="00854181"/>
    <w:rsid w:val="00856FBC"/>
    <w:rsid w:val="00860E87"/>
    <w:rsid w:val="0086178A"/>
    <w:rsid w:val="00861CF9"/>
    <w:rsid w:val="00862239"/>
    <w:rsid w:val="00863699"/>
    <w:rsid w:val="00864915"/>
    <w:rsid w:val="0086609B"/>
    <w:rsid w:val="00867698"/>
    <w:rsid w:val="00867E29"/>
    <w:rsid w:val="008716F2"/>
    <w:rsid w:val="00871989"/>
    <w:rsid w:val="00871FF3"/>
    <w:rsid w:val="00872620"/>
    <w:rsid w:val="00873D30"/>
    <w:rsid w:val="00873FB2"/>
    <w:rsid w:val="0087420C"/>
    <w:rsid w:val="00874A4F"/>
    <w:rsid w:val="0087543E"/>
    <w:rsid w:val="00875597"/>
    <w:rsid w:val="00875A32"/>
    <w:rsid w:val="00875DEF"/>
    <w:rsid w:val="008766F1"/>
    <w:rsid w:val="00876B24"/>
    <w:rsid w:val="008777EC"/>
    <w:rsid w:val="00877C39"/>
    <w:rsid w:val="00877FC4"/>
    <w:rsid w:val="0088010F"/>
    <w:rsid w:val="008801D3"/>
    <w:rsid w:val="00880EEB"/>
    <w:rsid w:val="00881B99"/>
    <w:rsid w:val="008831B9"/>
    <w:rsid w:val="00883414"/>
    <w:rsid w:val="00884005"/>
    <w:rsid w:val="00884063"/>
    <w:rsid w:val="00884E6E"/>
    <w:rsid w:val="00885FB5"/>
    <w:rsid w:val="0088638F"/>
    <w:rsid w:val="00887F25"/>
    <w:rsid w:val="00891AAB"/>
    <w:rsid w:val="00891D02"/>
    <w:rsid w:val="00892896"/>
    <w:rsid w:val="00892D9B"/>
    <w:rsid w:val="00894B9A"/>
    <w:rsid w:val="00896C5F"/>
    <w:rsid w:val="00897844"/>
    <w:rsid w:val="008A004D"/>
    <w:rsid w:val="008A1522"/>
    <w:rsid w:val="008A191F"/>
    <w:rsid w:val="008A1AD2"/>
    <w:rsid w:val="008A2ACC"/>
    <w:rsid w:val="008A3C53"/>
    <w:rsid w:val="008A4220"/>
    <w:rsid w:val="008A42F3"/>
    <w:rsid w:val="008A544E"/>
    <w:rsid w:val="008A5C61"/>
    <w:rsid w:val="008A5C71"/>
    <w:rsid w:val="008A7D66"/>
    <w:rsid w:val="008B01AD"/>
    <w:rsid w:val="008B01CC"/>
    <w:rsid w:val="008B0DF3"/>
    <w:rsid w:val="008B1170"/>
    <w:rsid w:val="008B34B1"/>
    <w:rsid w:val="008B34F5"/>
    <w:rsid w:val="008B39F4"/>
    <w:rsid w:val="008B3E9A"/>
    <w:rsid w:val="008B4DA3"/>
    <w:rsid w:val="008B5104"/>
    <w:rsid w:val="008B57C5"/>
    <w:rsid w:val="008B7437"/>
    <w:rsid w:val="008B7CCD"/>
    <w:rsid w:val="008B7D36"/>
    <w:rsid w:val="008C01F3"/>
    <w:rsid w:val="008C3BC8"/>
    <w:rsid w:val="008C5578"/>
    <w:rsid w:val="008C5AC2"/>
    <w:rsid w:val="008C6951"/>
    <w:rsid w:val="008C6C91"/>
    <w:rsid w:val="008C7C9C"/>
    <w:rsid w:val="008D13DC"/>
    <w:rsid w:val="008D14CC"/>
    <w:rsid w:val="008D1E43"/>
    <w:rsid w:val="008D2058"/>
    <w:rsid w:val="008D2B51"/>
    <w:rsid w:val="008D41FA"/>
    <w:rsid w:val="008D42C0"/>
    <w:rsid w:val="008D4518"/>
    <w:rsid w:val="008D4572"/>
    <w:rsid w:val="008D48D0"/>
    <w:rsid w:val="008D4F7B"/>
    <w:rsid w:val="008E0519"/>
    <w:rsid w:val="008E29CE"/>
    <w:rsid w:val="008E2CB4"/>
    <w:rsid w:val="008E344D"/>
    <w:rsid w:val="008E56A1"/>
    <w:rsid w:val="008E5CB0"/>
    <w:rsid w:val="008E7954"/>
    <w:rsid w:val="008F03B5"/>
    <w:rsid w:val="008F0A85"/>
    <w:rsid w:val="008F16B4"/>
    <w:rsid w:val="008F2487"/>
    <w:rsid w:val="008F4302"/>
    <w:rsid w:val="008F45AB"/>
    <w:rsid w:val="008F46C3"/>
    <w:rsid w:val="008F5F41"/>
    <w:rsid w:val="008F62A4"/>
    <w:rsid w:val="008F69CC"/>
    <w:rsid w:val="008F6E57"/>
    <w:rsid w:val="008F748C"/>
    <w:rsid w:val="0090015E"/>
    <w:rsid w:val="00900D64"/>
    <w:rsid w:val="009031C4"/>
    <w:rsid w:val="00903840"/>
    <w:rsid w:val="00903AF0"/>
    <w:rsid w:val="00903C6F"/>
    <w:rsid w:val="00904185"/>
    <w:rsid w:val="0090535E"/>
    <w:rsid w:val="0090605F"/>
    <w:rsid w:val="009127A9"/>
    <w:rsid w:val="00912B49"/>
    <w:rsid w:val="00913569"/>
    <w:rsid w:val="009139AF"/>
    <w:rsid w:val="00913EC2"/>
    <w:rsid w:val="009144D6"/>
    <w:rsid w:val="0091677D"/>
    <w:rsid w:val="009178A2"/>
    <w:rsid w:val="00917A69"/>
    <w:rsid w:val="00917B68"/>
    <w:rsid w:val="00917F0D"/>
    <w:rsid w:val="0092137A"/>
    <w:rsid w:val="00921E5B"/>
    <w:rsid w:val="00923F1C"/>
    <w:rsid w:val="0092572A"/>
    <w:rsid w:val="00927444"/>
    <w:rsid w:val="0092755F"/>
    <w:rsid w:val="00927F1B"/>
    <w:rsid w:val="0093021B"/>
    <w:rsid w:val="0093221A"/>
    <w:rsid w:val="00933865"/>
    <w:rsid w:val="00933F96"/>
    <w:rsid w:val="00934372"/>
    <w:rsid w:val="00934494"/>
    <w:rsid w:val="00934D0F"/>
    <w:rsid w:val="0093514A"/>
    <w:rsid w:val="009352E2"/>
    <w:rsid w:val="009360E7"/>
    <w:rsid w:val="00936190"/>
    <w:rsid w:val="0093651F"/>
    <w:rsid w:val="009372E1"/>
    <w:rsid w:val="00937ADE"/>
    <w:rsid w:val="00941349"/>
    <w:rsid w:val="00941E07"/>
    <w:rsid w:val="00943038"/>
    <w:rsid w:val="00943065"/>
    <w:rsid w:val="00943A20"/>
    <w:rsid w:val="00943BBA"/>
    <w:rsid w:val="00944924"/>
    <w:rsid w:val="00944C68"/>
    <w:rsid w:val="00945AED"/>
    <w:rsid w:val="009462F3"/>
    <w:rsid w:val="00946FDE"/>
    <w:rsid w:val="00947A14"/>
    <w:rsid w:val="00950258"/>
    <w:rsid w:val="0095053F"/>
    <w:rsid w:val="00950D52"/>
    <w:rsid w:val="00951DD0"/>
    <w:rsid w:val="00951F5C"/>
    <w:rsid w:val="00953CFB"/>
    <w:rsid w:val="00954573"/>
    <w:rsid w:val="00954EF8"/>
    <w:rsid w:val="00955618"/>
    <w:rsid w:val="00956222"/>
    <w:rsid w:val="00957031"/>
    <w:rsid w:val="00960375"/>
    <w:rsid w:val="00961014"/>
    <w:rsid w:val="00961E62"/>
    <w:rsid w:val="00962C0C"/>
    <w:rsid w:val="00963626"/>
    <w:rsid w:val="00963A3D"/>
    <w:rsid w:val="00964079"/>
    <w:rsid w:val="009659E4"/>
    <w:rsid w:val="00965DA7"/>
    <w:rsid w:val="00967AE2"/>
    <w:rsid w:val="00970F33"/>
    <w:rsid w:val="00971446"/>
    <w:rsid w:val="00971A70"/>
    <w:rsid w:val="00971D15"/>
    <w:rsid w:val="009727A2"/>
    <w:rsid w:val="009739AA"/>
    <w:rsid w:val="00973CF1"/>
    <w:rsid w:val="009747F2"/>
    <w:rsid w:val="009749AD"/>
    <w:rsid w:val="00974C44"/>
    <w:rsid w:val="009751BA"/>
    <w:rsid w:val="00975D84"/>
    <w:rsid w:val="009766AC"/>
    <w:rsid w:val="00976998"/>
    <w:rsid w:val="00982197"/>
    <w:rsid w:val="00982CDE"/>
    <w:rsid w:val="00985AAF"/>
    <w:rsid w:val="00986720"/>
    <w:rsid w:val="00987731"/>
    <w:rsid w:val="00987CA2"/>
    <w:rsid w:val="00987D17"/>
    <w:rsid w:val="00987DDD"/>
    <w:rsid w:val="009905D2"/>
    <w:rsid w:val="00991338"/>
    <w:rsid w:val="00991602"/>
    <w:rsid w:val="00991965"/>
    <w:rsid w:val="00992180"/>
    <w:rsid w:val="0099353B"/>
    <w:rsid w:val="00993D7E"/>
    <w:rsid w:val="00995698"/>
    <w:rsid w:val="00995729"/>
    <w:rsid w:val="009958BE"/>
    <w:rsid w:val="00996046"/>
    <w:rsid w:val="00996610"/>
    <w:rsid w:val="00996D35"/>
    <w:rsid w:val="00996E9D"/>
    <w:rsid w:val="0099731C"/>
    <w:rsid w:val="009973C1"/>
    <w:rsid w:val="009A1E1F"/>
    <w:rsid w:val="009A2F63"/>
    <w:rsid w:val="009A38EB"/>
    <w:rsid w:val="009A5215"/>
    <w:rsid w:val="009A6082"/>
    <w:rsid w:val="009A67AD"/>
    <w:rsid w:val="009A6B9B"/>
    <w:rsid w:val="009A74D8"/>
    <w:rsid w:val="009B2C8B"/>
    <w:rsid w:val="009B37E3"/>
    <w:rsid w:val="009B4431"/>
    <w:rsid w:val="009B4872"/>
    <w:rsid w:val="009B4F19"/>
    <w:rsid w:val="009B592C"/>
    <w:rsid w:val="009B774F"/>
    <w:rsid w:val="009B7E95"/>
    <w:rsid w:val="009C036F"/>
    <w:rsid w:val="009C0A14"/>
    <w:rsid w:val="009C0B1E"/>
    <w:rsid w:val="009C30B3"/>
    <w:rsid w:val="009C37B7"/>
    <w:rsid w:val="009C5B94"/>
    <w:rsid w:val="009C7C0E"/>
    <w:rsid w:val="009D0D80"/>
    <w:rsid w:val="009D17AB"/>
    <w:rsid w:val="009D27CA"/>
    <w:rsid w:val="009D29CA"/>
    <w:rsid w:val="009D2F76"/>
    <w:rsid w:val="009D30BE"/>
    <w:rsid w:val="009D486E"/>
    <w:rsid w:val="009D494C"/>
    <w:rsid w:val="009D6463"/>
    <w:rsid w:val="009D7D3E"/>
    <w:rsid w:val="009E057E"/>
    <w:rsid w:val="009E2AB9"/>
    <w:rsid w:val="009E34AA"/>
    <w:rsid w:val="009E3793"/>
    <w:rsid w:val="009E4724"/>
    <w:rsid w:val="009E4F7F"/>
    <w:rsid w:val="009E733E"/>
    <w:rsid w:val="009E7618"/>
    <w:rsid w:val="009F17D4"/>
    <w:rsid w:val="009F194F"/>
    <w:rsid w:val="009F25D4"/>
    <w:rsid w:val="009F312C"/>
    <w:rsid w:val="009F6173"/>
    <w:rsid w:val="009F61E5"/>
    <w:rsid w:val="009F6288"/>
    <w:rsid w:val="009F6598"/>
    <w:rsid w:val="009F6706"/>
    <w:rsid w:val="009F6F12"/>
    <w:rsid w:val="009F7C91"/>
    <w:rsid w:val="00A00CFD"/>
    <w:rsid w:val="00A00D17"/>
    <w:rsid w:val="00A017F2"/>
    <w:rsid w:val="00A01ADC"/>
    <w:rsid w:val="00A01AE5"/>
    <w:rsid w:val="00A01BE3"/>
    <w:rsid w:val="00A01EEC"/>
    <w:rsid w:val="00A02D88"/>
    <w:rsid w:val="00A034E8"/>
    <w:rsid w:val="00A03BFF"/>
    <w:rsid w:val="00A05D16"/>
    <w:rsid w:val="00A064DE"/>
    <w:rsid w:val="00A06712"/>
    <w:rsid w:val="00A074BA"/>
    <w:rsid w:val="00A1001C"/>
    <w:rsid w:val="00A10CDB"/>
    <w:rsid w:val="00A10E05"/>
    <w:rsid w:val="00A11688"/>
    <w:rsid w:val="00A13B31"/>
    <w:rsid w:val="00A13DCA"/>
    <w:rsid w:val="00A15316"/>
    <w:rsid w:val="00A15796"/>
    <w:rsid w:val="00A16185"/>
    <w:rsid w:val="00A17AB3"/>
    <w:rsid w:val="00A17CD3"/>
    <w:rsid w:val="00A20F6C"/>
    <w:rsid w:val="00A2199D"/>
    <w:rsid w:val="00A225D2"/>
    <w:rsid w:val="00A22984"/>
    <w:rsid w:val="00A23128"/>
    <w:rsid w:val="00A2360D"/>
    <w:rsid w:val="00A242C3"/>
    <w:rsid w:val="00A2489E"/>
    <w:rsid w:val="00A24DDE"/>
    <w:rsid w:val="00A25026"/>
    <w:rsid w:val="00A26BE4"/>
    <w:rsid w:val="00A27F77"/>
    <w:rsid w:val="00A30552"/>
    <w:rsid w:val="00A30B50"/>
    <w:rsid w:val="00A318A3"/>
    <w:rsid w:val="00A31B6A"/>
    <w:rsid w:val="00A32688"/>
    <w:rsid w:val="00A32C0B"/>
    <w:rsid w:val="00A32EDE"/>
    <w:rsid w:val="00A32FE1"/>
    <w:rsid w:val="00A33764"/>
    <w:rsid w:val="00A346AD"/>
    <w:rsid w:val="00A351FD"/>
    <w:rsid w:val="00A361E0"/>
    <w:rsid w:val="00A37447"/>
    <w:rsid w:val="00A37962"/>
    <w:rsid w:val="00A37C00"/>
    <w:rsid w:val="00A40115"/>
    <w:rsid w:val="00A4058D"/>
    <w:rsid w:val="00A4066A"/>
    <w:rsid w:val="00A40C64"/>
    <w:rsid w:val="00A41496"/>
    <w:rsid w:val="00A43452"/>
    <w:rsid w:val="00A43C40"/>
    <w:rsid w:val="00A44886"/>
    <w:rsid w:val="00A468AF"/>
    <w:rsid w:val="00A46B94"/>
    <w:rsid w:val="00A478E2"/>
    <w:rsid w:val="00A47C8A"/>
    <w:rsid w:val="00A47EA9"/>
    <w:rsid w:val="00A511D8"/>
    <w:rsid w:val="00A51A86"/>
    <w:rsid w:val="00A5325D"/>
    <w:rsid w:val="00A56260"/>
    <w:rsid w:val="00A56CE4"/>
    <w:rsid w:val="00A579DB"/>
    <w:rsid w:val="00A601C8"/>
    <w:rsid w:val="00A616AE"/>
    <w:rsid w:val="00A62630"/>
    <w:rsid w:val="00A62B38"/>
    <w:rsid w:val="00A63726"/>
    <w:rsid w:val="00A64642"/>
    <w:rsid w:val="00A66B3C"/>
    <w:rsid w:val="00A671C5"/>
    <w:rsid w:val="00A67F6C"/>
    <w:rsid w:val="00A7083E"/>
    <w:rsid w:val="00A70980"/>
    <w:rsid w:val="00A70F14"/>
    <w:rsid w:val="00A712B5"/>
    <w:rsid w:val="00A72279"/>
    <w:rsid w:val="00A7278B"/>
    <w:rsid w:val="00A73084"/>
    <w:rsid w:val="00A73E04"/>
    <w:rsid w:val="00A75E1C"/>
    <w:rsid w:val="00A7661E"/>
    <w:rsid w:val="00A76B36"/>
    <w:rsid w:val="00A773A8"/>
    <w:rsid w:val="00A80955"/>
    <w:rsid w:val="00A82F40"/>
    <w:rsid w:val="00A832B3"/>
    <w:rsid w:val="00A8394A"/>
    <w:rsid w:val="00A844EA"/>
    <w:rsid w:val="00A84CF5"/>
    <w:rsid w:val="00A87525"/>
    <w:rsid w:val="00A878DA"/>
    <w:rsid w:val="00A87BD4"/>
    <w:rsid w:val="00A90B2B"/>
    <w:rsid w:val="00A90B54"/>
    <w:rsid w:val="00A917B3"/>
    <w:rsid w:val="00A91950"/>
    <w:rsid w:val="00A91C91"/>
    <w:rsid w:val="00A92EB4"/>
    <w:rsid w:val="00A9329C"/>
    <w:rsid w:val="00A950A7"/>
    <w:rsid w:val="00A959E9"/>
    <w:rsid w:val="00A962F2"/>
    <w:rsid w:val="00A96632"/>
    <w:rsid w:val="00A96B39"/>
    <w:rsid w:val="00A9750C"/>
    <w:rsid w:val="00A975E6"/>
    <w:rsid w:val="00AA020E"/>
    <w:rsid w:val="00AA0AC2"/>
    <w:rsid w:val="00AA17C4"/>
    <w:rsid w:val="00AA1889"/>
    <w:rsid w:val="00AA1CCE"/>
    <w:rsid w:val="00AA1D19"/>
    <w:rsid w:val="00AA2DE5"/>
    <w:rsid w:val="00AA31EE"/>
    <w:rsid w:val="00AA348D"/>
    <w:rsid w:val="00AA5493"/>
    <w:rsid w:val="00AA5AC8"/>
    <w:rsid w:val="00AA6352"/>
    <w:rsid w:val="00AA6787"/>
    <w:rsid w:val="00AA7BCE"/>
    <w:rsid w:val="00AA7D97"/>
    <w:rsid w:val="00AB0679"/>
    <w:rsid w:val="00AB1633"/>
    <w:rsid w:val="00AB19D9"/>
    <w:rsid w:val="00AB222F"/>
    <w:rsid w:val="00AB27F6"/>
    <w:rsid w:val="00AB2A46"/>
    <w:rsid w:val="00AB2E5E"/>
    <w:rsid w:val="00AB2FCD"/>
    <w:rsid w:val="00AB3569"/>
    <w:rsid w:val="00AB3C0B"/>
    <w:rsid w:val="00AB3D20"/>
    <w:rsid w:val="00AB41D4"/>
    <w:rsid w:val="00AB5230"/>
    <w:rsid w:val="00AB627F"/>
    <w:rsid w:val="00AB747A"/>
    <w:rsid w:val="00AC0009"/>
    <w:rsid w:val="00AC2791"/>
    <w:rsid w:val="00AC38B7"/>
    <w:rsid w:val="00AC42A5"/>
    <w:rsid w:val="00AC4447"/>
    <w:rsid w:val="00AC4A02"/>
    <w:rsid w:val="00AC4DAE"/>
    <w:rsid w:val="00AC52FA"/>
    <w:rsid w:val="00AC5724"/>
    <w:rsid w:val="00AC5998"/>
    <w:rsid w:val="00AC611C"/>
    <w:rsid w:val="00AC659F"/>
    <w:rsid w:val="00AC65C4"/>
    <w:rsid w:val="00AC6BFB"/>
    <w:rsid w:val="00AC6CFE"/>
    <w:rsid w:val="00AD06C0"/>
    <w:rsid w:val="00AD093A"/>
    <w:rsid w:val="00AD0A0A"/>
    <w:rsid w:val="00AD10B6"/>
    <w:rsid w:val="00AD11F4"/>
    <w:rsid w:val="00AD1396"/>
    <w:rsid w:val="00AD17E2"/>
    <w:rsid w:val="00AD2336"/>
    <w:rsid w:val="00AD587C"/>
    <w:rsid w:val="00AD5D7C"/>
    <w:rsid w:val="00AD5FF5"/>
    <w:rsid w:val="00AD6FA7"/>
    <w:rsid w:val="00AD7327"/>
    <w:rsid w:val="00AD746F"/>
    <w:rsid w:val="00AE0B9B"/>
    <w:rsid w:val="00AE1290"/>
    <w:rsid w:val="00AE14B6"/>
    <w:rsid w:val="00AE14CA"/>
    <w:rsid w:val="00AE2500"/>
    <w:rsid w:val="00AE31F8"/>
    <w:rsid w:val="00AE5837"/>
    <w:rsid w:val="00AE782E"/>
    <w:rsid w:val="00AE7BD1"/>
    <w:rsid w:val="00AF01A4"/>
    <w:rsid w:val="00AF0E6C"/>
    <w:rsid w:val="00AF22A8"/>
    <w:rsid w:val="00AF3D8D"/>
    <w:rsid w:val="00AF5922"/>
    <w:rsid w:val="00AF5EB8"/>
    <w:rsid w:val="00AF67D4"/>
    <w:rsid w:val="00AF6C45"/>
    <w:rsid w:val="00AF6D28"/>
    <w:rsid w:val="00AF71C3"/>
    <w:rsid w:val="00AF769A"/>
    <w:rsid w:val="00AF7766"/>
    <w:rsid w:val="00AF79AF"/>
    <w:rsid w:val="00AF7EF5"/>
    <w:rsid w:val="00B01F25"/>
    <w:rsid w:val="00B0233B"/>
    <w:rsid w:val="00B04082"/>
    <w:rsid w:val="00B052BE"/>
    <w:rsid w:val="00B056CA"/>
    <w:rsid w:val="00B07149"/>
    <w:rsid w:val="00B0734D"/>
    <w:rsid w:val="00B10CBA"/>
    <w:rsid w:val="00B1172A"/>
    <w:rsid w:val="00B11AAF"/>
    <w:rsid w:val="00B13110"/>
    <w:rsid w:val="00B13429"/>
    <w:rsid w:val="00B1381F"/>
    <w:rsid w:val="00B138B8"/>
    <w:rsid w:val="00B15617"/>
    <w:rsid w:val="00B15C64"/>
    <w:rsid w:val="00B1605A"/>
    <w:rsid w:val="00B169D3"/>
    <w:rsid w:val="00B16D86"/>
    <w:rsid w:val="00B179DB"/>
    <w:rsid w:val="00B200A7"/>
    <w:rsid w:val="00B202B7"/>
    <w:rsid w:val="00B218B9"/>
    <w:rsid w:val="00B21DA4"/>
    <w:rsid w:val="00B2226E"/>
    <w:rsid w:val="00B22FB4"/>
    <w:rsid w:val="00B2600C"/>
    <w:rsid w:val="00B27EDF"/>
    <w:rsid w:val="00B301FF"/>
    <w:rsid w:val="00B30940"/>
    <w:rsid w:val="00B330E1"/>
    <w:rsid w:val="00B339BE"/>
    <w:rsid w:val="00B341D8"/>
    <w:rsid w:val="00B3469C"/>
    <w:rsid w:val="00B35335"/>
    <w:rsid w:val="00B35774"/>
    <w:rsid w:val="00B35E60"/>
    <w:rsid w:val="00B37B7B"/>
    <w:rsid w:val="00B37CAB"/>
    <w:rsid w:val="00B40317"/>
    <w:rsid w:val="00B40E8C"/>
    <w:rsid w:val="00B415CD"/>
    <w:rsid w:val="00B426CD"/>
    <w:rsid w:val="00B43A11"/>
    <w:rsid w:val="00B43D18"/>
    <w:rsid w:val="00B43F52"/>
    <w:rsid w:val="00B45D04"/>
    <w:rsid w:val="00B45D30"/>
    <w:rsid w:val="00B45E72"/>
    <w:rsid w:val="00B45F89"/>
    <w:rsid w:val="00B46278"/>
    <w:rsid w:val="00B46865"/>
    <w:rsid w:val="00B46AE9"/>
    <w:rsid w:val="00B478D8"/>
    <w:rsid w:val="00B47CAA"/>
    <w:rsid w:val="00B50622"/>
    <w:rsid w:val="00B50A1D"/>
    <w:rsid w:val="00B50F06"/>
    <w:rsid w:val="00B5109F"/>
    <w:rsid w:val="00B51247"/>
    <w:rsid w:val="00B51AB7"/>
    <w:rsid w:val="00B51FB2"/>
    <w:rsid w:val="00B5253F"/>
    <w:rsid w:val="00B54214"/>
    <w:rsid w:val="00B5441A"/>
    <w:rsid w:val="00B55976"/>
    <w:rsid w:val="00B57B3B"/>
    <w:rsid w:val="00B60B78"/>
    <w:rsid w:val="00B61E41"/>
    <w:rsid w:val="00B62342"/>
    <w:rsid w:val="00B62D24"/>
    <w:rsid w:val="00B63511"/>
    <w:rsid w:val="00B64671"/>
    <w:rsid w:val="00B65CA9"/>
    <w:rsid w:val="00B66B64"/>
    <w:rsid w:val="00B671BD"/>
    <w:rsid w:val="00B67DAE"/>
    <w:rsid w:val="00B70E33"/>
    <w:rsid w:val="00B70FB8"/>
    <w:rsid w:val="00B7111B"/>
    <w:rsid w:val="00B71E62"/>
    <w:rsid w:val="00B71F58"/>
    <w:rsid w:val="00B7234C"/>
    <w:rsid w:val="00B7298C"/>
    <w:rsid w:val="00B73B51"/>
    <w:rsid w:val="00B73D9F"/>
    <w:rsid w:val="00B746A0"/>
    <w:rsid w:val="00B7560B"/>
    <w:rsid w:val="00B757CB"/>
    <w:rsid w:val="00B77BA2"/>
    <w:rsid w:val="00B77C29"/>
    <w:rsid w:val="00B8038A"/>
    <w:rsid w:val="00B8085D"/>
    <w:rsid w:val="00B811FD"/>
    <w:rsid w:val="00B8220E"/>
    <w:rsid w:val="00B82C7D"/>
    <w:rsid w:val="00B82D7C"/>
    <w:rsid w:val="00B8366E"/>
    <w:rsid w:val="00B843BA"/>
    <w:rsid w:val="00B848A2"/>
    <w:rsid w:val="00B84D25"/>
    <w:rsid w:val="00B85A9E"/>
    <w:rsid w:val="00B870A3"/>
    <w:rsid w:val="00B87617"/>
    <w:rsid w:val="00B87911"/>
    <w:rsid w:val="00B87DD3"/>
    <w:rsid w:val="00B87E69"/>
    <w:rsid w:val="00B918E0"/>
    <w:rsid w:val="00B920C1"/>
    <w:rsid w:val="00B93B97"/>
    <w:rsid w:val="00B955FF"/>
    <w:rsid w:val="00B9568F"/>
    <w:rsid w:val="00B97390"/>
    <w:rsid w:val="00B975C7"/>
    <w:rsid w:val="00B97656"/>
    <w:rsid w:val="00B977B6"/>
    <w:rsid w:val="00BA0870"/>
    <w:rsid w:val="00BA3845"/>
    <w:rsid w:val="00BA38D0"/>
    <w:rsid w:val="00BA55C5"/>
    <w:rsid w:val="00BA59DE"/>
    <w:rsid w:val="00BA5B6D"/>
    <w:rsid w:val="00BA63FA"/>
    <w:rsid w:val="00BA6866"/>
    <w:rsid w:val="00BA68A5"/>
    <w:rsid w:val="00BA7688"/>
    <w:rsid w:val="00BB08B4"/>
    <w:rsid w:val="00BB0A6A"/>
    <w:rsid w:val="00BB0CDA"/>
    <w:rsid w:val="00BB2003"/>
    <w:rsid w:val="00BB2222"/>
    <w:rsid w:val="00BB2BE7"/>
    <w:rsid w:val="00BB4510"/>
    <w:rsid w:val="00BB4986"/>
    <w:rsid w:val="00BB4BAE"/>
    <w:rsid w:val="00BB4C36"/>
    <w:rsid w:val="00BB6106"/>
    <w:rsid w:val="00BB62AF"/>
    <w:rsid w:val="00BB66CE"/>
    <w:rsid w:val="00BB6B41"/>
    <w:rsid w:val="00BB7D32"/>
    <w:rsid w:val="00BC1218"/>
    <w:rsid w:val="00BC1EDB"/>
    <w:rsid w:val="00BC2378"/>
    <w:rsid w:val="00BC2EC2"/>
    <w:rsid w:val="00BC2F88"/>
    <w:rsid w:val="00BC3571"/>
    <w:rsid w:val="00BC4399"/>
    <w:rsid w:val="00BC480F"/>
    <w:rsid w:val="00BC67EA"/>
    <w:rsid w:val="00BC7198"/>
    <w:rsid w:val="00BD150F"/>
    <w:rsid w:val="00BD1CF2"/>
    <w:rsid w:val="00BD2080"/>
    <w:rsid w:val="00BD2CEB"/>
    <w:rsid w:val="00BD304D"/>
    <w:rsid w:val="00BD3488"/>
    <w:rsid w:val="00BD3BA0"/>
    <w:rsid w:val="00BD4494"/>
    <w:rsid w:val="00BD4A44"/>
    <w:rsid w:val="00BD4F17"/>
    <w:rsid w:val="00BD5186"/>
    <w:rsid w:val="00BD58DE"/>
    <w:rsid w:val="00BD5912"/>
    <w:rsid w:val="00BD62A1"/>
    <w:rsid w:val="00BD6C77"/>
    <w:rsid w:val="00BE122E"/>
    <w:rsid w:val="00BE15C0"/>
    <w:rsid w:val="00BE1886"/>
    <w:rsid w:val="00BE2BA2"/>
    <w:rsid w:val="00BE37C9"/>
    <w:rsid w:val="00BE3E11"/>
    <w:rsid w:val="00BE4462"/>
    <w:rsid w:val="00BE45A1"/>
    <w:rsid w:val="00BE5512"/>
    <w:rsid w:val="00BE6990"/>
    <w:rsid w:val="00BE76BB"/>
    <w:rsid w:val="00BF0956"/>
    <w:rsid w:val="00BF0DA0"/>
    <w:rsid w:val="00BF21DA"/>
    <w:rsid w:val="00BF22E6"/>
    <w:rsid w:val="00BF428E"/>
    <w:rsid w:val="00BF6688"/>
    <w:rsid w:val="00BF7863"/>
    <w:rsid w:val="00C00850"/>
    <w:rsid w:val="00C00B4F"/>
    <w:rsid w:val="00C01E19"/>
    <w:rsid w:val="00C036FB"/>
    <w:rsid w:val="00C067B4"/>
    <w:rsid w:val="00C07818"/>
    <w:rsid w:val="00C112FB"/>
    <w:rsid w:val="00C11A19"/>
    <w:rsid w:val="00C12C41"/>
    <w:rsid w:val="00C12EDA"/>
    <w:rsid w:val="00C139C0"/>
    <w:rsid w:val="00C144CF"/>
    <w:rsid w:val="00C15156"/>
    <w:rsid w:val="00C15213"/>
    <w:rsid w:val="00C1540D"/>
    <w:rsid w:val="00C16899"/>
    <w:rsid w:val="00C174E5"/>
    <w:rsid w:val="00C17780"/>
    <w:rsid w:val="00C17DB9"/>
    <w:rsid w:val="00C20C75"/>
    <w:rsid w:val="00C213EF"/>
    <w:rsid w:val="00C2180C"/>
    <w:rsid w:val="00C218CB"/>
    <w:rsid w:val="00C21CD2"/>
    <w:rsid w:val="00C21F1B"/>
    <w:rsid w:val="00C22289"/>
    <w:rsid w:val="00C22B3A"/>
    <w:rsid w:val="00C22B69"/>
    <w:rsid w:val="00C23413"/>
    <w:rsid w:val="00C236AA"/>
    <w:rsid w:val="00C23CEA"/>
    <w:rsid w:val="00C2496F"/>
    <w:rsid w:val="00C24A57"/>
    <w:rsid w:val="00C25F9E"/>
    <w:rsid w:val="00C267FB"/>
    <w:rsid w:val="00C31266"/>
    <w:rsid w:val="00C31870"/>
    <w:rsid w:val="00C3189B"/>
    <w:rsid w:val="00C33B4A"/>
    <w:rsid w:val="00C34490"/>
    <w:rsid w:val="00C34973"/>
    <w:rsid w:val="00C3512E"/>
    <w:rsid w:val="00C3516F"/>
    <w:rsid w:val="00C352F3"/>
    <w:rsid w:val="00C35645"/>
    <w:rsid w:val="00C35E7B"/>
    <w:rsid w:val="00C36721"/>
    <w:rsid w:val="00C37348"/>
    <w:rsid w:val="00C3735B"/>
    <w:rsid w:val="00C374EE"/>
    <w:rsid w:val="00C37B0D"/>
    <w:rsid w:val="00C37C39"/>
    <w:rsid w:val="00C41198"/>
    <w:rsid w:val="00C415D8"/>
    <w:rsid w:val="00C417D0"/>
    <w:rsid w:val="00C41908"/>
    <w:rsid w:val="00C42902"/>
    <w:rsid w:val="00C42AD5"/>
    <w:rsid w:val="00C43839"/>
    <w:rsid w:val="00C44EFD"/>
    <w:rsid w:val="00C45CA7"/>
    <w:rsid w:val="00C47ABC"/>
    <w:rsid w:val="00C51072"/>
    <w:rsid w:val="00C517FF"/>
    <w:rsid w:val="00C51AF4"/>
    <w:rsid w:val="00C52891"/>
    <w:rsid w:val="00C52901"/>
    <w:rsid w:val="00C52CBD"/>
    <w:rsid w:val="00C53FF5"/>
    <w:rsid w:val="00C5482C"/>
    <w:rsid w:val="00C5494A"/>
    <w:rsid w:val="00C54F19"/>
    <w:rsid w:val="00C555B5"/>
    <w:rsid w:val="00C5633C"/>
    <w:rsid w:val="00C57CE9"/>
    <w:rsid w:val="00C606FC"/>
    <w:rsid w:val="00C60EF1"/>
    <w:rsid w:val="00C618F5"/>
    <w:rsid w:val="00C61A72"/>
    <w:rsid w:val="00C624E6"/>
    <w:rsid w:val="00C63B1E"/>
    <w:rsid w:val="00C640B1"/>
    <w:rsid w:val="00C650CE"/>
    <w:rsid w:val="00C65E7C"/>
    <w:rsid w:val="00C65F9B"/>
    <w:rsid w:val="00C65FE4"/>
    <w:rsid w:val="00C678DA"/>
    <w:rsid w:val="00C7057F"/>
    <w:rsid w:val="00C705DB"/>
    <w:rsid w:val="00C7180E"/>
    <w:rsid w:val="00C71C07"/>
    <w:rsid w:val="00C72186"/>
    <w:rsid w:val="00C72910"/>
    <w:rsid w:val="00C736A7"/>
    <w:rsid w:val="00C73A2A"/>
    <w:rsid w:val="00C73EDB"/>
    <w:rsid w:val="00C74FEC"/>
    <w:rsid w:val="00C77210"/>
    <w:rsid w:val="00C80296"/>
    <w:rsid w:val="00C80B82"/>
    <w:rsid w:val="00C80D87"/>
    <w:rsid w:val="00C80D8F"/>
    <w:rsid w:val="00C80ED6"/>
    <w:rsid w:val="00C812C2"/>
    <w:rsid w:val="00C814EE"/>
    <w:rsid w:val="00C83BC0"/>
    <w:rsid w:val="00C848DA"/>
    <w:rsid w:val="00C84C37"/>
    <w:rsid w:val="00C8544F"/>
    <w:rsid w:val="00C873BA"/>
    <w:rsid w:val="00C87F05"/>
    <w:rsid w:val="00C909ED"/>
    <w:rsid w:val="00C92294"/>
    <w:rsid w:val="00C92316"/>
    <w:rsid w:val="00C92A7A"/>
    <w:rsid w:val="00C94208"/>
    <w:rsid w:val="00C9443C"/>
    <w:rsid w:val="00C94D07"/>
    <w:rsid w:val="00C94F3C"/>
    <w:rsid w:val="00C95167"/>
    <w:rsid w:val="00C954B8"/>
    <w:rsid w:val="00C958C7"/>
    <w:rsid w:val="00C95D06"/>
    <w:rsid w:val="00C97442"/>
    <w:rsid w:val="00C9759C"/>
    <w:rsid w:val="00C97A31"/>
    <w:rsid w:val="00CA0011"/>
    <w:rsid w:val="00CA0685"/>
    <w:rsid w:val="00CA0729"/>
    <w:rsid w:val="00CA085E"/>
    <w:rsid w:val="00CA0A81"/>
    <w:rsid w:val="00CA133B"/>
    <w:rsid w:val="00CA17F7"/>
    <w:rsid w:val="00CA3DED"/>
    <w:rsid w:val="00CA417D"/>
    <w:rsid w:val="00CA4345"/>
    <w:rsid w:val="00CA4B60"/>
    <w:rsid w:val="00CA5150"/>
    <w:rsid w:val="00CA55B0"/>
    <w:rsid w:val="00CA5DA6"/>
    <w:rsid w:val="00CA7C3F"/>
    <w:rsid w:val="00CB1286"/>
    <w:rsid w:val="00CB20A3"/>
    <w:rsid w:val="00CB2764"/>
    <w:rsid w:val="00CB2BF8"/>
    <w:rsid w:val="00CB35E3"/>
    <w:rsid w:val="00CB3935"/>
    <w:rsid w:val="00CB42C4"/>
    <w:rsid w:val="00CB431B"/>
    <w:rsid w:val="00CB572E"/>
    <w:rsid w:val="00CB73C3"/>
    <w:rsid w:val="00CB7726"/>
    <w:rsid w:val="00CB7958"/>
    <w:rsid w:val="00CB7C17"/>
    <w:rsid w:val="00CB7CF4"/>
    <w:rsid w:val="00CC19BC"/>
    <w:rsid w:val="00CC1E69"/>
    <w:rsid w:val="00CC2114"/>
    <w:rsid w:val="00CC2208"/>
    <w:rsid w:val="00CC2AF8"/>
    <w:rsid w:val="00CC5446"/>
    <w:rsid w:val="00CC6128"/>
    <w:rsid w:val="00CC635C"/>
    <w:rsid w:val="00CC65A4"/>
    <w:rsid w:val="00CC67BA"/>
    <w:rsid w:val="00CD014B"/>
    <w:rsid w:val="00CD2615"/>
    <w:rsid w:val="00CD277A"/>
    <w:rsid w:val="00CD3072"/>
    <w:rsid w:val="00CD48BB"/>
    <w:rsid w:val="00CD4D83"/>
    <w:rsid w:val="00CD6415"/>
    <w:rsid w:val="00CD6465"/>
    <w:rsid w:val="00CD6A30"/>
    <w:rsid w:val="00CD6C42"/>
    <w:rsid w:val="00CD6C93"/>
    <w:rsid w:val="00CE0081"/>
    <w:rsid w:val="00CE083F"/>
    <w:rsid w:val="00CE13E2"/>
    <w:rsid w:val="00CE1D5B"/>
    <w:rsid w:val="00CE33EC"/>
    <w:rsid w:val="00CE3457"/>
    <w:rsid w:val="00CE3D00"/>
    <w:rsid w:val="00CE41DF"/>
    <w:rsid w:val="00CE480A"/>
    <w:rsid w:val="00CE497B"/>
    <w:rsid w:val="00CE4E2D"/>
    <w:rsid w:val="00CE6992"/>
    <w:rsid w:val="00CE70AA"/>
    <w:rsid w:val="00CE78AD"/>
    <w:rsid w:val="00CF0BE9"/>
    <w:rsid w:val="00CF0C70"/>
    <w:rsid w:val="00CF211F"/>
    <w:rsid w:val="00CF21A2"/>
    <w:rsid w:val="00CF288F"/>
    <w:rsid w:val="00CF2C2C"/>
    <w:rsid w:val="00CF37C4"/>
    <w:rsid w:val="00CF39E3"/>
    <w:rsid w:val="00CF3D8C"/>
    <w:rsid w:val="00CF4124"/>
    <w:rsid w:val="00CF4A4D"/>
    <w:rsid w:val="00CF4B0E"/>
    <w:rsid w:val="00CF56D8"/>
    <w:rsid w:val="00CF6AA6"/>
    <w:rsid w:val="00CF7561"/>
    <w:rsid w:val="00CF7950"/>
    <w:rsid w:val="00D00FA7"/>
    <w:rsid w:val="00D010E0"/>
    <w:rsid w:val="00D02F88"/>
    <w:rsid w:val="00D04F26"/>
    <w:rsid w:val="00D04F4C"/>
    <w:rsid w:val="00D052F1"/>
    <w:rsid w:val="00D0546F"/>
    <w:rsid w:val="00D06F3B"/>
    <w:rsid w:val="00D109FE"/>
    <w:rsid w:val="00D11291"/>
    <w:rsid w:val="00D11911"/>
    <w:rsid w:val="00D13481"/>
    <w:rsid w:val="00D13D00"/>
    <w:rsid w:val="00D13DE7"/>
    <w:rsid w:val="00D13FB8"/>
    <w:rsid w:val="00D14D69"/>
    <w:rsid w:val="00D15730"/>
    <w:rsid w:val="00D15DB2"/>
    <w:rsid w:val="00D15EEE"/>
    <w:rsid w:val="00D16CA5"/>
    <w:rsid w:val="00D16F6B"/>
    <w:rsid w:val="00D17F43"/>
    <w:rsid w:val="00D20526"/>
    <w:rsid w:val="00D20FD6"/>
    <w:rsid w:val="00D22405"/>
    <w:rsid w:val="00D22DF5"/>
    <w:rsid w:val="00D23182"/>
    <w:rsid w:val="00D24B69"/>
    <w:rsid w:val="00D2618A"/>
    <w:rsid w:val="00D2638F"/>
    <w:rsid w:val="00D27D03"/>
    <w:rsid w:val="00D307E9"/>
    <w:rsid w:val="00D30F0A"/>
    <w:rsid w:val="00D3168C"/>
    <w:rsid w:val="00D32006"/>
    <w:rsid w:val="00D32C14"/>
    <w:rsid w:val="00D3454C"/>
    <w:rsid w:val="00D364D6"/>
    <w:rsid w:val="00D405C3"/>
    <w:rsid w:val="00D40BB5"/>
    <w:rsid w:val="00D42B10"/>
    <w:rsid w:val="00D45643"/>
    <w:rsid w:val="00D456A8"/>
    <w:rsid w:val="00D46D45"/>
    <w:rsid w:val="00D46F41"/>
    <w:rsid w:val="00D4771C"/>
    <w:rsid w:val="00D508A8"/>
    <w:rsid w:val="00D50A3B"/>
    <w:rsid w:val="00D52A53"/>
    <w:rsid w:val="00D53D45"/>
    <w:rsid w:val="00D53EB8"/>
    <w:rsid w:val="00D5454F"/>
    <w:rsid w:val="00D5505F"/>
    <w:rsid w:val="00D5551F"/>
    <w:rsid w:val="00D57939"/>
    <w:rsid w:val="00D57E98"/>
    <w:rsid w:val="00D60337"/>
    <w:rsid w:val="00D60B6A"/>
    <w:rsid w:val="00D60FE0"/>
    <w:rsid w:val="00D61591"/>
    <w:rsid w:val="00D6273B"/>
    <w:rsid w:val="00D62988"/>
    <w:rsid w:val="00D63D43"/>
    <w:rsid w:val="00D643EF"/>
    <w:rsid w:val="00D64B2E"/>
    <w:rsid w:val="00D66189"/>
    <w:rsid w:val="00D665F1"/>
    <w:rsid w:val="00D6698D"/>
    <w:rsid w:val="00D675A6"/>
    <w:rsid w:val="00D67DCC"/>
    <w:rsid w:val="00D70241"/>
    <w:rsid w:val="00D70E56"/>
    <w:rsid w:val="00D7107B"/>
    <w:rsid w:val="00D71B31"/>
    <w:rsid w:val="00D71DD7"/>
    <w:rsid w:val="00D721FF"/>
    <w:rsid w:val="00D72245"/>
    <w:rsid w:val="00D73175"/>
    <w:rsid w:val="00D731F7"/>
    <w:rsid w:val="00D743B8"/>
    <w:rsid w:val="00D76666"/>
    <w:rsid w:val="00D76EF0"/>
    <w:rsid w:val="00D770DF"/>
    <w:rsid w:val="00D7725A"/>
    <w:rsid w:val="00D772F0"/>
    <w:rsid w:val="00D81C79"/>
    <w:rsid w:val="00D826C4"/>
    <w:rsid w:val="00D835FD"/>
    <w:rsid w:val="00D83C7E"/>
    <w:rsid w:val="00D84FA7"/>
    <w:rsid w:val="00D858C8"/>
    <w:rsid w:val="00D8597F"/>
    <w:rsid w:val="00D87451"/>
    <w:rsid w:val="00D878BA"/>
    <w:rsid w:val="00D87938"/>
    <w:rsid w:val="00D8796D"/>
    <w:rsid w:val="00D879D5"/>
    <w:rsid w:val="00D92063"/>
    <w:rsid w:val="00D92415"/>
    <w:rsid w:val="00D9242C"/>
    <w:rsid w:val="00D92E50"/>
    <w:rsid w:val="00D92FA4"/>
    <w:rsid w:val="00D92FEB"/>
    <w:rsid w:val="00D9355C"/>
    <w:rsid w:val="00D93DD9"/>
    <w:rsid w:val="00D94AB5"/>
    <w:rsid w:val="00D95DEF"/>
    <w:rsid w:val="00D97FFE"/>
    <w:rsid w:val="00DA05F2"/>
    <w:rsid w:val="00DA0CC8"/>
    <w:rsid w:val="00DA2B1A"/>
    <w:rsid w:val="00DA33F9"/>
    <w:rsid w:val="00DA5788"/>
    <w:rsid w:val="00DA5B53"/>
    <w:rsid w:val="00DA6ACF"/>
    <w:rsid w:val="00DB08CA"/>
    <w:rsid w:val="00DB14A3"/>
    <w:rsid w:val="00DB165F"/>
    <w:rsid w:val="00DB171D"/>
    <w:rsid w:val="00DB1899"/>
    <w:rsid w:val="00DB1C93"/>
    <w:rsid w:val="00DB2593"/>
    <w:rsid w:val="00DB3407"/>
    <w:rsid w:val="00DB4F35"/>
    <w:rsid w:val="00DB701A"/>
    <w:rsid w:val="00DB71AA"/>
    <w:rsid w:val="00DB72C9"/>
    <w:rsid w:val="00DB7597"/>
    <w:rsid w:val="00DB75BD"/>
    <w:rsid w:val="00DB7C14"/>
    <w:rsid w:val="00DC0C00"/>
    <w:rsid w:val="00DC108E"/>
    <w:rsid w:val="00DC178D"/>
    <w:rsid w:val="00DC22A7"/>
    <w:rsid w:val="00DC288C"/>
    <w:rsid w:val="00DC3234"/>
    <w:rsid w:val="00DC489A"/>
    <w:rsid w:val="00DC56AA"/>
    <w:rsid w:val="00DC71B2"/>
    <w:rsid w:val="00DC76C3"/>
    <w:rsid w:val="00DC76F4"/>
    <w:rsid w:val="00DC7F18"/>
    <w:rsid w:val="00DD1071"/>
    <w:rsid w:val="00DD19E0"/>
    <w:rsid w:val="00DD21E8"/>
    <w:rsid w:val="00DD2456"/>
    <w:rsid w:val="00DD58D1"/>
    <w:rsid w:val="00DD5CCF"/>
    <w:rsid w:val="00DD62D8"/>
    <w:rsid w:val="00DD7439"/>
    <w:rsid w:val="00DD765C"/>
    <w:rsid w:val="00DD7DA0"/>
    <w:rsid w:val="00DE0813"/>
    <w:rsid w:val="00DE0CC3"/>
    <w:rsid w:val="00DE112D"/>
    <w:rsid w:val="00DE1336"/>
    <w:rsid w:val="00DE17BC"/>
    <w:rsid w:val="00DE2F0C"/>
    <w:rsid w:val="00DE2FBF"/>
    <w:rsid w:val="00DE379A"/>
    <w:rsid w:val="00DE3F8C"/>
    <w:rsid w:val="00DE5A71"/>
    <w:rsid w:val="00DE5C7A"/>
    <w:rsid w:val="00DE5F36"/>
    <w:rsid w:val="00DE6298"/>
    <w:rsid w:val="00DE762A"/>
    <w:rsid w:val="00DE7665"/>
    <w:rsid w:val="00DE7B9B"/>
    <w:rsid w:val="00DF0630"/>
    <w:rsid w:val="00DF0C10"/>
    <w:rsid w:val="00DF0EB9"/>
    <w:rsid w:val="00DF32A2"/>
    <w:rsid w:val="00DF5439"/>
    <w:rsid w:val="00DF5715"/>
    <w:rsid w:val="00DF59E0"/>
    <w:rsid w:val="00DF6C40"/>
    <w:rsid w:val="00DF7B1C"/>
    <w:rsid w:val="00DF7BEA"/>
    <w:rsid w:val="00E0049A"/>
    <w:rsid w:val="00E00823"/>
    <w:rsid w:val="00E019B8"/>
    <w:rsid w:val="00E01B11"/>
    <w:rsid w:val="00E01E84"/>
    <w:rsid w:val="00E02460"/>
    <w:rsid w:val="00E02733"/>
    <w:rsid w:val="00E02832"/>
    <w:rsid w:val="00E03D48"/>
    <w:rsid w:val="00E05CBC"/>
    <w:rsid w:val="00E06B59"/>
    <w:rsid w:val="00E07077"/>
    <w:rsid w:val="00E07646"/>
    <w:rsid w:val="00E07800"/>
    <w:rsid w:val="00E07CD6"/>
    <w:rsid w:val="00E10332"/>
    <w:rsid w:val="00E10917"/>
    <w:rsid w:val="00E10C2E"/>
    <w:rsid w:val="00E10F98"/>
    <w:rsid w:val="00E1407F"/>
    <w:rsid w:val="00E15762"/>
    <w:rsid w:val="00E16353"/>
    <w:rsid w:val="00E1780B"/>
    <w:rsid w:val="00E17B1E"/>
    <w:rsid w:val="00E17FCA"/>
    <w:rsid w:val="00E21BF1"/>
    <w:rsid w:val="00E2215C"/>
    <w:rsid w:val="00E23C5D"/>
    <w:rsid w:val="00E23DE2"/>
    <w:rsid w:val="00E254B0"/>
    <w:rsid w:val="00E25A51"/>
    <w:rsid w:val="00E260FC"/>
    <w:rsid w:val="00E26644"/>
    <w:rsid w:val="00E2760C"/>
    <w:rsid w:val="00E31386"/>
    <w:rsid w:val="00E32EC1"/>
    <w:rsid w:val="00E345FD"/>
    <w:rsid w:val="00E3485C"/>
    <w:rsid w:val="00E349E3"/>
    <w:rsid w:val="00E35E20"/>
    <w:rsid w:val="00E36E48"/>
    <w:rsid w:val="00E37520"/>
    <w:rsid w:val="00E37ECF"/>
    <w:rsid w:val="00E40CBE"/>
    <w:rsid w:val="00E40FDE"/>
    <w:rsid w:val="00E414D9"/>
    <w:rsid w:val="00E42311"/>
    <w:rsid w:val="00E429DC"/>
    <w:rsid w:val="00E43C2E"/>
    <w:rsid w:val="00E44C27"/>
    <w:rsid w:val="00E47354"/>
    <w:rsid w:val="00E4755A"/>
    <w:rsid w:val="00E47B14"/>
    <w:rsid w:val="00E47E65"/>
    <w:rsid w:val="00E504B2"/>
    <w:rsid w:val="00E50615"/>
    <w:rsid w:val="00E510A5"/>
    <w:rsid w:val="00E5300B"/>
    <w:rsid w:val="00E53CF6"/>
    <w:rsid w:val="00E53EDA"/>
    <w:rsid w:val="00E54D25"/>
    <w:rsid w:val="00E5549E"/>
    <w:rsid w:val="00E55ACE"/>
    <w:rsid w:val="00E55E47"/>
    <w:rsid w:val="00E55EAA"/>
    <w:rsid w:val="00E55F44"/>
    <w:rsid w:val="00E60421"/>
    <w:rsid w:val="00E60F08"/>
    <w:rsid w:val="00E62498"/>
    <w:rsid w:val="00E62C92"/>
    <w:rsid w:val="00E63B35"/>
    <w:rsid w:val="00E647A9"/>
    <w:rsid w:val="00E71DB3"/>
    <w:rsid w:val="00E721A0"/>
    <w:rsid w:val="00E73744"/>
    <w:rsid w:val="00E747C8"/>
    <w:rsid w:val="00E74C2D"/>
    <w:rsid w:val="00E74E79"/>
    <w:rsid w:val="00E755E8"/>
    <w:rsid w:val="00E76932"/>
    <w:rsid w:val="00E774A9"/>
    <w:rsid w:val="00E802F6"/>
    <w:rsid w:val="00E825F9"/>
    <w:rsid w:val="00E835E6"/>
    <w:rsid w:val="00E8461D"/>
    <w:rsid w:val="00E84D09"/>
    <w:rsid w:val="00E857D5"/>
    <w:rsid w:val="00E8698A"/>
    <w:rsid w:val="00E86F6C"/>
    <w:rsid w:val="00E87456"/>
    <w:rsid w:val="00E901AF"/>
    <w:rsid w:val="00E905D2"/>
    <w:rsid w:val="00E91692"/>
    <w:rsid w:val="00E91C24"/>
    <w:rsid w:val="00E91EA7"/>
    <w:rsid w:val="00E93BAD"/>
    <w:rsid w:val="00E949E1"/>
    <w:rsid w:val="00E9533E"/>
    <w:rsid w:val="00E955FC"/>
    <w:rsid w:val="00E95E34"/>
    <w:rsid w:val="00E9618F"/>
    <w:rsid w:val="00E96A20"/>
    <w:rsid w:val="00E978C0"/>
    <w:rsid w:val="00E97F49"/>
    <w:rsid w:val="00EA0261"/>
    <w:rsid w:val="00EA0E93"/>
    <w:rsid w:val="00EA1BD7"/>
    <w:rsid w:val="00EA2D1A"/>
    <w:rsid w:val="00EA3478"/>
    <w:rsid w:val="00EA4636"/>
    <w:rsid w:val="00EA47F8"/>
    <w:rsid w:val="00EA4A23"/>
    <w:rsid w:val="00EA4E42"/>
    <w:rsid w:val="00EA5041"/>
    <w:rsid w:val="00EA69EE"/>
    <w:rsid w:val="00EA6A51"/>
    <w:rsid w:val="00EA734F"/>
    <w:rsid w:val="00EA77AD"/>
    <w:rsid w:val="00EB0728"/>
    <w:rsid w:val="00EB0D09"/>
    <w:rsid w:val="00EB3238"/>
    <w:rsid w:val="00EB3275"/>
    <w:rsid w:val="00EB533E"/>
    <w:rsid w:val="00EB646E"/>
    <w:rsid w:val="00EB6CCC"/>
    <w:rsid w:val="00EB727C"/>
    <w:rsid w:val="00EC0B41"/>
    <w:rsid w:val="00EC38D2"/>
    <w:rsid w:val="00EC39D9"/>
    <w:rsid w:val="00EC3E0E"/>
    <w:rsid w:val="00EC467B"/>
    <w:rsid w:val="00EC48B2"/>
    <w:rsid w:val="00EC4AA9"/>
    <w:rsid w:val="00EC54C2"/>
    <w:rsid w:val="00EC5983"/>
    <w:rsid w:val="00EC5EA3"/>
    <w:rsid w:val="00EC5F4C"/>
    <w:rsid w:val="00EC6700"/>
    <w:rsid w:val="00EC69C7"/>
    <w:rsid w:val="00EC6F12"/>
    <w:rsid w:val="00ED0D8C"/>
    <w:rsid w:val="00ED1F22"/>
    <w:rsid w:val="00ED2572"/>
    <w:rsid w:val="00ED433C"/>
    <w:rsid w:val="00ED6227"/>
    <w:rsid w:val="00ED6723"/>
    <w:rsid w:val="00ED6D68"/>
    <w:rsid w:val="00ED6E06"/>
    <w:rsid w:val="00EE245F"/>
    <w:rsid w:val="00EE27CA"/>
    <w:rsid w:val="00EE2F17"/>
    <w:rsid w:val="00EE38A6"/>
    <w:rsid w:val="00EE4DEA"/>
    <w:rsid w:val="00EE5247"/>
    <w:rsid w:val="00EE547E"/>
    <w:rsid w:val="00EE56DC"/>
    <w:rsid w:val="00EE5B6C"/>
    <w:rsid w:val="00EE6CBF"/>
    <w:rsid w:val="00EE74C2"/>
    <w:rsid w:val="00EE754E"/>
    <w:rsid w:val="00EE7F79"/>
    <w:rsid w:val="00EF2047"/>
    <w:rsid w:val="00EF2FCA"/>
    <w:rsid w:val="00EF3049"/>
    <w:rsid w:val="00EF5BC9"/>
    <w:rsid w:val="00EF638E"/>
    <w:rsid w:val="00EF706C"/>
    <w:rsid w:val="00EF7328"/>
    <w:rsid w:val="00F018D1"/>
    <w:rsid w:val="00F0215A"/>
    <w:rsid w:val="00F021BF"/>
    <w:rsid w:val="00F04B99"/>
    <w:rsid w:val="00F05534"/>
    <w:rsid w:val="00F062A8"/>
    <w:rsid w:val="00F0651E"/>
    <w:rsid w:val="00F07694"/>
    <w:rsid w:val="00F07E13"/>
    <w:rsid w:val="00F10B98"/>
    <w:rsid w:val="00F10D61"/>
    <w:rsid w:val="00F10DC3"/>
    <w:rsid w:val="00F13772"/>
    <w:rsid w:val="00F15798"/>
    <w:rsid w:val="00F159F4"/>
    <w:rsid w:val="00F1736A"/>
    <w:rsid w:val="00F17534"/>
    <w:rsid w:val="00F201AD"/>
    <w:rsid w:val="00F202AD"/>
    <w:rsid w:val="00F20BB0"/>
    <w:rsid w:val="00F21898"/>
    <w:rsid w:val="00F21B68"/>
    <w:rsid w:val="00F21EE5"/>
    <w:rsid w:val="00F22A79"/>
    <w:rsid w:val="00F23D02"/>
    <w:rsid w:val="00F23EBA"/>
    <w:rsid w:val="00F244AE"/>
    <w:rsid w:val="00F25FA2"/>
    <w:rsid w:val="00F263FB"/>
    <w:rsid w:val="00F26DDA"/>
    <w:rsid w:val="00F30790"/>
    <w:rsid w:val="00F30C3E"/>
    <w:rsid w:val="00F31122"/>
    <w:rsid w:val="00F33A3F"/>
    <w:rsid w:val="00F3429B"/>
    <w:rsid w:val="00F3496C"/>
    <w:rsid w:val="00F35320"/>
    <w:rsid w:val="00F35C98"/>
    <w:rsid w:val="00F36226"/>
    <w:rsid w:val="00F368C4"/>
    <w:rsid w:val="00F36E54"/>
    <w:rsid w:val="00F37004"/>
    <w:rsid w:val="00F376D2"/>
    <w:rsid w:val="00F37A94"/>
    <w:rsid w:val="00F37ACE"/>
    <w:rsid w:val="00F40FFC"/>
    <w:rsid w:val="00F41148"/>
    <w:rsid w:val="00F41C6E"/>
    <w:rsid w:val="00F42529"/>
    <w:rsid w:val="00F43F9C"/>
    <w:rsid w:val="00F44513"/>
    <w:rsid w:val="00F44596"/>
    <w:rsid w:val="00F44997"/>
    <w:rsid w:val="00F45F3F"/>
    <w:rsid w:val="00F50CEE"/>
    <w:rsid w:val="00F51EE0"/>
    <w:rsid w:val="00F5217A"/>
    <w:rsid w:val="00F5255C"/>
    <w:rsid w:val="00F527DA"/>
    <w:rsid w:val="00F5305E"/>
    <w:rsid w:val="00F54375"/>
    <w:rsid w:val="00F54DB6"/>
    <w:rsid w:val="00F56D91"/>
    <w:rsid w:val="00F57477"/>
    <w:rsid w:val="00F603C4"/>
    <w:rsid w:val="00F607C2"/>
    <w:rsid w:val="00F609C5"/>
    <w:rsid w:val="00F6173D"/>
    <w:rsid w:val="00F61A65"/>
    <w:rsid w:val="00F62302"/>
    <w:rsid w:val="00F623AD"/>
    <w:rsid w:val="00F624FF"/>
    <w:rsid w:val="00F627C4"/>
    <w:rsid w:val="00F6291A"/>
    <w:rsid w:val="00F62AFF"/>
    <w:rsid w:val="00F6484E"/>
    <w:rsid w:val="00F64B88"/>
    <w:rsid w:val="00F64E78"/>
    <w:rsid w:val="00F65EB1"/>
    <w:rsid w:val="00F661C5"/>
    <w:rsid w:val="00F730A1"/>
    <w:rsid w:val="00F73ED3"/>
    <w:rsid w:val="00F74906"/>
    <w:rsid w:val="00F74B02"/>
    <w:rsid w:val="00F75E61"/>
    <w:rsid w:val="00F75E94"/>
    <w:rsid w:val="00F764CD"/>
    <w:rsid w:val="00F76DC6"/>
    <w:rsid w:val="00F80F06"/>
    <w:rsid w:val="00F8119A"/>
    <w:rsid w:val="00F8133F"/>
    <w:rsid w:val="00F81B96"/>
    <w:rsid w:val="00F82554"/>
    <w:rsid w:val="00F83143"/>
    <w:rsid w:val="00F85775"/>
    <w:rsid w:val="00F87038"/>
    <w:rsid w:val="00F87669"/>
    <w:rsid w:val="00F902DC"/>
    <w:rsid w:val="00F90479"/>
    <w:rsid w:val="00F91707"/>
    <w:rsid w:val="00F923A6"/>
    <w:rsid w:val="00F9358C"/>
    <w:rsid w:val="00F94EEB"/>
    <w:rsid w:val="00F94EFE"/>
    <w:rsid w:val="00F95F7C"/>
    <w:rsid w:val="00FA0F18"/>
    <w:rsid w:val="00FA1676"/>
    <w:rsid w:val="00FA16DC"/>
    <w:rsid w:val="00FA2043"/>
    <w:rsid w:val="00FA49B5"/>
    <w:rsid w:val="00FA68C9"/>
    <w:rsid w:val="00FA71D1"/>
    <w:rsid w:val="00FA7609"/>
    <w:rsid w:val="00FA798E"/>
    <w:rsid w:val="00FA7DB6"/>
    <w:rsid w:val="00FB0B20"/>
    <w:rsid w:val="00FB1267"/>
    <w:rsid w:val="00FB1630"/>
    <w:rsid w:val="00FB31EB"/>
    <w:rsid w:val="00FB3781"/>
    <w:rsid w:val="00FB37E4"/>
    <w:rsid w:val="00FB5E49"/>
    <w:rsid w:val="00FC0676"/>
    <w:rsid w:val="00FC18CA"/>
    <w:rsid w:val="00FC18E3"/>
    <w:rsid w:val="00FC20E6"/>
    <w:rsid w:val="00FC21CC"/>
    <w:rsid w:val="00FC2F43"/>
    <w:rsid w:val="00FC3FDE"/>
    <w:rsid w:val="00FC47FD"/>
    <w:rsid w:val="00FC55B7"/>
    <w:rsid w:val="00FC57FC"/>
    <w:rsid w:val="00FC6E39"/>
    <w:rsid w:val="00FD00C9"/>
    <w:rsid w:val="00FD05F8"/>
    <w:rsid w:val="00FD174D"/>
    <w:rsid w:val="00FD1E38"/>
    <w:rsid w:val="00FD1FAC"/>
    <w:rsid w:val="00FD456D"/>
    <w:rsid w:val="00FD4C33"/>
    <w:rsid w:val="00FD5828"/>
    <w:rsid w:val="00FD75DE"/>
    <w:rsid w:val="00FD79D9"/>
    <w:rsid w:val="00FE0691"/>
    <w:rsid w:val="00FE09C0"/>
    <w:rsid w:val="00FE10D4"/>
    <w:rsid w:val="00FE237F"/>
    <w:rsid w:val="00FE2507"/>
    <w:rsid w:val="00FE27E9"/>
    <w:rsid w:val="00FE2E7A"/>
    <w:rsid w:val="00FE313D"/>
    <w:rsid w:val="00FE41DE"/>
    <w:rsid w:val="00FE49DB"/>
    <w:rsid w:val="00FE4D54"/>
    <w:rsid w:val="00FE5E28"/>
    <w:rsid w:val="00FE6933"/>
    <w:rsid w:val="00FE7A28"/>
    <w:rsid w:val="00FF1349"/>
    <w:rsid w:val="00FF1D02"/>
    <w:rsid w:val="00FF1FEA"/>
    <w:rsid w:val="00FF246E"/>
    <w:rsid w:val="00FF256F"/>
    <w:rsid w:val="00FF47AB"/>
    <w:rsid w:val="00FF4EE4"/>
    <w:rsid w:val="00FF5107"/>
    <w:rsid w:val="00FF604F"/>
    <w:rsid w:val="00FF672E"/>
    <w:rsid w:val="00FF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DD747CC"/>
  <w15:docId w15:val="{0484C517-7047-4F97-BA0B-FE119A52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Normal"/>
    <w:link w:val="Heading4Char"/>
    <w:semiHidden/>
    <w:unhideWhenUsed/>
    <w:qFormat/>
    <w:rsid w:val="00065DF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line="240" w:lineRule="atLeast"/>
      <w:ind w:left="720" w:hanging="720"/>
      <w:jc w:val="both"/>
    </w:pPr>
    <w:rPr>
      <w:rFonts w:ascii="Book Antiqua" w:hAnsi="Book Antiqua"/>
      <w:sz w:val="20"/>
      <w:szCs w:val="20"/>
    </w:rPr>
  </w:style>
  <w:style w:type="character" w:styleId="FootnoteReference">
    <w:name w:val="footnote reference"/>
    <w:uiPriority w:val="99"/>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link w:val="BodySectionSubChar"/>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 w:type="character" w:customStyle="1" w:styleId="BodySectionSubChar">
    <w:name w:val="Body Section (Sub) Char"/>
    <w:basedOn w:val="DefaultParagraphFont"/>
    <w:link w:val="BodySectionSub"/>
    <w:rsid w:val="00A01BE3"/>
    <w:rPr>
      <w:sz w:val="24"/>
      <w:lang w:eastAsia="en-US"/>
    </w:rPr>
  </w:style>
  <w:style w:type="paragraph" w:customStyle="1" w:styleId="SideNote">
    <w:name w:val="Side Note"/>
    <w:basedOn w:val="Normal"/>
    <w:rsid w:val="00BB2003"/>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SectionNote">
    <w:name w:val="Draft Section Note"/>
    <w:next w:val="Normal"/>
    <w:rsid w:val="00BB2003"/>
    <w:pPr>
      <w:spacing w:before="120"/>
    </w:pPr>
    <w:rPr>
      <w:lang w:eastAsia="en-US"/>
    </w:rPr>
  </w:style>
  <w:style w:type="paragraph" w:customStyle="1" w:styleId="BodySection">
    <w:name w:val="Body Section"/>
    <w:basedOn w:val="Normal"/>
    <w:rsid w:val="009A2F63"/>
    <w:pPr>
      <w:overflowPunct w:val="0"/>
      <w:autoSpaceDE w:val="0"/>
      <w:autoSpaceDN w:val="0"/>
      <w:spacing w:before="120"/>
      <w:ind w:left="1361"/>
    </w:pPr>
    <w:rPr>
      <w:rFonts w:eastAsiaTheme="minorHAnsi"/>
    </w:rPr>
  </w:style>
  <w:style w:type="paragraph" w:customStyle="1" w:styleId="commentcontentpara">
    <w:name w:val="commentcontentpara"/>
    <w:basedOn w:val="Normal"/>
    <w:rsid w:val="00FF256F"/>
    <w:pPr>
      <w:spacing w:before="100" w:beforeAutospacing="1" w:after="100" w:afterAutospacing="1"/>
    </w:pPr>
    <w:rPr>
      <w:lang w:eastAsia="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F26DDA"/>
    <w:rPr>
      <w:sz w:val="24"/>
      <w:lang w:eastAsia="en-US"/>
    </w:rPr>
  </w:style>
  <w:style w:type="character" w:customStyle="1" w:styleId="contentpasted1">
    <w:name w:val="contentpasted1"/>
    <w:basedOn w:val="DefaultParagraphFont"/>
    <w:rsid w:val="00F26DDA"/>
  </w:style>
  <w:style w:type="character" w:customStyle="1" w:styleId="Heading4Char">
    <w:name w:val="Heading 4 Char"/>
    <w:basedOn w:val="DefaultParagraphFont"/>
    <w:link w:val="Heading4"/>
    <w:semiHidden/>
    <w:rsid w:val="00065DFE"/>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065DFE"/>
    <w:rPr>
      <w:b/>
      <w:bCs/>
    </w:rPr>
  </w:style>
  <w:style w:type="paragraph" w:customStyle="1" w:styleId="CCVNumberLevel1">
    <w:name w:val="CCV Number Level 1"/>
    <w:basedOn w:val="Normal"/>
    <w:qFormat/>
    <w:rsid w:val="00941E07"/>
    <w:pPr>
      <w:numPr>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NumberLevel2">
    <w:name w:val="CCV Number Level 2"/>
    <w:basedOn w:val="Normal"/>
    <w:qFormat/>
    <w:rsid w:val="00941E07"/>
    <w:pPr>
      <w:numPr>
        <w:ilvl w:val="1"/>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NumberLevel3">
    <w:name w:val="CCV Number Level 3"/>
    <w:basedOn w:val="Normal"/>
    <w:qFormat/>
    <w:rsid w:val="00941E07"/>
    <w:pPr>
      <w:numPr>
        <w:ilvl w:val="2"/>
        <w:numId w:val="97"/>
      </w:numPr>
      <w:overflowPunct w:val="0"/>
      <w:autoSpaceDE w:val="0"/>
      <w:autoSpaceDN w:val="0"/>
      <w:adjustRightInd w:val="0"/>
      <w:spacing w:after="240" w:line="480" w:lineRule="atLeast"/>
      <w:jc w:val="both"/>
      <w:textAlignment w:val="baseline"/>
    </w:pPr>
    <w:rPr>
      <w:rFonts w:ascii="Arial" w:hAnsi="Arial"/>
      <w:szCs w:val="20"/>
    </w:rPr>
  </w:style>
  <w:style w:type="paragraph" w:customStyle="1" w:styleId="CCVHeadingLevel1">
    <w:name w:val="CCV Heading Level 1"/>
    <w:basedOn w:val="Normal"/>
    <w:next w:val="CCVNumberLevel1"/>
    <w:qFormat/>
    <w:rsid w:val="00874A4F"/>
    <w:pPr>
      <w:keepNext/>
      <w:overflowPunct w:val="0"/>
      <w:autoSpaceDE w:val="0"/>
      <w:autoSpaceDN w:val="0"/>
      <w:adjustRightInd w:val="0"/>
      <w:spacing w:before="240" w:line="240" w:lineRule="atLeast"/>
      <w:ind w:left="567"/>
      <w:jc w:val="both"/>
      <w:textAlignment w:val="baseline"/>
      <w:outlineLvl w:val="0"/>
    </w:pPr>
    <w:rPr>
      <w:rFonts w:ascii="Arial" w:hAnsi="Arial"/>
      <w:b/>
      <w:szCs w:val="20"/>
    </w:rPr>
  </w:style>
  <w:style w:type="character" w:customStyle="1" w:styleId="indent1">
    <w:name w:val="indent1"/>
    <w:basedOn w:val="DefaultParagraphFont"/>
    <w:rsid w:val="004D3373"/>
  </w:style>
  <w:style w:type="character" w:customStyle="1" w:styleId="hpsterm">
    <w:name w:val="hpsterm"/>
    <w:basedOn w:val="DefaultParagraphFont"/>
    <w:rsid w:val="004D3373"/>
  </w:style>
  <w:style w:type="character" w:customStyle="1" w:styleId="hpsitem">
    <w:name w:val="hpsitem"/>
    <w:basedOn w:val="DefaultParagraphFont"/>
    <w:rsid w:val="004D3373"/>
  </w:style>
  <w:style w:type="paragraph" w:customStyle="1" w:styleId="DraftSub-sectionNote">
    <w:name w:val="Draft Sub-section Note"/>
    <w:next w:val="Normal"/>
    <w:rsid w:val="00C41908"/>
    <w:pPr>
      <w:spacing w:before="120"/>
    </w:pPr>
    <w:rPr>
      <w:lang w:eastAsia="en-US"/>
    </w:rPr>
  </w:style>
  <w:style w:type="paragraph" w:customStyle="1" w:styleId="Stars">
    <w:name w:val="Stars"/>
    <w:basedOn w:val="BodySection"/>
    <w:next w:val="Normal"/>
    <w:rsid w:val="00263A4E"/>
    <w:pPr>
      <w:tabs>
        <w:tab w:val="right" w:pos="1418"/>
        <w:tab w:val="right" w:pos="2552"/>
        <w:tab w:val="right" w:pos="3686"/>
        <w:tab w:val="right" w:pos="4820"/>
        <w:tab w:val="right" w:pos="5954"/>
      </w:tabs>
      <w:adjustRightInd w:val="0"/>
      <w:ind w:left="851"/>
      <w:textAlignment w:val="baseline"/>
    </w:pPr>
    <w:rPr>
      <w:rFonts w:eastAsia="Times New Roman"/>
      <w:szCs w:val="20"/>
    </w:rPr>
  </w:style>
  <w:style w:type="character" w:customStyle="1" w:styleId="Heading3Char">
    <w:name w:val="Heading 3 Char"/>
    <w:link w:val="Heading3"/>
    <w:rsid w:val="009C5B94"/>
    <w:rPr>
      <w:rFonts w:ascii="Book Antiqua" w:hAnsi="Book Antiqua"/>
      <w:kern w:val="28"/>
      <w:sz w:val="24"/>
      <w:lang w:val="en-GB" w:eastAsia="en-US"/>
    </w:rPr>
  </w:style>
  <w:style w:type="paragraph" w:customStyle="1" w:styleId="Heading-DIVISION">
    <w:name w:val="Heading - DIVISION"/>
    <w:next w:val="Normal"/>
    <w:link w:val="Heading-DIVISIONChar"/>
    <w:rsid w:val="006C4A9A"/>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6C4A9A"/>
    <w:rPr>
      <w:b/>
      <w:sz w:val="24"/>
      <w:lang w:eastAsia="en-US"/>
    </w:rPr>
  </w:style>
  <w:style w:type="paragraph" w:customStyle="1" w:styleId="Heading-PART">
    <w:name w:val="Heading - PART"/>
    <w:next w:val="Normal"/>
    <w:link w:val="Heading-PARTChar"/>
    <w:rsid w:val="00413016"/>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Normal-Schedule">
    <w:name w:val="Normal - Schedule"/>
    <w:link w:val="Normal-ScheduleChar"/>
    <w:rsid w:val="0041301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ewFormHeading">
    <w:name w:val="New Form Heading"/>
    <w:next w:val="Normal"/>
    <w:link w:val="NewFormHeadingChar"/>
    <w:autoRedefine/>
    <w:qFormat/>
    <w:rsid w:val="00413016"/>
    <w:pPr>
      <w:spacing w:before="120" w:after="120"/>
      <w:jc w:val="center"/>
    </w:pPr>
    <w:rPr>
      <w:rFonts w:eastAsiaTheme="minorEastAsia" w:cstheme="minorBidi"/>
      <w:b/>
      <w:caps/>
      <w:sz w:val="22"/>
      <w:szCs w:val="22"/>
      <w:lang w:eastAsia="en-US"/>
    </w:rPr>
  </w:style>
  <w:style w:type="character" w:customStyle="1" w:styleId="Normal-ScheduleChar">
    <w:name w:val="Normal - Schedule Char"/>
    <w:basedOn w:val="DefaultParagraphFont"/>
    <w:link w:val="Normal-Schedule"/>
    <w:rsid w:val="00413016"/>
    <w:rPr>
      <w:lang w:eastAsia="en-US"/>
    </w:rPr>
  </w:style>
  <w:style w:type="character" w:customStyle="1" w:styleId="Heading-PARTChar">
    <w:name w:val="Heading - PART Char"/>
    <w:basedOn w:val="DefaultParagraphFont"/>
    <w:link w:val="Heading-PART"/>
    <w:rsid w:val="00413016"/>
    <w:rPr>
      <w:b/>
      <w:caps/>
      <w:sz w:val="22"/>
      <w:lang w:eastAsia="en-US"/>
    </w:rPr>
  </w:style>
  <w:style w:type="character" w:customStyle="1" w:styleId="NewFormHeadingChar">
    <w:name w:val="New Form Heading Char"/>
    <w:link w:val="NewFormHeading"/>
    <w:rsid w:val="00013912"/>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12274703">
      <w:bodyDiv w:val="1"/>
      <w:marLeft w:val="0"/>
      <w:marRight w:val="0"/>
      <w:marTop w:val="0"/>
      <w:marBottom w:val="0"/>
      <w:divBdr>
        <w:top w:val="none" w:sz="0" w:space="0" w:color="auto"/>
        <w:left w:val="none" w:sz="0" w:space="0" w:color="auto"/>
        <w:bottom w:val="none" w:sz="0" w:space="0" w:color="auto"/>
        <w:right w:val="none" w:sz="0" w:space="0" w:color="auto"/>
      </w:divBdr>
    </w:div>
    <w:div w:id="264313001">
      <w:bodyDiv w:val="1"/>
      <w:marLeft w:val="0"/>
      <w:marRight w:val="0"/>
      <w:marTop w:val="0"/>
      <w:marBottom w:val="0"/>
      <w:divBdr>
        <w:top w:val="none" w:sz="0" w:space="0" w:color="auto"/>
        <w:left w:val="none" w:sz="0" w:space="0" w:color="auto"/>
        <w:bottom w:val="none" w:sz="0" w:space="0" w:color="auto"/>
        <w:right w:val="none" w:sz="0" w:space="0" w:color="auto"/>
      </w:divBdr>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453862763">
              <w:marLeft w:val="240"/>
              <w:marRight w:val="240"/>
              <w:marTop w:val="0"/>
              <w:marBottom w:val="0"/>
              <w:divBdr>
                <w:top w:val="none" w:sz="0" w:space="0" w:color="auto"/>
                <w:left w:val="none" w:sz="0" w:space="0" w:color="auto"/>
                <w:bottom w:val="none" w:sz="0" w:space="0" w:color="auto"/>
                <w:right w:val="none" w:sz="0" w:space="0" w:color="auto"/>
              </w:divBdr>
            </w:div>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42167263">
      <w:bodyDiv w:val="1"/>
      <w:marLeft w:val="0"/>
      <w:marRight w:val="0"/>
      <w:marTop w:val="0"/>
      <w:marBottom w:val="0"/>
      <w:divBdr>
        <w:top w:val="none" w:sz="0" w:space="0" w:color="auto"/>
        <w:left w:val="none" w:sz="0" w:space="0" w:color="auto"/>
        <w:bottom w:val="none" w:sz="0" w:space="0" w:color="auto"/>
        <w:right w:val="none" w:sz="0" w:space="0" w:color="auto"/>
      </w:divBdr>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285359436">
          <w:marLeft w:val="0"/>
          <w:marRight w:val="0"/>
          <w:marTop w:val="115"/>
          <w:marBottom w:val="0"/>
          <w:divBdr>
            <w:top w:val="none" w:sz="0" w:space="0" w:color="auto"/>
            <w:left w:val="none" w:sz="0" w:space="0" w:color="auto"/>
            <w:bottom w:val="none" w:sz="0" w:space="0" w:color="auto"/>
            <w:right w:val="none" w:sz="0" w:space="0" w:color="auto"/>
          </w:divBdr>
        </w:div>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529951269">
              <w:marLeft w:val="240"/>
              <w:marRight w:val="240"/>
              <w:marTop w:val="0"/>
              <w:marBottom w:val="0"/>
              <w:divBdr>
                <w:top w:val="none" w:sz="0" w:space="0" w:color="auto"/>
                <w:left w:val="none" w:sz="0" w:space="0" w:color="auto"/>
                <w:bottom w:val="none" w:sz="0" w:space="0" w:color="auto"/>
                <w:right w:val="none" w:sz="0" w:space="0" w:color="auto"/>
              </w:divBdr>
            </w:div>
            <w:div w:id="1813477061">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34791146">
      <w:bodyDiv w:val="1"/>
      <w:marLeft w:val="0"/>
      <w:marRight w:val="0"/>
      <w:marTop w:val="0"/>
      <w:marBottom w:val="0"/>
      <w:divBdr>
        <w:top w:val="none" w:sz="0" w:space="0" w:color="auto"/>
        <w:left w:val="none" w:sz="0" w:space="0" w:color="auto"/>
        <w:bottom w:val="none" w:sz="0" w:space="0" w:color="auto"/>
        <w:right w:val="none" w:sz="0" w:space="0" w:color="auto"/>
      </w:divBdr>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506214335">
      <w:bodyDiv w:val="1"/>
      <w:marLeft w:val="0"/>
      <w:marRight w:val="0"/>
      <w:marTop w:val="0"/>
      <w:marBottom w:val="0"/>
      <w:divBdr>
        <w:top w:val="none" w:sz="0" w:space="0" w:color="auto"/>
        <w:left w:val="none" w:sz="0" w:space="0" w:color="auto"/>
        <w:bottom w:val="none" w:sz="0" w:space="0" w:color="auto"/>
        <w:right w:val="none" w:sz="0" w:space="0" w:color="auto"/>
      </w:divBdr>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721904461">
      <w:bodyDiv w:val="1"/>
      <w:marLeft w:val="0"/>
      <w:marRight w:val="0"/>
      <w:marTop w:val="0"/>
      <w:marBottom w:val="0"/>
      <w:divBdr>
        <w:top w:val="none" w:sz="0" w:space="0" w:color="auto"/>
        <w:left w:val="none" w:sz="0" w:space="0" w:color="auto"/>
        <w:bottom w:val="none" w:sz="0" w:space="0" w:color="auto"/>
        <w:right w:val="none" w:sz="0" w:space="0" w:color="auto"/>
      </w:divBdr>
    </w:div>
    <w:div w:id="807940978">
      <w:bodyDiv w:val="1"/>
      <w:marLeft w:val="0"/>
      <w:marRight w:val="0"/>
      <w:marTop w:val="0"/>
      <w:marBottom w:val="0"/>
      <w:divBdr>
        <w:top w:val="none" w:sz="0" w:space="0" w:color="auto"/>
        <w:left w:val="none" w:sz="0" w:space="0" w:color="auto"/>
        <w:bottom w:val="none" w:sz="0" w:space="0" w:color="auto"/>
        <w:right w:val="none" w:sz="0" w:space="0" w:color="auto"/>
      </w:divBdr>
    </w:div>
    <w:div w:id="828058525">
      <w:bodyDiv w:val="1"/>
      <w:marLeft w:val="0"/>
      <w:marRight w:val="0"/>
      <w:marTop w:val="0"/>
      <w:marBottom w:val="0"/>
      <w:divBdr>
        <w:top w:val="none" w:sz="0" w:space="0" w:color="auto"/>
        <w:left w:val="none" w:sz="0" w:space="0" w:color="auto"/>
        <w:bottom w:val="none" w:sz="0" w:space="0" w:color="auto"/>
        <w:right w:val="none" w:sz="0" w:space="0" w:color="auto"/>
      </w:divBdr>
    </w:div>
    <w:div w:id="842815584">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20679189">
      <w:bodyDiv w:val="1"/>
      <w:marLeft w:val="0"/>
      <w:marRight w:val="0"/>
      <w:marTop w:val="0"/>
      <w:marBottom w:val="0"/>
      <w:divBdr>
        <w:top w:val="none" w:sz="0" w:space="0" w:color="auto"/>
        <w:left w:val="none" w:sz="0" w:space="0" w:color="auto"/>
        <w:bottom w:val="none" w:sz="0" w:space="0" w:color="auto"/>
        <w:right w:val="none" w:sz="0" w:space="0" w:color="auto"/>
      </w:divBdr>
      <w:divsChild>
        <w:div w:id="333533680">
          <w:marLeft w:val="960"/>
          <w:marRight w:val="0"/>
          <w:marTop w:val="480"/>
          <w:marBottom w:val="240"/>
          <w:divBdr>
            <w:top w:val="none" w:sz="0" w:space="0" w:color="auto"/>
            <w:left w:val="none" w:sz="0" w:space="0" w:color="auto"/>
            <w:bottom w:val="none" w:sz="0" w:space="0" w:color="auto"/>
            <w:right w:val="none" w:sz="0" w:space="0" w:color="auto"/>
          </w:divBdr>
          <w:divsChild>
            <w:div w:id="1482623216">
              <w:marLeft w:val="240"/>
              <w:marRight w:val="240"/>
              <w:marTop w:val="0"/>
              <w:marBottom w:val="0"/>
              <w:divBdr>
                <w:top w:val="none" w:sz="0" w:space="0" w:color="auto"/>
                <w:left w:val="none" w:sz="0" w:space="0" w:color="auto"/>
                <w:bottom w:val="none" w:sz="0" w:space="0" w:color="auto"/>
                <w:right w:val="none" w:sz="0" w:space="0" w:color="auto"/>
              </w:divBdr>
            </w:div>
            <w:div w:id="1720857462">
              <w:marLeft w:val="240"/>
              <w:marRight w:val="240"/>
              <w:marTop w:val="0"/>
              <w:marBottom w:val="0"/>
              <w:divBdr>
                <w:top w:val="none" w:sz="0" w:space="0" w:color="auto"/>
                <w:left w:val="none" w:sz="0" w:space="0" w:color="auto"/>
                <w:bottom w:val="none" w:sz="0" w:space="0" w:color="auto"/>
                <w:right w:val="none" w:sz="0" w:space="0" w:color="auto"/>
              </w:divBdr>
            </w:div>
            <w:div w:id="1205019056">
              <w:marLeft w:val="240"/>
              <w:marRight w:val="240"/>
              <w:marTop w:val="0"/>
              <w:marBottom w:val="0"/>
              <w:divBdr>
                <w:top w:val="none" w:sz="0" w:space="0" w:color="auto"/>
                <w:left w:val="none" w:sz="0" w:space="0" w:color="auto"/>
                <w:bottom w:val="none" w:sz="0" w:space="0" w:color="auto"/>
                <w:right w:val="none" w:sz="0" w:space="0" w:color="auto"/>
              </w:divBdr>
            </w:div>
            <w:div w:id="18849048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33904797">
      <w:bodyDiv w:val="1"/>
      <w:marLeft w:val="0"/>
      <w:marRight w:val="0"/>
      <w:marTop w:val="0"/>
      <w:marBottom w:val="0"/>
      <w:divBdr>
        <w:top w:val="none" w:sz="0" w:space="0" w:color="auto"/>
        <w:left w:val="none" w:sz="0" w:space="0" w:color="auto"/>
        <w:bottom w:val="none" w:sz="0" w:space="0" w:color="auto"/>
        <w:right w:val="none" w:sz="0" w:space="0" w:color="auto"/>
      </w:divBdr>
      <w:divsChild>
        <w:div w:id="1822652189">
          <w:marLeft w:val="0"/>
          <w:marRight w:val="0"/>
          <w:marTop w:val="0"/>
          <w:marBottom w:val="0"/>
          <w:divBdr>
            <w:top w:val="none" w:sz="0" w:space="0" w:color="auto"/>
            <w:left w:val="none" w:sz="0" w:space="0" w:color="auto"/>
            <w:bottom w:val="none" w:sz="0" w:space="0" w:color="auto"/>
            <w:right w:val="none" w:sz="0" w:space="0" w:color="auto"/>
          </w:divBdr>
        </w:div>
      </w:divsChild>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22783043">
      <w:bodyDiv w:val="1"/>
      <w:marLeft w:val="0"/>
      <w:marRight w:val="0"/>
      <w:marTop w:val="0"/>
      <w:marBottom w:val="0"/>
      <w:divBdr>
        <w:top w:val="none" w:sz="0" w:space="0" w:color="auto"/>
        <w:left w:val="none" w:sz="0" w:space="0" w:color="auto"/>
        <w:bottom w:val="none" w:sz="0" w:space="0" w:color="auto"/>
        <w:right w:val="none" w:sz="0" w:space="0" w:color="auto"/>
      </w:divBdr>
      <w:divsChild>
        <w:div w:id="666396694">
          <w:marLeft w:val="960"/>
          <w:marRight w:val="0"/>
          <w:marTop w:val="480"/>
          <w:marBottom w:val="240"/>
          <w:divBdr>
            <w:top w:val="none" w:sz="0" w:space="0" w:color="auto"/>
            <w:left w:val="none" w:sz="0" w:space="0" w:color="auto"/>
            <w:bottom w:val="none" w:sz="0" w:space="0" w:color="auto"/>
            <w:right w:val="none" w:sz="0" w:space="0" w:color="auto"/>
          </w:divBdr>
        </w:div>
        <w:div w:id="1295671375">
          <w:marLeft w:val="960"/>
          <w:marRight w:val="0"/>
          <w:marTop w:val="480"/>
          <w:marBottom w:val="240"/>
          <w:divBdr>
            <w:top w:val="none" w:sz="0" w:space="0" w:color="auto"/>
            <w:left w:val="none" w:sz="0" w:space="0" w:color="auto"/>
            <w:bottom w:val="none" w:sz="0" w:space="0" w:color="auto"/>
            <w:right w:val="none" w:sz="0" w:space="0" w:color="auto"/>
          </w:divBdr>
          <w:divsChild>
            <w:div w:id="14806112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50611633">
      <w:bodyDiv w:val="1"/>
      <w:marLeft w:val="0"/>
      <w:marRight w:val="0"/>
      <w:marTop w:val="0"/>
      <w:marBottom w:val="0"/>
      <w:divBdr>
        <w:top w:val="none" w:sz="0" w:space="0" w:color="auto"/>
        <w:left w:val="none" w:sz="0" w:space="0" w:color="auto"/>
        <w:bottom w:val="none" w:sz="0" w:space="0" w:color="auto"/>
        <w:right w:val="none" w:sz="0" w:space="0" w:color="auto"/>
      </w:divBdr>
      <w:divsChild>
        <w:div w:id="2140417612">
          <w:marLeft w:val="960"/>
          <w:marRight w:val="0"/>
          <w:marTop w:val="480"/>
          <w:marBottom w:val="240"/>
          <w:divBdr>
            <w:top w:val="none" w:sz="0" w:space="0" w:color="auto"/>
            <w:left w:val="none" w:sz="0" w:space="0" w:color="auto"/>
            <w:bottom w:val="none" w:sz="0" w:space="0" w:color="auto"/>
            <w:right w:val="none" w:sz="0" w:space="0" w:color="auto"/>
          </w:divBdr>
          <w:divsChild>
            <w:div w:id="10242130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3465640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363629001">
      <w:bodyDiv w:val="1"/>
      <w:marLeft w:val="0"/>
      <w:marRight w:val="0"/>
      <w:marTop w:val="0"/>
      <w:marBottom w:val="0"/>
      <w:divBdr>
        <w:top w:val="none" w:sz="0" w:space="0" w:color="auto"/>
        <w:left w:val="none" w:sz="0" w:space="0" w:color="auto"/>
        <w:bottom w:val="none" w:sz="0" w:space="0" w:color="auto"/>
        <w:right w:val="none" w:sz="0" w:space="0" w:color="auto"/>
      </w:divBdr>
      <w:divsChild>
        <w:div w:id="483592485">
          <w:blockQuote w:val="1"/>
          <w:marLeft w:val="768"/>
          <w:marRight w:val="720"/>
          <w:marTop w:val="0"/>
          <w:marBottom w:val="0"/>
          <w:divBdr>
            <w:top w:val="none" w:sz="0" w:space="0" w:color="auto"/>
            <w:left w:val="none" w:sz="0" w:space="0" w:color="auto"/>
            <w:bottom w:val="none" w:sz="0" w:space="0" w:color="auto"/>
            <w:right w:val="none" w:sz="0" w:space="0" w:color="auto"/>
          </w:divBdr>
        </w:div>
        <w:div w:id="517240197">
          <w:blockQuote w:val="1"/>
          <w:marLeft w:val="768"/>
          <w:marRight w:val="720"/>
          <w:marTop w:val="0"/>
          <w:marBottom w:val="0"/>
          <w:divBdr>
            <w:top w:val="none" w:sz="0" w:space="0" w:color="auto"/>
            <w:left w:val="none" w:sz="0" w:space="0" w:color="auto"/>
            <w:bottom w:val="none" w:sz="0" w:space="0" w:color="auto"/>
            <w:right w:val="none" w:sz="0" w:space="0" w:color="auto"/>
          </w:divBdr>
        </w:div>
        <w:div w:id="9143640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sChild>
                </w:div>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223684870">
                      <w:marLeft w:val="240"/>
                      <w:marRight w:val="240"/>
                      <w:marTop w:val="0"/>
                      <w:marBottom w:val="0"/>
                      <w:divBdr>
                        <w:top w:val="none" w:sz="0" w:space="0" w:color="auto"/>
                        <w:left w:val="none" w:sz="0" w:space="0" w:color="auto"/>
                        <w:bottom w:val="none" w:sz="0" w:space="0" w:color="auto"/>
                        <w:right w:val="none" w:sz="0" w:space="0" w:color="auto"/>
                      </w:divBdr>
                    </w:div>
                    <w:div w:id="533621171">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5293">
      <w:bodyDiv w:val="1"/>
      <w:marLeft w:val="0"/>
      <w:marRight w:val="0"/>
      <w:marTop w:val="0"/>
      <w:marBottom w:val="0"/>
      <w:divBdr>
        <w:top w:val="none" w:sz="0" w:space="0" w:color="auto"/>
        <w:left w:val="none" w:sz="0" w:space="0" w:color="auto"/>
        <w:bottom w:val="none" w:sz="0" w:space="0" w:color="auto"/>
        <w:right w:val="none" w:sz="0" w:space="0" w:color="auto"/>
      </w:divBdr>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754274342">
      <w:bodyDiv w:val="1"/>
      <w:marLeft w:val="0"/>
      <w:marRight w:val="0"/>
      <w:marTop w:val="0"/>
      <w:marBottom w:val="0"/>
      <w:divBdr>
        <w:top w:val="none" w:sz="0" w:space="0" w:color="auto"/>
        <w:left w:val="none" w:sz="0" w:space="0" w:color="auto"/>
        <w:bottom w:val="none" w:sz="0" w:space="0" w:color="auto"/>
        <w:right w:val="none" w:sz="0" w:space="0" w:color="auto"/>
      </w:divBdr>
      <w:divsChild>
        <w:div w:id="664210519">
          <w:marLeft w:val="960"/>
          <w:marRight w:val="0"/>
          <w:marTop w:val="480"/>
          <w:marBottom w:val="240"/>
          <w:divBdr>
            <w:top w:val="none" w:sz="0" w:space="0" w:color="auto"/>
            <w:left w:val="none" w:sz="0" w:space="0" w:color="auto"/>
            <w:bottom w:val="none" w:sz="0" w:space="0" w:color="auto"/>
            <w:right w:val="none" w:sz="0" w:space="0" w:color="auto"/>
          </w:divBdr>
          <w:divsChild>
            <w:div w:id="1844391579">
              <w:marLeft w:val="240"/>
              <w:marRight w:val="240"/>
              <w:marTop w:val="0"/>
              <w:marBottom w:val="0"/>
              <w:divBdr>
                <w:top w:val="none" w:sz="0" w:space="0" w:color="auto"/>
                <w:left w:val="none" w:sz="0" w:space="0" w:color="auto"/>
                <w:bottom w:val="none" w:sz="0" w:space="0" w:color="auto"/>
                <w:right w:val="none" w:sz="0" w:space="0" w:color="auto"/>
              </w:divBdr>
            </w:div>
            <w:div w:id="2102333922">
              <w:marLeft w:val="240"/>
              <w:marRight w:val="240"/>
              <w:marTop w:val="0"/>
              <w:marBottom w:val="0"/>
              <w:divBdr>
                <w:top w:val="none" w:sz="0" w:space="0" w:color="auto"/>
                <w:left w:val="none" w:sz="0" w:space="0" w:color="auto"/>
                <w:bottom w:val="none" w:sz="0" w:space="0" w:color="auto"/>
                <w:right w:val="none" w:sz="0" w:space="0" w:color="auto"/>
              </w:divBdr>
            </w:div>
          </w:divsChild>
        </w:div>
        <w:div w:id="7795734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55196714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88995442">
          <w:marLeft w:val="960"/>
          <w:marRight w:val="0"/>
          <w:marTop w:val="480"/>
          <w:marBottom w:val="240"/>
          <w:divBdr>
            <w:top w:val="none" w:sz="0" w:space="0" w:color="auto"/>
            <w:left w:val="none" w:sz="0" w:space="0" w:color="auto"/>
            <w:bottom w:val="none" w:sz="0" w:space="0" w:color="auto"/>
            <w:right w:val="none" w:sz="0" w:space="0" w:color="auto"/>
          </w:divBdr>
          <w:divsChild>
            <w:div w:id="5584375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2036662">
      <w:bodyDiv w:val="1"/>
      <w:marLeft w:val="0"/>
      <w:marRight w:val="0"/>
      <w:marTop w:val="0"/>
      <w:marBottom w:val="0"/>
      <w:divBdr>
        <w:top w:val="none" w:sz="0" w:space="0" w:color="auto"/>
        <w:left w:val="none" w:sz="0" w:space="0" w:color="auto"/>
        <w:bottom w:val="none" w:sz="0" w:space="0" w:color="auto"/>
        <w:right w:val="none" w:sz="0" w:space="0" w:color="auto"/>
      </w:divBdr>
      <w:divsChild>
        <w:div w:id="1441217168">
          <w:blockQuote w:val="1"/>
          <w:marLeft w:val="768"/>
          <w:marRight w:val="720"/>
          <w:marTop w:val="0"/>
          <w:marBottom w:val="0"/>
          <w:divBdr>
            <w:top w:val="none" w:sz="0" w:space="0" w:color="auto"/>
            <w:left w:val="none" w:sz="0" w:space="0" w:color="auto"/>
            <w:bottom w:val="none" w:sz="0" w:space="0" w:color="auto"/>
            <w:right w:val="none" w:sz="0" w:space="0" w:color="auto"/>
          </w:divBdr>
        </w:div>
        <w:div w:id="183641152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00350031">
              <w:marLeft w:val="960"/>
              <w:marRight w:val="0"/>
              <w:marTop w:val="480"/>
              <w:marBottom w:val="240"/>
              <w:divBdr>
                <w:top w:val="none" w:sz="0" w:space="0" w:color="auto"/>
                <w:left w:val="none" w:sz="0" w:space="0" w:color="auto"/>
                <w:bottom w:val="none" w:sz="0" w:space="0" w:color="auto"/>
                <w:right w:val="none" w:sz="0" w:space="0" w:color="auto"/>
              </w:divBdr>
              <w:divsChild>
                <w:div w:id="970596723">
                  <w:marLeft w:val="240"/>
                  <w:marRight w:val="240"/>
                  <w:marTop w:val="0"/>
                  <w:marBottom w:val="0"/>
                  <w:divBdr>
                    <w:top w:val="none" w:sz="0" w:space="0" w:color="auto"/>
                    <w:left w:val="none" w:sz="0" w:space="0" w:color="auto"/>
                    <w:bottom w:val="none" w:sz="0" w:space="0" w:color="auto"/>
                    <w:right w:val="none" w:sz="0" w:space="0" w:color="auto"/>
                  </w:divBdr>
                </w:div>
                <w:div w:id="993295048">
                  <w:marLeft w:val="240"/>
                  <w:marRight w:val="240"/>
                  <w:marTop w:val="0"/>
                  <w:marBottom w:val="0"/>
                  <w:divBdr>
                    <w:top w:val="none" w:sz="0" w:space="0" w:color="auto"/>
                    <w:left w:val="none" w:sz="0" w:space="0" w:color="auto"/>
                    <w:bottom w:val="none" w:sz="0" w:space="0" w:color="auto"/>
                    <w:right w:val="none" w:sz="0" w:space="0" w:color="auto"/>
                  </w:divBdr>
                </w:div>
                <w:div w:id="15666999">
                  <w:marLeft w:val="240"/>
                  <w:marRight w:val="240"/>
                  <w:marTop w:val="0"/>
                  <w:marBottom w:val="0"/>
                  <w:divBdr>
                    <w:top w:val="none" w:sz="0" w:space="0" w:color="auto"/>
                    <w:left w:val="none" w:sz="0" w:space="0" w:color="auto"/>
                    <w:bottom w:val="none" w:sz="0" w:space="0" w:color="auto"/>
                    <w:right w:val="none" w:sz="0" w:space="0" w:color="auto"/>
                  </w:divBdr>
                </w:div>
                <w:div w:id="10892755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96497209">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0666074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19733328">
                  <w:marLeft w:val="960"/>
                  <w:marRight w:val="0"/>
                  <w:marTop w:val="480"/>
                  <w:marBottom w:val="240"/>
                  <w:divBdr>
                    <w:top w:val="none" w:sz="0" w:space="0" w:color="auto"/>
                    <w:left w:val="none" w:sz="0" w:space="0" w:color="auto"/>
                    <w:bottom w:val="none" w:sz="0" w:space="0" w:color="auto"/>
                    <w:right w:val="none" w:sz="0" w:space="0" w:color="auto"/>
                  </w:divBdr>
                  <w:divsChild>
                    <w:div w:id="438137984">
                      <w:marLeft w:val="240"/>
                      <w:marRight w:val="240"/>
                      <w:marTop w:val="0"/>
                      <w:marBottom w:val="0"/>
                      <w:divBdr>
                        <w:top w:val="none" w:sz="0" w:space="0" w:color="auto"/>
                        <w:left w:val="none" w:sz="0" w:space="0" w:color="auto"/>
                        <w:bottom w:val="none" w:sz="0" w:space="0" w:color="auto"/>
                        <w:right w:val="none" w:sz="0" w:space="0" w:color="auto"/>
                      </w:divBdr>
                    </w:div>
                    <w:div w:id="2513592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72595812">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 w:id="2108961513">
      <w:bodyDiv w:val="1"/>
      <w:marLeft w:val="0"/>
      <w:marRight w:val="0"/>
      <w:marTop w:val="0"/>
      <w:marBottom w:val="0"/>
      <w:divBdr>
        <w:top w:val="none" w:sz="0" w:space="0" w:color="auto"/>
        <w:left w:val="none" w:sz="0" w:space="0" w:color="auto"/>
        <w:bottom w:val="none" w:sz="0" w:space="0" w:color="auto"/>
        <w:right w:val="none" w:sz="0" w:space="0" w:color="auto"/>
      </w:divBdr>
    </w:div>
    <w:div w:id="2121103650">
      <w:bodyDiv w:val="1"/>
      <w:marLeft w:val="0"/>
      <w:marRight w:val="0"/>
      <w:marTop w:val="0"/>
      <w:marBottom w:val="0"/>
      <w:divBdr>
        <w:top w:val="none" w:sz="0" w:space="0" w:color="auto"/>
        <w:left w:val="none" w:sz="0" w:space="0" w:color="auto"/>
        <w:bottom w:val="none" w:sz="0" w:space="0" w:color="auto"/>
        <w:right w:val="none" w:sz="0" w:space="0" w:color="auto"/>
      </w:divBdr>
      <w:divsChild>
        <w:div w:id="777410780">
          <w:blockQuote w:val="1"/>
          <w:marLeft w:val="768"/>
          <w:marRight w:val="720"/>
          <w:marTop w:val="0"/>
          <w:marBottom w:val="0"/>
          <w:divBdr>
            <w:top w:val="none" w:sz="0" w:space="0" w:color="auto"/>
            <w:left w:val="none" w:sz="0" w:space="0" w:color="auto"/>
            <w:bottom w:val="none" w:sz="0" w:space="0" w:color="auto"/>
            <w:right w:val="none" w:sz="0" w:space="0" w:color="auto"/>
          </w:divBdr>
          <w:divsChild>
            <w:div w:id="4039949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14007822">
          <w:marLeft w:val="960"/>
          <w:marRight w:val="0"/>
          <w:marTop w:val="480"/>
          <w:marBottom w:val="240"/>
          <w:divBdr>
            <w:top w:val="none" w:sz="0" w:space="0" w:color="auto"/>
            <w:left w:val="none" w:sz="0" w:space="0" w:color="auto"/>
            <w:bottom w:val="none" w:sz="0" w:space="0" w:color="auto"/>
            <w:right w:val="none" w:sz="0" w:space="0" w:color="auto"/>
          </w:divBdr>
          <w:divsChild>
            <w:div w:id="302541633">
              <w:marLeft w:val="240"/>
              <w:marRight w:val="240"/>
              <w:marTop w:val="0"/>
              <w:marBottom w:val="0"/>
              <w:divBdr>
                <w:top w:val="none" w:sz="0" w:space="0" w:color="auto"/>
                <w:left w:val="none" w:sz="0" w:space="0" w:color="auto"/>
                <w:bottom w:val="none" w:sz="0" w:space="0" w:color="auto"/>
                <w:right w:val="none" w:sz="0" w:space="0" w:color="auto"/>
              </w:divBdr>
            </w:div>
          </w:divsChild>
        </w:div>
        <w:div w:id="1599410701">
          <w:marLeft w:val="960"/>
          <w:marRight w:val="0"/>
          <w:marTop w:val="480"/>
          <w:marBottom w:val="240"/>
          <w:divBdr>
            <w:top w:val="none" w:sz="0" w:space="0" w:color="auto"/>
            <w:left w:val="none" w:sz="0" w:space="0" w:color="auto"/>
            <w:bottom w:val="none" w:sz="0" w:space="0" w:color="auto"/>
            <w:right w:val="none" w:sz="0" w:space="0" w:color="auto"/>
          </w:divBdr>
          <w:divsChild>
            <w:div w:id="1126775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jade.io/article/602136/section/10667" TargetMode="External"/><Relationship Id="rId39" Type="http://schemas.openxmlformats.org/officeDocument/2006/relationships/hyperlink" Target="https://jade.io/article/75762/section/140706"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34" Type="http://schemas.openxmlformats.org/officeDocument/2006/relationships/hyperlink" Target="https://jade.io/article/463199" TargetMode="External"/><Relationship Id="rId42"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47" Type="http://schemas.openxmlformats.org/officeDocument/2006/relationships/hyperlink" Target="https://jade.io/article/800857/section/2615" TargetMode="External"/><Relationship Id="rId50"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jade.io/article/602136" TargetMode="External"/><Relationship Id="rId33" Type="http://schemas.openxmlformats.org/officeDocument/2006/relationships/hyperlink" Target="https://jade.io/article/214796/section/6610" TargetMode="External"/><Relationship Id="rId38" Type="http://schemas.openxmlformats.org/officeDocument/2006/relationships/hyperlink" Target="https://jade.io/article/75762" TargetMode="External"/><Relationship Id="rId46" Type="http://schemas.openxmlformats.org/officeDocument/2006/relationships/hyperlink" Target="https://jade.io/article/800857" TargetMode="Externa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jade.io/article/264351" TargetMode="External"/><Relationship Id="rId41" Type="http://schemas.openxmlformats.org/officeDocument/2006/relationships/hyperlink" Target="https://www.childrenscourt.vic.gov.au/legal/guidelines-intermediary-pilot-progr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hyperlink" Target="https://jade.io/article/214796" TargetMode="External"/><Relationship Id="rId37" Type="http://schemas.openxmlformats.org/officeDocument/2006/relationships/hyperlink" Target="https://jade.io/article/602136/section/140831" TargetMode="External"/><Relationship Id="rId40" Type="http://schemas.openxmlformats.org/officeDocument/2006/relationships/hyperlink" Target="https://criminalcpd.net.au/wp-content/uploads/2017/01/abuse-of-judicial-process-criminal-cle-0117.pdf" TargetMode="External"/><Relationship Id="rId45" Type="http://schemas.openxmlformats.org/officeDocument/2006/relationships/hyperlink" Target="https://jade.io/article/122435/section/2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s://jade.io/article/281699" TargetMode="External"/><Relationship Id="rId36" Type="http://schemas.openxmlformats.org/officeDocument/2006/relationships/hyperlink" Target="https://jade.io/article/602136" TargetMode="External"/><Relationship Id="rId49" Type="http://schemas.openxmlformats.org/officeDocument/2006/relationships/hyperlink" Target="http://www.austlii.edu.au/cgi-bin/viewdoc/au/legis/vic/consol_act/cpa2009188/" TargetMode="Externa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hyperlink" Target="https://jade.io/article/264351/section/2178" TargetMode="External"/><Relationship Id="rId44" Type="http://schemas.openxmlformats.org/officeDocument/2006/relationships/hyperlink" Target="https://jade.io/article/122435/section/21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s://jade.io/article/281699/section/192" TargetMode="External"/><Relationship Id="rId30" Type="http://schemas.openxmlformats.org/officeDocument/2006/relationships/hyperlink" Target="https://jade.io/article/264351" TargetMode="External"/><Relationship Id="rId35" Type="http://schemas.openxmlformats.org/officeDocument/2006/relationships/hyperlink" Target="https://jade.io/article/463199/section/936" TargetMode="External"/><Relationship Id="rId43" Type="http://schemas.openxmlformats.org/officeDocument/2006/relationships/hyperlink" Target="https://jade.io/article/122435" TargetMode="External"/><Relationship Id="rId48" Type="http://schemas.openxmlformats.org/officeDocument/2006/relationships/hyperlink" Target="http://www.austlii.edu.au/cgi-bin/viewdoc/au/legis/vic/consol_act/cpa2009188/s412.html" TargetMode="External"/><Relationship Id="rId8" Type="http://schemas.openxmlformats.org/officeDocument/2006/relationships/hyperlink" Target="https://jade.io/citation/3082428" TargetMode="External"/><Relationship Id="rId5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103576</Words>
  <Characters>590384</Characters>
  <Application>Microsoft Office Word</Application>
  <DocSecurity>0</DocSecurity>
  <Lines>4919</Lines>
  <Paragraphs>1385</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692575</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Peter Power (CSV)</cp:lastModifiedBy>
  <cp:revision>2</cp:revision>
  <cp:lastPrinted>2024-01-29T05:01:00Z</cp:lastPrinted>
  <dcterms:created xsi:type="dcterms:W3CDTF">2024-03-20T23:40:00Z</dcterms:created>
  <dcterms:modified xsi:type="dcterms:W3CDTF">2024-03-20T23:40:00Z</dcterms:modified>
</cp:coreProperties>
</file>