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D3D" w14:textId="77777777" w:rsidR="00B21DA4" w:rsidRDefault="00B21DA4" w:rsidP="007C3C37">
      <w:pPr>
        <w:pStyle w:val="Heading1"/>
        <w:numPr>
          <w:ilvl w:val="0"/>
          <w:numId w:val="0"/>
        </w:numPr>
        <w:spacing w:before="0" w:line="240" w:lineRule="auto"/>
        <w:ind w:left="454" w:hanging="454"/>
        <w:jc w:val="center"/>
        <w:rPr>
          <w:rFonts w:ascii="Arial" w:hAnsi="Arial" w:cs="Arial"/>
          <w:b/>
          <w:bCs/>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Pr>
          <w:rFonts w:ascii="Arial" w:hAnsi="Arial" w:cs="Arial"/>
          <w:b/>
          <w:bCs/>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Arial" w:hAnsi="Arial" w:cs="Arial"/>
          <w:b/>
          <w:bCs/>
          <w:sz w:val="40"/>
        </w:rPr>
        <w:t>OPERATION</w:t>
      </w:r>
      <w:bookmarkEnd w:id="41"/>
    </w:p>
    <w:p w14:paraId="0D23AD9A" w14:textId="77777777" w:rsidR="00B21DA4" w:rsidRPr="007C1C82" w:rsidRDefault="00B21DA4">
      <w:pPr>
        <w:jc w:val="both"/>
        <w:rPr>
          <w:rFonts w:ascii="Arial" w:hAnsi="Arial" w:cs="Arial"/>
          <w:sz w:val="8"/>
        </w:rPr>
      </w:pPr>
    </w:p>
    <w:p w14:paraId="2CC7A884" w14:textId="77777777" w:rsidR="00B21DA4" w:rsidRPr="00E54D25"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8"/>
          <w:szCs w:val="8"/>
        </w:rPr>
      </w:pPr>
    </w:p>
    <w:p w14:paraId="029892F1" w14:textId="0CD187C8" w:rsidR="00B21DA4" w:rsidRPr="00FA71D1"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_1"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w:t>
        </w:r>
        <w:r w:rsidR="00B21DA4" w:rsidRPr="00620B3E">
          <w:rPr>
            <w:rStyle w:val="Hyperlink"/>
            <w:rFonts w:ascii="Arial" w:hAnsi="Arial" w:cs="Arial"/>
            <w:b/>
            <w:bCs/>
            <w:u w:val="none"/>
          </w:rPr>
          <w:t xml:space="preserve">les of judicial </w:t>
        </w:r>
        <w:r w:rsidR="00B21DA4" w:rsidRPr="00FA71D1">
          <w:rPr>
            <w:rStyle w:val="Hyperlink"/>
            <w:rFonts w:ascii="Arial" w:hAnsi="Arial" w:cs="Arial"/>
            <w:b/>
            <w:bCs/>
            <w:u w:val="none"/>
          </w:rPr>
          <w:t>officers</w:t>
        </w:r>
      </w:hyperlink>
    </w:p>
    <w:p w14:paraId="3249E9DD" w14:textId="290353C2" w:rsidR="00B21DA4" w:rsidRPr="00036D92"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begin"/>
      </w:r>
      <w:r w:rsidRPr="00036D92">
        <w:rPr>
          <w:rFonts w:ascii="Arial" w:hAnsi="Arial" w:cs="Arial"/>
          <w:b/>
          <w:bCs/>
        </w:rPr>
        <w:instrText xml:space="preserve"> HYPERLINK  \l "_3.2_Judicial_Independence" </w:instrText>
      </w:r>
      <w:r w:rsidRPr="00036D92">
        <w:rPr>
          <w:rFonts w:ascii="Arial" w:hAnsi="Arial" w:cs="Arial"/>
          <w:b/>
          <w:bCs/>
        </w:rPr>
        <w:fldChar w:fldCharType="separate"/>
      </w:r>
      <w:r w:rsidR="00B21DA4" w:rsidRPr="00036D92">
        <w:rPr>
          <w:rStyle w:val="Hyperlink"/>
          <w:rFonts w:ascii="Arial" w:hAnsi="Arial" w:cs="Arial"/>
          <w:b/>
          <w:bCs/>
          <w:u w:val="none"/>
        </w:rPr>
        <w:t>3.2</w:t>
      </w:r>
      <w:r w:rsidR="00B21DA4" w:rsidRPr="00036D92">
        <w:rPr>
          <w:rStyle w:val="Hyperlink"/>
          <w:rFonts w:ascii="Arial" w:hAnsi="Arial" w:cs="Arial"/>
          <w:b/>
          <w:bCs/>
          <w:u w:val="none"/>
        </w:rPr>
        <w:tab/>
        <w:t>Judicial Independence</w:t>
      </w:r>
    </w:p>
    <w:p w14:paraId="589D939C" w14:textId="4FC6C3AE" w:rsidR="00843765" w:rsidRPr="00192DC4"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end"/>
      </w:r>
      <w:r w:rsidR="00192DC4" w:rsidRPr="00192DC4">
        <w:rPr>
          <w:rFonts w:ascii="Arial" w:hAnsi="Arial" w:cs="Arial"/>
          <w:b/>
          <w:bCs/>
        </w:rPr>
        <w:fldChar w:fldCharType="begin"/>
      </w:r>
      <w:r w:rsidR="00192DC4" w:rsidRPr="00192DC4">
        <w:rPr>
          <w:rFonts w:ascii="Arial" w:hAnsi="Arial" w:cs="Arial"/>
          <w:b/>
          <w:bCs/>
        </w:rPr>
        <w:instrText xml:space="preserve"> HYPERLINK  \l "_3.3_Children’s_Court" </w:instrText>
      </w:r>
      <w:r w:rsidR="00192DC4"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00192DC4"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5B907FD0"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AB5230">
          <w:rPr>
            <w:rStyle w:val="Hyperlink"/>
            <w:rFonts w:ascii="Arial" w:hAnsi="Arial" w:cs="Arial"/>
            <w:b/>
            <w:bCs/>
            <w:sz w:val="20"/>
            <w:u w:val="none"/>
          </w:rPr>
          <w:t>Contempt p</w:t>
        </w:r>
        <w:r w:rsidR="00E31386" w:rsidRPr="00FA71D1">
          <w:rPr>
            <w:rStyle w:val="Hyperlink"/>
            <w:rFonts w:ascii="Arial" w:hAnsi="Arial" w:cs="Arial"/>
            <w:b/>
            <w:bCs/>
            <w:sz w:val="20"/>
            <w:u w:val="none"/>
          </w:rPr>
          <w:t xml:space="preserve">owers conferred by the </w:t>
        </w:r>
        <w:r w:rsidR="00E31386" w:rsidRPr="00004C01">
          <w:rPr>
            <w:rStyle w:val="Hyperlink"/>
            <w:rFonts w:ascii="Arial" w:hAnsi="Arial" w:cs="Arial"/>
            <w:b/>
            <w:bCs/>
            <w:sz w:val="20"/>
            <w:u w:val="none"/>
          </w:rPr>
          <w:t>Magistrates’ Court Act 1989</w:t>
        </w:r>
      </w:hyperlink>
    </w:p>
    <w:p w14:paraId="6FF97B2E" w14:textId="77777777" w:rsidR="00963A3D" w:rsidRPr="00963A3D" w:rsidRDefault="00796306"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 xml:space="preserve">Powers conferred by the </w:t>
        </w:r>
        <w:r w:rsidR="00963A3D" w:rsidRPr="00004C01">
          <w:rPr>
            <w:rStyle w:val="Hyperlink"/>
            <w:rFonts w:ascii="Arial" w:hAnsi="Arial" w:cs="Arial"/>
            <w:b/>
            <w:bCs/>
            <w:sz w:val="20"/>
            <w:u w:val="none"/>
          </w:rPr>
          <w:t>Vexatious Proceedings Act 2014</w:t>
        </w:r>
      </w:hyperlink>
    </w:p>
    <w:p w14:paraId="50F77FE8" w14:textId="77777777" w:rsidR="000C6804" w:rsidRPr="00FA71D1"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79630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r>
        <w:proofErr w:type="gramStart"/>
        <w:r w:rsidR="00F31122" w:rsidRPr="0022246F">
          <w:rPr>
            <w:rStyle w:val="Hyperlink"/>
            <w:rFonts w:ascii="Arial" w:hAnsi="Arial" w:cs="Arial"/>
            <w:b/>
            <w:bCs/>
            <w:sz w:val="20"/>
            <w:u w:val="none"/>
          </w:rPr>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Power</w:t>
        </w:r>
        <w:proofErr w:type="gramEnd"/>
        <w:r w:rsidR="006D5687">
          <w:rPr>
            <w:rStyle w:val="Hyperlink"/>
            <w:rFonts w:ascii="Arial" w:hAnsi="Arial" w:cs="Arial"/>
            <w:b/>
            <w:bCs/>
            <w:sz w:val="20"/>
            <w:u w:val="none"/>
          </w:rPr>
          <w:t xml:space="preserve">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79630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Res</w:t>
        </w:r>
        <w:proofErr w:type="gramEnd"/>
        <w:r w:rsidR="004618DC">
          <w:rPr>
            <w:rStyle w:val="Hyperlink"/>
            <w:rFonts w:ascii="Arial" w:hAnsi="Arial" w:cs="Arial"/>
            <w:b/>
            <w:bCs/>
            <w:sz w:val="20"/>
            <w:u w:val="none"/>
          </w:rPr>
          <w:t xml:space="preserve"> judicata &amp; cause of action, issue, claim or </w:t>
        </w:r>
        <w:proofErr w:type="spellStart"/>
        <w:r w:rsidR="004618DC">
          <w:rPr>
            <w:rStyle w:val="Hyperlink"/>
            <w:rFonts w:ascii="Arial" w:hAnsi="Arial" w:cs="Arial"/>
            <w:b/>
            <w:bCs/>
            <w:sz w:val="20"/>
            <w:u w:val="none"/>
          </w:rPr>
          <w:t>Anshun</w:t>
        </w:r>
        <w:proofErr w:type="spellEnd"/>
        <w:r w:rsidR="004618DC">
          <w:rPr>
            <w:rStyle w:val="Hyperlink"/>
            <w:rFonts w:ascii="Arial" w:hAnsi="Arial" w:cs="Arial"/>
            <w:b/>
            <w:bCs/>
            <w:sz w:val="20"/>
            <w:u w:val="none"/>
          </w:rPr>
          <w:t xml:space="preserve"> estoppel</w:t>
        </w:r>
      </w:hyperlink>
    </w:p>
    <w:p w14:paraId="4F769737" w14:textId="77777777" w:rsidR="00F31122" w:rsidRPr="00FD5828" w:rsidRDefault="0079630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w:t>
        </w:r>
        <w:proofErr w:type="gramEnd"/>
        <w:r w:rsidR="004618DC">
          <w:rPr>
            <w:rStyle w:val="Hyperlink"/>
            <w:rFonts w:ascii="Arial" w:hAnsi="Arial" w:cs="Arial"/>
            <w:b/>
            <w:bCs/>
            <w:sz w:val="20"/>
            <w:u w:val="none"/>
          </w:rPr>
          <w:t xml:space="preserve"> of leave by CCV to withdraw a protection application</w:t>
        </w:r>
      </w:hyperlink>
    </w:p>
    <w:p w14:paraId="1393F49F" w14:textId="77777777" w:rsidR="00843765" w:rsidRPr="00FA71D1" w:rsidRDefault="0079630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796306"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F67EDC1" w:rsidR="006F089E" w:rsidRPr="00FA71D1"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26248200" w14:textId="23256590" w:rsidR="00E01B11" w:rsidRPr="00E01B11" w:rsidRDefault="00E01B11" w:rsidP="00E01B11">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E01B11">
        <w:rPr>
          <w:rFonts w:ascii="Arial" w:hAnsi="Arial" w:cs="Arial"/>
          <w:b/>
          <w:bCs/>
          <w:sz w:val="20"/>
        </w:rPr>
        <w:tab/>
      </w:r>
      <w:hyperlink w:anchor="_3.4.6_Duty_of" w:history="1">
        <w:r w:rsidRPr="00E01B11">
          <w:rPr>
            <w:rStyle w:val="Hyperlink"/>
            <w:rFonts w:ascii="Arial" w:hAnsi="Arial" w:cs="Arial"/>
            <w:b/>
            <w:bCs/>
            <w:sz w:val="20"/>
            <w:u w:val="none"/>
          </w:rPr>
          <w:t>3.4.6</w:t>
        </w:r>
        <w:r w:rsidRPr="00E01B11">
          <w:rPr>
            <w:rStyle w:val="Hyperlink"/>
            <w:rFonts w:ascii="Arial" w:hAnsi="Arial" w:cs="Arial"/>
            <w:b/>
            <w:bCs/>
            <w:sz w:val="20"/>
            <w:u w:val="none"/>
          </w:rPr>
          <w:tab/>
        </w:r>
        <w:r w:rsidRPr="00E01B11">
          <w:rPr>
            <w:rStyle w:val="Hyperlink"/>
            <w:rFonts w:ascii="Arial" w:hAnsi="Arial" w:cs="Arial"/>
            <w:b/>
            <w:sz w:val="20"/>
            <w:u w:val="none"/>
          </w:rPr>
          <w:t>Duty of judicial officer to assist a self-represented litigant in the Family Division</w:t>
        </w:r>
      </w:hyperlink>
    </w:p>
    <w:p w14:paraId="539C6276" w14:textId="77777777" w:rsidR="00843765" w:rsidRPr="0022246F" w:rsidRDefault="0079630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796306"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77777777" w:rsidR="00B21DA4" w:rsidRPr="0022246F"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3_Evidence" w:history="1">
        <w:r w:rsidR="00B21DA4" w:rsidRPr="0022246F">
          <w:rPr>
            <w:rStyle w:val="Hyperlink"/>
            <w:rFonts w:ascii="Arial" w:hAnsi="Arial" w:cs="Arial"/>
            <w:b/>
            <w:bCs/>
            <w:sz w:val="20"/>
            <w:u w:val="none"/>
          </w:rPr>
          <w:tab/>
          <w:t>3.5.3</w:t>
        </w:r>
        <w:r w:rsidR="00B21DA4" w:rsidRPr="0022246F">
          <w:rPr>
            <w:rStyle w:val="Hyperlink"/>
            <w:rFonts w:ascii="Arial" w:hAnsi="Arial" w:cs="Arial"/>
            <w:b/>
            <w:bCs/>
            <w:sz w:val="20"/>
            <w:u w:val="none"/>
          </w:rPr>
          <w:tab/>
        </w:r>
        <w:r w:rsidR="0019386A" w:rsidRPr="0022246F">
          <w:rPr>
            <w:rStyle w:val="Hyperlink"/>
            <w:rFonts w:ascii="Arial" w:hAnsi="Arial" w:cs="Arial"/>
            <w:b/>
            <w:bCs/>
            <w:sz w:val="20"/>
            <w:u w:val="none"/>
          </w:rPr>
          <w:t>Evidence</w:t>
        </w:r>
      </w:hyperlink>
    </w:p>
    <w:p w14:paraId="4B4F911E" w14:textId="77777777" w:rsidR="003A0C37" w:rsidRPr="0022246F" w:rsidRDefault="00796306"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r>
        <w:proofErr w:type="gramStart"/>
        <w:r w:rsidR="003A0C37" w:rsidRPr="0022246F">
          <w:rPr>
            <w:rStyle w:val="Hyperlink"/>
            <w:rFonts w:ascii="Arial" w:hAnsi="Arial" w:cs="Arial"/>
            <w:b/>
            <w:bCs/>
            <w:sz w:val="20"/>
            <w:u w:val="none"/>
          </w:rPr>
          <w:t xml:space="preserve">3.5.3.1  </w:t>
        </w:r>
        <w:r w:rsidR="007C1C82" w:rsidRPr="0022246F">
          <w:rPr>
            <w:rStyle w:val="Hyperlink"/>
            <w:rFonts w:ascii="Arial" w:hAnsi="Arial" w:cs="Arial"/>
            <w:b/>
            <w:bCs/>
            <w:sz w:val="20"/>
            <w:u w:val="none"/>
          </w:rPr>
          <w:t>Admissibility</w:t>
        </w:r>
        <w:proofErr w:type="gramEnd"/>
        <w:r w:rsidR="007C1C82" w:rsidRPr="0022246F">
          <w:rPr>
            <w:rStyle w:val="Hyperlink"/>
            <w:rFonts w:ascii="Arial" w:hAnsi="Arial" w:cs="Arial"/>
            <w:b/>
            <w:bCs/>
            <w:sz w:val="20"/>
            <w:u w:val="none"/>
          </w:rPr>
          <w:t xml:space="preserve"> of evidence generally</w:t>
        </w:r>
      </w:hyperlink>
    </w:p>
    <w:p w14:paraId="467F0151" w14:textId="77777777" w:rsidR="003A0C37" w:rsidRPr="00FD5828" w:rsidRDefault="00796306"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r>
        <w:proofErr w:type="gramStart"/>
        <w:r w:rsidR="003A0C37" w:rsidRPr="00FD5828">
          <w:rPr>
            <w:rStyle w:val="Hyperlink"/>
            <w:rFonts w:ascii="Arial" w:hAnsi="Arial" w:cs="Arial"/>
            <w:b/>
            <w:bCs/>
            <w:sz w:val="20"/>
            <w:u w:val="none"/>
          </w:rPr>
          <w:t xml:space="preserve">3.5.3.2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contested criminal case</w:t>
        </w:r>
      </w:hyperlink>
    </w:p>
    <w:p w14:paraId="11625CF7" w14:textId="77777777" w:rsidR="0019386A" w:rsidRPr="00FD5828" w:rsidRDefault="0079630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r>
        <w:proofErr w:type="gramStart"/>
        <w:r w:rsidR="0019386A" w:rsidRPr="00FD5828">
          <w:rPr>
            <w:rStyle w:val="Hyperlink"/>
            <w:rFonts w:ascii="Arial" w:hAnsi="Arial" w:cs="Arial"/>
            <w:b/>
            <w:bCs/>
            <w:sz w:val="20"/>
            <w:u w:val="none"/>
          </w:rPr>
          <w:t xml:space="preserve">3.5.3.3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Family Division case</w:t>
        </w:r>
      </w:hyperlink>
    </w:p>
    <w:p w14:paraId="05952FB9" w14:textId="77777777" w:rsidR="0019386A" w:rsidRPr="0022246F" w:rsidRDefault="0079630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3.5.3.4  </w:t>
        </w:r>
        <w:r w:rsidR="007C1C82" w:rsidRPr="0022246F">
          <w:rPr>
            <w:rStyle w:val="Hyperlink"/>
            <w:rFonts w:ascii="Arial" w:hAnsi="Arial" w:cs="Arial"/>
            <w:b/>
            <w:sz w:val="20"/>
            <w:u w:val="none"/>
          </w:rPr>
          <w:t>The</w:t>
        </w:r>
        <w:proofErr w:type="gramEnd"/>
        <w:r w:rsidR="007C1C82" w:rsidRPr="0022246F">
          <w:rPr>
            <w:rStyle w:val="Hyperlink"/>
            <w:rFonts w:ascii="Arial" w:hAnsi="Arial" w:cs="Arial"/>
            <w:b/>
            <w:sz w:val="20"/>
            <w:u w:val="none"/>
          </w:rPr>
          <w:t xml:space="preserve"> hearsay rule and exceptions thereto</w:t>
        </w:r>
      </w:hyperlink>
    </w:p>
    <w:p w14:paraId="47548454" w14:textId="77777777" w:rsidR="0019386A" w:rsidRPr="0022246F" w:rsidRDefault="0079630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r>
        <w:proofErr w:type="gramStart"/>
        <w:r w:rsidR="0019386A" w:rsidRPr="0022246F">
          <w:rPr>
            <w:rStyle w:val="Hyperlink"/>
            <w:rFonts w:ascii="Arial" w:hAnsi="Arial" w:cs="Arial"/>
            <w:b/>
            <w:bCs/>
            <w:sz w:val="20"/>
            <w:u w:val="none"/>
          </w:rPr>
          <w:t xml:space="preserve">3.5.3.5  </w:t>
        </w:r>
        <w:r w:rsidR="007C1C82" w:rsidRPr="0022246F">
          <w:rPr>
            <w:rStyle w:val="Hyperlink"/>
            <w:rFonts w:ascii="Arial" w:hAnsi="Arial" w:cs="Arial"/>
            <w:b/>
            <w:sz w:val="20"/>
            <w:u w:val="none"/>
          </w:rPr>
          <w:t>Illegally</w:t>
        </w:r>
        <w:proofErr w:type="gramEnd"/>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1065663B" w14:textId="77777777" w:rsidR="0019386A" w:rsidRPr="0022246F" w:rsidRDefault="0079630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Other_cases"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3.5.3.6  </w:t>
        </w:r>
        <w:r w:rsidR="00D6698D" w:rsidRPr="0022246F">
          <w:rPr>
            <w:rStyle w:val="Hyperlink"/>
            <w:rFonts w:ascii="Arial" w:hAnsi="Arial" w:cs="Arial"/>
            <w:b/>
            <w:bCs/>
            <w:sz w:val="20"/>
            <w:u w:val="none"/>
          </w:rPr>
          <w:t>Other</w:t>
        </w:r>
        <w:proofErr w:type="gramEnd"/>
        <w:r w:rsidR="00D6698D" w:rsidRPr="0022246F">
          <w:rPr>
            <w:rStyle w:val="Hyperlink"/>
            <w:rFonts w:ascii="Arial" w:hAnsi="Arial" w:cs="Arial"/>
            <w:b/>
            <w:bCs/>
            <w:sz w:val="20"/>
            <w:u w:val="none"/>
          </w:rPr>
          <w:t xml:space="preserve"> cases involving the </w:t>
        </w:r>
        <w:r w:rsidR="00D6698D" w:rsidRPr="0022246F">
          <w:rPr>
            <w:rStyle w:val="Hyperlink"/>
            <w:rFonts w:ascii="Arial" w:hAnsi="Arial" w:cs="Arial"/>
            <w:b/>
            <w:sz w:val="20"/>
            <w:u w:val="none"/>
          </w:rPr>
          <w:t>admissibility of evidence</w:t>
        </w:r>
      </w:hyperlink>
    </w:p>
    <w:p w14:paraId="4FD93955" w14:textId="46FC854E" w:rsidR="00174184" w:rsidRPr="0066351D"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r w:rsidRPr="0022246F">
        <w:rPr>
          <w:rFonts w:ascii="Arial" w:hAnsi="Arial" w:cs="Arial"/>
          <w:b/>
          <w:color w:val="000000"/>
          <w:sz w:val="20"/>
        </w:rPr>
        <w:tab/>
      </w:r>
      <w:r w:rsidRPr="0022246F">
        <w:rPr>
          <w:rFonts w:ascii="Arial" w:hAnsi="Arial" w:cs="Arial"/>
          <w:b/>
          <w:color w:val="000000"/>
          <w:sz w:val="20"/>
        </w:rPr>
        <w:tab/>
      </w:r>
      <w:hyperlink w:anchor="_3.5.3.7_A_judicial" w:history="1">
        <w:proofErr w:type="gramStart"/>
        <w:r w:rsidRPr="0066351D">
          <w:rPr>
            <w:rStyle w:val="Hyperlink"/>
            <w:rFonts w:ascii="Arial" w:hAnsi="Arial" w:cs="Arial"/>
            <w:b/>
            <w:sz w:val="20"/>
            <w:u w:val="none"/>
          </w:rPr>
          <w:t xml:space="preserve">3.5.3.7  </w:t>
        </w:r>
        <w:r w:rsidR="00D53D45" w:rsidRPr="0066351D">
          <w:rPr>
            <w:rStyle w:val="Hyperlink"/>
            <w:rFonts w:ascii="Arial" w:hAnsi="Arial" w:cs="Arial"/>
            <w:b/>
            <w:sz w:val="20"/>
            <w:u w:val="none"/>
          </w:rPr>
          <w:t>Conflicting</w:t>
        </w:r>
        <w:proofErr w:type="gramEnd"/>
        <w:r w:rsidR="00D53D45" w:rsidRPr="0066351D">
          <w:rPr>
            <w:rStyle w:val="Hyperlink"/>
            <w:rFonts w:ascii="Arial" w:hAnsi="Arial" w:cs="Arial"/>
            <w:b/>
            <w:sz w:val="20"/>
            <w:u w:val="none"/>
          </w:rPr>
          <w:t xml:space="preserve"> evidence – </w:t>
        </w:r>
        <w:r w:rsidR="00492ABD">
          <w:rPr>
            <w:rStyle w:val="Hyperlink"/>
            <w:rFonts w:ascii="Arial" w:hAnsi="Arial" w:cs="Arial"/>
            <w:b/>
            <w:sz w:val="20"/>
            <w:u w:val="none"/>
          </w:rPr>
          <w:t>D</w:t>
        </w:r>
        <w:r w:rsidR="00B62342" w:rsidRPr="00B62342">
          <w:rPr>
            <w:rStyle w:val="Hyperlink"/>
            <w:rFonts w:ascii="Arial" w:hAnsi="Arial" w:cs="Arial"/>
            <w:b/>
            <w:sz w:val="20"/>
            <w:u w:val="none"/>
          </w:rPr>
          <w:t xml:space="preserve">angers of </w:t>
        </w:r>
        <w:r w:rsidR="00735ADA">
          <w:rPr>
            <w:rStyle w:val="Hyperlink"/>
            <w:rFonts w:ascii="Arial" w:hAnsi="Arial" w:cs="Arial"/>
            <w:b/>
            <w:sz w:val="20"/>
            <w:u w:val="none"/>
          </w:rPr>
          <w:t>d</w:t>
        </w:r>
        <w:r w:rsidR="00B62342" w:rsidRPr="00B62342">
          <w:rPr>
            <w:rStyle w:val="Hyperlink"/>
            <w:rFonts w:ascii="Arial" w:hAnsi="Arial" w:cs="Arial"/>
            <w:b/>
            <w:sz w:val="20"/>
            <w:u w:val="none"/>
          </w:rPr>
          <w:t xml:space="preserve">emeanour </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Fallibility</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of human memory</w:t>
        </w:r>
      </w:hyperlink>
    </w:p>
    <w:p w14:paraId="1D0FA580" w14:textId="77777777" w:rsidR="00B21DA4" w:rsidRPr="0022246F"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20C18C53" w:rsidR="00122115"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Use_of"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192DEC" w:rsidRPr="00FD5828">
          <w:rPr>
            <w:rStyle w:val="Hyperlink"/>
            <w:rFonts w:ascii="Arial" w:hAnsi="Arial" w:cs="Arial"/>
            <w:b/>
            <w:bCs/>
            <w:sz w:val="20"/>
            <w:u w:val="none"/>
          </w:rPr>
          <w:t xml:space="preserve">3.5.5.1  </w:t>
        </w:r>
        <w:r w:rsidR="00120AA9" w:rsidRPr="00BA5B6D">
          <w:rPr>
            <w:rFonts w:ascii="Arial" w:hAnsi="Arial" w:cs="Arial"/>
            <w:b/>
            <w:color w:val="0000FF"/>
            <w:sz w:val="20"/>
          </w:rPr>
          <w:t>Use</w:t>
        </w:r>
        <w:proofErr w:type="gramEnd"/>
        <w:r w:rsidR="00120AA9" w:rsidRPr="00BA5B6D">
          <w:rPr>
            <w:rFonts w:ascii="Arial" w:hAnsi="Arial" w:cs="Arial"/>
            <w:b/>
            <w:color w:val="0000FF"/>
            <w:sz w:val="20"/>
          </w:rPr>
          <w:t xml:space="preserve"> of recorded evidence-in-chief of a child or cognitively impaired witness</w:t>
        </w:r>
      </w:hyperlink>
    </w:p>
    <w:p w14:paraId="3510E24B" w14:textId="31FE9562" w:rsidR="00122115" w:rsidRPr="00481276" w:rsidRDefault="00481276"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481276">
        <w:rPr>
          <w:rFonts w:ascii="Arial" w:hAnsi="Arial" w:cs="Arial"/>
          <w:b/>
          <w:bCs/>
          <w:sz w:val="20"/>
        </w:rPr>
        <w:fldChar w:fldCharType="begin"/>
      </w:r>
      <w:r w:rsidRPr="00481276">
        <w:rPr>
          <w:rFonts w:ascii="Arial" w:hAnsi="Arial" w:cs="Arial"/>
          <w:b/>
          <w:bCs/>
          <w:sz w:val="20"/>
        </w:rPr>
        <w:instrText xml:space="preserve"> HYPERLINK  \l "_3.5.5.2_Use_of" </w:instrText>
      </w:r>
      <w:r w:rsidRPr="00481276">
        <w:rPr>
          <w:rFonts w:ascii="Arial" w:hAnsi="Arial" w:cs="Arial"/>
          <w:b/>
          <w:bCs/>
          <w:sz w:val="20"/>
        </w:rPr>
        <w:fldChar w:fldCharType="separate"/>
      </w:r>
      <w:r w:rsidR="00192DEC" w:rsidRPr="00481276">
        <w:rPr>
          <w:rStyle w:val="Hyperlink"/>
          <w:rFonts w:ascii="Arial" w:hAnsi="Arial" w:cs="Arial"/>
          <w:b/>
          <w:bCs/>
          <w:sz w:val="20"/>
          <w:u w:val="none"/>
        </w:rPr>
        <w:tab/>
      </w:r>
      <w:r w:rsidR="00192DEC" w:rsidRPr="00481276">
        <w:rPr>
          <w:rStyle w:val="Hyperlink"/>
          <w:rFonts w:ascii="Arial" w:hAnsi="Arial" w:cs="Arial"/>
          <w:b/>
          <w:bCs/>
          <w:sz w:val="20"/>
          <w:u w:val="none"/>
        </w:rPr>
        <w:tab/>
      </w:r>
      <w:proofErr w:type="gramStart"/>
      <w:r w:rsidR="00192DEC" w:rsidRPr="00481276">
        <w:rPr>
          <w:rStyle w:val="Hyperlink"/>
          <w:rFonts w:ascii="Arial" w:hAnsi="Arial" w:cs="Arial"/>
          <w:b/>
          <w:bCs/>
          <w:sz w:val="20"/>
          <w:u w:val="none"/>
        </w:rPr>
        <w:t xml:space="preserve">3.5.5.2  </w:t>
      </w:r>
      <w:r w:rsidRPr="00481276">
        <w:rPr>
          <w:rStyle w:val="Hyperlink"/>
          <w:rFonts w:ascii="Arial" w:hAnsi="Arial" w:cs="Arial"/>
          <w:b/>
          <w:sz w:val="20"/>
          <w:u w:val="none"/>
        </w:rPr>
        <w:t>U</w:t>
      </w:r>
      <w:r w:rsidR="00E74C2D" w:rsidRPr="00481276">
        <w:rPr>
          <w:rStyle w:val="Hyperlink"/>
          <w:rFonts w:ascii="Arial" w:hAnsi="Arial" w:cs="Arial"/>
          <w:b/>
          <w:bCs/>
          <w:sz w:val="20"/>
          <w:u w:val="none"/>
        </w:rPr>
        <w:t>s</w:t>
      </w:r>
      <w:r w:rsidRPr="00481276">
        <w:rPr>
          <w:rStyle w:val="Hyperlink"/>
          <w:rFonts w:ascii="Arial" w:hAnsi="Arial" w:cs="Arial"/>
          <w:b/>
          <w:bCs/>
          <w:sz w:val="20"/>
          <w:u w:val="none"/>
        </w:rPr>
        <w:t>e</w:t>
      </w:r>
      <w:proofErr w:type="gramEnd"/>
      <w:r w:rsidRPr="00481276">
        <w:rPr>
          <w:rStyle w:val="Hyperlink"/>
          <w:rFonts w:ascii="Arial" w:hAnsi="Arial" w:cs="Arial"/>
          <w:b/>
          <w:bCs/>
          <w:sz w:val="20"/>
          <w:u w:val="none"/>
        </w:rPr>
        <w:t xml:space="preserve"> of recorded evidence</w:t>
      </w:r>
      <w:r w:rsidR="00E825F9">
        <w:rPr>
          <w:rStyle w:val="Hyperlink"/>
          <w:rFonts w:ascii="Arial" w:hAnsi="Arial" w:cs="Arial"/>
          <w:b/>
          <w:bCs/>
          <w:sz w:val="20"/>
          <w:u w:val="none"/>
        </w:rPr>
        <w:t xml:space="preserve"> </w:t>
      </w:r>
      <w:r w:rsidRPr="00481276">
        <w:rPr>
          <w:rStyle w:val="Hyperlink"/>
          <w:rFonts w:ascii="Arial" w:hAnsi="Arial" w:cs="Arial"/>
          <w:b/>
          <w:bCs/>
          <w:sz w:val="20"/>
          <w:u w:val="none"/>
        </w:rPr>
        <w:t>generally</w:t>
      </w:r>
    </w:p>
    <w:p w14:paraId="63C619C8" w14:textId="2E9BA49D" w:rsidR="00B21DA4" w:rsidRPr="00FD5828" w:rsidRDefault="0048127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481276">
        <w:rPr>
          <w:rFonts w:ascii="Arial" w:hAnsi="Arial" w:cs="Arial"/>
          <w:b/>
          <w:bCs/>
          <w:sz w:val="20"/>
        </w:rPr>
        <w:fldChar w:fldCharType="end"/>
      </w: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796306"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r>
        <w:proofErr w:type="gramStart"/>
        <w:r w:rsidR="00D9355C" w:rsidRPr="00FD5828">
          <w:rPr>
            <w:rStyle w:val="Hyperlink"/>
            <w:rFonts w:ascii="Arial" w:hAnsi="Arial" w:cs="Arial"/>
            <w:b/>
            <w:bCs/>
            <w:sz w:val="20"/>
            <w:u w:val="none"/>
          </w:rPr>
          <w:t>3.5.6.1  The</w:t>
        </w:r>
        <w:proofErr w:type="gramEnd"/>
        <w:r w:rsidR="00D9355C" w:rsidRPr="00FD5828">
          <w:rPr>
            <w:rStyle w:val="Hyperlink"/>
            <w:rFonts w:ascii="Arial" w:hAnsi="Arial" w:cs="Arial"/>
            <w:b/>
            <w:bCs/>
            <w:sz w:val="20"/>
            <w:u w:val="none"/>
          </w:rPr>
          <w:t xml:space="preserve"> usual procedure</w:t>
        </w:r>
      </w:hyperlink>
    </w:p>
    <w:p w14:paraId="148DB127" w14:textId="77777777"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r>
      <w:proofErr w:type="gramStart"/>
      <w:r w:rsidR="00D9355C" w:rsidRPr="00367E55">
        <w:rPr>
          <w:rStyle w:val="Hyperlink"/>
          <w:rFonts w:ascii="Arial" w:hAnsi="Arial" w:cs="Arial"/>
          <w:b/>
          <w:bCs/>
          <w:sz w:val="20"/>
          <w:u w:val="none"/>
        </w:rPr>
        <w:t>3.5.6.2  Informal</w:t>
      </w:r>
      <w:proofErr w:type="gramEnd"/>
      <w:r w:rsidR="00D9355C" w:rsidRPr="00367E55">
        <w:rPr>
          <w:rStyle w:val="Hyperlink"/>
          <w:rFonts w:ascii="Arial" w:hAnsi="Arial" w:cs="Arial"/>
          <w:b/>
          <w:bCs/>
          <w:sz w:val="20"/>
          <w:u w:val="none"/>
        </w:rPr>
        <w:t xml:space="preserve"> procedure</w:t>
      </w:r>
      <w:r w:rsidRPr="00367E55">
        <w:rPr>
          <w:rStyle w:val="Hyperlink"/>
          <w:rFonts w:ascii="Arial" w:hAnsi="Arial" w:cs="Arial"/>
          <w:b/>
          <w:bCs/>
          <w:sz w:val="20"/>
          <w:u w:val="none"/>
        </w:rPr>
        <w:t xml:space="preserve"> – s</w:t>
      </w:r>
      <w:r w:rsidR="00C5633C">
        <w:rPr>
          <w:rStyle w:val="Hyperlink"/>
          <w:rFonts w:ascii="Arial" w:hAnsi="Arial" w:cs="Arial"/>
          <w:b/>
          <w:bCs/>
          <w:sz w:val="20"/>
          <w:u w:val="none"/>
        </w:rPr>
        <w:t>.</w:t>
      </w:r>
      <w:r w:rsidRPr="00367E55">
        <w:rPr>
          <w:rStyle w:val="Hyperlink"/>
          <w:rFonts w:ascii="Arial" w:hAnsi="Arial" w:cs="Arial"/>
          <w:b/>
          <w:bCs/>
          <w:sz w:val="20"/>
          <w:u w:val="none"/>
        </w:rPr>
        <w:t>215(1) 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r>
      <w:proofErr w:type="gramStart"/>
      <w:r w:rsidR="00D9355C" w:rsidRPr="00F624FF">
        <w:rPr>
          <w:rStyle w:val="Hyperlink"/>
          <w:rFonts w:ascii="Arial" w:hAnsi="Arial" w:cs="Arial"/>
          <w:b/>
          <w:bCs/>
          <w:sz w:val="20"/>
          <w:u w:val="none"/>
        </w:rPr>
        <w:t xml:space="preserve">3.5.6.3  </w:t>
      </w:r>
      <w:r w:rsidRPr="00F624FF">
        <w:rPr>
          <w:rStyle w:val="Hyperlink"/>
          <w:rFonts w:ascii="Arial" w:hAnsi="Arial" w:cs="Arial"/>
          <w:b/>
          <w:bCs/>
          <w:sz w:val="20"/>
          <w:u w:val="none"/>
        </w:rPr>
        <w:t>Management</w:t>
      </w:r>
      <w:proofErr w:type="gramEnd"/>
      <w:r w:rsidRPr="00F624FF">
        <w:rPr>
          <w:rStyle w:val="Hyperlink"/>
          <w:rFonts w:ascii="Arial" w:hAnsi="Arial" w:cs="Arial"/>
          <w:b/>
          <w:bCs/>
          <w:sz w:val="20"/>
          <w:u w:val="none"/>
        </w:rPr>
        <w:t xml:space="preserve">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proofErr w:type="gramStart"/>
      <w:r w:rsidR="00B811FD" w:rsidRPr="00F624FF">
        <w:rPr>
          <w:rStyle w:val="Hyperlink"/>
          <w:rFonts w:ascii="Arial" w:hAnsi="Arial" w:cs="Arial"/>
          <w:b/>
          <w:bCs/>
          <w:sz w:val="20"/>
          <w:u w:val="none"/>
        </w:rPr>
        <w:t>3.5.6.4  Obligation</w:t>
      </w:r>
      <w:proofErr w:type="gramEnd"/>
      <w:r w:rsidR="00B811FD" w:rsidRPr="00F624FF">
        <w:rPr>
          <w:rStyle w:val="Hyperlink"/>
          <w:rFonts w:ascii="Arial" w:hAnsi="Arial" w:cs="Arial"/>
          <w:b/>
          <w:bCs/>
          <w:sz w:val="20"/>
          <w:u w:val="none"/>
        </w:rPr>
        <w:t xml:space="preserve">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469C4678" w14:textId="77777777" w:rsidR="00F25FA2" w:rsidRPr="00FD5828"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hyperlink w:anchor="_3.5.7_The_Less" w:history="1">
        <w:r w:rsidR="0059119D" w:rsidRPr="00FD5828">
          <w:rPr>
            <w:rStyle w:val="Hyperlink"/>
            <w:rFonts w:ascii="Arial" w:hAnsi="Arial" w:cs="Arial"/>
            <w:b/>
            <w:bCs/>
            <w:sz w:val="20"/>
            <w:u w:val="none"/>
          </w:rPr>
          <w:tab/>
          <w:t>3.5.7</w:t>
        </w:r>
        <w:r w:rsidR="0059119D" w:rsidRPr="00FD5828">
          <w:rPr>
            <w:rStyle w:val="Hyperlink"/>
            <w:rFonts w:ascii="Arial" w:hAnsi="Arial" w:cs="Arial"/>
            <w:b/>
            <w:bCs/>
            <w:sz w:val="20"/>
            <w:u w:val="none"/>
          </w:rPr>
          <w:tab/>
          <w:t xml:space="preserve">The </w:t>
        </w:r>
        <w:r w:rsidR="00F25FA2" w:rsidRPr="00FD5828">
          <w:rPr>
            <w:rStyle w:val="Hyperlink"/>
            <w:rFonts w:ascii="Arial" w:hAnsi="Arial" w:cs="Arial"/>
            <w:b/>
            <w:bCs/>
            <w:sz w:val="20"/>
            <w:u w:val="none"/>
          </w:rPr>
          <w:t>Less Adversarial Trial approach of the Family Court of Australia</w:t>
        </w:r>
      </w:hyperlink>
    </w:p>
    <w:p w14:paraId="7448435B" w14:textId="77777777" w:rsidR="00B21DA4"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77777777" w:rsidR="00E8461D" w:rsidRPr="00FD5828" w:rsidRDefault="00796306"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3.5.9.1  </w:t>
        </w:r>
        <w:r w:rsidR="008A5C71" w:rsidRPr="00FD5828">
          <w:rPr>
            <w:rStyle w:val="Hyperlink"/>
            <w:rFonts w:ascii="Arial" w:hAnsi="Arial" w:cs="Arial"/>
            <w:b/>
            <w:bCs/>
            <w:sz w:val="20"/>
            <w:u w:val="none"/>
          </w:rPr>
          <w:t>Production</w:t>
        </w:r>
        <w:proofErr w:type="gramEnd"/>
        <w:r w:rsidR="008A5C71" w:rsidRPr="00FD5828">
          <w:rPr>
            <w:rStyle w:val="Hyperlink"/>
            <w:rFonts w:ascii="Arial" w:hAnsi="Arial" w:cs="Arial"/>
            <w:b/>
            <w:bCs/>
            <w:sz w:val="20"/>
            <w:u w:val="none"/>
          </w:rPr>
          <w:t xml:space="preserve"> under sub-poena</w:t>
        </w:r>
      </w:hyperlink>
    </w:p>
    <w:p w14:paraId="13E6F100" w14:textId="77777777" w:rsidR="00E8461D" w:rsidRPr="00FD5828" w:rsidRDefault="00796306"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3.5.9.2  </w:t>
        </w:r>
        <w:r w:rsidR="008A5C71" w:rsidRPr="00FD5828">
          <w:rPr>
            <w:rStyle w:val="Hyperlink"/>
            <w:rFonts w:ascii="Arial" w:hAnsi="Arial" w:cs="Arial"/>
            <w:b/>
            <w:bCs/>
            <w:sz w:val="20"/>
            <w:u w:val="none"/>
          </w:rPr>
          <w:t>Pre</w:t>
        </w:r>
        <w:proofErr w:type="gramEnd"/>
        <w:r w:rsidR="008A5C71" w:rsidRPr="00FD5828">
          <w:rPr>
            <w:rStyle w:val="Hyperlink"/>
            <w:rFonts w:ascii="Arial" w:hAnsi="Arial" w:cs="Arial"/>
            <w:b/>
            <w:bCs/>
            <w:sz w:val="20"/>
            <w:u w:val="none"/>
          </w:rPr>
          <w:t>-hearing disclosure in the Criminal Division</w:t>
        </w:r>
      </w:hyperlink>
    </w:p>
    <w:p w14:paraId="1DB85C34" w14:textId="77777777" w:rsidR="00E8461D" w:rsidRPr="00FD5828" w:rsidRDefault="00796306"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3.5.9.3  </w:t>
        </w:r>
        <w:r w:rsidR="00BD4A44" w:rsidRPr="00FD5828">
          <w:rPr>
            <w:rStyle w:val="Hyperlink"/>
            <w:rFonts w:ascii="Arial" w:hAnsi="Arial" w:cs="Arial"/>
            <w:b/>
            <w:bCs/>
            <w:sz w:val="20"/>
            <w:u w:val="none"/>
          </w:rPr>
          <w:t>Production</w:t>
        </w:r>
        <w:proofErr w:type="gramEnd"/>
        <w:r w:rsidR="00BD4A44" w:rsidRPr="00FD5828">
          <w:rPr>
            <w:rStyle w:val="Hyperlink"/>
            <w:rFonts w:ascii="Arial" w:hAnsi="Arial" w:cs="Arial"/>
            <w:b/>
            <w:bCs/>
            <w:sz w:val="20"/>
            <w:u w:val="none"/>
          </w:rPr>
          <w:t xml:space="preserve"> of “notes” in “apprehension cases” in the Family Division</w:t>
        </w:r>
      </w:hyperlink>
    </w:p>
    <w:p w14:paraId="44B5EA24" w14:textId="77777777" w:rsidR="00595D4C"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t xml:space="preserve">Children as witnesses in </w:t>
        </w:r>
        <w:r w:rsidR="00D15DB2" w:rsidRPr="00FD5828">
          <w:rPr>
            <w:rStyle w:val="Hyperlink"/>
            <w:rFonts w:ascii="Arial" w:hAnsi="Arial" w:cs="Arial"/>
            <w:b/>
            <w:bCs/>
            <w:sz w:val="20"/>
            <w:u w:val="none"/>
          </w:rPr>
          <w:t>court</w:t>
        </w:r>
        <w:r w:rsidR="00595D4C" w:rsidRPr="00FD5828">
          <w:rPr>
            <w:rStyle w:val="Hyperlink"/>
            <w:rFonts w:ascii="Arial" w:hAnsi="Arial" w:cs="Arial"/>
            <w:b/>
            <w:bCs/>
            <w:sz w:val="20"/>
            <w:u w:val="none"/>
          </w:rPr>
          <w:t xml:space="preserve"> cases</w:t>
        </w:r>
      </w:hyperlink>
    </w:p>
    <w:p w14:paraId="11E44A36" w14:textId="77777777" w:rsidR="00C678DA" w:rsidRPr="00FD5828" w:rsidRDefault="00796306" w:rsidP="00192DEC">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sz w:val="20"/>
        </w:rPr>
      </w:pPr>
      <w:hyperlink w:anchor="_3.5.10.1__Competence" w:history="1">
        <w:r w:rsidR="00C678DA"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3.5.10.1</w:t>
        </w:r>
        <w:r w:rsidR="00192DEC" w:rsidRPr="00FD5828">
          <w:rPr>
            <w:rStyle w:val="Hyperlink"/>
            <w:rFonts w:ascii="Arial" w:hAnsi="Arial" w:cs="Arial"/>
            <w:b/>
            <w:bCs/>
            <w:sz w:val="20"/>
            <w:u w:val="none"/>
          </w:rPr>
          <w:t xml:space="preserve">  </w:t>
        </w:r>
        <w:r w:rsidR="00C678DA" w:rsidRPr="00FD5828">
          <w:rPr>
            <w:rStyle w:val="Hyperlink"/>
            <w:rFonts w:ascii="Arial" w:hAnsi="Arial" w:cs="Arial"/>
            <w:b/>
            <w:bCs/>
            <w:sz w:val="20"/>
            <w:u w:val="none"/>
          </w:rPr>
          <w:t>Competence</w:t>
        </w:r>
        <w:proofErr w:type="gramEnd"/>
      </w:hyperlink>
    </w:p>
    <w:p w14:paraId="7DFFB901" w14:textId="77777777" w:rsidR="00C678DA" w:rsidRPr="00FD5828" w:rsidRDefault="00796306" w:rsidP="00C678DA">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2__Compellability" w:history="1">
        <w:r w:rsidR="00C678DA" w:rsidRPr="00FD5828">
          <w:rPr>
            <w:rStyle w:val="Hyperlink"/>
            <w:rFonts w:ascii="Arial" w:hAnsi="Arial" w:cs="Arial"/>
            <w:b/>
            <w:bCs/>
            <w:sz w:val="20"/>
            <w:u w:val="none"/>
          </w:rPr>
          <w:tab/>
        </w:r>
        <w:r w:rsidR="00C678DA"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3.5.10.2</w:t>
        </w:r>
        <w:r w:rsidR="00192DEC" w:rsidRPr="00FD5828">
          <w:rPr>
            <w:rStyle w:val="Hyperlink"/>
            <w:rFonts w:ascii="Arial" w:hAnsi="Arial" w:cs="Arial"/>
            <w:b/>
            <w:bCs/>
            <w:sz w:val="20"/>
            <w:u w:val="none"/>
          </w:rPr>
          <w:t xml:space="preserve">  </w:t>
        </w:r>
        <w:r w:rsidR="00F607C2" w:rsidRPr="00FD5828">
          <w:rPr>
            <w:rStyle w:val="Hyperlink"/>
            <w:rFonts w:ascii="Arial" w:hAnsi="Arial" w:cs="Arial"/>
            <w:b/>
            <w:bCs/>
            <w:sz w:val="20"/>
            <w:u w:val="none"/>
          </w:rPr>
          <w:t>Compellability</w:t>
        </w:r>
        <w:proofErr w:type="gramEnd"/>
        <w:r w:rsidR="00F607C2" w:rsidRPr="00FD5828">
          <w:rPr>
            <w:rStyle w:val="Hyperlink"/>
            <w:rFonts w:ascii="Arial" w:hAnsi="Arial" w:cs="Arial"/>
            <w:b/>
            <w:bCs/>
            <w:sz w:val="20"/>
            <w:u w:val="none"/>
          </w:rPr>
          <w:t xml:space="preserve"> in criminal proceedings generally</w:t>
        </w:r>
      </w:hyperlink>
    </w:p>
    <w:p w14:paraId="56694ED4" w14:textId="77777777" w:rsidR="009A6B9B"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r>
        <w:proofErr w:type="gramStart"/>
        <w:r w:rsidR="00556BDC" w:rsidRPr="00FD5828">
          <w:rPr>
            <w:rStyle w:val="Hyperlink"/>
            <w:rFonts w:ascii="Arial" w:hAnsi="Arial" w:cs="Arial"/>
            <w:b/>
            <w:bCs/>
            <w:sz w:val="20"/>
            <w:u w:val="none"/>
          </w:rPr>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w:t>
        </w:r>
        <w:proofErr w:type="gramEnd"/>
        <w:r w:rsidR="001165F1" w:rsidRPr="00FD5828">
          <w:rPr>
            <w:rStyle w:val="Hyperlink"/>
            <w:rFonts w:ascii="Arial" w:hAnsi="Arial" w:cs="Arial"/>
            <w:b/>
            <w:bCs/>
            <w:sz w:val="20"/>
            <w:u w:val="none"/>
          </w:rPr>
          <w:t xml:space="preserve"> etc. by a person other than an accused</w:t>
        </w:r>
      </w:hyperlink>
    </w:p>
    <w:p w14:paraId="57E174DA" w14:textId="77777777" w:rsidR="00556BDC" w:rsidRPr="00803AFF"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w:t>
        </w:r>
        <w:proofErr w:type="gramEnd"/>
        <w:r w:rsidR="001165F1" w:rsidRPr="00803AFF">
          <w:rPr>
            <w:rStyle w:val="Hyperlink"/>
            <w:rFonts w:ascii="Arial" w:hAnsi="Arial" w:cs="Arial"/>
            <w:b/>
            <w:bCs/>
            <w:sz w:val="20"/>
            <w:u w:val="none"/>
          </w:rPr>
          <w:t xml:space="preserve"> etc. by an accused in a criminal or associated proceeding</w:t>
        </w:r>
      </w:hyperlink>
    </w:p>
    <w:p w14:paraId="7F4CB28C" w14:textId="77777777" w:rsidR="00556BDC" w:rsidRPr="00803AFF"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w:t>
        </w:r>
        <w:proofErr w:type="gramEnd"/>
        <w:r w:rsidR="001165F1" w:rsidRPr="00803AFF">
          <w:rPr>
            <w:rStyle w:val="Hyperlink"/>
            <w:rFonts w:ascii="Arial" w:hAnsi="Arial" w:cs="Arial"/>
            <w:b/>
            <w:bCs/>
            <w:sz w:val="20"/>
            <w:u w:val="none"/>
          </w:rPr>
          <w:t xml:space="preserve"> arrangements for giving evidence in criminal proceedings</w:t>
        </w:r>
      </w:hyperlink>
    </w:p>
    <w:p w14:paraId="3C6A9F84" w14:textId="77777777" w:rsidR="00B7234C" w:rsidRPr="00FD5828" w:rsidRDefault="00796306"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 xml:space="preserve">The rule in </w:t>
        </w:r>
        <w:r w:rsidR="00B7234C" w:rsidRPr="00004C01">
          <w:rPr>
            <w:rStyle w:val="Hyperlink"/>
            <w:rFonts w:ascii="Arial" w:hAnsi="Arial" w:cs="Arial"/>
            <w:b/>
            <w:bCs/>
            <w:sz w:val="20"/>
            <w:u w:val="none"/>
          </w:rPr>
          <w:t>Browne v Dunn</w:t>
        </w:r>
      </w:hyperlink>
    </w:p>
    <w:p w14:paraId="61767221" w14:textId="77777777" w:rsidR="00B8085D" w:rsidRPr="00FD5828" w:rsidRDefault="00796306"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 xml:space="preserve">The rule in </w:t>
        </w:r>
        <w:r w:rsidR="00B8085D" w:rsidRPr="00004C01">
          <w:rPr>
            <w:rStyle w:val="Hyperlink"/>
            <w:rFonts w:ascii="Arial" w:hAnsi="Arial" w:cs="Arial"/>
            <w:b/>
            <w:bCs/>
            <w:sz w:val="20"/>
            <w:u w:val="none"/>
          </w:rPr>
          <w:t>Jones v Dunkel</w:t>
        </w:r>
      </w:hyperlink>
    </w:p>
    <w:p w14:paraId="18053A67" w14:textId="77777777" w:rsidR="003B275F" w:rsidRPr="00803AFF" w:rsidRDefault="00796306"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2B610660" w:rsidR="00843765" w:rsidRPr="00FD5828" w:rsidRDefault="0079630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_1"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2E50BCCA" w14:textId="77777777" w:rsidR="00174184" w:rsidRPr="00E54D25"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1E9C8FA9" w14:textId="77777777" w:rsidR="00843765" w:rsidRPr="00FD5828" w:rsidRDefault="00796306" w:rsidP="00174184">
      <w:pPr>
        <w:keepNext/>
        <w:keepLines/>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Judgments - Explanation of and reasons for orders</w:t>
        </w:r>
      </w:hyperlink>
    </w:p>
    <w:p w14:paraId="7740051B" w14:textId="77777777" w:rsidR="00D9355C" w:rsidRPr="00FD5828" w:rsidRDefault="00796306" w:rsidP="00E54D25">
      <w:pPr>
        <w:keepNext/>
        <w:keepLines/>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&amp; Reasons</w:t>
        </w:r>
      </w:hyperlink>
    </w:p>
    <w:p w14:paraId="6E10DE48" w14:textId="77777777" w:rsidR="00B21DA4"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F44596" w:rsidRPr="00FD5828">
          <w:rPr>
            <w:rStyle w:val="Hyperlink"/>
            <w:rFonts w:ascii="Arial" w:hAnsi="Arial" w:cs="Arial"/>
            <w:b/>
            <w:bCs/>
            <w:sz w:val="20"/>
            <w:u w:val="none"/>
          </w:rPr>
          <w:t>2</w:t>
        </w:r>
        <w:r w:rsidR="00B21DA4" w:rsidRPr="00FD5828">
          <w:rPr>
            <w:rStyle w:val="Hyperlink"/>
            <w:rFonts w:ascii="Arial" w:hAnsi="Arial" w:cs="Arial"/>
            <w:b/>
            <w:bCs/>
            <w:sz w:val="20"/>
            <w:u w:val="none"/>
          </w:rPr>
          <w:tab/>
          <w:t>Judgments</w:t>
        </w:r>
      </w:hyperlink>
    </w:p>
    <w:p w14:paraId="2EB917FA" w14:textId="77777777" w:rsidR="007C1C82" w:rsidRPr="00FD5828" w:rsidRDefault="00796306" w:rsidP="00174184">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8_Amending_judgments" w:history="1">
        <w:r w:rsidR="007C1C82" w:rsidRPr="00FD5828">
          <w:rPr>
            <w:rStyle w:val="Hyperlink"/>
            <w:rFonts w:ascii="Arial" w:hAnsi="Arial" w:cs="Arial"/>
            <w:b/>
            <w:bCs/>
            <w:u w:val="none"/>
          </w:rPr>
          <w:t>3.8</w:t>
        </w:r>
        <w:r w:rsidR="007C1C82" w:rsidRPr="00FD5828">
          <w:rPr>
            <w:rStyle w:val="Hyperlink"/>
            <w:rFonts w:ascii="Arial" w:hAnsi="Arial" w:cs="Arial"/>
            <w:b/>
            <w:bCs/>
            <w:u w:val="none"/>
          </w:rPr>
          <w:tab/>
          <w:t>Amending judgments - The 'slip rule'</w:t>
        </w:r>
      </w:hyperlink>
    </w:p>
    <w:p w14:paraId="0DD9AA77" w14:textId="77777777" w:rsidR="00843765" w:rsidRPr="00FD5828" w:rsidRDefault="0079630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9_Costs"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77777777" w:rsidR="00D9355C" w:rsidRPr="00FD5828" w:rsidRDefault="00796306"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hyperlink>
      <w:r w:rsidR="00D9355C" w:rsidRPr="00FD5828">
        <w:rPr>
          <w:rFonts w:ascii="Arial" w:hAnsi="Arial" w:cs="Arial"/>
          <w:b/>
          <w:bCs/>
          <w:sz w:val="20"/>
        </w:rPr>
        <w:t xml:space="preserve"> </w:t>
      </w:r>
    </w:p>
    <w:p w14:paraId="65287B50" w14:textId="77777777" w:rsidR="00B21DA4"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79630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796306"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63EA71DE" w14:textId="244A8A39" w:rsidR="00B21DA4" w:rsidRPr="00FD5828" w:rsidRDefault="00803AFF"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r w:rsidRPr="00803AFF">
        <w:rPr>
          <w:rFonts w:ascii="Arial" w:hAnsi="Arial" w:cs="Arial"/>
          <w:b/>
          <w:bCs/>
          <w:sz w:val="20"/>
        </w:rPr>
        <w:fldChar w:fldCharType="end"/>
      </w:r>
      <w:hyperlink w:anchor="_3.10_Appeal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Appeals</w:t>
        </w:r>
        <w:r w:rsidR="00043500">
          <w:rPr>
            <w:rStyle w:val="Hyperlink"/>
            <w:rFonts w:ascii="Arial" w:hAnsi="Arial" w:cs="Arial"/>
            <w:b/>
            <w:bCs/>
            <w:u w:val="none"/>
          </w:rPr>
          <w:t>/Reviews</w:t>
        </w:r>
      </w:hyperlink>
    </w:p>
    <w:p w14:paraId="795A9F0F" w14:textId="20868211" w:rsidR="00397E3F" w:rsidRPr="00853002" w:rsidRDefault="00796306" w:rsidP="00397E3F">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10.1_Appeals_to" w:history="1">
        <w:r w:rsidR="00397E3F" w:rsidRPr="00853002">
          <w:rPr>
            <w:rStyle w:val="Hyperlink"/>
            <w:rFonts w:ascii="Arial" w:hAnsi="Arial" w:cs="Arial"/>
            <w:b/>
            <w:bCs/>
            <w:sz w:val="20"/>
            <w:u w:val="none"/>
          </w:rPr>
          <w:tab/>
          <w:t>3.10.1</w:t>
        </w:r>
        <w:r w:rsidR="00397E3F" w:rsidRPr="00853002">
          <w:rPr>
            <w:rStyle w:val="Hyperlink"/>
            <w:rFonts w:ascii="Arial" w:hAnsi="Arial" w:cs="Arial"/>
            <w:b/>
            <w:bCs/>
            <w:sz w:val="20"/>
            <w:u w:val="none"/>
          </w:rPr>
          <w:tab/>
          <w:t>Appeals to higher courts</w:t>
        </w:r>
      </w:hyperlink>
    </w:p>
    <w:p w14:paraId="2494F34B" w14:textId="0A9E3A40" w:rsidR="00397E3F" w:rsidRPr="00FD5828" w:rsidRDefault="00796306" w:rsidP="00397E3F">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0.2_Reviews_of" w:history="1">
        <w:r w:rsidR="00397E3F" w:rsidRPr="00FD5828">
          <w:rPr>
            <w:rStyle w:val="Hyperlink"/>
            <w:rFonts w:ascii="Arial" w:hAnsi="Arial" w:cs="Arial"/>
            <w:b/>
            <w:bCs/>
            <w:sz w:val="20"/>
            <w:u w:val="none"/>
          </w:rPr>
          <w:tab/>
          <w:t>3.</w:t>
        </w:r>
        <w:r w:rsidR="00397E3F">
          <w:rPr>
            <w:rStyle w:val="Hyperlink"/>
            <w:rFonts w:ascii="Arial" w:hAnsi="Arial" w:cs="Arial"/>
            <w:b/>
            <w:bCs/>
            <w:sz w:val="20"/>
            <w:u w:val="none"/>
          </w:rPr>
          <w:t>10</w:t>
        </w:r>
        <w:r w:rsidR="00397E3F" w:rsidRPr="00FD5828">
          <w:rPr>
            <w:rStyle w:val="Hyperlink"/>
            <w:rFonts w:ascii="Arial" w:hAnsi="Arial" w:cs="Arial"/>
            <w:b/>
            <w:bCs/>
            <w:sz w:val="20"/>
            <w:u w:val="none"/>
          </w:rPr>
          <w:t>.2</w:t>
        </w:r>
        <w:r w:rsidR="00397E3F" w:rsidRPr="00FD5828">
          <w:rPr>
            <w:rStyle w:val="Hyperlink"/>
            <w:rFonts w:ascii="Arial" w:hAnsi="Arial" w:cs="Arial"/>
            <w:b/>
            <w:bCs/>
            <w:sz w:val="20"/>
            <w:u w:val="none"/>
          </w:rPr>
          <w:tab/>
        </w:r>
        <w:r w:rsidR="00397E3F">
          <w:rPr>
            <w:rStyle w:val="Hyperlink"/>
            <w:rFonts w:ascii="Arial" w:hAnsi="Arial" w:cs="Arial"/>
            <w:b/>
            <w:bCs/>
            <w:sz w:val="20"/>
            <w:u w:val="none"/>
          </w:rPr>
          <w:t xml:space="preserve">Reviews of judicial registrars’ </w:t>
        </w:r>
        <w:r w:rsidR="00DE7665">
          <w:rPr>
            <w:rStyle w:val="Hyperlink"/>
            <w:rFonts w:ascii="Arial" w:hAnsi="Arial" w:cs="Arial"/>
            <w:b/>
            <w:bCs/>
            <w:sz w:val="20"/>
            <w:u w:val="none"/>
          </w:rPr>
          <w:t>determination</w:t>
        </w:r>
        <w:r w:rsidR="00397E3F">
          <w:rPr>
            <w:rStyle w:val="Hyperlink"/>
            <w:rFonts w:ascii="Arial" w:hAnsi="Arial" w:cs="Arial"/>
            <w:b/>
            <w:bCs/>
            <w:sz w:val="20"/>
            <w:u w:val="none"/>
          </w:rPr>
          <w:t>s</w:t>
        </w:r>
      </w:hyperlink>
    </w:p>
    <w:p w14:paraId="341F37DA" w14:textId="77777777" w:rsidR="00B21DA4" w:rsidRDefault="0079630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79630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52B19D14" w14:textId="09076CED" w:rsidR="00B7111B" w:rsidRPr="00592CF8" w:rsidRDefault="0079630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3_Court’s_powers" w:history="1">
        <w:r w:rsidR="00B7111B" w:rsidRPr="00592CF8">
          <w:rPr>
            <w:rStyle w:val="Hyperlink"/>
            <w:rFonts w:ascii="Arial" w:hAnsi="Arial" w:cs="Arial"/>
            <w:b/>
            <w:bCs/>
            <w:u w:val="none"/>
          </w:rPr>
          <w:t>3.1</w:t>
        </w:r>
        <w:r w:rsidR="00B7111B">
          <w:rPr>
            <w:rStyle w:val="Hyperlink"/>
            <w:rFonts w:ascii="Arial" w:hAnsi="Arial" w:cs="Arial"/>
            <w:b/>
            <w:bCs/>
            <w:u w:val="none"/>
          </w:rPr>
          <w:t>3</w:t>
        </w:r>
        <w:r w:rsidR="00B7111B" w:rsidRPr="00592CF8">
          <w:rPr>
            <w:rStyle w:val="Hyperlink"/>
            <w:rFonts w:ascii="Arial" w:hAnsi="Arial" w:cs="Arial"/>
            <w:b/>
            <w:bCs/>
            <w:u w:val="none"/>
          </w:rPr>
          <w:tab/>
        </w:r>
        <w:r w:rsidR="005D1CA1">
          <w:rPr>
            <w:rStyle w:val="Hyperlink"/>
            <w:rFonts w:ascii="Arial" w:hAnsi="Arial" w:cs="Arial"/>
            <w:b/>
            <w:bCs/>
            <w:u w:val="none"/>
          </w:rPr>
          <w:t>Interstate e</w:t>
        </w:r>
        <w:r w:rsidR="00D60B6A">
          <w:rPr>
            <w:rStyle w:val="Hyperlink"/>
            <w:rFonts w:ascii="Arial" w:hAnsi="Arial" w:cs="Arial"/>
            <w:b/>
            <w:bCs/>
            <w:u w:val="none"/>
          </w:rPr>
          <w:t>xecution</w:t>
        </w:r>
      </w:hyperlink>
      <w:hyperlink w:anchor="_3.13_Execution_of" w:history="1">
        <w:r w:rsidR="00D60B6A" w:rsidRPr="00D60B6A">
          <w:rPr>
            <w:rStyle w:val="Hyperlink"/>
            <w:rFonts w:ascii="Arial" w:hAnsi="Arial" w:cs="Arial"/>
            <w:b/>
            <w:bCs/>
            <w:u w:val="none"/>
          </w:rPr>
          <w:t xml:space="preserve"> of warrants issued by </w:t>
        </w:r>
        <w:r w:rsidR="005D1CA1">
          <w:rPr>
            <w:rStyle w:val="Hyperlink"/>
            <w:rFonts w:ascii="Arial" w:hAnsi="Arial" w:cs="Arial"/>
            <w:b/>
            <w:bCs/>
            <w:u w:val="none"/>
          </w:rPr>
          <w:t>Australian state</w:t>
        </w:r>
        <w:r w:rsidR="00D60B6A" w:rsidRPr="00D60B6A">
          <w:rPr>
            <w:rStyle w:val="Hyperlink"/>
            <w:rFonts w:ascii="Arial" w:hAnsi="Arial" w:cs="Arial"/>
            <w:b/>
            <w:bCs/>
            <w:u w:val="none"/>
          </w:rPr>
          <w:t xml:space="preserve"> courts</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45C9DC20" w:rsidR="00FC3FDE" w:rsidRDefault="00FC3FDE" w:rsidP="001222C4">
      <w:pPr>
        <w:rPr>
          <w:rFonts w:ascii="Arial" w:hAnsi="Arial" w:cs="Arial"/>
          <w:sz w:val="20"/>
        </w:rPr>
      </w:pPr>
      <w:bookmarkStart w:id="42" w:name="_Toc30608804"/>
      <w:bookmarkStart w:id="43" w:name="_Toc30610018"/>
      <w:bookmarkStart w:id="44" w:name="_Toc30610262"/>
      <w:bookmarkStart w:id="45" w:name="_Toc30638416"/>
      <w:bookmarkStart w:id="46" w:name="_Toc30644225"/>
      <w:bookmarkStart w:id="47" w:name="_Toc30644628"/>
      <w:bookmarkStart w:id="48" w:name="_Toc30645178"/>
      <w:bookmarkStart w:id="49" w:name="_Toc30646389"/>
      <w:bookmarkStart w:id="50" w:name="_Toc30646684"/>
      <w:bookmarkStart w:id="51" w:name="_Toc30646795"/>
      <w:bookmarkStart w:id="52" w:name="_Toc30648152"/>
      <w:bookmarkStart w:id="53" w:name="_Toc30649050"/>
      <w:bookmarkStart w:id="54" w:name="_Toc30649126"/>
      <w:bookmarkStart w:id="55" w:name="_Toc30649387"/>
      <w:bookmarkStart w:id="56" w:name="_Toc30649707"/>
      <w:bookmarkStart w:id="57" w:name="_Toc30651641"/>
      <w:bookmarkStart w:id="58" w:name="_Toc30652625"/>
      <w:bookmarkStart w:id="59" w:name="_Toc30652723"/>
      <w:bookmarkStart w:id="60" w:name="_Toc30654068"/>
      <w:bookmarkStart w:id="61" w:name="_Toc30654419"/>
      <w:bookmarkStart w:id="62" w:name="_Toc30655038"/>
      <w:bookmarkStart w:id="63" w:name="_Toc30655295"/>
      <w:bookmarkStart w:id="64" w:name="_Toc30656973"/>
      <w:bookmarkStart w:id="65" w:name="_Toc30661722"/>
      <w:bookmarkStart w:id="66" w:name="_Toc30666410"/>
      <w:bookmarkStart w:id="67" w:name="_Toc30666640"/>
      <w:bookmarkStart w:id="68" w:name="_Toc30667815"/>
      <w:bookmarkStart w:id="69" w:name="_Toc30669193"/>
      <w:bookmarkStart w:id="70" w:name="_Toc30671409"/>
      <w:bookmarkStart w:id="71" w:name="_Toc30673936"/>
      <w:bookmarkStart w:id="72" w:name="_Toc30691158"/>
      <w:bookmarkStart w:id="73" w:name="_Toc30691529"/>
      <w:bookmarkStart w:id="74" w:name="_Toc30691909"/>
      <w:bookmarkStart w:id="75" w:name="_Toc30692668"/>
      <w:bookmarkStart w:id="76" w:name="_Toc30693047"/>
      <w:bookmarkStart w:id="77" w:name="_Toc30693425"/>
      <w:bookmarkStart w:id="78" w:name="_Toc30693804"/>
      <w:bookmarkStart w:id="79" w:name="_Toc30694185"/>
      <w:bookmarkStart w:id="80" w:name="_Toc30698774"/>
      <w:bookmarkStart w:id="81" w:name="_Toc30699152"/>
      <w:bookmarkStart w:id="82" w:name="_Toc30699537"/>
      <w:bookmarkStart w:id="83" w:name="_Toc30700692"/>
      <w:bookmarkStart w:id="84" w:name="_Toc30701079"/>
      <w:bookmarkStart w:id="85" w:name="_Toc30743688"/>
      <w:bookmarkStart w:id="86" w:name="_Toc30754510"/>
      <w:bookmarkStart w:id="87" w:name="_Toc30756950"/>
      <w:bookmarkStart w:id="88" w:name="_Toc30757499"/>
      <w:bookmarkStart w:id="89" w:name="_Toc30757899"/>
      <w:bookmarkStart w:id="90" w:name="_Toc30762660"/>
      <w:bookmarkStart w:id="91" w:name="_Toc30767314"/>
      <w:bookmarkStart w:id="92" w:name="_Toc34823330"/>
    </w:p>
    <w:p w14:paraId="11BB28D5" w14:textId="77777777" w:rsidR="001222C4" w:rsidRPr="005A28E0" w:rsidRDefault="001222C4" w:rsidP="005A28E0">
      <w:pPr>
        <w:shd w:val="clear" w:color="auto" w:fill="000000" w:themeFill="text1"/>
        <w:jc w:val="center"/>
        <w:rPr>
          <w:rFonts w:ascii="Arial" w:hAnsi="Arial" w:cs="Arial"/>
          <w:b/>
          <w:bCs/>
          <w:sz w:val="22"/>
          <w:szCs w:val="22"/>
        </w:rPr>
      </w:pPr>
      <w:r w:rsidRPr="005A28E0">
        <w:rPr>
          <w:rFonts w:ascii="Arial" w:hAnsi="Arial" w:cs="Arial"/>
          <w:b/>
          <w:bCs/>
          <w:sz w:val="22"/>
          <w:szCs w:val="22"/>
        </w:rPr>
        <w:t>UNLESS INDICATED OTHERWISE, ALL LEGISLATION REFERRED TO IS VICTORIAN.</w:t>
      </w:r>
    </w:p>
    <w:p w14:paraId="6B1E03A4" w14:textId="77777777" w:rsidR="001222C4" w:rsidRPr="000C6804" w:rsidRDefault="001222C4" w:rsidP="001222C4">
      <w:pPr>
        <w:rPr>
          <w:rFonts w:ascii="Arial" w:hAnsi="Arial" w:cs="Arial"/>
          <w:sz w:val="20"/>
        </w:rPr>
      </w:pPr>
    </w:p>
    <w:p w14:paraId="1A2BFFFB" w14:textId="77777777" w:rsidR="00043500" w:rsidRDefault="00043500">
      <w:pPr>
        <w:rPr>
          <w:rFonts w:ascii="Arial" w:hAnsi="Arial" w:cs="Arial"/>
          <w:b/>
          <w:bCs/>
          <w:kern w:val="28"/>
          <w:szCs w:val="20"/>
          <w:lang w:val="en-GB"/>
        </w:rPr>
      </w:pPr>
      <w:bookmarkStart w:id="93" w:name="_3.1_Roles_of"/>
      <w:bookmarkStart w:id="94" w:name="B31"/>
      <w:bookmarkEnd w:id="93"/>
      <w:bookmarkEnd w:id="94"/>
      <w:r>
        <w:rPr>
          <w:rFonts w:ascii="Arial" w:hAnsi="Arial" w:cs="Arial"/>
          <w:b/>
          <w:bCs/>
        </w:rPr>
        <w:br w:type="page"/>
      </w:r>
    </w:p>
    <w:p w14:paraId="6410EAA2" w14:textId="3BC1F049" w:rsidR="00B21DA4" w:rsidRDefault="00B21DA4" w:rsidP="001222C4">
      <w:pPr>
        <w:pStyle w:val="Heading2"/>
        <w:widowControl/>
        <w:tabs>
          <w:tab w:val="left" w:pos="567"/>
        </w:tabs>
        <w:spacing w:line="240" w:lineRule="auto"/>
        <w:rPr>
          <w:rFonts w:ascii="Arial" w:hAnsi="Arial" w:cs="Arial"/>
          <w:b/>
          <w:bCs/>
        </w:rPr>
      </w:pPr>
      <w:bookmarkStart w:id="95" w:name="_3.1_Roles_of_1"/>
      <w:bookmarkEnd w:id="95"/>
      <w:r>
        <w:rPr>
          <w:rFonts w:ascii="Arial" w:hAnsi="Arial" w:cs="Arial"/>
          <w:b/>
          <w:bCs/>
        </w:rPr>
        <w:lastRenderedPageBreak/>
        <w:t>3.1</w:t>
      </w:r>
      <w:r>
        <w:rPr>
          <w:rFonts w:ascii="Arial" w:hAnsi="Arial" w:cs="Arial"/>
          <w:b/>
          <w:bCs/>
        </w:rPr>
        <w:tab/>
        <w:t>Roles of judicial officers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8062349" w14:textId="77777777" w:rsidR="00B21DA4" w:rsidRPr="000C6804" w:rsidRDefault="00B21DA4" w:rsidP="001222C4">
      <w:pPr>
        <w:rPr>
          <w:rFonts w:ascii="Arial" w:hAnsi="Arial" w:cs="Arial"/>
          <w:sz w:val="20"/>
        </w:rPr>
      </w:pPr>
    </w:p>
    <w:p w14:paraId="1E84B0F1" w14:textId="27125081" w:rsidR="00066AA6" w:rsidRDefault="00066AA6"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voices insisting upon the law – some voices wanting both.</w:t>
      </w:r>
      <w:r>
        <w:rPr>
          <w:rFonts w:ascii="Arial" w:hAnsi="Arial" w:cs="Arial"/>
          <w:b/>
          <w:bCs/>
          <w:sz w:val="20"/>
        </w:rPr>
        <w:t>"</w:t>
      </w:r>
    </w:p>
    <w:p w14:paraId="6384C61F" w14:textId="77777777" w:rsidR="00066AA6" w:rsidRDefault="00AA0AC2"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1222C4">
      <w:pPr>
        <w:jc w:val="both"/>
        <w:rPr>
          <w:rFonts w:ascii="Arial" w:hAnsi="Arial" w:cs="Arial"/>
          <w:sz w:val="20"/>
        </w:rPr>
      </w:pPr>
    </w:p>
    <w:p w14:paraId="6D7F66EF" w14:textId="77777777" w:rsidR="00444A4F" w:rsidRP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1222C4">
      <w:pPr>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03B1F331" w:rsidR="00D731F7" w:rsidRDefault="00D731F7">
      <w:pPr>
        <w:jc w:val="both"/>
        <w:rPr>
          <w:rFonts w:ascii="Arial" w:hAnsi="Arial" w:cs="Arial"/>
          <w:sz w:val="20"/>
        </w:rPr>
      </w:pPr>
    </w:p>
    <w:p w14:paraId="5CCB5BDE" w14:textId="552D69A5" w:rsidR="00235CEF" w:rsidRDefault="00235CEF">
      <w:pPr>
        <w:jc w:val="both"/>
        <w:rPr>
          <w:rFonts w:ascii="Arial" w:hAnsi="Arial" w:cs="Arial"/>
          <w:sz w:val="20"/>
        </w:rPr>
      </w:pPr>
      <w:r>
        <w:rPr>
          <w:rFonts w:ascii="Arial" w:hAnsi="Arial" w:cs="Arial"/>
          <w:sz w:val="20"/>
        </w:rPr>
        <w:t xml:space="preserve">In addition since May 2021 four judicial registrars have been appointed who preside over some hearings in both Divisions of the CCV.  The jurisdiction which may be exercised by judicial registrars is detailed in the </w:t>
      </w:r>
      <w:r w:rsidRPr="00DE7665">
        <w:rPr>
          <w:rFonts w:ascii="Arial" w:hAnsi="Arial" w:cs="Arial"/>
          <w:i/>
          <w:iCs/>
          <w:sz w:val="20"/>
        </w:rPr>
        <w:t>Children, Youth and Families (Children’s Court Judicial Registrars) Rules 2021</w:t>
      </w:r>
      <w:r>
        <w:rPr>
          <w:rFonts w:ascii="Arial" w:hAnsi="Arial" w:cs="Arial"/>
          <w:i/>
          <w:iCs/>
          <w:sz w:val="20"/>
        </w:rPr>
        <w:t xml:space="preserve"> </w:t>
      </w:r>
      <w:r w:rsidRPr="00235CEF">
        <w:rPr>
          <w:rFonts w:ascii="Arial" w:hAnsi="Arial" w:cs="Arial"/>
          <w:sz w:val="20"/>
        </w:rPr>
        <w:t xml:space="preserve">and </w:t>
      </w:r>
      <w:r w:rsidR="00E955FC">
        <w:rPr>
          <w:rFonts w:ascii="Arial" w:hAnsi="Arial" w:cs="Arial"/>
          <w:sz w:val="20"/>
        </w:rPr>
        <w:t>encompasses</w:t>
      </w:r>
      <w:r w:rsidR="00D24B69">
        <w:rPr>
          <w:rFonts w:ascii="Arial" w:hAnsi="Arial" w:cs="Arial"/>
          <w:sz w:val="20"/>
        </w:rPr>
        <w:t>:</w:t>
      </w:r>
    </w:p>
    <w:p w14:paraId="17249ABF" w14:textId="5AD9E1EF"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listed in rule 2.03 whether or not contested;</w:t>
      </w:r>
    </w:p>
    <w:p w14:paraId="72515D5C" w14:textId="5FBA3A2E"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2.04 whether or not contested;</w:t>
      </w:r>
    </w:p>
    <w:p w14:paraId="367799AB" w14:textId="75DE0685"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2.05 if uncontested;</w:t>
      </w:r>
    </w:p>
    <w:p w14:paraId="254F09B8" w14:textId="128E529C" w:rsidR="00D24B69"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Family Division listed in rule 2.06 whether or not contested;</w:t>
      </w:r>
    </w:p>
    <w:p w14:paraId="7903D5D4" w14:textId="141364E9" w:rsidR="00E955FC"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any other applications in proceedings in the Family Division if uncontested [rule 2.07].</w:t>
      </w:r>
    </w:p>
    <w:p w14:paraId="591EE748" w14:textId="77777777" w:rsidR="00D24B69" w:rsidRDefault="00D24B69">
      <w:pPr>
        <w:jc w:val="both"/>
        <w:rPr>
          <w:rFonts w:ascii="Arial" w:hAnsi="Arial" w:cs="Arial"/>
          <w:sz w:val="20"/>
        </w:rPr>
      </w:pPr>
    </w:p>
    <w:p w14:paraId="17FC4253" w14:textId="77777777" w:rsidR="00B21DA4" w:rsidRDefault="00B21DA4">
      <w:pPr>
        <w:jc w:val="both"/>
        <w:rPr>
          <w:rFonts w:ascii="Arial" w:hAnsi="Arial" w:cs="Arial"/>
          <w:sz w:val="20"/>
        </w:rPr>
      </w:pPr>
      <w:r>
        <w:rPr>
          <w:rFonts w:ascii="Arial" w:hAnsi="Arial" w:cs="Arial"/>
          <w:sz w:val="20"/>
        </w:rPr>
        <w:t>About 5% of all applications which are filed in the Family Division proceed to a final contested hearing</w:t>
      </w:r>
      <w:r w:rsidR="006C7EDC">
        <w:rPr>
          <w:rFonts w:ascii="Arial" w:hAnsi="Arial" w:cs="Arial"/>
          <w:sz w:val="20"/>
        </w:rPr>
        <w:t xml:space="preserve"> in which evidence is called</w:t>
      </w:r>
      <w:r>
        <w:rPr>
          <w:rFonts w:ascii="Arial" w:hAnsi="Arial" w:cs="Arial"/>
          <w:sz w:val="20"/>
        </w:rPr>
        <w:t>, although a significantly greater percentage involve at least one contested interim hearing.  Only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023C2C" w:rsidRPr="001A1BF2">
        <w:rPr>
          <w:rFonts w:ascii="Arial" w:hAnsi="Arial" w:cs="Arial"/>
          <w:color w:val="000000"/>
          <w:sz w:val="20"/>
        </w:rPr>
        <w:t xml:space="preserve">[2011] VSC 153 at [12] </w:t>
      </w:r>
      <w:proofErr w:type="spellStart"/>
      <w:r w:rsidR="00023C2C" w:rsidRPr="001A1BF2">
        <w:rPr>
          <w:rFonts w:ascii="Arial" w:hAnsi="Arial" w:cs="Arial"/>
          <w:color w:val="000000"/>
          <w:sz w:val="20"/>
        </w:rPr>
        <w:t>Pagone</w:t>
      </w:r>
      <w:proofErr w:type="spellEnd"/>
      <w:r w:rsidR="00023C2C" w:rsidRPr="001A1BF2">
        <w:rPr>
          <w:rFonts w:ascii="Arial" w:hAnsi="Arial" w:cs="Arial"/>
          <w:color w:val="000000"/>
          <w:sz w:val="20"/>
        </w:rPr>
        <w:t xml:space="preserve"> J said of this: “The overriding duty for the Court must be to achieve justice between the parties and to ensure that it is satisfied that the burden which a party bears is adequately and reliably discharged.”</w:t>
      </w:r>
    </w:p>
    <w:p w14:paraId="3DB0FE7D" w14:textId="39B88D19" w:rsidR="00091307" w:rsidRDefault="00091307" w:rsidP="00B843BA">
      <w:pPr>
        <w:jc w:val="both"/>
        <w:rPr>
          <w:rFonts w:ascii="Arial" w:hAnsi="Arial" w:cs="Arial"/>
          <w:color w:val="000000"/>
          <w:sz w:val="20"/>
        </w:rPr>
      </w:pPr>
    </w:p>
    <w:p w14:paraId="4F5F2C50" w14:textId="7A40BB62" w:rsidR="00091307" w:rsidRDefault="00091307" w:rsidP="00B843BA">
      <w:pPr>
        <w:jc w:val="both"/>
        <w:rPr>
          <w:rFonts w:ascii="Arial" w:hAnsi="Arial" w:cs="Arial"/>
          <w:color w:val="000000"/>
          <w:sz w:val="20"/>
        </w:rPr>
      </w:pPr>
      <w:r>
        <w:rPr>
          <w:rFonts w:ascii="Arial" w:hAnsi="Arial" w:cs="Arial"/>
          <w:color w:val="000000"/>
          <w:sz w:val="20"/>
        </w:rPr>
        <w:t xml:space="preserve">In </w:t>
      </w:r>
      <w:proofErr w:type="spellStart"/>
      <w:r w:rsidRPr="00091307">
        <w:rPr>
          <w:rFonts w:ascii="Arial" w:hAnsi="Arial" w:cs="Arial"/>
          <w:i/>
          <w:iCs/>
          <w:color w:val="000000"/>
          <w:sz w:val="20"/>
        </w:rPr>
        <w:t>Onyeka</w:t>
      </w:r>
      <w:proofErr w:type="spellEnd"/>
      <w:r w:rsidRPr="00091307">
        <w:rPr>
          <w:rFonts w:ascii="Arial" w:hAnsi="Arial" w:cs="Arial"/>
          <w:i/>
          <w:iCs/>
          <w:color w:val="000000"/>
          <w:sz w:val="20"/>
        </w:rPr>
        <w:t xml:space="preserve"> Evans </w:t>
      </w:r>
      <w:proofErr w:type="spellStart"/>
      <w:r w:rsidRPr="00091307">
        <w:rPr>
          <w:rFonts w:ascii="Arial" w:hAnsi="Arial" w:cs="Arial"/>
          <w:i/>
          <w:iCs/>
          <w:color w:val="000000"/>
          <w:sz w:val="20"/>
        </w:rPr>
        <w:t>Nwagbo</w:t>
      </w:r>
      <w:proofErr w:type="spellEnd"/>
      <w:r w:rsidRPr="00091307">
        <w:rPr>
          <w:rFonts w:ascii="Arial" w:hAnsi="Arial" w:cs="Arial"/>
          <w:i/>
          <w:iCs/>
          <w:color w:val="000000"/>
          <w:sz w:val="20"/>
        </w:rPr>
        <w:t xml:space="preserve">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p>
    <w:p w14:paraId="7809C960" w14:textId="2DA85E36"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17216FE6" w14:textId="745BA680" w:rsidR="008C6C91" w:rsidRDefault="0092755F" w:rsidP="00510BDE">
      <w:pPr>
        <w:spacing w:before="120"/>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8C6C91">
        <w:rPr>
          <w:rFonts w:ascii="Arial" w:hAnsi="Arial" w:cs="Arial"/>
          <w:color w:val="000000"/>
          <w:sz w:val="20"/>
        </w:rPr>
        <w:t xml:space="preserve">In this connection it is </w:t>
      </w:r>
      <w:r w:rsidR="00B66B64">
        <w:rPr>
          <w:rFonts w:ascii="Arial" w:hAnsi="Arial" w:cs="Arial"/>
          <w:color w:val="000000"/>
          <w:sz w:val="20"/>
        </w:rPr>
        <w:t>important to note</w:t>
      </w:r>
      <w:r w:rsidR="008C6C91">
        <w:rPr>
          <w:rFonts w:ascii="Arial" w:hAnsi="Arial" w:cs="Arial"/>
          <w:color w:val="000000"/>
          <w:sz w:val="20"/>
        </w:rPr>
        <w:t xml:space="preserve"> </w:t>
      </w:r>
      <w:r w:rsidR="00472A52">
        <w:rPr>
          <w:rFonts w:ascii="Arial" w:hAnsi="Arial" w:cs="Arial"/>
          <w:color w:val="000000"/>
          <w:sz w:val="20"/>
        </w:rPr>
        <w:t xml:space="preserve">that the </w:t>
      </w:r>
      <w:r w:rsidR="00B66B64">
        <w:rPr>
          <w:rFonts w:ascii="Arial" w:hAnsi="Arial" w:cs="Arial"/>
          <w:color w:val="000000"/>
          <w:sz w:val="20"/>
        </w:rPr>
        <w:t xml:space="preserve">Criminal Division of the Children’s Court </w:t>
      </w:r>
      <w:r w:rsidR="00472A52">
        <w:rPr>
          <w:rFonts w:ascii="Arial" w:hAnsi="Arial" w:cs="Arial"/>
          <w:color w:val="000000"/>
          <w:sz w:val="20"/>
        </w:rPr>
        <w:t>operates under</w:t>
      </w:r>
      <w:r w:rsidR="008C6C91">
        <w:rPr>
          <w:rFonts w:ascii="Arial" w:hAnsi="Arial" w:cs="Arial"/>
          <w:color w:val="000000"/>
          <w:sz w:val="20"/>
        </w:rPr>
        <w:t xml:space="preserve"> the adversarial system but child protection proceedings in the Family Division are at least partly inquisitorial </w:t>
      </w:r>
      <w:r w:rsidR="00510BDE">
        <w:rPr>
          <w:rFonts w:ascii="Arial" w:hAnsi="Arial" w:cs="Arial"/>
          <w:color w:val="000000"/>
          <w:sz w:val="20"/>
        </w:rPr>
        <w:t>as evidenced by</w:t>
      </w:r>
      <w:r w:rsidR="008C6C91">
        <w:rPr>
          <w:rFonts w:ascii="Arial" w:hAnsi="Arial" w:cs="Arial"/>
          <w:color w:val="000000"/>
          <w:sz w:val="20"/>
        </w:rPr>
        <w:t>-</w:t>
      </w:r>
    </w:p>
    <w:p w14:paraId="27B128F5" w14:textId="5FF2073F" w:rsidR="008C6C91" w:rsidRDefault="00472A52" w:rsidP="00E802F6">
      <w:pPr>
        <w:pStyle w:val="ListParagraph"/>
        <w:numPr>
          <w:ilvl w:val="0"/>
          <w:numId w:val="88"/>
        </w:numPr>
        <w:ind w:left="357" w:hanging="357"/>
        <w:jc w:val="both"/>
        <w:rPr>
          <w:rFonts w:ascii="Arial" w:hAnsi="Arial" w:cs="Arial"/>
          <w:color w:val="000000"/>
          <w:sz w:val="20"/>
        </w:rPr>
      </w:pPr>
      <w:r>
        <w:rPr>
          <w:rFonts w:ascii="Arial" w:hAnsi="Arial" w:cs="Arial"/>
          <w:color w:val="000000"/>
          <w:sz w:val="20"/>
        </w:rPr>
        <w:t xml:space="preserve">the obligation of the presiding judicial officer </w:t>
      </w:r>
      <w:r w:rsidR="00510BDE">
        <w:rPr>
          <w:rFonts w:ascii="Arial" w:hAnsi="Arial" w:cs="Arial"/>
          <w:color w:val="000000"/>
          <w:sz w:val="20"/>
        </w:rPr>
        <w:t xml:space="preserve">– independently of the parties – </w:t>
      </w:r>
      <w:r>
        <w:rPr>
          <w:rFonts w:ascii="Arial" w:hAnsi="Arial" w:cs="Arial"/>
          <w:color w:val="000000"/>
          <w:sz w:val="20"/>
        </w:rPr>
        <w:t>to</w:t>
      </w:r>
      <w:r w:rsidR="00510BDE">
        <w:rPr>
          <w:rFonts w:ascii="Arial" w:hAnsi="Arial" w:cs="Arial"/>
          <w:color w:val="000000"/>
          <w:sz w:val="20"/>
        </w:rPr>
        <w:t xml:space="preserve"> </w:t>
      </w:r>
      <w:r w:rsidR="000A7BEB">
        <w:rPr>
          <w:rFonts w:ascii="Arial" w:hAnsi="Arial" w:cs="Arial"/>
          <w:color w:val="000000"/>
          <w:sz w:val="20"/>
        </w:rPr>
        <w:t>have regard to relevant ‘best interests’ principles in making any decision or taking any action in child protection proceedings; and</w:t>
      </w:r>
    </w:p>
    <w:p w14:paraId="033771F8" w14:textId="718E5B0E" w:rsidR="000A7BEB" w:rsidRPr="00472A52" w:rsidRDefault="000A7BEB" w:rsidP="00E802F6">
      <w:pPr>
        <w:pStyle w:val="ListParagraph"/>
        <w:numPr>
          <w:ilvl w:val="0"/>
          <w:numId w:val="88"/>
        </w:numPr>
        <w:ind w:left="357" w:hanging="357"/>
        <w:jc w:val="both"/>
        <w:rPr>
          <w:rFonts w:ascii="Arial" w:hAnsi="Arial" w:cs="Arial"/>
          <w:color w:val="000000"/>
          <w:sz w:val="20"/>
        </w:rPr>
      </w:pPr>
      <w:r>
        <w:rPr>
          <w:rFonts w:ascii="Arial" w:hAnsi="Arial" w:cs="Arial"/>
          <w:color w:val="000000"/>
          <w:sz w:val="20"/>
        </w:rPr>
        <w:t>the pr</w:t>
      </w:r>
      <w:r w:rsidR="00510BDE">
        <w:rPr>
          <w:rFonts w:ascii="Arial" w:hAnsi="Arial" w:cs="Arial"/>
          <w:color w:val="000000"/>
          <w:sz w:val="20"/>
        </w:rPr>
        <w:t xml:space="preserve">ovisions of </w:t>
      </w:r>
      <w:r>
        <w:rPr>
          <w:rFonts w:ascii="Arial" w:hAnsi="Arial" w:cs="Arial"/>
          <w:color w:val="000000"/>
          <w:sz w:val="20"/>
        </w:rPr>
        <w:t>ss.215 &amp; 215B of the CYFA in relation to the conduct and management of child protection proceedings in the Children’s Court.</w:t>
      </w:r>
    </w:p>
    <w:p w14:paraId="753E73A2" w14:textId="17C7C9A4" w:rsidR="00091307" w:rsidRDefault="003232A7" w:rsidP="000A7BEB">
      <w:pPr>
        <w:spacing w:before="120"/>
        <w:jc w:val="both"/>
        <w:rPr>
          <w:rFonts w:ascii="Arial" w:hAnsi="Arial" w:cs="Arial"/>
          <w:color w:val="000000"/>
          <w:sz w:val="20"/>
        </w:rPr>
      </w:pPr>
      <w:proofErr w:type="gramStart"/>
      <w:r>
        <w:rPr>
          <w:rFonts w:ascii="Arial" w:hAnsi="Arial" w:cs="Arial"/>
          <w:color w:val="000000"/>
          <w:sz w:val="20"/>
        </w:rPr>
        <w:t>In the course of</w:t>
      </w:r>
      <w:proofErr w:type="gramEnd"/>
      <w:r>
        <w:rPr>
          <w:rFonts w:ascii="Arial" w:hAnsi="Arial" w:cs="Arial"/>
          <w:color w:val="000000"/>
          <w:sz w:val="20"/>
        </w:rPr>
        <w:t xml:space="preserve"> </w:t>
      </w:r>
      <w:r w:rsidR="00472A52">
        <w:rPr>
          <w:rFonts w:ascii="Arial" w:hAnsi="Arial" w:cs="Arial"/>
          <w:color w:val="000000"/>
          <w:sz w:val="20"/>
        </w:rPr>
        <w:t>its judgment</w:t>
      </w:r>
      <w:r>
        <w:rPr>
          <w:rFonts w:ascii="Arial" w:hAnsi="Arial" w:cs="Arial"/>
          <w:color w:val="000000"/>
          <w:sz w:val="20"/>
        </w:rPr>
        <w:t xml:space="preserve"> </w:t>
      </w:r>
      <w:r w:rsidR="00B66B64">
        <w:rPr>
          <w:rFonts w:ascii="Arial" w:hAnsi="Arial" w:cs="Arial"/>
          <w:color w:val="000000"/>
          <w:sz w:val="20"/>
        </w:rPr>
        <w:t xml:space="preserve">in </w:t>
      </w:r>
      <w:proofErr w:type="spellStart"/>
      <w:r w:rsidR="00B66B64" w:rsidRPr="00472A52">
        <w:rPr>
          <w:rFonts w:ascii="Arial" w:hAnsi="Arial" w:cs="Arial"/>
          <w:i/>
          <w:iCs/>
          <w:color w:val="000000"/>
          <w:sz w:val="20"/>
        </w:rPr>
        <w:t>Nwagbo’s</w:t>
      </w:r>
      <w:proofErr w:type="spellEnd"/>
      <w:r w:rsidR="00B66B64" w:rsidRPr="00472A52">
        <w:rPr>
          <w:rFonts w:ascii="Arial" w:hAnsi="Arial" w:cs="Arial"/>
          <w:i/>
          <w:iCs/>
          <w:color w:val="000000"/>
          <w:sz w:val="20"/>
        </w:rPr>
        <w:t xml:space="preserve"> Case</w:t>
      </w:r>
      <w:r w:rsidR="00B66B64">
        <w:rPr>
          <w:rFonts w:ascii="Arial" w:hAnsi="Arial" w:cs="Arial"/>
          <w:color w:val="000000"/>
          <w:sz w:val="20"/>
        </w:rPr>
        <w:t xml:space="preserve"> </w:t>
      </w:r>
      <w:r>
        <w:rPr>
          <w:rFonts w:ascii="Arial" w:hAnsi="Arial" w:cs="Arial"/>
          <w:color w:val="000000"/>
          <w:sz w:val="20"/>
        </w:rPr>
        <w:t xml:space="preserve">the Court </w:t>
      </w:r>
      <w:r w:rsidR="00B66B64">
        <w:rPr>
          <w:rFonts w:ascii="Arial" w:hAnsi="Arial" w:cs="Arial"/>
          <w:color w:val="000000"/>
          <w:sz w:val="20"/>
        </w:rPr>
        <w:t xml:space="preserve">of Appeal </w:t>
      </w:r>
      <w:r>
        <w:rPr>
          <w:rFonts w:ascii="Arial" w:hAnsi="Arial" w:cs="Arial"/>
          <w:color w:val="000000"/>
          <w:sz w:val="20"/>
        </w:rPr>
        <w:t>referred with approval to dicta from a large number of cases,</w:t>
      </w:r>
      <w:r w:rsidR="00E802F6">
        <w:rPr>
          <w:rFonts w:ascii="Arial" w:hAnsi="Arial" w:cs="Arial"/>
          <w:color w:val="000000"/>
          <w:sz w:val="20"/>
        </w:rPr>
        <w:t xml:space="preserve"> saying</w:t>
      </w:r>
      <w:r>
        <w:rPr>
          <w:rFonts w:ascii="Arial" w:hAnsi="Arial" w:cs="Arial"/>
          <w:color w:val="000000"/>
          <w:sz w:val="20"/>
        </w:rPr>
        <w:t>-</w:t>
      </w:r>
    </w:p>
    <w:p w14:paraId="654E0CB7" w14:textId="56817B2A" w:rsidR="00091307" w:rsidRPr="00E802F6" w:rsidRDefault="003232A7" w:rsidP="00E802F6">
      <w:pPr>
        <w:keepNext/>
        <w:keepLines/>
        <w:numPr>
          <w:ilvl w:val="0"/>
          <w:numId w:val="66"/>
        </w:numPr>
        <w:spacing w:before="60"/>
        <w:ind w:left="738" w:right="454" w:hanging="284"/>
        <w:jc w:val="both"/>
        <w:rPr>
          <w:rFonts w:ascii="Arial" w:hAnsi="Arial" w:cs="Arial"/>
          <w:sz w:val="20"/>
          <w:szCs w:val="20"/>
        </w:rPr>
      </w:pPr>
      <w:r>
        <w:rPr>
          <w:rFonts w:ascii="Arial" w:hAnsi="Arial" w:cs="Arial"/>
          <w:color w:val="000000"/>
          <w:sz w:val="20"/>
        </w:rPr>
        <w:lastRenderedPageBreak/>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intervention that he follows the points made by the advocates and can assess their worth; and at the end to make up his mind where the truth lies. If he goes beyond this, he drops the mantle of a judge and assumes the </w:t>
      </w:r>
      <w:proofErr w:type="spellStart"/>
      <w:r w:rsidRPr="003232A7">
        <w:rPr>
          <w:rFonts w:ascii="Arial" w:hAnsi="Arial" w:cs="Arial"/>
          <w:sz w:val="20"/>
          <w:szCs w:val="20"/>
        </w:rPr>
        <w:t>robe</w:t>
      </w:r>
      <w:proofErr w:type="spellEnd"/>
      <w:r w:rsidRPr="003232A7">
        <w:rPr>
          <w:rFonts w:ascii="Arial" w:hAnsi="Arial" w:cs="Arial"/>
          <w:sz w:val="20"/>
          <w:szCs w:val="20"/>
        </w:rPr>
        <w:t xml:space="preserv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rsidP="00D772F0">
      <w:pPr>
        <w:numPr>
          <w:ilvl w:val="0"/>
          <w:numId w:val="66"/>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proofErr w:type="spellStart"/>
      <w:r w:rsidRPr="002236D7">
        <w:rPr>
          <w:rFonts w:ascii="Arial" w:hAnsi="Arial" w:cs="Arial"/>
          <w:i/>
          <w:iCs/>
          <w:sz w:val="20"/>
          <w:szCs w:val="20"/>
        </w:rPr>
        <w:t>Ratten</w:t>
      </w:r>
      <w:proofErr w:type="spellEnd"/>
      <w:r w:rsidRPr="002236D7">
        <w:rPr>
          <w:rFonts w:ascii="Arial" w:hAnsi="Arial" w:cs="Arial"/>
          <w:i/>
          <w:iCs/>
          <w:sz w:val="20"/>
          <w:szCs w:val="20"/>
        </w:rPr>
        <w:t xml:space="preserve"> v The Queen</w:t>
      </w:r>
      <w:r>
        <w:rPr>
          <w:rFonts w:ascii="Arial" w:hAnsi="Arial" w:cs="Arial"/>
          <w:sz w:val="20"/>
          <w:szCs w:val="20"/>
        </w:rPr>
        <w:t xml:space="preserve"> (1974) 131 CLR 510, 517 per Barwick CJ.}</w:t>
      </w:r>
    </w:p>
    <w:p w14:paraId="1073623D" w14:textId="77777777" w:rsidR="005F231E" w:rsidRPr="00C812C2" w:rsidRDefault="002236D7"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3F9B5D35" w14:textId="77777777" w:rsidR="005F231E" w:rsidRPr="00C812C2" w:rsidRDefault="008F62A4"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3D90A20D" w14:textId="77777777" w:rsidR="005F231E" w:rsidRPr="00C812C2" w:rsidRDefault="00961E62"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Pr="00961E62">
        <w:rPr>
          <w:rFonts w:ascii="Arial" w:hAnsi="Arial" w:cs="Arial"/>
          <w:sz w:val="20"/>
          <w:szCs w:val="20"/>
        </w:rPr>
        <w:t xml:space="preserve">It is not part of the functions of a trial judge </w:t>
      </w:r>
      <w:r w:rsidR="000A7BEB">
        <w:rPr>
          <w:rFonts w:ascii="Arial" w:hAnsi="Arial" w:cs="Arial"/>
          <w:sz w:val="20"/>
          <w:szCs w:val="20"/>
        </w:rPr>
        <w:t xml:space="preserve">[in a jury trial] </w:t>
      </w:r>
      <w:r w:rsidRPr="00961E62">
        <w:rPr>
          <w:rFonts w:ascii="Arial" w:hAnsi="Arial" w:cs="Arial"/>
          <w:sz w:val="20"/>
          <w:szCs w:val="20"/>
        </w:rPr>
        <w:t>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sidR="000A7BEB">
        <w:rPr>
          <w:rFonts w:ascii="Arial" w:hAnsi="Arial" w:cs="Arial"/>
          <w:sz w:val="20"/>
          <w:szCs w:val="20"/>
        </w:rPr>
        <w:t>…</w:t>
      </w:r>
      <w:r w:rsidR="000A7BEB" w:rsidRPr="00D33CEF">
        <w:rPr>
          <w:rFonts w:ascii="Arial" w:hAnsi="Arial" w:cs="Arial"/>
          <w:sz w:val="20"/>
          <w:szCs w:val="20"/>
        </w:rPr>
        <w:t xml:space="preserve"> It is permissible for a judge to intervene, even, if necessary, repeatedly, during evidence-in-chief and cross-examination of an expert witness in a judge-alone trial where the intervention occurs to ‘enable [the judge] to understand the technical points of the case’</w:t>
      </w:r>
      <w:r w:rsidR="000A7BEB">
        <w:rPr>
          <w:rFonts w:ascii="Arial" w:hAnsi="Arial" w:cs="Arial"/>
          <w:sz w:val="20"/>
          <w:szCs w:val="20"/>
        </w:rPr>
        <w:t xml:space="preserve">: </w:t>
      </w:r>
      <w:r w:rsidR="000A7BEB" w:rsidRPr="000A7BEB">
        <w:rPr>
          <w:rFonts w:ascii="Arial" w:hAnsi="Arial" w:cs="Arial"/>
          <w:i/>
          <w:iCs/>
          <w:sz w:val="20"/>
          <w:szCs w:val="20"/>
        </w:rPr>
        <w:t>Jones</w:t>
      </w:r>
      <w:r w:rsidR="000A7BEB">
        <w:rPr>
          <w:rFonts w:ascii="Arial" w:hAnsi="Arial" w:cs="Arial"/>
          <w:sz w:val="20"/>
          <w:szCs w:val="20"/>
        </w:rPr>
        <w:t xml:space="preserve"> [1957] 2 QB 55, 62 (Denning LJ)</w:t>
      </w:r>
      <w:r w:rsidR="000A7BEB" w:rsidRPr="00D33CEF">
        <w:rPr>
          <w:rFonts w:ascii="Arial" w:hAnsi="Arial" w:cs="Arial"/>
          <w:sz w:val="20"/>
          <w:szCs w:val="20"/>
        </w:rPr>
        <w:t>.  Indeed, a judge is ‘bound to intervene’ in these circumstances.</w:t>
      </w:r>
      <w:r>
        <w:rPr>
          <w:rFonts w:ascii="Arial" w:hAnsi="Arial" w:cs="Arial"/>
          <w:sz w:val="20"/>
          <w:szCs w:val="20"/>
        </w:rPr>
        <w:t>” {</w:t>
      </w:r>
      <w:r w:rsidRPr="00961E62">
        <w:rPr>
          <w:rFonts w:ascii="Arial" w:hAnsi="Arial" w:cs="Arial"/>
          <w:i/>
          <w:iCs/>
          <w:sz w:val="20"/>
          <w:szCs w:val="20"/>
        </w:rPr>
        <w:t xml:space="preserve">R v </w:t>
      </w:r>
      <w:proofErr w:type="spellStart"/>
      <w:r w:rsidRPr="00961E62">
        <w:rPr>
          <w:rFonts w:ascii="Arial" w:hAnsi="Arial" w:cs="Arial"/>
          <w:i/>
          <w:iCs/>
          <w:sz w:val="20"/>
          <w:szCs w:val="20"/>
        </w:rPr>
        <w:t>Brdarovski</w:t>
      </w:r>
      <w:proofErr w:type="spellEnd"/>
      <w:r>
        <w:rPr>
          <w:rFonts w:ascii="Arial" w:hAnsi="Arial" w:cs="Arial"/>
          <w:sz w:val="20"/>
          <w:szCs w:val="20"/>
        </w:rPr>
        <w:t xml:space="preserve"> (2006) 136 A Crim R 336 per Nettle JA at [25].}</w:t>
      </w:r>
    </w:p>
    <w:p w14:paraId="139DCC1F" w14:textId="1878D1FD" w:rsidR="003232A7" w:rsidRPr="00C812C2" w:rsidRDefault="00961E62" w:rsidP="00D772F0">
      <w:pPr>
        <w:numPr>
          <w:ilvl w:val="0"/>
          <w:numId w:val="66"/>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5DCCDF7A" w:rsidR="00C812C2" w:rsidRPr="000A7BEB"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17A631FA" w14:textId="506D1666" w:rsidR="000A7BEB" w:rsidRPr="00394692" w:rsidRDefault="000A7BEB" w:rsidP="00D772F0">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“A </w:t>
      </w:r>
      <w:r w:rsidRPr="00D33CEF">
        <w:rPr>
          <w:rFonts w:ascii="Arial" w:hAnsi="Arial" w:cs="Arial"/>
          <w:sz w:val="20"/>
          <w:szCs w:val="20"/>
        </w:rPr>
        <w:t xml:space="preserve">judge should not, </w:t>
      </w:r>
      <w:proofErr w:type="gramStart"/>
      <w:r w:rsidRPr="00D33CEF">
        <w:rPr>
          <w:rFonts w:ascii="Arial" w:hAnsi="Arial" w:cs="Arial"/>
          <w:sz w:val="20"/>
          <w:szCs w:val="20"/>
        </w:rPr>
        <w:t>during the course of</w:t>
      </w:r>
      <w:proofErr w:type="gramEnd"/>
      <w:r w:rsidRPr="00D33CEF">
        <w:rPr>
          <w:rFonts w:ascii="Arial" w:hAnsi="Arial" w:cs="Arial"/>
          <w:sz w:val="20"/>
          <w:szCs w:val="20"/>
        </w:rPr>
        <w:t xml:space="preserve"> questioning</w:t>
      </w:r>
      <w:r w:rsidR="00394692">
        <w:rPr>
          <w:rFonts w:ascii="Arial" w:hAnsi="Arial" w:cs="Arial"/>
          <w:sz w:val="20"/>
          <w:szCs w:val="20"/>
        </w:rPr>
        <w:t xml:space="preserve"> [in a criminal trial]</w:t>
      </w:r>
      <w:r w:rsidRPr="00D33CEF">
        <w:rPr>
          <w:rFonts w:ascii="Arial" w:hAnsi="Arial" w:cs="Arial"/>
          <w:sz w:val="20"/>
          <w:szCs w:val="20"/>
        </w:rPr>
        <w:t xml:space="preserve">, raise a point which neither party had raised or sought to raise.  In </w:t>
      </w:r>
      <w:proofErr w:type="spellStart"/>
      <w:r w:rsidRPr="00D33CEF">
        <w:rPr>
          <w:rFonts w:ascii="Arial" w:eastAsia="Book Antiqua" w:hAnsi="Arial" w:cs="Arial"/>
          <w:i/>
          <w:sz w:val="20"/>
          <w:szCs w:val="20"/>
        </w:rPr>
        <w:t>Brdarovski</w:t>
      </w:r>
      <w:proofErr w:type="spellEnd"/>
      <w:r w:rsidRPr="00D33CEF">
        <w:rPr>
          <w:rFonts w:ascii="Arial" w:hAnsi="Arial" w:cs="Arial"/>
          <w:sz w:val="20"/>
          <w:szCs w:val="20"/>
        </w:rPr>
        <w:t>, the trial judge intervened during cross-examination of the accused to question him on DNA, directed towards an issue the prosecutor had elected to leave alone:</w:t>
      </w:r>
      <w:r w:rsidR="00394692">
        <w:rPr>
          <w:rFonts w:ascii="Arial" w:hAnsi="Arial" w:cs="Arial"/>
          <w:sz w:val="20"/>
          <w:szCs w:val="20"/>
        </w:rPr>
        <w:t xml:space="preserve"> ‘It was not for the judge to create an issue where none existed.’”</w:t>
      </w:r>
    </w:p>
    <w:p w14:paraId="49ED082A" w14:textId="3B3F472C" w:rsidR="00394692" w:rsidRPr="00394692" w:rsidRDefault="00394692" w:rsidP="00D772F0">
      <w:pPr>
        <w:numPr>
          <w:ilvl w:val="0"/>
          <w:numId w:val="66"/>
        </w:numPr>
        <w:spacing w:before="60"/>
        <w:ind w:left="738" w:right="454" w:hanging="284"/>
        <w:jc w:val="both"/>
        <w:rPr>
          <w:rFonts w:ascii="Arial" w:hAnsi="Arial" w:cs="Arial"/>
          <w:color w:val="000000"/>
          <w:sz w:val="20"/>
        </w:rPr>
      </w:pPr>
      <w:r w:rsidRPr="00394692">
        <w:rPr>
          <w:rFonts w:ascii="Arial" w:hAnsi="Arial" w:cs="Arial"/>
          <w:sz w:val="20"/>
          <w:szCs w:val="20"/>
        </w:rPr>
        <w:lastRenderedPageBreak/>
        <w:t xml:space="preserve">“Judges should avoid denigrating counsel, particularly before a jury </w:t>
      </w:r>
      <w:r w:rsidRPr="00394692">
        <w:rPr>
          <w:rFonts w:ascii="Arial" w:eastAsia="Book Antiqua" w:hAnsi="Arial" w:cs="Arial"/>
          <w:i/>
          <w:sz w:val="20"/>
          <w:szCs w:val="20"/>
        </w:rPr>
        <w:t xml:space="preserve">Galea </w:t>
      </w:r>
      <w:r w:rsidRPr="00394692">
        <w:rPr>
          <w:rFonts w:ascii="Arial" w:hAnsi="Arial" w:cs="Arial"/>
          <w:sz w:val="20"/>
          <w:szCs w:val="20"/>
        </w:rPr>
        <w:t xml:space="preserve">(1990) 19 NSWLR 263, 282 (Kirby ACJ) (and, ideally, in its absence: </w:t>
      </w:r>
      <w:proofErr w:type="spellStart"/>
      <w:r w:rsidRPr="00394692">
        <w:rPr>
          <w:rFonts w:ascii="Arial" w:eastAsia="Book Antiqua" w:hAnsi="Arial" w:cs="Arial"/>
          <w:i/>
          <w:sz w:val="20"/>
          <w:szCs w:val="20"/>
        </w:rPr>
        <w:t>Piccolotto</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[2015] VSCA 143, [31]</w:t>
      </w:r>
      <w:proofErr w:type="gramStart"/>
      <w:r w:rsidRPr="00394692">
        <w:rPr>
          <w:rFonts w:ascii="Arial" w:hAnsi="Arial" w:cs="Arial"/>
          <w:sz w:val="20"/>
          <w:szCs w:val="20"/>
        </w:rPr>
        <w:t>–[</w:t>
      </w:r>
      <w:proofErr w:type="gramEnd"/>
      <w:r w:rsidRPr="00394692">
        <w:rPr>
          <w:rFonts w:ascii="Arial" w:hAnsi="Arial" w:cs="Arial"/>
          <w:sz w:val="20"/>
          <w:szCs w:val="20"/>
        </w:rPr>
        <w:t>35] (Redlich, Santamaria and Beach JJA)</w:t>
      </w:r>
      <w:r>
        <w:rPr>
          <w:rFonts w:ascii="Arial" w:hAnsi="Arial" w:cs="Arial"/>
          <w:sz w:val="20"/>
          <w:szCs w:val="20"/>
        </w:rPr>
        <w:t xml:space="preserve">; </w:t>
      </w:r>
      <w:proofErr w:type="spellStart"/>
      <w:r w:rsidRPr="00394692">
        <w:rPr>
          <w:rFonts w:ascii="Arial" w:eastAsia="Book Antiqua" w:hAnsi="Arial" w:cs="Arial"/>
          <w:i/>
          <w:sz w:val="20"/>
          <w:szCs w:val="20"/>
        </w:rPr>
        <w:t>Pyliotis</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[2020] VSCA 134, [60] (Priest, Niall and T Forrest JJA).</w:t>
      </w:r>
      <w:r>
        <w:rPr>
          <w:rFonts w:ascii="Arial" w:hAnsi="Arial" w:cs="Arial"/>
          <w:sz w:val="20"/>
          <w:szCs w:val="20"/>
        </w:rPr>
        <w:t>”</w:t>
      </w:r>
    </w:p>
    <w:p w14:paraId="75365AC9" w14:textId="77777777" w:rsidR="00394692" w:rsidRPr="00394692" w:rsidRDefault="00394692" w:rsidP="00394692">
      <w:pPr>
        <w:numPr>
          <w:ilvl w:val="0"/>
          <w:numId w:val="66"/>
        </w:numPr>
        <w:spacing w:before="60"/>
        <w:ind w:left="738" w:right="454" w:hanging="284"/>
        <w:jc w:val="both"/>
        <w:rPr>
          <w:rFonts w:ascii="Arial" w:hAnsi="Arial" w:cs="Arial"/>
          <w:color w:val="000000"/>
          <w:sz w:val="20"/>
        </w:rPr>
      </w:pPr>
      <w:r>
        <w:rPr>
          <w:rFonts w:ascii="Arial" w:hAnsi="Arial" w:cs="Arial"/>
          <w:sz w:val="20"/>
          <w:szCs w:val="20"/>
        </w:rPr>
        <w:t>“A judge should not, through questioning, convey scepticism about a witness’ evidence or his or her credibility.”</w:t>
      </w:r>
    </w:p>
    <w:p w14:paraId="5BA27D20" w14:textId="56D604CC" w:rsidR="00394692" w:rsidRPr="00394692" w:rsidRDefault="00394692" w:rsidP="00D772F0">
      <w:pPr>
        <w:numPr>
          <w:ilvl w:val="0"/>
          <w:numId w:val="66"/>
        </w:numPr>
        <w:spacing w:before="60"/>
        <w:ind w:left="738" w:right="454" w:hanging="284"/>
        <w:jc w:val="both"/>
        <w:rPr>
          <w:rFonts w:ascii="Arial" w:hAnsi="Arial" w:cs="Arial"/>
          <w:color w:val="000000"/>
          <w:sz w:val="20"/>
          <w:szCs w:val="20"/>
        </w:rPr>
      </w:pPr>
      <w:r>
        <w:rPr>
          <w:rFonts w:ascii="Arial" w:hAnsi="Arial" w:cs="Arial"/>
          <w:sz w:val="20"/>
          <w:szCs w:val="20"/>
        </w:rPr>
        <w:t>“</w:t>
      </w:r>
      <w:r w:rsidRPr="00D33CEF">
        <w:rPr>
          <w:rFonts w:ascii="Arial" w:hAnsi="Arial" w:cs="Arial"/>
          <w:sz w:val="20"/>
          <w:szCs w:val="20"/>
        </w:rPr>
        <w:t xml:space="preserve">Judges possess the full range of human strengths and weaknesses.  In an adversarial system, it may be expected that judges of different temperaments may respond very differently to identical </w:t>
      </w:r>
      <w:proofErr w:type="gramStart"/>
      <w:r w:rsidRPr="00D33CEF">
        <w:rPr>
          <w:rFonts w:ascii="Arial" w:hAnsi="Arial" w:cs="Arial"/>
          <w:sz w:val="20"/>
          <w:szCs w:val="20"/>
        </w:rPr>
        <w:t>circumstances</w:t>
      </w:r>
      <w:proofErr w:type="gramEnd"/>
      <w:r w:rsidRPr="00D33CEF">
        <w:rPr>
          <w:rFonts w:ascii="Arial" w:hAnsi="Arial" w:cs="Arial"/>
          <w:sz w:val="20"/>
          <w:szCs w:val="20"/>
        </w:rPr>
        <w:t xml:space="preserve"> and it is unrealistic to expect unfailing wisdom seasoned with serene composure.  Judges may sometimes be belligerent and rude.  They can on occasions be confrontational and impatient.  They may be sarcastic and disdainful.  Whether the cumulative effect of such conduct will constitute a substantial miscarriage of justice will always be a question of fact and degree.  In </w:t>
      </w:r>
      <w:r w:rsidRPr="00D33CEF">
        <w:rPr>
          <w:rFonts w:ascii="Arial" w:eastAsia="Book Antiqua" w:hAnsi="Arial" w:cs="Arial"/>
          <w:i/>
          <w:sz w:val="20"/>
          <w:szCs w:val="20"/>
        </w:rPr>
        <w:t xml:space="preserve">Budd v Kambah Tea Tree </w:t>
      </w:r>
      <w:r w:rsidRPr="00394692">
        <w:rPr>
          <w:rFonts w:ascii="Arial" w:eastAsia="Book Antiqua" w:hAnsi="Arial" w:cs="Arial"/>
          <w:i/>
          <w:sz w:val="20"/>
          <w:szCs w:val="20"/>
        </w:rPr>
        <w:t xml:space="preserve">Plantations Pty Ltd </w:t>
      </w:r>
      <w:r w:rsidRPr="00394692">
        <w:rPr>
          <w:rFonts w:ascii="Arial" w:hAnsi="Arial" w:cs="Arial"/>
          <w:sz w:val="20"/>
          <w:szCs w:val="20"/>
        </w:rPr>
        <w:t xml:space="preserve">[2001] NSWCA 180 at [103] </w:t>
      </w:r>
      <w:proofErr w:type="spellStart"/>
      <w:r w:rsidRPr="00394692">
        <w:rPr>
          <w:rFonts w:ascii="Arial" w:hAnsi="Arial" w:cs="Arial"/>
          <w:sz w:val="20"/>
          <w:szCs w:val="20"/>
        </w:rPr>
        <w:t>Heydon</w:t>
      </w:r>
      <w:proofErr w:type="spellEnd"/>
      <w:r w:rsidRPr="00394692">
        <w:rPr>
          <w:rFonts w:ascii="Arial" w:hAnsi="Arial" w:cs="Arial"/>
          <w:sz w:val="20"/>
          <w:szCs w:val="20"/>
        </w:rPr>
        <w:t xml:space="preserve"> JA, in the setting of civil litigation, sanctioned the robust approach to the conduct of a trial adopted by the judge at first instance as a ‘modern technique, and a not unacceptable one, particularly in a busy trial court under pressure from crowded </w:t>
      </w:r>
      <w:proofErr w:type="gramStart"/>
      <w:r w:rsidRPr="00394692">
        <w:rPr>
          <w:rFonts w:ascii="Arial" w:hAnsi="Arial" w:cs="Arial"/>
          <w:sz w:val="20"/>
          <w:szCs w:val="20"/>
        </w:rPr>
        <w:t>lists’</w:t>
      </w:r>
      <w:proofErr w:type="gramEnd"/>
      <w:r w:rsidRPr="00394692">
        <w:rPr>
          <w:rFonts w:ascii="Arial" w:hAnsi="Arial" w:cs="Arial"/>
          <w:sz w:val="20"/>
          <w:szCs w:val="20"/>
        </w:rPr>
        <w:t xml:space="preserve">.  Nettle JA, citing this observation in </w:t>
      </w:r>
      <w:r w:rsidRPr="00394692">
        <w:rPr>
          <w:rFonts w:ascii="Arial" w:eastAsia="Book Antiqua" w:hAnsi="Arial" w:cs="Arial"/>
          <w:i/>
          <w:sz w:val="20"/>
          <w:szCs w:val="20"/>
        </w:rPr>
        <w:t>Anderson</w:t>
      </w:r>
      <w:r w:rsidRPr="00394692">
        <w:rPr>
          <w:rFonts w:ascii="Arial" w:hAnsi="Arial" w:cs="Arial"/>
          <w:sz w:val="20"/>
          <w:szCs w:val="20"/>
        </w:rPr>
        <w:t xml:space="preserve"> [2007] VSCA 172, remarked at [95] that trial litigation often called for ‘plain speaking, directness and sometimes asperity’.  In the scheme of things, a trial judge should endeavour to avoid ‘truculence and discourtesy’, although ‘in any </w:t>
      </w:r>
      <w:proofErr w:type="gramStart"/>
      <w:r w:rsidRPr="00394692">
        <w:rPr>
          <w:rFonts w:ascii="Arial" w:hAnsi="Arial" w:cs="Arial"/>
          <w:sz w:val="20"/>
          <w:szCs w:val="20"/>
        </w:rPr>
        <w:t>hard fought</w:t>
      </w:r>
      <w:proofErr w:type="gramEnd"/>
      <w:r w:rsidRPr="00394692">
        <w:rPr>
          <w:rFonts w:ascii="Arial" w:hAnsi="Arial" w:cs="Arial"/>
          <w:sz w:val="20"/>
          <w:szCs w:val="20"/>
        </w:rPr>
        <w:t xml:space="preserve"> case’ it may well arise.  The fact that it does is not necessarily determinative of the question whether there has been a substantial miscarriage of justice.  It is always necessary to ask whether the trial has been so compromised by the judge’s conduct as to no longer justify the characterisation of a ‘fair trial’.</w:t>
      </w:r>
      <w:r>
        <w:rPr>
          <w:rFonts w:ascii="Arial" w:hAnsi="Arial" w:cs="Arial"/>
          <w:sz w:val="20"/>
          <w:szCs w:val="20"/>
        </w:rPr>
        <w:t>”</w:t>
      </w:r>
    </w:p>
    <w:p w14:paraId="0AC6F941" w14:textId="63296383" w:rsidR="00CD6C93" w:rsidRDefault="00394692" w:rsidP="00E802F6">
      <w:pPr>
        <w:spacing w:before="120"/>
        <w:jc w:val="both"/>
        <w:rPr>
          <w:rFonts w:ascii="Arial" w:hAnsi="Arial" w:cs="Arial"/>
          <w:sz w:val="20"/>
          <w:szCs w:val="20"/>
        </w:rPr>
      </w:pPr>
      <w:r>
        <w:rPr>
          <w:rFonts w:ascii="Arial" w:hAnsi="Arial" w:cs="Arial"/>
          <w:sz w:val="20"/>
          <w:szCs w:val="20"/>
        </w:rPr>
        <w:t>I</w:t>
      </w:r>
      <w:r w:rsidR="00AD7327">
        <w:rPr>
          <w:rFonts w:ascii="Arial" w:hAnsi="Arial" w:cs="Arial"/>
          <w:sz w:val="20"/>
          <w:szCs w:val="20"/>
        </w:rPr>
        <w:t>n the context of adversarial proceedings</w:t>
      </w:r>
      <w:r w:rsidR="00CD6C93">
        <w:rPr>
          <w:rFonts w:ascii="Arial" w:hAnsi="Arial" w:cs="Arial"/>
          <w:sz w:val="20"/>
          <w:szCs w:val="20"/>
        </w:rPr>
        <w:t>,</w:t>
      </w:r>
      <w:r w:rsidR="00AD7327">
        <w:rPr>
          <w:rFonts w:ascii="Arial" w:hAnsi="Arial" w:cs="Arial"/>
          <w:sz w:val="20"/>
          <w:szCs w:val="20"/>
        </w:rPr>
        <w:t xml:space="preserve"> </w:t>
      </w:r>
      <w:r>
        <w:rPr>
          <w:rFonts w:ascii="Arial" w:hAnsi="Arial" w:cs="Arial"/>
          <w:sz w:val="20"/>
          <w:szCs w:val="20"/>
        </w:rPr>
        <w:t xml:space="preserve">the Court of Appeal </w:t>
      </w:r>
      <w:r w:rsidR="00E802F6">
        <w:rPr>
          <w:rFonts w:ascii="Arial" w:hAnsi="Arial" w:cs="Arial"/>
          <w:sz w:val="20"/>
          <w:szCs w:val="20"/>
        </w:rPr>
        <w:t>concluded</w:t>
      </w:r>
      <w:r>
        <w:rPr>
          <w:rFonts w:ascii="Arial" w:hAnsi="Arial" w:cs="Arial"/>
          <w:sz w:val="20"/>
          <w:szCs w:val="20"/>
        </w:rPr>
        <w:t xml:space="preserve"> </w:t>
      </w:r>
      <w:r w:rsidR="00CD6C93">
        <w:rPr>
          <w:rFonts w:ascii="Arial" w:hAnsi="Arial" w:cs="Arial"/>
          <w:sz w:val="20"/>
          <w:szCs w:val="20"/>
        </w:rPr>
        <w:t xml:space="preserve">in </w:t>
      </w:r>
      <w:proofErr w:type="spellStart"/>
      <w:r w:rsidR="00CD6C93" w:rsidRPr="00394692">
        <w:rPr>
          <w:rFonts w:ascii="Arial" w:hAnsi="Arial" w:cs="Arial"/>
          <w:i/>
          <w:iCs/>
          <w:sz w:val="20"/>
          <w:szCs w:val="20"/>
        </w:rPr>
        <w:t>Nwagbo’s</w:t>
      </w:r>
      <w:proofErr w:type="spellEnd"/>
      <w:r w:rsidR="00CD6C93" w:rsidRPr="00394692">
        <w:rPr>
          <w:rFonts w:ascii="Arial" w:hAnsi="Arial" w:cs="Arial"/>
          <w:i/>
          <w:iCs/>
          <w:sz w:val="20"/>
          <w:szCs w:val="20"/>
        </w:rPr>
        <w:t xml:space="preserve"> Case</w:t>
      </w:r>
      <w:r w:rsidR="00CD6C93">
        <w:rPr>
          <w:rFonts w:ascii="Arial" w:hAnsi="Arial" w:cs="Arial"/>
          <w:sz w:val="20"/>
          <w:szCs w:val="20"/>
        </w:rPr>
        <w:t xml:space="preserve"> </w:t>
      </w:r>
      <w:r w:rsidR="00230740">
        <w:rPr>
          <w:rFonts w:ascii="Arial" w:hAnsi="Arial" w:cs="Arial"/>
          <w:sz w:val="20"/>
          <w:szCs w:val="20"/>
        </w:rPr>
        <w:t xml:space="preserve">at [38] </w:t>
      </w:r>
      <w:r>
        <w:rPr>
          <w:rFonts w:ascii="Arial" w:hAnsi="Arial" w:cs="Arial"/>
          <w:sz w:val="20"/>
          <w:szCs w:val="20"/>
        </w:rPr>
        <w:t>that</w:t>
      </w:r>
      <w:r w:rsidR="00CD6C93">
        <w:rPr>
          <w:rFonts w:ascii="Arial" w:hAnsi="Arial" w:cs="Arial"/>
          <w:sz w:val="20"/>
          <w:szCs w:val="20"/>
        </w:rPr>
        <w:t>:</w:t>
      </w:r>
    </w:p>
    <w:p w14:paraId="2C05FCA9" w14:textId="2F1F69C4" w:rsidR="008C6C91" w:rsidRPr="00D33CEF" w:rsidRDefault="00394692" w:rsidP="00CD6C93">
      <w:pPr>
        <w:spacing w:before="40"/>
        <w:ind w:left="454" w:right="454"/>
        <w:jc w:val="both"/>
        <w:rPr>
          <w:rFonts w:ascii="Arial" w:hAnsi="Arial" w:cs="Arial"/>
          <w:sz w:val="20"/>
          <w:szCs w:val="20"/>
        </w:rPr>
      </w:pPr>
      <w:r>
        <w:rPr>
          <w:rFonts w:ascii="Arial" w:hAnsi="Arial" w:cs="Arial"/>
          <w:sz w:val="20"/>
          <w:szCs w:val="20"/>
        </w:rPr>
        <w:t>“</w:t>
      </w:r>
      <w:r w:rsidR="00CD6C93">
        <w:rPr>
          <w:rFonts w:ascii="Arial" w:hAnsi="Arial" w:cs="Arial"/>
          <w:sz w:val="20"/>
          <w:szCs w:val="20"/>
        </w:rPr>
        <w:t>I</w:t>
      </w:r>
      <w:r>
        <w:rPr>
          <w:rFonts w:ascii="Arial" w:hAnsi="Arial" w:cs="Arial"/>
          <w:sz w:val="20"/>
          <w:szCs w:val="20"/>
        </w:rPr>
        <w:t xml:space="preserve">n summary, the following propositions can be distilled from the authorities: </w:t>
      </w:r>
    </w:p>
    <w:p w14:paraId="1E2DF4D7"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Whether judicial intervention will constitute a substantial miscarriage of justice will always be a question of fact and degree. </w:t>
      </w:r>
    </w:p>
    <w:p w14:paraId="641695E0"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An adversarial system prescribes distinct roles to counsel and the judge, and the role of the judge is circumscribed by the dynamics of the adversarial system. </w:t>
      </w:r>
    </w:p>
    <w:p w14:paraId="51808DF0"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In jury trials, judges should be especially careful to avoid unnecessary intervention in the presence of the jury. </w:t>
      </w:r>
    </w:p>
    <w:p w14:paraId="4BD208AD"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Judicial intervention in the presence of the jury ought not descend to denigration of counsel or counsel’s case. </w:t>
      </w:r>
    </w:p>
    <w:p w14:paraId="53A3C28B"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give the appearance of adopting the role of a party to the proceeding, nor appear as if that party’s partial advocate. </w:t>
      </w:r>
    </w:p>
    <w:p w14:paraId="4C6B2556"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shape the content of a trial, save for procedural or evidentiary rulings.  Hence, a judge must not endeavour to fill gaps in a party’s case, examine areas that the parties have left alone, nor endeavour to impact upon a witness’s credit. </w:t>
      </w:r>
    </w:p>
    <w:p w14:paraId="45844216"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 judge may intervene </w:t>
      </w:r>
      <w:proofErr w:type="gramStart"/>
      <w:r w:rsidRPr="00D33CEF">
        <w:rPr>
          <w:rFonts w:ascii="Arial" w:hAnsi="Arial" w:cs="Arial"/>
          <w:sz w:val="20"/>
          <w:szCs w:val="20"/>
        </w:rPr>
        <w:t>in order to</w:t>
      </w:r>
      <w:proofErr w:type="gramEnd"/>
      <w:r w:rsidRPr="00D33CEF">
        <w:rPr>
          <w:rFonts w:ascii="Arial" w:hAnsi="Arial" w:cs="Arial"/>
          <w:sz w:val="20"/>
          <w:szCs w:val="20"/>
        </w:rPr>
        <w:t xml:space="preserve"> understand technical issues in a case, or to endeavour to clarify those issues for the jury. </w:t>
      </w:r>
    </w:p>
    <w:p w14:paraId="7DE82AC4" w14:textId="7C6B4D34"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A judge may intervene to maintain proper control over proceedings.</w:t>
      </w:r>
      <w:r w:rsidR="00EA4636">
        <w:rPr>
          <w:rFonts w:ascii="Arial" w:hAnsi="Arial" w:cs="Arial"/>
          <w:sz w:val="20"/>
          <w:szCs w:val="20"/>
        </w:rPr>
        <w:t>”</w:t>
      </w:r>
    </w:p>
    <w:p w14:paraId="281DDA6D" w14:textId="77777777" w:rsidR="008C6C91" w:rsidRDefault="008C6C91" w:rsidP="00B843BA">
      <w:pPr>
        <w:jc w:val="both"/>
      </w:pPr>
    </w:p>
    <w:p w14:paraId="01F7107D" w14:textId="0430C0A6" w:rsidR="00B843BA" w:rsidRDefault="00B843BA" w:rsidP="00B843BA">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procedural fairness – sometimes described as “natural justice” – to all</w:t>
      </w:r>
      <w:r>
        <w:rPr>
          <w:rFonts w:ascii="Arial" w:hAnsi="Arial" w:cs="Arial"/>
          <w:sz w:val="20"/>
        </w:rPr>
        <w:t xml:space="preserve"> parties.  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him a sufficient opportunity to give evidence, or make submissions, about what turned out to be two of three determinative issues arising in relation to 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 xml:space="preserve">Commissioner for Australian Capital Territory Revenue v </w:t>
      </w:r>
      <w:proofErr w:type="spellStart"/>
      <w:r w:rsidRPr="004258E8">
        <w:rPr>
          <w:rFonts w:ascii="Arial" w:hAnsi="Arial" w:cs="Arial"/>
          <w:i/>
          <w:iCs/>
          <w:sz w:val="20"/>
        </w:rPr>
        <w:t>Alphaone</w:t>
      </w:r>
      <w:proofErr w:type="spellEnd"/>
      <w:r w:rsidRPr="004258E8">
        <w:rPr>
          <w:rFonts w:ascii="Arial" w:hAnsi="Arial" w:cs="Arial"/>
          <w:i/>
          <w:iCs/>
          <w:sz w:val="20"/>
        </w:rPr>
        <w:t xml:space="preserv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B843BA">
      <w:pPr>
        <w:ind w:left="454" w:right="454"/>
        <w:jc w:val="both"/>
        <w:rPr>
          <w:rFonts w:ascii="Arial" w:hAnsi="Arial" w:cs="Arial"/>
          <w:sz w:val="20"/>
        </w:rPr>
      </w:pPr>
      <w:r>
        <w:rPr>
          <w:rFonts w:ascii="Arial" w:hAnsi="Arial" w:cs="Arial"/>
          <w:sz w:val="20"/>
        </w:rPr>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w:t>
      </w:r>
      <w:r w:rsidRPr="00490B0F">
        <w:rPr>
          <w:rFonts w:ascii="Arial" w:hAnsi="Arial" w:cs="Arial"/>
          <w:sz w:val="20"/>
        </w:rPr>
        <w:t>[1975] AC 295 at 369</w:t>
      </w:r>
      <w:r>
        <w:rPr>
          <w:rFonts w:ascii="Arial" w:hAnsi="Arial" w:cs="Arial"/>
          <w:i/>
          <w:iCs/>
          <w:sz w:val="20"/>
        </w:rPr>
        <w:t>:</w:t>
      </w:r>
    </w:p>
    <w:p w14:paraId="70C4366C" w14:textId="77777777" w:rsidR="00B843BA" w:rsidRDefault="00B843BA" w:rsidP="005F231E">
      <w:pPr>
        <w:spacing w:before="60"/>
        <w:ind w:left="454" w:right="454"/>
        <w:jc w:val="both"/>
        <w:rPr>
          <w:rFonts w:ascii="Arial" w:hAnsi="Arial" w:cs="Arial"/>
          <w:sz w:val="20"/>
        </w:rPr>
      </w:pPr>
      <w:r>
        <w:rPr>
          <w:rFonts w:ascii="Arial" w:hAnsi="Arial" w:cs="Arial"/>
          <w:iCs/>
          <w:sz w:val="20"/>
        </w:rPr>
        <w:lastRenderedPageBreak/>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3268B623" w14:textId="6A74A502" w:rsidR="00B843BA" w:rsidRDefault="00B843BA" w:rsidP="00B843BA">
      <w:pPr>
        <w:jc w:val="both"/>
        <w:rPr>
          <w:rFonts w:ascii="Arial" w:hAnsi="Arial" w:cs="Arial"/>
          <w:sz w:val="20"/>
        </w:rPr>
      </w:pPr>
      <w:bookmarkStart w:id="96" w:name="_Hlk74894731"/>
    </w:p>
    <w:p w14:paraId="17EB20EF" w14:textId="32BB089E" w:rsidR="002F2123" w:rsidRDefault="002F2123" w:rsidP="00B843BA">
      <w:pPr>
        <w:jc w:val="both"/>
        <w:rPr>
          <w:rFonts w:ascii="Arial" w:hAnsi="Arial" w:cs="Arial"/>
          <w:sz w:val="20"/>
        </w:rPr>
      </w:pPr>
      <w:bookmarkStart w:id="97" w:name="_Hlk74895060"/>
      <w:r>
        <w:rPr>
          <w:rFonts w:ascii="Arial" w:hAnsi="Arial" w:cs="Arial"/>
          <w:sz w:val="20"/>
        </w:rPr>
        <w:t xml:space="preserve">In </w:t>
      </w:r>
      <w:r w:rsidR="00490B0F" w:rsidRPr="00490B0F">
        <w:rPr>
          <w:rFonts w:ascii="Arial" w:hAnsi="Arial" w:cs="Arial"/>
          <w:i/>
          <w:iCs/>
          <w:sz w:val="20"/>
        </w:rPr>
        <w:t>Chief Commissioner of Police v IHF &amp; Police Registration and Services Board</w:t>
      </w:r>
      <w:r w:rsidR="00490B0F">
        <w:rPr>
          <w:rFonts w:ascii="Arial" w:hAnsi="Arial" w:cs="Arial"/>
          <w:sz w:val="20"/>
        </w:rPr>
        <w:t xml:space="preserve"> [2021] VSCA 147 the Court of Appeal (Kyrou, Emerton &amp; Kennedy JJA) said at [113]-[115]:</w:t>
      </w:r>
    </w:p>
    <w:p w14:paraId="4432E9D9" w14:textId="5FBCD5EF" w:rsidR="00AC42A5" w:rsidRPr="006B1579" w:rsidRDefault="00AC42A5" w:rsidP="00AC42A5">
      <w:pPr>
        <w:spacing w:before="80"/>
        <w:ind w:left="454" w:right="454"/>
        <w:jc w:val="both"/>
        <w:rPr>
          <w:rFonts w:ascii="Arial" w:hAnsi="Arial" w:cs="Arial"/>
          <w:sz w:val="20"/>
          <w:szCs w:val="20"/>
        </w:rPr>
      </w:pPr>
      <w:r>
        <w:rPr>
          <w:rFonts w:ascii="Arial" w:hAnsi="Arial" w:cs="Arial"/>
          <w:sz w:val="20"/>
        </w:rPr>
        <w:t xml:space="preserve">[113] </w:t>
      </w:r>
      <w:r w:rsidR="00490B0F">
        <w:rPr>
          <w:rFonts w:ascii="Arial" w:hAnsi="Arial" w:cs="Arial"/>
          <w:sz w:val="20"/>
        </w:rPr>
        <w:t>“</w:t>
      </w:r>
      <w:r w:rsidR="00490B0F" w:rsidRPr="002F2123">
        <w:rPr>
          <w:rFonts w:ascii="Arial" w:hAnsi="Arial" w:cs="Arial"/>
          <w:sz w:val="20"/>
          <w:szCs w:val="20"/>
        </w:rPr>
        <w:t>Ordinarily, procedural fairness does not require a decision-maker to disclose their provisional views or proposed conclusions</w:t>
      </w:r>
      <w:r w:rsidR="00490B0F">
        <w:rPr>
          <w:rFonts w:ascii="Arial" w:hAnsi="Arial" w:cs="Arial"/>
          <w:sz w:val="20"/>
          <w:szCs w:val="20"/>
        </w:rPr>
        <w:t>: s</w:t>
      </w:r>
      <w:r w:rsidR="00490B0F" w:rsidRPr="002F2123">
        <w:rPr>
          <w:rFonts w:ascii="Arial" w:hAnsi="Arial" w:cs="Arial"/>
          <w:sz w:val="20"/>
          <w:szCs w:val="20"/>
        </w:rPr>
        <w:t xml:space="preserve">ee, </w:t>
      </w:r>
      <w:proofErr w:type="spellStart"/>
      <w:r w:rsidR="00490B0F" w:rsidRPr="002F2123">
        <w:rPr>
          <w:rFonts w:ascii="Arial" w:hAnsi="Arial" w:cs="Arial"/>
          <w:sz w:val="20"/>
          <w:szCs w:val="20"/>
        </w:rPr>
        <w:t>eg</w:t>
      </w:r>
      <w:proofErr w:type="spellEnd"/>
      <w:r w:rsidR="00490B0F" w:rsidRPr="002F2123">
        <w:rPr>
          <w:rFonts w:ascii="Arial" w:hAnsi="Arial" w:cs="Arial"/>
          <w:sz w:val="20"/>
          <w:szCs w:val="20"/>
        </w:rPr>
        <w:t xml:space="preserve">, </w:t>
      </w:r>
      <w:r w:rsidR="00490B0F" w:rsidRPr="00490B0F">
        <w:rPr>
          <w:rFonts w:ascii="Arial" w:hAnsi="Arial" w:cs="Arial"/>
          <w:i/>
          <w:iCs/>
          <w:sz w:val="20"/>
          <w:szCs w:val="20"/>
        </w:rPr>
        <w:t>Ansett Transport Industries Ltd v Minister for Aviation</w:t>
      </w:r>
      <w:r w:rsidR="00490B0F" w:rsidRPr="002F2123">
        <w:rPr>
          <w:rFonts w:ascii="Arial" w:hAnsi="Arial" w:cs="Arial"/>
          <w:sz w:val="20"/>
          <w:szCs w:val="20"/>
        </w:rPr>
        <w:t xml:space="preserve"> (1987) 72 ALR 469, 499 (Lockhart J).</w:t>
      </w:r>
      <w:r w:rsidR="00490B0F">
        <w:rPr>
          <w:rFonts w:ascii="Arial" w:hAnsi="Arial" w:cs="Arial"/>
          <w:sz w:val="20"/>
          <w:szCs w:val="20"/>
        </w:rPr>
        <w:t xml:space="preserve">  </w:t>
      </w:r>
      <w:r w:rsidR="00490B0F" w:rsidRPr="002F2123">
        <w:rPr>
          <w:rFonts w:ascii="Arial" w:hAnsi="Arial" w:cs="Arial"/>
          <w:sz w:val="20"/>
          <w:szCs w:val="20"/>
        </w:rPr>
        <w:t>Nor is there a general obligation for a decision-maker to disclose their mental process, in the sense of providing a ‘running commentary’ that gives the applicant ‘forewarning of all possible reasons for failure’</w:t>
      </w:r>
      <w:r w:rsidR="00490B0F">
        <w:rPr>
          <w:rFonts w:ascii="Arial" w:hAnsi="Arial" w:cs="Arial"/>
          <w:sz w:val="20"/>
          <w:szCs w:val="20"/>
        </w:rPr>
        <w:t xml:space="preserve">: </w:t>
      </w:r>
      <w:r w:rsidR="00490B0F" w:rsidRPr="00490B0F">
        <w:rPr>
          <w:rFonts w:ascii="Arial" w:hAnsi="Arial" w:cs="Arial"/>
          <w:i/>
          <w:iCs/>
          <w:sz w:val="20"/>
          <w:szCs w:val="20"/>
        </w:rPr>
        <w:t xml:space="preserve">Re Minister for Immigration and Multicultural Affairs; Ex </w:t>
      </w:r>
      <w:proofErr w:type="spellStart"/>
      <w:r w:rsidR="00490B0F" w:rsidRPr="00490B0F">
        <w:rPr>
          <w:rFonts w:ascii="Arial" w:hAnsi="Arial" w:cs="Arial"/>
          <w:i/>
          <w:iCs/>
          <w:sz w:val="20"/>
          <w:szCs w:val="20"/>
        </w:rPr>
        <w:t>parte</w:t>
      </w:r>
      <w:proofErr w:type="spellEnd"/>
      <w:r w:rsidR="00490B0F" w:rsidRPr="00490B0F">
        <w:rPr>
          <w:rFonts w:ascii="Arial" w:hAnsi="Arial" w:cs="Arial"/>
          <w:i/>
          <w:iCs/>
          <w:sz w:val="20"/>
          <w:szCs w:val="20"/>
        </w:rPr>
        <w:t xml:space="preserve"> Miah</w:t>
      </w:r>
      <w:r w:rsidR="00490B0F" w:rsidRPr="002F2123">
        <w:rPr>
          <w:rFonts w:ascii="Arial" w:hAnsi="Arial" w:cs="Arial"/>
          <w:sz w:val="20"/>
          <w:szCs w:val="20"/>
        </w:rPr>
        <w:t xml:space="preserve"> (2001) 206 CLR 57, 69 [31]; [2001] HCA 22 (Gleeson CJ and Hayne J)</w:t>
      </w:r>
      <w:r w:rsidR="00490B0F">
        <w:rPr>
          <w:rFonts w:ascii="Arial" w:hAnsi="Arial" w:cs="Arial"/>
          <w:sz w:val="20"/>
          <w:szCs w:val="20"/>
        </w:rPr>
        <w:t>; s</w:t>
      </w:r>
      <w:r w:rsidR="00490B0F" w:rsidRPr="002F2123">
        <w:rPr>
          <w:rFonts w:ascii="Arial" w:hAnsi="Arial" w:cs="Arial"/>
          <w:sz w:val="20"/>
          <w:szCs w:val="20"/>
        </w:rPr>
        <w:t xml:space="preserve">ee also </w:t>
      </w:r>
      <w:r w:rsidR="00490B0F" w:rsidRPr="00490B0F">
        <w:rPr>
          <w:rFonts w:ascii="Arial" w:hAnsi="Arial" w:cs="Arial"/>
          <w:i/>
          <w:iCs/>
          <w:sz w:val="20"/>
          <w:szCs w:val="20"/>
        </w:rPr>
        <w:t>F Hoffman-La Roche and Co AG v Secretary of State for Trade and Industry</w:t>
      </w:r>
      <w:r w:rsidR="00490B0F" w:rsidRPr="002F2123">
        <w:rPr>
          <w:rFonts w:ascii="Arial" w:hAnsi="Arial" w:cs="Arial"/>
          <w:sz w:val="20"/>
          <w:szCs w:val="20"/>
        </w:rPr>
        <w:t xml:space="preserve"> [1975] AC 295</w:t>
      </w:r>
      <w:r w:rsidR="00490B0F">
        <w:rPr>
          <w:rFonts w:ascii="Arial" w:hAnsi="Arial" w:cs="Arial"/>
          <w:sz w:val="20"/>
          <w:szCs w:val="20"/>
        </w:rPr>
        <w:t xml:space="preserve"> </w:t>
      </w:r>
      <w:r w:rsidR="00490B0F" w:rsidRPr="002F2123">
        <w:rPr>
          <w:rFonts w:ascii="Arial" w:hAnsi="Arial" w:cs="Arial"/>
          <w:sz w:val="20"/>
          <w:szCs w:val="20"/>
        </w:rPr>
        <w:t>at 369.</w:t>
      </w:r>
      <w:r w:rsidR="00490B0F">
        <w:rPr>
          <w:rFonts w:ascii="Arial" w:hAnsi="Arial" w:cs="Arial"/>
          <w:sz w:val="20"/>
          <w:szCs w:val="20"/>
        </w:rPr>
        <w:t xml:space="preserve">  </w:t>
      </w:r>
      <w:r w:rsidR="00490B0F" w:rsidRPr="002F2123">
        <w:rPr>
          <w:rFonts w:ascii="Arial" w:hAnsi="Arial" w:cs="Arial"/>
          <w:sz w:val="20"/>
          <w:szCs w:val="20"/>
        </w:rPr>
        <w:t xml:space="preserve">To the contrary, adopting such a course ‘would be likely to </w:t>
      </w:r>
      <w:r w:rsidR="00490B0F">
        <w:rPr>
          <w:rFonts w:ascii="Arial" w:hAnsi="Arial" w:cs="Arial"/>
          <w:sz w:val="20"/>
          <w:szCs w:val="20"/>
        </w:rPr>
        <w:t xml:space="preserve">  </w:t>
      </w:r>
      <w:r w:rsidR="00490B0F" w:rsidRPr="002F2123">
        <w:rPr>
          <w:rFonts w:ascii="Arial" w:hAnsi="Arial" w:cs="Arial"/>
          <w:sz w:val="20"/>
          <w:szCs w:val="20"/>
        </w:rPr>
        <w:t>run a serious risk of conveying an impression of prejudgment’</w:t>
      </w:r>
      <w:r w:rsidR="00490B0F">
        <w:rPr>
          <w:rFonts w:ascii="Arial" w:hAnsi="Arial" w:cs="Arial"/>
          <w:sz w:val="20"/>
          <w:szCs w:val="20"/>
        </w:rPr>
        <w:t xml:space="preserve">: </w:t>
      </w:r>
      <w:r w:rsidR="00490B0F" w:rsidRPr="00490B0F">
        <w:rPr>
          <w:rFonts w:ascii="Arial" w:hAnsi="Arial" w:cs="Arial"/>
          <w:i/>
          <w:iCs/>
          <w:sz w:val="20"/>
          <w:szCs w:val="20"/>
        </w:rPr>
        <w:t>SZBEL v Minister for Immigration and Multicultural and Indigenous Affairs</w:t>
      </w:r>
      <w:r w:rsidR="00490B0F" w:rsidRPr="002F2123">
        <w:rPr>
          <w:rFonts w:ascii="Arial" w:hAnsi="Arial" w:cs="Arial"/>
          <w:sz w:val="20"/>
          <w:szCs w:val="20"/>
        </w:rPr>
        <w:t xml:space="preserve"> (2006) 228 CLR 152, 166 [48]; [2006] HCA 63 (Gleeson CJ, Kirby, Hayne, </w:t>
      </w:r>
      <w:proofErr w:type="spellStart"/>
      <w:r w:rsidR="00490B0F" w:rsidRPr="002F2123">
        <w:rPr>
          <w:rFonts w:ascii="Arial" w:hAnsi="Arial" w:cs="Arial"/>
          <w:sz w:val="20"/>
          <w:szCs w:val="20"/>
        </w:rPr>
        <w:t>Callinan</w:t>
      </w:r>
      <w:proofErr w:type="spellEnd"/>
      <w:r w:rsidR="00490B0F" w:rsidRPr="002F2123">
        <w:rPr>
          <w:rFonts w:ascii="Arial" w:hAnsi="Arial" w:cs="Arial"/>
          <w:sz w:val="20"/>
          <w:szCs w:val="20"/>
        </w:rPr>
        <w:t xml:space="preserve"> and </w:t>
      </w:r>
      <w:proofErr w:type="spellStart"/>
      <w:r w:rsidR="00490B0F" w:rsidRPr="002F2123">
        <w:rPr>
          <w:rFonts w:ascii="Arial" w:hAnsi="Arial" w:cs="Arial"/>
          <w:sz w:val="20"/>
          <w:szCs w:val="20"/>
        </w:rPr>
        <w:t>Heydon</w:t>
      </w:r>
      <w:proofErr w:type="spellEnd"/>
      <w:r w:rsidR="00490B0F" w:rsidRPr="002F2123">
        <w:rPr>
          <w:rFonts w:ascii="Arial" w:hAnsi="Arial" w:cs="Arial"/>
          <w:sz w:val="20"/>
          <w:szCs w:val="20"/>
        </w:rPr>
        <w:t xml:space="preserve"> JJ)</w:t>
      </w:r>
      <w:r w:rsidR="00490B0F">
        <w:rPr>
          <w:rFonts w:ascii="Arial" w:hAnsi="Arial" w:cs="Arial"/>
          <w:sz w:val="20"/>
          <w:szCs w:val="20"/>
        </w:rPr>
        <w:t xml:space="preserve">.  However, in some cases procedural fairness may require that a decision-maker disclose, for instance, a particular path of reasoning that the parties could not reasonably have anticipated </w:t>
      </w:r>
      <w:r w:rsidR="00490B0F" w:rsidRPr="002F2123">
        <w:rPr>
          <w:rFonts w:ascii="Arial" w:hAnsi="Arial" w:cs="Arial"/>
          <w:sz w:val="20"/>
          <w:szCs w:val="20"/>
        </w:rPr>
        <w:t>or forewarn of a proposed conclusion that is likely to take the parties by surprise</w:t>
      </w:r>
      <w:r w:rsidR="00490B0F">
        <w:rPr>
          <w:rFonts w:ascii="Arial" w:hAnsi="Arial" w:cs="Arial"/>
          <w:sz w:val="20"/>
          <w:szCs w:val="20"/>
        </w:rPr>
        <w:t xml:space="preserve">: </w:t>
      </w:r>
      <w:r w:rsidR="00490B0F" w:rsidRPr="00AC42A5">
        <w:rPr>
          <w:rFonts w:ascii="Arial" w:hAnsi="Arial" w:cs="Arial"/>
          <w:i/>
          <w:iCs/>
          <w:sz w:val="20"/>
          <w:szCs w:val="20"/>
        </w:rPr>
        <w:t xml:space="preserve">Habib v Director-General of Security </w:t>
      </w:r>
      <w:r w:rsidR="00490B0F" w:rsidRPr="00490B0F">
        <w:rPr>
          <w:rFonts w:ascii="Arial" w:hAnsi="Arial" w:cs="Arial"/>
          <w:sz w:val="20"/>
          <w:szCs w:val="20"/>
        </w:rPr>
        <w:t>(2009) 175 FCR 411; [2009] FCAFC 48.</w:t>
      </w:r>
      <w:r>
        <w:rPr>
          <w:rFonts w:ascii="Arial" w:hAnsi="Arial" w:cs="Arial"/>
          <w:sz w:val="20"/>
          <w:szCs w:val="20"/>
        </w:rPr>
        <w:t xml:space="preserve">  </w:t>
      </w:r>
      <w:r w:rsidR="002F2123" w:rsidRPr="002F2123">
        <w:rPr>
          <w:rFonts w:ascii="Arial" w:hAnsi="Arial" w:cs="Arial"/>
          <w:sz w:val="20"/>
          <w:szCs w:val="20"/>
        </w:rPr>
        <w:t>Similarly, procedural fairness may require disclosure that a decision-maker proposes to reject an issue that the parties had agreed on</w:t>
      </w:r>
      <w:r>
        <w:rPr>
          <w:rFonts w:ascii="Arial" w:hAnsi="Arial" w:cs="Arial"/>
          <w:sz w:val="20"/>
          <w:szCs w:val="20"/>
        </w:rPr>
        <w:t xml:space="preserve"> </w:t>
      </w:r>
      <w:r w:rsidRPr="00AC42A5">
        <w:rPr>
          <w:rFonts w:ascii="Arial" w:hAnsi="Arial" w:cs="Arial"/>
          <w:sz w:val="20"/>
          <w:szCs w:val="20"/>
        </w:rPr>
        <w:t>(</w:t>
      </w:r>
      <w:r w:rsidRPr="00AC42A5">
        <w:rPr>
          <w:rFonts w:ascii="Arial" w:hAnsi="Arial" w:cs="Arial"/>
          <w:i/>
          <w:iCs/>
          <w:sz w:val="20"/>
          <w:szCs w:val="20"/>
        </w:rPr>
        <w:t>Stead v State Government Insurance Commission</w:t>
      </w:r>
      <w:r w:rsidRPr="00AC42A5">
        <w:rPr>
          <w:rFonts w:ascii="Arial" w:hAnsi="Arial" w:cs="Arial"/>
          <w:sz w:val="20"/>
          <w:szCs w:val="20"/>
        </w:rPr>
        <w:t xml:space="preserve"> (1986) 161 CLR 141; [1986] HCA 54) or if the decision-maker changes their view on an argument that they had earlier indicated would be accepted or rejected (see </w:t>
      </w:r>
      <w:proofErr w:type="spellStart"/>
      <w:r w:rsidRPr="00AC42A5">
        <w:rPr>
          <w:rFonts w:ascii="Arial" w:hAnsi="Arial" w:cs="Arial"/>
          <w:sz w:val="20"/>
          <w:szCs w:val="20"/>
        </w:rPr>
        <w:t>eg</w:t>
      </w:r>
      <w:proofErr w:type="spellEnd"/>
      <w:r w:rsidRPr="00AC42A5">
        <w:rPr>
          <w:rFonts w:ascii="Arial" w:hAnsi="Arial" w:cs="Arial"/>
          <w:sz w:val="20"/>
          <w:szCs w:val="20"/>
        </w:rPr>
        <w:t xml:space="preserve">, </w:t>
      </w:r>
      <w:proofErr w:type="spellStart"/>
      <w:r w:rsidRPr="00AC42A5">
        <w:rPr>
          <w:rFonts w:ascii="Arial" w:hAnsi="Arial" w:cs="Arial"/>
          <w:i/>
          <w:iCs/>
          <w:sz w:val="20"/>
          <w:szCs w:val="20"/>
        </w:rPr>
        <w:t>Pantorno</w:t>
      </w:r>
      <w:proofErr w:type="spellEnd"/>
      <w:r w:rsidRPr="00AC42A5">
        <w:rPr>
          <w:rFonts w:ascii="Arial" w:hAnsi="Arial" w:cs="Arial"/>
          <w:i/>
          <w:iCs/>
          <w:sz w:val="20"/>
          <w:szCs w:val="20"/>
        </w:rPr>
        <w:t xml:space="preserve"> v </w:t>
      </w:r>
      <w:r w:rsidRPr="006B1579">
        <w:rPr>
          <w:rFonts w:ascii="Arial" w:hAnsi="Arial" w:cs="Arial"/>
          <w:i/>
          <w:iCs/>
          <w:sz w:val="20"/>
          <w:szCs w:val="20"/>
        </w:rPr>
        <w:t>The Queen</w:t>
      </w:r>
      <w:r w:rsidRPr="006B1579">
        <w:rPr>
          <w:rFonts w:ascii="Arial" w:hAnsi="Arial" w:cs="Arial"/>
          <w:sz w:val="20"/>
          <w:szCs w:val="20"/>
        </w:rPr>
        <w:t xml:space="preserve"> (1989) 166 CLR 466; [1989] HCA 18).  </w:t>
      </w:r>
      <w:r w:rsidR="002F2123" w:rsidRPr="006B1579">
        <w:rPr>
          <w:rFonts w:ascii="Arial" w:hAnsi="Arial" w:cs="Arial"/>
          <w:sz w:val="20"/>
          <w:szCs w:val="20"/>
        </w:rPr>
        <w:t>Ultimately, the question is whether procedural fairness — assessed by reference to the particular statutory scheme</w:t>
      </w:r>
      <w:r w:rsidR="006B1579" w:rsidRPr="006B1579">
        <w:rPr>
          <w:rFonts w:ascii="Arial" w:hAnsi="Arial" w:cs="Arial"/>
          <w:sz w:val="20"/>
          <w:szCs w:val="20"/>
        </w:rPr>
        <w:t xml:space="preserve"> (</w:t>
      </w:r>
      <w:r w:rsidR="006B1579" w:rsidRPr="006B1579">
        <w:rPr>
          <w:rFonts w:ascii="Arial" w:hAnsi="Arial" w:cs="Arial"/>
          <w:i/>
          <w:iCs/>
          <w:sz w:val="20"/>
          <w:szCs w:val="20"/>
        </w:rPr>
        <w:t>SZBEL</w:t>
      </w:r>
      <w:r w:rsidR="006B1579" w:rsidRPr="006B1579">
        <w:rPr>
          <w:rFonts w:ascii="Arial" w:hAnsi="Arial" w:cs="Arial"/>
          <w:sz w:val="20"/>
          <w:szCs w:val="20"/>
        </w:rPr>
        <w:t xml:space="preserve"> (2006) 228 CLR 152, 162; [2006] HCA 63)</w:t>
      </w:r>
      <w:r w:rsidR="002F2123" w:rsidRPr="006B1579">
        <w:rPr>
          <w:rFonts w:ascii="Arial" w:hAnsi="Arial" w:cs="Arial"/>
          <w:sz w:val="20"/>
          <w:szCs w:val="20"/>
        </w:rPr>
        <w:t xml:space="preserve"> — requires disclosure in order for the person</w:t>
      </w:r>
      <w:r w:rsidR="002F2123" w:rsidRPr="002F2123">
        <w:rPr>
          <w:rFonts w:ascii="Arial" w:hAnsi="Arial" w:cs="Arial"/>
          <w:sz w:val="20"/>
          <w:szCs w:val="20"/>
        </w:rPr>
        <w:t xml:space="preserve"> </w:t>
      </w:r>
      <w:r w:rsidR="002F2123" w:rsidRPr="006B1579">
        <w:rPr>
          <w:rFonts w:ascii="Arial" w:hAnsi="Arial" w:cs="Arial"/>
          <w:sz w:val="20"/>
          <w:szCs w:val="20"/>
        </w:rPr>
        <w:t>affected by a decision to have the opportunity to be heard</w:t>
      </w:r>
      <w:r w:rsidR="006B1579" w:rsidRPr="006B1579">
        <w:rPr>
          <w:rFonts w:ascii="Arial" w:hAnsi="Arial" w:cs="Arial"/>
          <w:sz w:val="20"/>
          <w:szCs w:val="20"/>
        </w:rPr>
        <w:t xml:space="preserve"> (see, </w:t>
      </w:r>
      <w:proofErr w:type="spellStart"/>
      <w:r w:rsidR="006B1579" w:rsidRPr="006B1579">
        <w:rPr>
          <w:rFonts w:ascii="Arial" w:hAnsi="Arial" w:cs="Arial"/>
          <w:sz w:val="20"/>
          <w:szCs w:val="20"/>
        </w:rPr>
        <w:t>eg</w:t>
      </w:r>
      <w:proofErr w:type="spellEnd"/>
      <w:r w:rsidR="006B1579" w:rsidRPr="006B1579">
        <w:rPr>
          <w:rFonts w:ascii="Arial" w:hAnsi="Arial" w:cs="Arial"/>
          <w:sz w:val="20"/>
          <w:szCs w:val="20"/>
        </w:rPr>
        <w:t xml:space="preserve">, </w:t>
      </w:r>
      <w:proofErr w:type="spellStart"/>
      <w:r w:rsidR="006B1579" w:rsidRPr="006B1579">
        <w:rPr>
          <w:rFonts w:ascii="Arial" w:hAnsi="Arial" w:cs="Arial"/>
          <w:i/>
          <w:iCs/>
          <w:sz w:val="20"/>
          <w:szCs w:val="20"/>
        </w:rPr>
        <w:t>Somaghi</w:t>
      </w:r>
      <w:proofErr w:type="spellEnd"/>
      <w:r w:rsidR="006B1579" w:rsidRPr="006B1579">
        <w:rPr>
          <w:rFonts w:ascii="Arial" w:hAnsi="Arial" w:cs="Arial"/>
          <w:i/>
          <w:iCs/>
          <w:sz w:val="20"/>
          <w:szCs w:val="20"/>
        </w:rPr>
        <w:t xml:space="preserve"> v Minister for Immigration, Local Government and Ethnic Affairs</w:t>
      </w:r>
      <w:r w:rsidR="006B1579" w:rsidRPr="006B1579">
        <w:rPr>
          <w:rFonts w:ascii="Arial" w:hAnsi="Arial" w:cs="Arial"/>
          <w:sz w:val="20"/>
          <w:szCs w:val="20"/>
        </w:rPr>
        <w:t xml:space="preserve"> (1991) 31 FCR 100, and in particular at 100–4 (Keely J)).</w:t>
      </w:r>
    </w:p>
    <w:p w14:paraId="5B24CBC2" w14:textId="07AEEA96"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[114] </w:t>
      </w:r>
      <w:r w:rsidR="002F2123" w:rsidRPr="002F2123">
        <w:rPr>
          <w:rFonts w:ascii="Arial" w:hAnsi="Arial" w:cs="Arial"/>
          <w:sz w:val="20"/>
          <w:szCs w:val="20"/>
        </w:rPr>
        <w:t xml:space="preserve">The principles were set out by the Full Federal Court </w:t>
      </w:r>
      <w:r w:rsidR="00953CFB">
        <w:rPr>
          <w:rFonts w:ascii="Arial" w:hAnsi="Arial" w:cs="Arial"/>
          <w:sz w:val="20"/>
          <w:szCs w:val="20"/>
        </w:rPr>
        <w:t xml:space="preserve">(Northrop, Miles &amp; French JJ) </w:t>
      </w:r>
      <w:r w:rsidR="002F2123" w:rsidRPr="002F2123">
        <w:rPr>
          <w:rFonts w:ascii="Arial" w:hAnsi="Arial" w:cs="Arial"/>
          <w:sz w:val="20"/>
          <w:szCs w:val="20"/>
        </w:rPr>
        <w:t xml:space="preserve">in </w:t>
      </w:r>
      <w:r w:rsidR="002F2123" w:rsidRPr="00AC42A5">
        <w:rPr>
          <w:rFonts w:ascii="Arial" w:hAnsi="Arial" w:cs="Arial"/>
          <w:i/>
          <w:iCs/>
          <w:sz w:val="20"/>
          <w:szCs w:val="20"/>
        </w:rPr>
        <w:t xml:space="preserve">Australian Capital Territory Revenue v </w:t>
      </w:r>
      <w:proofErr w:type="spellStart"/>
      <w:r w:rsidR="002F2123" w:rsidRPr="00AC42A5">
        <w:rPr>
          <w:rFonts w:ascii="Arial" w:hAnsi="Arial" w:cs="Arial"/>
          <w:i/>
          <w:iCs/>
          <w:sz w:val="20"/>
          <w:szCs w:val="20"/>
        </w:rPr>
        <w:t>Alphaone</w:t>
      </w:r>
      <w:proofErr w:type="spellEnd"/>
      <w:r w:rsidR="002F2123" w:rsidRPr="00AC42A5">
        <w:rPr>
          <w:rFonts w:ascii="Arial" w:hAnsi="Arial" w:cs="Arial"/>
          <w:i/>
          <w:iCs/>
          <w:sz w:val="20"/>
          <w:szCs w:val="20"/>
        </w:rPr>
        <w:t xml:space="preserve"> Pty Ltd</w:t>
      </w:r>
      <w:r w:rsidR="006B1579">
        <w:rPr>
          <w:rFonts w:ascii="Arial" w:hAnsi="Arial" w:cs="Arial"/>
          <w:sz w:val="20"/>
          <w:szCs w:val="20"/>
        </w:rPr>
        <w:t xml:space="preserve"> </w:t>
      </w:r>
      <w:r w:rsidR="00953CFB" w:rsidRPr="00953CFB">
        <w:rPr>
          <w:rFonts w:ascii="Arial" w:hAnsi="Arial" w:cs="Arial"/>
          <w:sz w:val="20"/>
          <w:szCs w:val="20"/>
        </w:rPr>
        <w:t xml:space="preserve">(1994) 49 FCR 576; [1994] FCA 1074 </w:t>
      </w:r>
      <w:r w:rsidR="00953CFB">
        <w:rPr>
          <w:rFonts w:ascii="Arial" w:hAnsi="Arial" w:cs="Arial"/>
          <w:sz w:val="20"/>
          <w:szCs w:val="20"/>
        </w:rPr>
        <w:t>at 591-2:</w:t>
      </w:r>
    </w:p>
    <w:p w14:paraId="6442EFE2" w14:textId="1C45FDA4" w:rsidR="00AC42A5" w:rsidRDefault="00AC42A5" w:rsidP="00230740">
      <w:pPr>
        <w:spacing w:before="80"/>
        <w:ind w:left="907" w:right="907"/>
        <w:jc w:val="both"/>
        <w:rPr>
          <w:rFonts w:ascii="Arial" w:hAnsi="Arial" w:cs="Arial"/>
          <w:sz w:val="20"/>
          <w:szCs w:val="20"/>
        </w:rPr>
      </w:pPr>
      <w:r>
        <w:rPr>
          <w:rFonts w:ascii="Arial" w:hAnsi="Arial" w:cs="Arial"/>
          <w:sz w:val="20"/>
          <w:szCs w:val="20"/>
        </w:rPr>
        <w:t>‘</w:t>
      </w:r>
      <w:r w:rsidRPr="002F2123">
        <w:rPr>
          <w:rFonts w:ascii="Arial" w:hAnsi="Arial" w:cs="Arial"/>
          <w:sz w:val="20"/>
          <w:szCs w:val="20"/>
        </w:rPr>
        <w:t>Where the exercise of a statutory power attracts the requirement for procedural fairness, a person likely to be affected by the decision is entitled to put information and submissions to the decision maker in support of an outcome that supports his or her interests. That entitlement extends to the right to rebut or qualify by further information, and comment by way of submission, upon adverse material from other sources which is put before the decision maker. It also extends to require the decision maker to identify to the person affected any issue critical to the decision which is not apparent from its nature or the terms of the statute under which it is made. The decision maker is required to advise of any adverse conclusion which has been arrived at which would not obviously be open on the known material. Subject to these qualifications however, a decision maker is not obliged to expose his or her mental processes or provisional views to comment before making the decision in question.</w:t>
      </w:r>
      <w:r>
        <w:rPr>
          <w:rFonts w:ascii="Arial" w:hAnsi="Arial" w:cs="Arial"/>
          <w:sz w:val="20"/>
          <w:szCs w:val="20"/>
        </w:rPr>
        <w:t>’</w:t>
      </w:r>
    </w:p>
    <w:p w14:paraId="638F94F4" w14:textId="50CA2510"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[115] </w:t>
      </w:r>
      <w:r w:rsidRPr="002F2123">
        <w:rPr>
          <w:rFonts w:ascii="Arial" w:hAnsi="Arial" w:cs="Arial"/>
          <w:sz w:val="20"/>
          <w:szCs w:val="20"/>
        </w:rPr>
        <w:t>As this passage suggests, the opportunity to be heard would ordinarily require a party affected by a decision to have the opportunity to ascertain and address the issues relevant for determination (that is, issues that are ‘in the ring’</w:t>
      </w:r>
      <w:r w:rsidR="00953CFB">
        <w:rPr>
          <w:rFonts w:ascii="Arial" w:hAnsi="Arial" w:cs="Arial"/>
          <w:sz w:val="20"/>
          <w:szCs w:val="20"/>
        </w:rPr>
        <w:t xml:space="preserve">: </w:t>
      </w:r>
      <w:r w:rsidR="00953CFB" w:rsidRPr="00953CFB">
        <w:rPr>
          <w:rFonts w:ascii="Arial" w:hAnsi="Arial" w:cs="Arial"/>
          <w:i/>
          <w:iCs/>
          <w:sz w:val="20"/>
          <w:szCs w:val="20"/>
        </w:rPr>
        <w:t>Victims Compensation Fund Corporation v Nguyen</w:t>
      </w:r>
      <w:r w:rsidR="00953CFB" w:rsidRPr="00953CFB">
        <w:rPr>
          <w:rFonts w:ascii="Arial" w:hAnsi="Arial" w:cs="Arial"/>
          <w:sz w:val="20"/>
          <w:szCs w:val="20"/>
        </w:rPr>
        <w:t xml:space="preserve"> (2001) 52 NSWLR 213, 220–1 [44]; [2001] NSWCA 264 (Mason P, Handley and Powell JJA).</w:t>
      </w:r>
      <w:r w:rsidR="006B1579">
        <w:rPr>
          <w:rFonts w:ascii="Arial" w:hAnsi="Arial" w:cs="Arial"/>
          <w:sz w:val="20"/>
          <w:szCs w:val="20"/>
        </w:rPr>
        <w:t>”</w:t>
      </w:r>
    </w:p>
    <w:p w14:paraId="2BD73BEE" w14:textId="33572A6B" w:rsidR="002F2123" w:rsidRDefault="002F2123" w:rsidP="00B843BA">
      <w:pPr>
        <w:jc w:val="both"/>
        <w:rPr>
          <w:rFonts w:ascii="Arial" w:hAnsi="Arial" w:cs="Arial"/>
          <w:sz w:val="20"/>
        </w:rPr>
      </w:pPr>
    </w:p>
    <w:bookmarkEnd w:id="96"/>
    <w:bookmarkEnd w:id="97"/>
    <w:p w14:paraId="76201B94" w14:textId="77777777" w:rsidR="00CB7726" w:rsidRDefault="00CB7726" w:rsidP="00953CFB">
      <w:pPr>
        <w:jc w:val="both"/>
        <w:rPr>
          <w:rFonts w:ascii="Arial" w:hAnsi="Arial" w:cs="Arial"/>
          <w:sz w:val="20"/>
        </w:rPr>
      </w:pPr>
      <w:r>
        <w:rPr>
          <w:rFonts w:ascii="Arial" w:hAnsi="Arial" w:cs="Arial"/>
          <w:iCs/>
          <w:sz w:val="20"/>
        </w:rPr>
        <w:t xml:space="preserve">In </w:t>
      </w:r>
      <w:r w:rsidRPr="00CB7726">
        <w:rPr>
          <w:rFonts w:ascii="Arial" w:hAnsi="Arial" w:cs="Arial"/>
          <w:i/>
          <w:iCs/>
          <w:sz w:val="20"/>
        </w:rPr>
        <w:t xml:space="preserve">Mehmet </w:t>
      </w:r>
      <w:proofErr w:type="spellStart"/>
      <w:r w:rsidRPr="00CB7726">
        <w:rPr>
          <w:rFonts w:ascii="Arial" w:hAnsi="Arial" w:cs="Arial"/>
          <w:i/>
          <w:iCs/>
          <w:sz w:val="20"/>
        </w:rPr>
        <w:t>Ucar</w:t>
      </w:r>
      <w:proofErr w:type="spellEnd"/>
      <w:r w:rsidRPr="00CB7726">
        <w:rPr>
          <w:rFonts w:ascii="Arial" w:hAnsi="Arial" w:cs="Arial"/>
          <w:i/>
          <w:iCs/>
          <w:sz w:val="20"/>
        </w:rPr>
        <w:t xml:space="preserve"> v </w:t>
      </w:r>
      <w:proofErr w:type="spellStart"/>
      <w:r w:rsidRPr="00CB7726">
        <w:rPr>
          <w:rFonts w:ascii="Arial" w:hAnsi="Arial" w:cs="Arial"/>
          <w:i/>
          <w:iCs/>
          <w:sz w:val="20"/>
        </w:rPr>
        <w:t>Nylex</w:t>
      </w:r>
      <w:proofErr w:type="spellEnd"/>
      <w:r w:rsidRPr="00CB7726">
        <w:rPr>
          <w:rFonts w:ascii="Arial" w:hAnsi="Arial" w:cs="Arial"/>
          <w:i/>
          <w:iCs/>
          <w:sz w:val="20"/>
        </w:rPr>
        <w:t xml:space="preserve">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as a consequence of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lastRenderedPageBreak/>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77777777" w:rsidR="0042120A" w:rsidRPr="00F81B96" w:rsidRDefault="0042120A" w:rsidP="00B843BA">
      <w:pPr>
        <w:jc w:val="both"/>
        <w:rPr>
          <w:rFonts w:ascii="Arial" w:hAnsi="Arial" w:cs="Arial"/>
          <w:color w:val="000000"/>
          <w:sz w:val="20"/>
        </w:rPr>
      </w:pPr>
    </w:p>
    <w:p w14:paraId="4B2C331E" w14:textId="77777777" w:rsidR="00F54DB6" w:rsidRPr="00F81B96" w:rsidRDefault="00F54DB6" w:rsidP="00C83BC0">
      <w:pPr>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 xml:space="preserve">Tomasevic v </w:t>
      </w:r>
      <w:proofErr w:type="spellStart"/>
      <w:r w:rsidRPr="00F81B96">
        <w:rPr>
          <w:rFonts w:ascii="Arial" w:hAnsi="Arial" w:cs="Arial"/>
          <w:i/>
          <w:color w:val="000000"/>
          <w:sz w:val="20"/>
        </w:rPr>
        <w:t>Travaglini</w:t>
      </w:r>
      <w:proofErr w:type="spellEnd"/>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F54DB6">
      <w:pPr>
        <w:spacing w:before="60"/>
        <w:ind w:left="454" w:right="454"/>
        <w:jc w:val="both"/>
        <w:rPr>
          <w:rFonts w:ascii="Arial" w:hAnsi="Arial" w:cs="Arial"/>
          <w:iCs/>
          <w:color w:val="000000"/>
          <w:sz w:val="20"/>
        </w:rPr>
      </w:pPr>
      <w:r w:rsidRPr="00F81B96">
        <w:rPr>
          <w:rFonts w:ascii="Arial" w:hAnsi="Arial" w:cs="Arial"/>
          <w:iCs/>
          <w:color w:val="000000"/>
          <w:sz w:val="20"/>
        </w:rPr>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 xml:space="preserve">…Deane &amp; </w:t>
      </w:r>
      <w:proofErr w:type="spellStart"/>
      <w:r w:rsidR="00B843BA" w:rsidRPr="00F81B96">
        <w:rPr>
          <w:rFonts w:ascii="Arial" w:hAnsi="Arial" w:cs="Arial"/>
          <w:iCs/>
          <w:color w:val="000000"/>
          <w:sz w:val="20"/>
        </w:rPr>
        <w:t>Gaudron</w:t>
      </w:r>
      <w:proofErr w:type="spellEnd"/>
      <w:r w:rsidR="00B843BA" w:rsidRPr="00F81B96">
        <w:rPr>
          <w:rFonts w:ascii="Arial" w:hAnsi="Arial" w:cs="Arial"/>
          <w:iCs/>
          <w:color w:val="000000"/>
          <w:sz w:val="20"/>
        </w:rPr>
        <w:t xml:space="preserve">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 xml:space="preserve">What is required to produce a fair trial depends on the circumstances.  In some cases it may be necessary to have interpreters, acceptable custodial facilities or a special court venue: (1992) 177 CLR 292 at 331 per Deane J,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98" w:name="105-r"/>
      <w:r w:rsidRPr="00F81B96">
        <w:rPr>
          <w:rFonts w:ascii="Arial" w:hAnsi="Arial" w:cs="Arial"/>
          <w:color w:val="000000"/>
          <w:sz w:val="20"/>
          <w:lang w:val="en"/>
        </w:rPr>
        <w:t>s</w:t>
      </w:r>
      <w:bookmarkEnd w:id="98"/>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proofErr w:type="spellStart"/>
      <w:r w:rsidRPr="00F81B96">
        <w:rPr>
          <w:rFonts w:ascii="Arial" w:hAnsi="Arial" w:cs="Arial"/>
          <w:i/>
          <w:color w:val="000000"/>
          <w:sz w:val="20"/>
          <w:lang w:val="en"/>
        </w:rPr>
        <w:t>Jago</w:t>
      </w:r>
      <w:proofErr w:type="spellEnd"/>
      <w:r w:rsidRPr="00F81B96">
        <w:rPr>
          <w:rFonts w:ascii="Arial" w:hAnsi="Arial" w:cs="Arial"/>
          <w:i/>
          <w:color w:val="000000"/>
          <w:sz w:val="20"/>
          <w:lang w:val="en"/>
        </w:rPr>
        <w:t xml:space="preserve">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6B816564" w:rsidR="00F54DB6" w:rsidRDefault="00F54DB6">
      <w:pPr>
        <w:jc w:val="both"/>
        <w:rPr>
          <w:rFonts w:ascii="Arial" w:hAnsi="Arial" w:cs="Arial"/>
          <w:color w:val="000000"/>
          <w:sz w:val="20"/>
        </w:rPr>
      </w:pPr>
    </w:p>
    <w:p w14:paraId="5E1B8B10" w14:textId="72937493" w:rsidR="0032248F" w:rsidRPr="005F08ED" w:rsidRDefault="0032248F">
      <w:pPr>
        <w:jc w:val="both"/>
        <w:rPr>
          <w:rFonts w:ascii="Arial" w:hAnsi="Arial" w:cs="Arial"/>
          <w:color w:val="000000" w:themeColor="text1"/>
          <w:sz w:val="20"/>
          <w:szCs w:val="20"/>
        </w:rPr>
      </w:pPr>
      <w:r w:rsidRPr="005F08ED">
        <w:rPr>
          <w:rFonts w:ascii="Arial" w:hAnsi="Arial" w:cs="Arial"/>
          <w:color w:val="000000" w:themeColor="text1"/>
          <w:sz w:val="20"/>
          <w:szCs w:val="20"/>
        </w:rPr>
        <w:t xml:space="preserve">In </w:t>
      </w:r>
      <w:r w:rsidRPr="005F08ED">
        <w:rPr>
          <w:rFonts w:ascii="Arial" w:hAnsi="Arial" w:cs="Arial"/>
          <w:i/>
          <w:iCs/>
          <w:color w:val="000000" w:themeColor="text1"/>
          <w:sz w:val="20"/>
          <w:szCs w:val="20"/>
        </w:rPr>
        <w:t>DPP v Fogarty</w:t>
      </w:r>
      <w:r w:rsidRPr="005F08ED">
        <w:rPr>
          <w:rFonts w:ascii="Arial" w:hAnsi="Arial" w:cs="Arial"/>
          <w:color w:val="000000" w:themeColor="text1"/>
          <w:sz w:val="20"/>
          <w:szCs w:val="20"/>
        </w:rPr>
        <w:t xml:space="preserve"> [2021] VSC 392 a magistrate had sought extrinsic information – without recourse to the parties – in order to make an assessment as to whether the particular charges before him were in proper form.  After discussion of </w:t>
      </w:r>
      <w:hyperlink r:id="rId8" w:history="1">
        <w:r w:rsidRPr="005F08ED">
          <w:rPr>
            <w:rStyle w:val="Hyperlink"/>
            <w:rFonts w:ascii="Arial" w:hAnsi="Arial" w:cs="Arial"/>
            <w:i/>
            <w:iCs/>
            <w:color w:val="000000" w:themeColor="text1"/>
            <w:sz w:val="20"/>
            <w:szCs w:val="20"/>
            <w:u w:val="none"/>
          </w:rPr>
          <w:t>Gilfillan v County Court of Victoria</w:t>
        </w:r>
      </w:hyperlink>
      <w:r w:rsidRPr="005F08ED">
        <w:rPr>
          <w:rFonts w:ascii="Arial" w:hAnsi="Arial" w:cs="Arial"/>
          <w:color w:val="000000" w:themeColor="text1"/>
          <w:sz w:val="20"/>
          <w:szCs w:val="20"/>
        </w:rPr>
        <w:t> (2001) 123 A Crim R 433 (Nathan</w:t>
      </w:r>
      <w:r w:rsidR="00C83BC0">
        <w:rPr>
          <w:rFonts w:ascii="Arial" w:hAnsi="Arial" w:cs="Arial"/>
          <w:color w:val="000000" w:themeColor="text1"/>
          <w:sz w:val="20"/>
          <w:szCs w:val="20"/>
        </w:rPr>
        <w:t> </w:t>
      </w:r>
      <w:r w:rsidRPr="005F08ED">
        <w:rPr>
          <w:rFonts w:ascii="Arial" w:hAnsi="Arial" w:cs="Arial"/>
          <w:color w:val="000000" w:themeColor="text1"/>
          <w:sz w:val="20"/>
          <w:szCs w:val="20"/>
        </w:rPr>
        <w:t>J)</w:t>
      </w:r>
      <w:r w:rsidR="00850058">
        <w:rPr>
          <w:rFonts w:ascii="Arial" w:hAnsi="Arial" w:cs="Arial"/>
          <w:color w:val="000000" w:themeColor="text1"/>
          <w:sz w:val="20"/>
          <w:szCs w:val="20"/>
        </w:rPr>
        <w:t xml:space="preserve"> </w:t>
      </w:r>
      <w:r w:rsidR="00C83BC0">
        <w:rPr>
          <w:rFonts w:ascii="Arial" w:hAnsi="Arial" w:cs="Arial"/>
          <w:color w:val="000000" w:themeColor="text1"/>
          <w:sz w:val="20"/>
          <w:szCs w:val="20"/>
        </w:rPr>
        <w:t>and</w:t>
      </w:r>
      <w:r w:rsidR="005F08ED" w:rsidRPr="005F08ED">
        <w:rPr>
          <w:rFonts w:ascii="Arial" w:hAnsi="Arial" w:cs="Arial"/>
          <w:color w:val="000000" w:themeColor="text1"/>
          <w:sz w:val="20"/>
          <w:szCs w:val="20"/>
        </w:rPr>
        <w:t xml:space="preserve"> </w:t>
      </w:r>
      <w:hyperlink r:id="rId9" w:history="1">
        <w:proofErr w:type="spellStart"/>
        <w:r w:rsidR="005F08ED" w:rsidRPr="005F08ED">
          <w:rPr>
            <w:rStyle w:val="Hyperlink"/>
            <w:rFonts w:ascii="Arial" w:hAnsi="Arial" w:cs="Arial"/>
            <w:i/>
            <w:iCs/>
            <w:color w:val="000000" w:themeColor="text1"/>
            <w:sz w:val="20"/>
            <w:szCs w:val="20"/>
            <w:u w:val="none"/>
          </w:rPr>
          <w:t>Griekspoor</w:t>
        </w:r>
        <w:proofErr w:type="spellEnd"/>
        <w:r w:rsidR="005F08ED" w:rsidRPr="005F08ED">
          <w:rPr>
            <w:rStyle w:val="Hyperlink"/>
            <w:rFonts w:ascii="Arial" w:hAnsi="Arial" w:cs="Arial"/>
            <w:i/>
            <w:iCs/>
            <w:color w:val="000000" w:themeColor="text1"/>
            <w:sz w:val="20"/>
            <w:szCs w:val="20"/>
            <w:u w:val="none"/>
          </w:rPr>
          <w:t xml:space="preserve"> v Scott</w:t>
        </w:r>
      </w:hyperlink>
      <w:r w:rsidR="005F08ED" w:rsidRPr="005F08ED">
        <w:rPr>
          <w:rFonts w:ascii="Arial" w:hAnsi="Arial" w:cs="Arial"/>
          <w:color w:val="000000" w:themeColor="text1"/>
          <w:sz w:val="20"/>
          <w:szCs w:val="20"/>
        </w:rPr>
        <w:t xml:space="preserve"> (2000) 23 WAR 530 (Roberts-Smith J), </w:t>
      </w:r>
      <w:r w:rsidR="00850058">
        <w:rPr>
          <w:rFonts w:ascii="Arial" w:hAnsi="Arial" w:cs="Arial"/>
          <w:color w:val="000000" w:themeColor="text1"/>
          <w:sz w:val="20"/>
          <w:szCs w:val="20"/>
        </w:rPr>
        <w:t>Priest JA held that the magistrate had failed to accord procedural fairness</w:t>
      </w:r>
      <w:r w:rsidR="00C83BC0">
        <w:rPr>
          <w:rFonts w:ascii="Arial" w:hAnsi="Arial" w:cs="Arial"/>
          <w:color w:val="000000" w:themeColor="text1"/>
          <w:sz w:val="20"/>
          <w:szCs w:val="20"/>
        </w:rPr>
        <w:t xml:space="preserve">, relying at [48] on the following dicta in </w:t>
      </w:r>
      <w:hyperlink r:id="rId10" w:history="1">
        <w:r w:rsidR="005F08ED" w:rsidRPr="005F08ED">
          <w:rPr>
            <w:rStyle w:val="Hyperlink"/>
            <w:rFonts w:ascii="Arial" w:hAnsi="Arial" w:cs="Arial"/>
            <w:i/>
            <w:iCs/>
            <w:color w:val="000000" w:themeColor="text1"/>
            <w:sz w:val="20"/>
            <w:szCs w:val="20"/>
            <w:u w:val="none"/>
          </w:rPr>
          <w:t>SD v The Queen</w:t>
        </w:r>
      </w:hyperlink>
      <w:r w:rsidR="005F08ED" w:rsidRPr="005F08ED">
        <w:rPr>
          <w:rFonts w:ascii="Arial" w:hAnsi="Arial" w:cs="Arial"/>
          <w:color w:val="000000" w:themeColor="text1"/>
          <w:sz w:val="20"/>
          <w:szCs w:val="20"/>
        </w:rPr>
        <w:t> (2013) 39</w:t>
      </w:r>
      <w:r w:rsidR="00C83BC0">
        <w:rPr>
          <w:rFonts w:ascii="Arial" w:hAnsi="Arial" w:cs="Arial"/>
          <w:color w:val="000000" w:themeColor="text1"/>
          <w:sz w:val="20"/>
          <w:szCs w:val="20"/>
        </w:rPr>
        <w:t> </w:t>
      </w:r>
      <w:r w:rsidR="005F08ED" w:rsidRPr="005F08ED">
        <w:rPr>
          <w:rFonts w:ascii="Arial" w:hAnsi="Arial" w:cs="Arial"/>
          <w:color w:val="000000" w:themeColor="text1"/>
          <w:sz w:val="20"/>
          <w:szCs w:val="20"/>
        </w:rPr>
        <w:t>VR 487 (Ashley, Redlich and Priest JJA)</w:t>
      </w:r>
      <w:r w:rsidR="00BF22E6">
        <w:rPr>
          <w:rFonts w:ascii="Arial" w:hAnsi="Arial" w:cs="Arial"/>
          <w:color w:val="000000" w:themeColor="text1"/>
          <w:sz w:val="20"/>
          <w:szCs w:val="20"/>
        </w:rPr>
        <w:t xml:space="preserve"> </w:t>
      </w:r>
      <w:r w:rsidR="005F08ED">
        <w:rPr>
          <w:rFonts w:ascii="Arial" w:hAnsi="Arial" w:cs="Arial"/>
          <w:color w:val="000000" w:themeColor="text1"/>
          <w:sz w:val="20"/>
          <w:szCs w:val="20"/>
        </w:rPr>
        <w:t>at [</w:t>
      </w:r>
      <w:r w:rsidR="00C83BC0">
        <w:rPr>
          <w:rFonts w:ascii="Arial" w:hAnsi="Arial" w:cs="Arial"/>
          <w:color w:val="000000" w:themeColor="text1"/>
          <w:sz w:val="20"/>
          <w:szCs w:val="20"/>
        </w:rPr>
        <w:t>36</w:t>
      </w:r>
      <w:r w:rsidR="005F08ED">
        <w:rPr>
          <w:rFonts w:ascii="Arial" w:hAnsi="Arial" w:cs="Arial"/>
          <w:color w:val="000000" w:themeColor="text1"/>
          <w:sz w:val="20"/>
          <w:szCs w:val="20"/>
        </w:rPr>
        <w:t>]</w:t>
      </w:r>
      <w:r w:rsidR="00C83BC0">
        <w:rPr>
          <w:rFonts w:ascii="Arial" w:hAnsi="Arial" w:cs="Arial"/>
          <w:color w:val="000000" w:themeColor="text1"/>
          <w:sz w:val="20"/>
          <w:szCs w:val="20"/>
        </w:rPr>
        <w:t>-[39]</w:t>
      </w:r>
      <w:r w:rsidR="005F08ED">
        <w:rPr>
          <w:rFonts w:ascii="Arial" w:hAnsi="Arial" w:cs="Arial"/>
          <w:color w:val="000000" w:themeColor="text1"/>
          <w:sz w:val="20"/>
          <w:szCs w:val="20"/>
        </w:rPr>
        <w:t xml:space="preserve">: </w:t>
      </w:r>
    </w:p>
    <w:p w14:paraId="4EA7F25D" w14:textId="2D6C8935" w:rsidR="005F08ED" w:rsidRDefault="005F08ED" w:rsidP="005F08ED">
      <w:pPr>
        <w:spacing w:before="60"/>
        <w:ind w:left="454" w:right="454"/>
        <w:jc w:val="both"/>
        <w:rPr>
          <w:rFonts w:ascii="Arial" w:hAnsi="Arial" w:cs="Arial"/>
          <w:color w:val="000000" w:themeColor="text1"/>
          <w:sz w:val="20"/>
          <w:szCs w:val="20"/>
        </w:rPr>
      </w:pPr>
      <w:r w:rsidRPr="005F08ED">
        <w:rPr>
          <w:rFonts w:ascii="Arial" w:hAnsi="Arial" w:cs="Arial"/>
          <w:iCs/>
          <w:color w:val="000000" w:themeColor="text1"/>
          <w:sz w:val="20"/>
          <w:szCs w:val="20"/>
        </w:rPr>
        <w:t>“</w:t>
      </w:r>
      <w:r w:rsidRPr="005F08ED">
        <w:rPr>
          <w:rFonts w:ascii="Arial" w:hAnsi="Arial" w:cs="Arial"/>
          <w:color w:val="000000" w:themeColor="text1"/>
          <w:sz w:val="20"/>
          <w:szCs w:val="20"/>
        </w:rPr>
        <w:t xml:space="preserve">It is axiomatic that a judge may not search for, or take account of, information that is not in evidence, save where a fact is of such notoriety that a judge may take judicial notice of it.  Mason CJ and Brennan, Deane, Dawson and </w:t>
      </w:r>
      <w:proofErr w:type="spellStart"/>
      <w:r w:rsidRPr="005F08ED">
        <w:rPr>
          <w:rFonts w:ascii="Arial" w:hAnsi="Arial" w:cs="Arial"/>
          <w:color w:val="000000" w:themeColor="text1"/>
          <w:sz w:val="20"/>
          <w:szCs w:val="20"/>
        </w:rPr>
        <w:t>Gaudron</w:t>
      </w:r>
      <w:proofErr w:type="spellEnd"/>
      <w:r w:rsidRPr="005F08ED">
        <w:rPr>
          <w:rFonts w:ascii="Arial" w:hAnsi="Arial" w:cs="Arial"/>
          <w:color w:val="000000" w:themeColor="text1"/>
          <w:sz w:val="20"/>
          <w:szCs w:val="20"/>
        </w:rPr>
        <w:t xml:space="preserve"> JJ in </w:t>
      </w:r>
      <w:hyperlink r:id="rId11" w:history="1">
        <w:r w:rsidRPr="005F08ED">
          <w:rPr>
            <w:rStyle w:val="Hyperlink"/>
            <w:rFonts w:ascii="Arial" w:hAnsi="Arial" w:cs="Arial"/>
            <w:i/>
            <w:iCs/>
            <w:color w:val="000000" w:themeColor="text1"/>
            <w:sz w:val="20"/>
            <w:szCs w:val="20"/>
            <w:u w:val="none"/>
          </w:rPr>
          <w:t xml:space="preserve">Re Media Entertainment &amp; Arts Alliance; Ex </w:t>
        </w:r>
        <w:proofErr w:type="spellStart"/>
        <w:r w:rsidRPr="005F08ED">
          <w:rPr>
            <w:rStyle w:val="Hyperlink"/>
            <w:rFonts w:ascii="Arial" w:hAnsi="Arial" w:cs="Arial"/>
            <w:i/>
            <w:iCs/>
            <w:color w:val="000000" w:themeColor="text1"/>
            <w:sz w:val="20"/>
            <w:szCs w:val="20"/>
            <w:u w:val="none"/>
          </w:rPr>
          <w:t>parte</w:t>
        </w:r>
        <w:proofErr w:type="spellEnd"/>
        <w:r w:rsidRPr="005F08ED">
          <w:rPr>
            <w:rStyle w:val="Hyperlink"/>
            <w:rFonts w:ascii="Arial" w:hAnsi="Arial" w:cs="Arial"/>
            <w:i/>
            <w:iCs/>
            <w:color w:val="000000" w:themeColor="text1"/>
            <w:sz w:val="20"/>
            <w:szCs w:val="20"/>
            <w:u w:val="none"/>
          </w:rPr>
          <w:t xml:space="preserve"> Hoyts Corporation Pty Ltd</w:t>
        </w:r>
      </w:hyperlink>
      <w:r w:rsidRPr="005F08ED">
        <w:rPr>
          <w:rFonts w:ascii="Arial" w:hAnsi="Arial" w:cs="Arial"/>
          <w:color w:val="000000" w:themeColor="text1"/>
          <w:sz w:val="20"/>
          <w:szCs w:val="20"/>
        </w:rPr>
        <w:t> (1994) 119 ALR 206 at </w:t>
      </w:r>
      <w:hyperlink r:id="rId12" w:history="1">
        <w:r w:rsidRPr="005F08ED">
          <w:rPr>
            <w:rStyle w:val="Hyperlink"/>
            <w:rFonts w:ascii="Arial" w:hAnsi="Arial" w:cs="Arial"/>
            <w:color w:val="000000" w:themeColor="text1"/>
            <w:sz w:val="20"/>
            <w:szCs w:val="20"/>
            <w:u w:val="none"/>
          </w:rPr>
          <w:t>210</w:t>
        </w:r>
      </w:hyperlink>
      <w:r w:rsidRPr="005F08ED">
        <w:rPr>
          <w:rFonts w:ascii="Arial" w:hAnsi="Arial" w:cs="Arial"/>
          <w:color w:val="000000" w:themeColor="text1"/>
          <w:sz w:val="20"/>
          <w:szCs w:val="20"/>
        </w:rPr>
        <w:t>; </w:t>
      </w:r>
      <w:hyperlink r:id="rId13" w:history="1">
        <w:r w:rsidRPr="005F08ED">
          <w:rPr>
            <w:rStyle w:val="Hyperlink"/>
            <w:rFonts w:ascii="Arial" w:hAnsi="Arial" w:cs="Arial"/>
            <w:color w:val="000000" w:themeColor="text1"/>
            <w:sz w:val="20"/>
            <w:szCs w:val="20"/>
            <w:u w:val="none"/>
          </w:rPr>
          <w:t>68 ALJR 179</w:t>
        </w:r>
      </w:hyperlink>
      <w:r w:rsidRPr="005F08ED">
        <w:rPr>
          <w:rFonts w:ascii="Arial" w:hAnsi="Arial" w:cs="Arial"/>
          <w:color w:val="000000" w:themeColor="text1"/>
          <w:sz w:val="20"/>
          <w:szCs w:val="20"/>
        </w:rPr>
        <w:t> at </w:t>
      </w:r>
      <w:hyperlink r:id="rId14" w:history="1">
        <w:r w:rsidRPr="005F08ED">
          <w:rPr>
            <w:rStyle w:val="Hyperlink"/>
            <w:rFonts w:ascii="Arial" w:hAnsi="Arial" w:cs="Arial"/>
            <w:color w:val="000000" w:themeColor="text1"/>
            <w:sz w:val="20"/>
            <w:szCs w:val="20"/>
            <w:u w:val="none"/>
          </w:rPr>
          <w:t>182</w:t>
        </w:r>
      </w:hyperlink>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referred to the undoubted principle that a judge’s decision must be made on the basis of the evidence and arguments in the case and not ‘on the basis of information or knowledge which is independently acquired’. </w:t>
      </w:r>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A court is not entitled to take into account factual material not in evidence without notice to the parties: </w:t>
      </w:r>
      <w:hyperlink r:id="rId15" w:history="1">
        <w:r w:rsidRPr="005F08ED">
          <w:rPr>
            <w:rStyle w:val="Hyperlink"/>
            <w:rFonts w:ascii="Arial" w:hAnsi="Arial" w:cs="Arial"/>
            <w:i/>
            <w:iCs/>
            <w:color w:val="000000" w:themeColor="text1"/>
            <w:sz w:val="20"/>
            <w:szCs w:val="20"/>
            <w:u w:val="none"/>
          </w:rPr>
          <w:t>International Finance Trust Co Ltd v New South Wales Crime Commission </w:t>
        </w:r>
      </w:hyperlink>
      <w:r w:rsidRPr="005F08ED">
        <w:rPr>
          <w:rFonts w:ascii="Arial" w:hAnsi="Arial" w:cs="Arial"/>
          <w:color w:val="000000" w:themeColor="text1"/>
          <w:sz w:val="20"/>
          <w:szCs w:val="20"/>
        </w:rPr>
        <w:t>(2009) 240 CLR 319 at </w:t>
      </w:r>
      <w:hyperlink r:id="rId16" w:history="1">
        <w:r w:rsidRPr="005F08ED">
          <w:rPr>
            <w:rStyle w:val="Hyperlink"/>
            <w:rFonts w:ascii="Arial" w:hAnsi="Arial" w:cs="Arial"/>
            <w:color w:val="000000" w:themeColor="text1"/>
            <w:sz w:val="20"/>
            <w:szCs w:val="20"/>
            <w:u w:val="none"/>
          </w:rPr>
          <w:t>381–3</w:t>
        </w:r>
      </w:hyperlink>
      <w:r w:rsidRPr="005F08ED">
        <w:rPr>
          <w:rFonts w:ascii="Arial" w:hAnsi="Arial" w:cs="Arial"/>
          <w:color w:val="000000" w:themeColor="text1"/>
          <w:sz w:val="20"/>
          <w:szCs w:val="20"/>
        </w:rPr>
        <w:t>, </w:t>
      </w:r>
      <w:hyperlink r:id="rId17" w:history="1">
        <w:r w:rsidRPr="005F08ED">
          <w:rPr>
            <w:rStyle w:val="Hyperlink"/>
            <w:rFonts w:ascii="Arial" w:hAnsi="Arial" w:cs="Arial"/>
            <w:color w:val="000000" w:themeColor="text1"/>
            <w:sz w:val="20"/>
            <w:szCs w:val="20"/>
            <w:u w:val="none"/>
          </w:rPr>
          <w:t>[146]</w:t>
        </w:r>
      </w:hyperlink>
      <w:r w:rsidRPr="005F08ED">
        <w:rPr>
          <w:rFonts w:ascii="Arial" w:hAnsi="Arial" w:cs="Arial"/>
          <w:color w:val="000000" w:themeColor="text1"/>
          <w:sz w:val="20"/>
          <w:szCs w:val="20"/>
        </w:rPr>
        <w:t xml:space="preserve"> per </w:t>
      </w:r>
      <w:proofErr w:type="spellStart"/>
      <w:r w:rsidRPr="005F08ED">
        <w:rPr>
          <w:rFonts w:ascii="Arial" w:hAnsi="Arial" w:cs="Arial"/>
          <w:color w:val="000000" w:themeColor="text1"/>
          <w:sz w:val="20"/>
          <w:szCs w:val="20"/>
        </w:rPr>
        <w:t>Heydon</w:t>
      </w:r>
      <w:proofErr w:type="spellEnd"/>
      <w:r w:rsidRPr="005F08ED">
        <w:rPr>
          <w:rFonts w:ascii="Arial" w:hAnsi="Arial" w:cs="Arial"/>
          <w:color w:val="000000" w:themeColor="text1"/>
          <w:sz w:val="20"/>
          <w:szCs w:val="20"/>
        </w:rPr>
        <w:t xml:space="preserve"> J.</w:t>
      </w:r>
    </w:p>
    <w:p w14:paraId="37D88933" w14:textId="1E8B5B6A" w:rsidR="005F08ED" w:rsidRPr="005F08ED"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The rationale for the prohibition is to be found within the fundamental rule of natural justice that a party is entitled to know the case sought to be made against it and be given an opportunity of replying to that case.  The entitlement of a litigant is to a fair opportunity to correct or contradict any relevant material which is prejudicial</w:t>
      </w:r>
      <w:r w:rsidR="00BF22E6">
        <w:rPr>
          <w:rFonts w:ascii="Arial" w:hAnsi="Arial" w:cs="Arial"/>
          <w:sz w:val="20"/>
          <w:szCs w:val="20"/>
        </w:rPr>
        <w:t>:</w:t>
      </w:r>
      <w:bookmarkStart w:id="99" w:name="_ftnref48"/>
      <w:r w:rsidR="00BF22E6" w:rsidRPr="00BF22E6">
        <w:rPr>
          <w:rFonts w:ascii="inherit" w:hAnsi="inherit"/>
          <w:i/>
          <w:iCs/>
          <w:color w:val="000000"/>
          <w:sz w:val="23"/>
          <w:szCs w:val="23"/>
        </w:rPr>
        <w:t xml:space="preserve"> </w:t>
      </w:r>
      <w:hyperlink r:id="rId18" w:history="1">
        <w:proofErr w:type="spellStart"/>
        <w:r w:rsidR="00BF22E6" w:rsidRPr="00BF22E6">
          <w:rPr>
            <w:rStyle w:val="Hyperlink"/>
            <w:rFonts w:ascii="Arial" w:hAnsi="Arial" w:cs="Arial"/>
            <w:i/>
            <w:iCs/>
            <w:color w:val="000000" w:themeColor="text1"/>
            <w:sz w:val="20"/>
            <w:szCs w:val="20"/>
            <w:u w:val="none"/>
          </w:rPr>
          <w:t>Kioa</w:t>
        </w:r>
        <w:proofErr w:type="spellEnd"/>
        <w:r w:rsidR="00BF22E6" w:rsidRPr="00BF22E6">
          <w:rPr>
            <w:rStyle w:val="Hyperlink"/>
            <w:rFonts w:ascii="Arial" w:hAnsi="Arial" w:cs="Arial"/>
            <w:i/>
            <w:iCs/>
            <w:color w:val="000000" w:themeColor="text1"/>
            <w:sz w:val="20"/>
            <w:szCs w:val="20"/>
            <w:u w:val="none"/>
          </w:rPr>
          <w:t xml:space="preserve"> v West</w:t>
        </w:r>
      </w:hyperlink>
      <w:r w:rsidR="001634DC">
        <w:rPr>
          <w:rFonts w:ascii="Arial" w:hAnsi="Arial" w:cs="Arial"/>
          <w:i/>
          <w:iCs/>
          <w:color w:val="000000" w:themeColor="text1"/>
          <w:sz w:val="20"/>
          <w:szCs w:val="20"/>
        </w:rPr>
        <w:t xml:space="preserve"> </w:t>
      </w:r>
      <w:r w:rsidR="00BF22E6" w:rsidRPr="00BF22E6">
        <w:rPr>
          <w:rFonts w:ascii="Arial" w:hAnsi="Arial" w:cs="Arial"/>
          <w:color w:val="000000" w:themeColor="text1"/>
          <w:sz w:val="20"/>
          <w:szCs w:val="20"/>
        </w:rPr>
        <w:t>(1985) 159 CLR 550 at</w:t>
      </w:r>
      <w:r w:rsidR="001634DC">
        <w:rPr>
          <w:rFonts w:ascii="Arial" w:hAnsi="Arial" w:cs="Arial"/>
          <w:color w:val="000000" w:themeColor="text1"/>
          <w:sz w:val="20"/>
          <w:szCs w:val="20"/>
        </w:rPr>
        <w:t xml:space="preserve"> </w:t>
      </w:r>
      <w:hyperlink r:id="rId19" w:history="1">
        <w:r w:rsidR="00BF22E6" w:rsidRPr="00BF22E6">
          <w:rPr>
            <w:rStyle w:val="Hyperlink"/>
            <w:rFonts w:ascii="Arial" w:hAnsi="Arial" w:cs="Arial"/>
            <w:color w:val="000000" w:themeColor="text1"/>
            <w:sz w:val="20"/>
            <w:szCs w:val="20"/>
            <w:u w:val="none"/>
          </w:rPr>
          <w:t>569</w:t>
        </w:r>
      </w:hyperlink>
      <w:r w:rsidR="001634DC">
        <w:rPr>
          <w:rFonts w:ascii="Arial" w:hAnsi="Arial" w:cs="Arial"/>
          <w:color w:val="000000" w:themeColor="text1"/>
          <w:sz w:val="20"/>
          <w:szCs w:val="20"/>
        </w:rPr>
        <w:t xml:space="preserve"> </w:t>
      </w:r>
      <w:r w:rsidR="00BF22E6" w:rsidRPr="00BF22E6">
        <w:rPr>
          <w:rFonts w:ascii="Arial" w:hAnsi="Arial" w:cs="Arial"/>
          <w:color w:val="000000" w:themeColor="text1"/>
          <w:sz w:val="20"/>
          <w:szCs w:val="20"/>
        </w:rPr>
        <w:t>per Gibbs CJ, </w:t>
      </w:r>
      <w:hyperlink r:id="rId20" w:history="1">
        <w:r w:rsidR="00BF22E6" w:rsidRPr="00BF22E6">
          <w:rPr>
            <w:rStyle w:val="Hyperlink"/>
            <w:rFonts w:ascii="Arial" w:hAnsi="Arial" w:cs="Arial"/>
            <w:color w:val="000000" w:themeColor="text1"/>
            <w:sz w:val="20"/>
            <w:szCs w:val="20"/>
            <w:u w:val="none"/>
          </w:rPr>
          <w:t>582</w:t>
        </w:r>
      </w:hyperlink>
      <w:r w:rsidR="00BF22E6" w:rsidRPr="00BF22E6">
        <w:rPr>
          <w:rFonts w:ascii="Arial" w:hAnsi="Arial" w:cs="Arial"/>
          <w:color w:val="000000" w:themeColor="text1"/>
          <w:sz w:val="20"/>
          <w:szCs w:val="20"/>
        </w:rPr>
        <w:t> per Mason J</w:t>
      </w:r>
      <w:r w:rsidR="00BF22E6">
        <w:rPr>
          <w:rFonts w:ascii="Arial" w:hAnsi="Arial" w:cs="Arial"/>
          <w:color w:val="000000" w:themeColor="text1"/>
          <w:sz w:val="20"/>
          <w:szCs w:val="20"/>
        </w:rPr>
        <w:t>.</w:t>
      </w:r>
      <w:bookmarkEnd w:id="99"/>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As Brennan J stated in</w:t>
      </w:r>
      <w:r w:rsidR="001634DC">
        <w:rPr>
          <w:rFonts w:ascii="Arial" w:hAnsi="Arial" w:cs="Arial"/>
          <w:color w:val="000000" w:themeColor="text1"/>
          <w:sz w:val="20"/>
          <w:szCs w:val="20"/>
        </w:rPr>
        <w:t xml:space="preserve"> </w:t>
      </w:r>
      <w:hyperlink r:id="rId21" w:history="1">
        <w:proofErr w:type="spellStart"/>
        <w:r w:rsidRPr="00BF22E6">
          <w:rPr>
            <w:rStyle w:val="Hyperlink"/>
            <w:rFonts w:ascii="Arial" w:hAnsi="Arial" w:cs="Arial"/>
            <w:i/>
            <w:iCs/>
            <w:color w:val="000000" w:themeColor="text1"/>
            <w:sz w:val="20"/>
            <w:szCs w:val="20"/>
            <w:u w:val="none"/>
          </w:rPr>
          <w:t>Kioa</w:t>
        </w:r>
        <w:proofErr w:type="spellEnd"/>
        <w:r w:rsidRPr="00BF22E6">
          <w:rPr>
            <w:rStyle w:val="Hyperlink"/>
            <w:rFonts w:ascii="Arial" w:hAnsi="Arial" w:cs="Arial"/>
            <w:i/>
            <w:iCs/>
            <w:color w:val="000000" w:themeColor="text1"/>
            <w:sz w:val="20"/>
            <w:szCs w:val="20"/>
            <w:u w:val="none"/>
          </w:rPr>
          <w:t xml:space="preserve"> v West</w:t>
        </w:r>
      </w:hyperlink>
      <w:r w:rsidR="00BF22E6" w:rsidRPr="00BF22E6">
        <w:rPr>
          <w:rFonts w:ascii="Arial" w:hAnsi="Arial" w:cs="Arial"/>
          <w:color w:val="000000" w:themeColor="text1"/>
          <w:sz w:val="20"/>
          <w:szCs w:val="20"/>
        </w:rPr>
        <w:t xml:space="preserve"> at 628</w:t>
      </w:r>
      <w:r w:rsidRPr="00BF22E6">
        <w:rPr>
          <w:rFonts w:ascii="Arial" w:hAnsi="Arial" w:cs="Arial"/>
          <w:color w:val="000000" w:themeColor="text1"/>
          <w:sz w:val="20"/>
          <w:szCs w:val="20"/>
        </w:rPr>
        <w:t>:</w:t>
      </w:r>
    </w:p>
    <w:p w14:paraId="1D537FD5" w14:textId="52A6C9BB" w:rsidR="005F08ED" w:rsidRPr="005F08ED" w:rsidRDefault="005F08ED" w:rsidP="005F08ED">
      <w:pPr>
        <w:pStyle w:val="NormalWeb"/>
        <w:shd w:val="clear" w:color="auto" w:fill="FFFFFF"/>
        <w:spacing w:before="60" w:beforeAutospacing="0" w:after="0" w:afterAutospacing="0"/>
        <w:ind w:left="907" w:right="907"/>
        <w:jc w:val="both"/>
        <w:rPr>
          <w:rFonts w:ascii="Arial" w:hAnsi="Arial" w:cs="Arial"/>
          <w:sz w:val="20"/>
          <w:szCs w:val="20"/>
        </w:rPr>
      </w:pPr>
      <w:r>
        <w:rPr>
          <w:rFonts w:ascii="Arial" w:hAnsi="Arial" w:cs="Arial"/>
          <w:sz w:val="20"/>
          <w:szCs w:val="20"/>
        </w:rPr>
        <w:t>‘</w:t>
      </w:r>
      <w:r w:rsidRPr="005F08ED">
        <w:rPr>
          <w:rFonts w:ascii="Arial" w:hAnsi="Arial" w:cs="Arial"/>
          <w:sz w:val="20"/>
          <w:szCs w:val="20"/>
        </w:rPr>
        <w:t>A person whose interests are likely to be affected by an exercise of power must be given an opportunity to deal with relevant matters to his interests which the repository of the power proposes to take into account in deciding upon its exercise.</w:t>
      </w:r>
      <w:r>
        <w:rPr>
          <w:rFonts w:ascii="Arial" w:hAnsi="Arial" w:cs="Arial"/>
          <w:sz w:val="20"/>
          <w:szCs w:val="20"/>
        </w:rPr>
        <w:t>’</w:t>
      </w:r>
    </w:p>
    <w:p w14:paraId="7CB573DF" w14:textId="79C435BE" w:rsidR="005F08ED" w:rsidRPr="00BF22E6"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 xml:space="preserve">The fundamental requirement of procedural fairness is that a party who is subject to the possibility of an adverse determination on the basis of any information, whatever its source, must be made aware of the case to be raised against the party, and be afforded an opportunity to respond. </w:t>
      </w:r>
      <w:r w:rsidR="001634DC">
        <w:rPr>
          <w:rFonts w:ascii="Arial" w:hAnsi="Arial" w:cs="Arial"/>
          <w:sz w:val="20"/>
          <w:szCs w:val="20"/>
        </w:rPr>
        <w:t xml:space="preserve"> </w:t>
      </w:r>
      <w:r w:rsidRPr="005F08ED">
        <w:rPr>
          <w:rFonts w:ascii="Arial" w:hAnsi="Arial" w:cs="Arial"/>
          <w:sz w:val="20"/>
          <w:szCs w:val="20"/>
        </w:rPr>
        <w:t>The judicial obligation to afford a party reasonable opportunity to present or meet a case</w:t>
      </w:r>
      <w:r w:rsidR="00BF22E6">
        <w:rPr>
          <w:rFonts w:ascii="Arial" w:hAnsi="Arial" w:cs="Arial"/>
          <w:sz w:val="20"/>
          <w:szCs w:val="20"/>
        </w:rPr>
        <w:t xml:space="preserve"> {</w:t>
      </w:r>
      <w:hyperlink r:id="rId22" w:history="1">
        <w:r w:rsidR="00BF22E6" w:rsidRPr="00BF22E6">
          <w:rPr>
            <w:rStyle w:val="Hyperlink"/>
            <w:rFonts w:ascii="Arial" w:hAnsi="Arial" w:cs="Arial"/>
            <w:i/>
            <w:iCs/>
            <w:color w:val="000000" w:themeColor="text1"/>
            <w:sz w:val="20"/>
            <w:szCs w:val="20"/>
            <w:u w:val="none"/>
          </w:rPr>
          <w:t>Minister for Immigration and Multicultural Affairs v Bhardwaj </w:t>
        </w:r>
      </w:hyperlink>
      <w:r w:rsidR="00BF22E6" w:rsidRPr="00BF22E6">
        <w:rPr>
          <w:rFonts w:ascii="Arial" w:hAnsi="Arial" w:cs="Arial"/>
          <w:color w:val="000000" w:themeColor="text1"/>
          <w:sz w:val="20"/>
          <w:szCs w:val="20"/>
        </w:rPr>
        <w:t>(2002) 209 CLR 597 at </w:t>
      </w:r>
      <w:hyperlink r:id="rId23" w:history="1">
        <w:r w:rsidR="00BF22E6" w:rsidRPr="00BF22E6">
          <w:rPr>
            <w:rStyle w:val="Hyperlink"/>
            <w:rFonts w:ascii="Arial" w:hAnsi="Arial" w:cs="Arial"/>
            <w:color w:val="000000" w:themeColor="text1"/>
            <w:sz w:val="20"/>
            <w:szCs w:val="20"/>
            <w:u w:val="none"/>
          </w:rPr>
          <w:t>611</w:t>
        </w:r>
      </w:hyperlink>
      <w:r w:rsidR="00BF22E6" w:rsidRPr="00BF22E6">
        <w:rPr>
          <w:rFonts w:ascii="Arial" w:hAnsi="Arial" w:cs="Arial"/>
          <w:color w:val="000000" w:themeColor="text1"/>
          <w:sz w:val="20"/>
          <w:szCs w:val="20"/>
        </w:rPr>
        <w:t>, </w:t>
      </w:r>
      <w:hyperlink r:id="rId24" w:history="1">
        <w:r w:rsidR="00BF22E6" w:rsidRPr="00BF22E6">
          <w:rPr>
            <w:rStyle w:val="Hyperlink"/>
            <w:rFonts w:ascii="Arial" w:hAnsi="Arial" w:cs="Arial"/>
            <w:color w:val="000000" w:themeColor="text1"/>
            <w:sz w:val="20"/>
            <w:szCs w:val="20"/>
            <w:u w:val="none"/>
          </w:rPr>
          <w:t>[40]</w:t>
        </w:r>
      </w:hyperlink>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is vital both to the reality and the appearance of justice.”</w:t>
      </w:r>
    </w:p>
    <w:p w14:paraId="41460D80" w14:textId="77777777" w:rsidR="00C83BC0" w:rsidRDefault="00C83BC0">
      <w:pPr>
        <w:jc w:val="both"/>
        <w:rPr>
          <w:rFonts w:ascii="Arial" w:hAnsi="Arial" w:cs="Arial"/>
          <w:color w:val="000000"/>
          <w:sz w:val="20"/>
        </w:rPr>
      </w:pPr>
    </w:p>
    <w:p w14:paraId="032BD28E" w14:textId="125E288B"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proofErr w:type="spellStart"/>
      <w:r>
        <w:rPr>
          <w:rFonts w:ascii="Arial" w:hAnsi="Arial" w:cs="Arial"/>
          <w:color w:val="000000"/>
          <w:sz w:val="20"/>
        </w:rPr>
        <w:t>Ginnane</w:t>
      </w:r>
      <w:proofErr w:type="spellEnd"/>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5F231E">
      <w:pPr>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 xml:space="preserve">When dealing with self-represented litigants, judicial officers must ensure, to the extent possible, a fair trial and ‘equality of arms’ by providing due assistance to such litigants. Such a duty recognises the disadvantage self-represented litigants face in Court, principally due to </w:t>
      </w:r>
      <w:r w:rsidRPr="00D27D03">
        <w:rPr>
          <w:rFonts w:ascii="Arial" w:hAnsi="Arial" w:cs="Arial"/>
          <w:color w:val="000000"/>
          <w:sz w:val="20"/>
        </w:rPr>
        <w:lastRenderedPageBreak/>
        <w:t>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 xml:space="preserve">Tomasevic v </w:t>
      </w:r>
      <w:proofErr w:type="spellStart"/>
      <w:r w:rsidRPr="00D27D03">
        <w:rPr>
          <w:rFonts w:ascii="Arial" w:hAnsi="Arial" w:cs="Arial"/>
          <w:i/>
          <w:iCs/>
          <w:color w:val="000000"/>
          <w:sz w:val="20"/>
        </w:rPr>
        <w:t>Travaglini</w:t>
      </w:r>
      <w:proofErr w:type="spellEnd"/>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Default="00D27D03" w:rsidP="00D27D03">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Most self-represented persons lack two qualities that competent lawyers possess - legal skill and ability, and objectivity. Self-represented litigants</w:t>
      </w:r>
      <w:r>
        <w:rPr>
          <w:rFonts w:ascii="Arial" w:hAnsi="Arial" w:cs="Arial"/>
          <w:color w:val="000000"/>
          <w:sz w:val="20"/>
        </w:rPr>
        <w:t xml:space="preserve"> </w:t>
      </w:r>
      <w:r w:rsidRPr="00D27D03">
        <w:rPr>
          <w:rFonts w:ascii="Arial" w:hAnsi="Arial" w:cs="Arial"/>
          <w:color w:val="000000"/>
          <w:sz w:val="20"/>
        </w:rPr>
        <w:t>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The matters regarding which the judge must assist a self-represented litigant are not limited, for the judge must give such assistance as is necessary to ensure a fair trial. The proper scope of the assistance depends on the particular litigant 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Pr>
          <w:rFonts w:ascii="Arial" w:hAnsi="Arial" w:cs="Arial"/>
          <w:color w:val="000000"/>
          <w:sz w:val="20"/>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Default="00826176" w:rsidP="00953CFB">
      <w:pPr>
        <w:keepNext/>
        <w:keepLines/>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r>
        <w:rPr>
          <w:rFonts w:ascii="Arial" w:hAnsi="Arial" w:cs="Arial"/>
          <w:color w:val="000000"/>
          <w:sz w:val="20"/>
        </w:rPr>
        <w: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proofErr w:type="spellStart"/>
      <w:r w:rsidRPr="00826176">
        <w:rPr>
          <w:rFonts w:ascii="Arial" w:hAnsi="Arial" w:cs="Arial"/>
          <w:i/>
          <w:iCs/>
          <w:color w:val="000000"/>
          <w:sz w:val="20"/>
        </w:rPr>
        <w:t>Matsoukatidou</w:t>
      </w:r>
      <w:proofErr w:type="spellEnd"/>
      <w:r w:rsidRPr="00826176">
        <w:rPr>
          <w:rFonts w:ascii="Arial" w:hAnsi="Arial" w:cs="Arial"/>
          <w:i/>
          <w:iCs/>
          <w:color w:val="000000"/>
          <w:sz w:val="20"/>
        </w:rPr>
        <w:t xml:space="preserve">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6DEE0587" w:rsidR="00826176" w:rsidRDefault="00826176" w:rsidP="00953CFB">
      <w:pPr>
        <w:spacing w:before="60"/>
        <w:ind w:left="1021" w:right="1021"/>
        <w:jc w:val="both"/>
        <w:rPr>
          <w:rFonts w:ascii="Arial" w:hAnsi="Arial" w:cs="Arial"/>
          <w:color w:val="000000"/>
          <w:sz w:val="20"/>
        </w:rPr>
      </w:pPr>
      <w:r w:rsidRPr="001F471C">
        <w:rPr>
          <w:rFonts w:ascii="Arial" w:hAnsi="Arial" w:cs="Arial"/>
          <w:color w:val="000000"/>
          <w:sz w:val="20"/>
          <w:szCs w:val="20"/>
        </w:rPr>
        <w:t xml:space="preserve">‘However, under both the common law and s 24(1) </w:t>
      </w:r>
      <w:r w:rsidR="001451D5" w:rsidRPr="001F471C">
        <w:rPr>
          <w:rFonts w:ascii="Arial" w:hAnsi="Arial" w:cs="Arial"/>
          <w:color w:val="000000"/>
          <w:sz w:val="20"/>
          <w:szCs w:val="20"/>
        </w:rPr>
        <w:t xml:space="preserve">[of the </w:t>
      </w:r>
      <w:r w:rsidR="001451D5" w:rsidRPr="00174CDB">
        <w:rPr>
          <w:rFonts w:ascii="Arial" w:hAnsi="Arial" w:cs="Arial"/>
          <w:i/>
          <w:iCs/>
          <w:color w:val="333333"/>
          <w:sz w:val="20"/>
          <w:szCs w:val="20"/>
          <w:shd w:val="clear" w:color="auto" w:fill="FFFFFF"/>
        </w:rPr>
        <w:t>Charter of Human Rights and Responsibilities Act 2006</w:t>
      </w:r>
      <w:r w:rsidR="001451D5" w:rsidRPr="001F471C">
        <w:rPr>
          <w:rFonts w:ascii="Arial" w:hAnsi="Arial" w:cs="Arial"/>
          <w:color w:val="333333"/>
          <w:sz w:val="20"/>
          <w:szCs w:val="20"/>
          <w:shd w:val="clear" w:color="auto" w:fill="FFFFFF"/>
        </w:rPr>
        <w:t xml:space="preserve">] </w:t>
      </w:r>
      <w:r w:rsidRPr="001F471C">
        <w:rPr>
          <w:rFonts w:ascii="Arial" w:hAnsi="Arial" w:cs="Arial"/>
          <w:color w:val="000000"/>
          <w:sz w:val="20"/>
          <w:szCs w:val="20"/>
        </w:rPr>
        <w:t>there is a boundary that cannot be</w:t>
      </w:r>
      <w:r w:rsidRPr="00D27D03">
        <w:rPr>
          <w:rFonts w:ascii="Arial" w:hAnsi="Arial" w:cs="Arial"/>
          <w:color w:val="000000"/>
          <w:sz w:val="20"/>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w:t>
      </w:r>
      <w:r w:rsidRPr="00826176">
        <w:rPr>
          <w:rFonts w:ascii="Arial" w:hAnsi="Arial" w:cs="Arial"/>
          <w:color w:val="000000"/>
          <w:sz w:val="20"/>
        </w:rPr>
        <w:t xml:space="preserve"> </w:t>
      </w:r>
      <w:r w:rsidRPr="00D27D03">
        <w:rPr>
          <w:rFonts w:ascii="Arial" w:hAnsi="Arial" w:cs="Arial"/>
          <w:color w:val="000000"/>
          <w:sz w:val="20"/>
        </w:rPr>
        <w:t>fairness and respect for the human rights of other participants.</w:t>
      </w:r>
      <w:r>
        <w:rPr>
          <w:rFonts w:ascii="Arial" w:hAnsi="Arial" w:cs="Arial"/>
          <w:color w:val="000000"/>
          <w:sz w:val="20"/>
        </w:rPr>
        <w:t>’</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t>In my opinion, had the Magistrate done what the plaintiff asserted he should have done, the ‘boundary’ identified by Bell J would have been crossed. By raising applications that he 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5644C489" w14:textId="32E11893" w:rsidR="008E5CB0" w:rsidRDefault="008E5CB0" w:rsidP="00AF5EB8">
      <w:pPr>
        <w:tabs>
          <w:tab w:val="left" w:pos="1440"/>
        </w:tabs>
        <w:jc w:val="both"/>
        <w:rPr>
          <w:rFonts w:ascii="Arial" w:hAnsi="Arial" w:cs="Arial"/>
          <w:color w:val="000000"/>
          <w:sz w:val="20"/>
        </w:rPr>
      </w:pPr>
      <w:r>
        <w:rPr>
          <w:rFonts w:ascii="Arial" w:hAnsi="Arial" w:cs="Arial"/>
          <w:color w:val="000000"/>
          <w:sz w:val="20"/>
        </w:rPr>
        <w:t xml:space="preserve">In </w:t>
      </w:r>
      <w:r w:rsidRPr="008E5CB0">
        <w:rPr>
          <w:rFonts w:ascii="Arial" w:hAnsi="Arial" w:cs="Arial"/>
          <w:i/>
          <w:iCs/>
          <w:color w:val="000000"/>
          <w:sz w:val="20"/>
        </w:rPr>
        <w:t>Kelly v The Queen</w:t>
      </w:r>
      <w:r>
        <w:rPr>
          <w:rFonts w:ascii="Arial" w:hAnsi="Arial" w:cs="Arial"/>
          <w:color w:val="000000"/>
          <w:sz w:val="20"/>
        </w:rPr>
        <w:t xml:space="preserve"> [2021] VSCA 216 events occurring after the plea hearing had been adjourned had been taken into account by the sentencing judge against the appellant but he had not been given the opportunity – despite requesting to do so – to make submissions about those events.  At [37] the Court of Appeal (Priest &amp; Beach JJA) concluded that “in making the findings the judge made, on the issues of acceptance of responsibility, insight and rehabilitation, without seeking further submissions from the appellant, involved a denial of procedural fairness.”  However, despite that </w:t>
      </w:r>
      <w:r w:rsidR="0049196B">
        <w:rPr>
          <w:rFonts w:ascii="Arial" w:hAnsi="Arial" w:cs="Arial"/>
          <w:color w:val="000000"/>
          <w:sz w:val="20"/>
        </w:rPr>
        <w:t xml:space="preserve">finding, </w:t>
      </w:r>
      <w:r>
        <w:rPr>
          <w:rFonts w:ascii="Arial" w:hAnsi="Arial" w:cs="Arial"/>
          <w:color w:val="000000"/>
          <w:sz w:val="20"/>
        </w:rPr>
        <w:t xml:space="preserve">the Court of Appeal dismissed the appeal on the basis that assuming in the appellant’s favour that he appropriately accepted </w:t>
      </w:r>
      <w:r>
        <w:rPr>
          <w:rFonts w:ascii="Arial" w:hAnsi="Arial" w:cs="Arial"/>
          <w:color w:val="000000"/>
          <w:sz w:val="20"/>
        </w:rPr>
        <w:lastRenderedPageBreak/>
        <w:t>responsibility, possessed insight and had good prospects of success, the Court was not satisfied that any different sentence should be imposed.</w:t>
      </w:r>
    </w:p>
    <w:p w14:paraId="289B64FE" w14:textId="71979872" w:rsidR="008E5CB0" w:rsidRDefault="008E5CB0" w:rsidP="008E5CB0">
      <w:pPr>
        <w:tabs>
          <w:tab w:val="left" w:pos="1440"/>
        </w:tabs>
        <w:jc w:val="both"/>
        <w:rPr>
          <w:rFonts w:ascii="Arial" w:hAnsi="Arial" w:cs="Arial"/>
          <w:color w:val="000000"/>
          <w:sz w:val="20"/>
        </w:rPr>
      </w:pPr>
    </w:p>
    <w:p w14:paraId="5FC052A3" w14:textId="7A2107A7" w:rsidR="00F202AD" w:rsidRDefault="00F202AD" w:rsidP="008E5CB0">
      <w:pPr>
        <w:tabs>
          <w:tab w:val="left" w:pos="1440"/>
        </w:tabs>
        <w:jc w:val="both"/>
        <w:rPr>
          <w:rFonts w:ascii="Arial" w:hAnsi="Arial" w:cs="Arial"/>
          <w:color w:val="000000"/>
          <w:sz w:val="20"/>
        </w:rPr>
      </w:pPr>
      <w:r>
        <w:rPr>
          <w:rFonts w:ascii="Arial" w:hAnsi="Arial" w:cs="Arial"/>
          <w:color w:val="000000"/>
          <w:sz w:val="20"/>
        </w:rPr>
        <w:t xml:space="preserve">In </w:t>
      </w:r>
      <w:proofErr w:type="spellStart"/>
      <w:r w:rsidRPr="00701A60">
        <w:rPr>
          <w:rFonts w:ascii="Arial" w:hAnsi="Arial" w:cs="Arial"/>
          <w:bCs/>
          <w:i/>
          <w:iCs/>
          <w:color w:val="000000"/>
          <w:sz w:val="20"/>
        </w:rPr>
        <w:t>Konidaris</w:t>
      </w:r>
      <w:proofErr w:type="spellEnd"/>
      <w:r w:rsidRPr="00701A60">
        <w:rPr>
          <w:rFonts w:ascii="Arial" w:hAnsi="Arial" w:cs="Arial"/>
          <w:bCs/>
          <w:i/>
          <w:iCs/>
          <w:color w:val="000000"/>
          <w:sz w:val="20"/>
        </w:rPr>
        <w:t xml:space="preserve"> v The Queen</w:t>
      </w:r>
      <w:r>
        <w:rPr>
          <w:rFonts w:ascii="Arial" w:hAnsi="Arial" w:cs="Arial"/>
          <w:bCs/>
          <w:color w:val="000000"/>
          <w:sz w:val="20"/>
        </w:rPr>
        <w:t xml:space="preserve"> [2021] VSCA 309 </w:t>
      </w:r>
      <w:r w:rsidR="002535E9">
        <w:rPr>
          <w:rFonts w:ascii="Arial" w:hAnsi="Arial" w:cs="Arial"/>
          <w:bCs/>
          <w:color w:val="000000"/>
          <w:sz w:val="20"/>
        </w:rPr>
        <w:t>the Court of Appeal held that the sentencing judge had failed to afford procedural fairness to the appellant by accessing and relying on a medical report not formally tendered or relied on in the plea and by using the report to make findings contrary to the expert evidence before the Court.  At [89] Emerton &amp; Osborn JJA said:</w:t>
      </w:r>
    </w:p>
    <w:p w14:paraId="544758D9" w14:textId="438E0DE1" w:rsidR="00F202AD" w:rsidRPr="00157258" w:rsidRDefault="00157258" w:rsidP="00157258">
      <w:pPr>
        <w:ind w:left="567" w:right="567"/>
        <w:jc w:val="both"/>
        <w:rPr>
          <w:rFonts w:ascii="Arial" w:hAnsi="Arial" w:cs="Arial"/>
          <w:sz w:val="20"/>
          <w:szCs w:val="20"/>
        </w:rPr>
      </w:pPr>
      <w:r>
        <w:rPr>
          <w:rFonts w:ascii="Arial" w:hAnsi="Arial" w:cs="Arial"/>
          <w:sz w:val="20"/>
          <w:szCs w:val="20"/>
        </w:rPr>
        <w:t>“</w:t>
      </w:r>
      <w:r w:rsidR="00F202AD" w:rsidRPr="002535E9">
        <w:rPr>
          <w:rFonts w:ascii="Arial" w:hAnsi="Arial" w:cs="Arial"/>
          <w:sz w:val="20"/>
          <w:szCs w:val="20"/>
        </w:rPr>
        <w:t xml:space="preserve">We consider that in obtaining and using the </w:t>
      </w:r>
      <w:proofErr w:type="spellStart"/>
      <w:r w:rsidR="00F202AD" w:rsidRPr="002535E9">
        <w:rPr>
          <w:rFonts w:ascii="Arial" w:hAnsi="Arial" w:cs="Arial"/>
          <w:sz w:val="20"/>
          <w:szCs w:val="20"/>
        </w:rPr>
        <w:t>Sevar</w:t>
      </w:r>
      <w:proofErr w:type="spellEnd"/>
      <w:r w:rsidR="00F202AD" w:rsidRPr="002535E9">
        <w:rPr>
          <w:rFonts w:ascii="Arial" w:hAnsi="Arial" w:cs="Arial"/>
          <w:sz w:val="20"/>
          <w:szCs w:val="20"/>
        </w:rPr>
        <w:t xml:space="preserve"> report to counter the evidence given by Dr Owens, the sentencing judge acted not as an adjudicator, but as an investigator and, in so doing, stepped outside the judicial role.  It is not within the limits of the judicial function for a judge to attempt to fill a gap in the evidence on a matter of </w:t>
      </w:r>
      <w:r w:rsidR="00F202AD" w:rsidRPr="002535E9">
        <w:rPr>
          <w:rFonts w:ascii="Arial" w:eastAsia="Book Antiqua" w:hAnsi="Arial" w:cs="Arial"/>
          <w:sz w:val="20"/>
          <w:szCs w:val="20"/>
        </w:rPr>
        <w:t>controversy, as this involves ‘</w:t>
      </w:r>
      <w:r w:rsidR="00F202AD" w:rsidRPr="002535E9">
        <w:rPr>
          <w:rFonts w:ascii="Arial" w:hAnsi="Arial" w:cs="Arial"/>
          <w:sz w:val="20"/>
          <w:szCs w:val="20"/>
        </w:rPr>
        <w:t>trespassing into prohibited territory</w:t>
      </w:r>
      <w:r w:rsidR="00F202AD" w:rsidRPr="002535E9">
        <w:rPr>
          <w:rFonts w:ascii="Arial" w:eastAsia="Book Antiqua" w:hAnsi="Arial" w:cs="Arial"/>
          <w:sz w:val="20"/>
          <w:szCs w:val="20"/>
        </w:rPr>
        <w:t>’</w:t>
      </w:r>
      <w:r w:rsidR="002535E9" w:rsidRPr="002535E9">
        <w:rPr>
          <w:rFonts w:ascii="Arial" w:eastAsia="Book Antiqua" w:hAnsi="Arial" w:cs="Arial"/>
          <w:sz w:val="20"/>
          <w:szCs w:val="20"/>
        </w:rPr>
        <w:t xml:space="preserve">: </w:t>
      </w:r>
      <w:r w:rsidR="002535E9" w:rsidRPr="002535E9">
        <w:rPr>
          <w:rFonts w:ascii="Arial" w:eastAsia="Book Antiqua" w:hAnsi="Arial" w:cs="Arial"/>
          <w:i/>
          <w:sz w:val="20"/>
          <w:szCs w:val="20"/>
        </w:rPr>
        <w:t xml:space="preserve">SD </w:t>
      </w:r>
      <w:r w:rsidR="002535E9" w:rsidRPr="002535E9">
        <w:rPr>
          <w:rFonts w:ascii="Arial" w:hAnsi="Arial" w:cs="Arial"/>
          <w:sz w:val="20"/>
          <w:szCs w:val="20"/>
        </w:rPr>
        <w:t xml:space="preserve">(2013) 39 VR 487, 498 [43]; [2013] VSCA 133 (Ashley, Redlich and Priest JJA), referring to </w:t>
      </w:r>
      <w:r w:rsidR="002535E9" w:rsidRPr="002535E9">
        <w:rPr>
          <w:rFonts w:ascii="Arial" w:eastAsia="Book Antiqua" w:hAnsi="Arial" w:cs="Arial"/>
          <w:i/>
          <w:sz w:val="20"/>
          <w:szCs w:val="20"/>
        </w:rPr>
        <w:t>R v H</w:t>
      </w:r>
      <w:r w:rsidR="002535E9" w:rsidRPr="002535E9">
        <w:rPr>
          <w:rFonts w:ascii="Arial" w:hAnsi="Arial" w:cs="Arial"/>
          <w:sz w:val="20"/>
          <w:szCs w:val="20"/>
        </w:rPr>
        <w:t xml:space="preserve"> [2005] NSWCCA 282, [67]</w:t>
      </w:r>
      <w:r w:rsidR="002535E9" w:rsidRPr="002535E9">
        <w:rPr>
          <w:rFonts w:ascii="Arial" w:eastAsia="Book Antiqua" w:hAnsi="Arial" w:cs="Arial"/>
          <w:sz w:val="20"/>
          <w:szCs w:val="20"/>
        </w:rPr>
        <w:t>–</w:t>
      </w:r>
      <w:r w:rsidR="002535E9" w:rsidRPr="002535E9">
        <w:rPr>
          <w:rFonts w:ascii="Arial" w:hAnsi="Arial" w:cs="Arial"/>
          <w:sz w:val="20"/>
          <w:szCs w:val="20"/>
        </w:rPr>
        <w:t>[69] (</w:t>
      </w:r>
      <w:proofErr w:type="spellStart"/>
      <w:r w:rsidR="002535E9" w:rsidRPr="002535E9">
        <w:rPr>
          <w:rFonts w:ascii="Arial" w:hAnsi="Arial" w:cs="Arial"/>
          <w:sz w:val="20"/>
          <w:szCs w:val="20"/>
        </w:rPr>
        <w:t>Studdert</w:t>
      </w:r>
      <w:proofErr w:type="spellEnd"/>
      <w:r w:rsidR="002535E9" w:rsidRPr="002535E9">
        <w:rPr>
          <w:rFonts w:ascii="Arial" w:hAnsi="Arial" w:cs="Arial"/>
          <w:sz w:val="20"/>
          <w:szCs w:val="20"/>
        </w:rPr>
        <w:t xml:space="preserve">, Bell and Latham JJ);  </w:t>
      </w:r>
      <w:r w:rsidR="002535E9" w:rsidRPr="002535E9">
        <w:rPr>
          <w:rFonts w:ascii="Arial" w:eastAsia="Book Antiqua" w:hAnsi="Arial" w:cs="Arial"/>
          <w:i/>
          <w:sz w:val="20"/>
          <w:szCs w:val="20"/>
        </w:rPr>
        <w:t>Perrin The Queen</w:t>
      </w:r>
      <w:r w:rsidR="002535E9" w:rsidRPr="002535E9">
        <w:rPr>
          <w:rFonts w:ascii="Arial" w:hAnsi="Arial" w:cs="Arial"/>
          <w:sz w:val="20"/>
          <w:szCs w:val="20"/>
        </w:rPr>
        <w:t xml:space="preserve"> [2006] NSWCCA 64 (McClellan CJ at CL, Rothman J, Smart AJ).</w:t>
      </w:r>
      <w:r>
        <w:rPr>
          <w:rFonts w:ascii="Arial" w:hAnsi="Arial" w:cs="Arial"/>
          <w:sz w:val="20"/>
          <w:szCs w:val="20"/>
        </w:rPr>
        <w:t>”</w:t>
      </w:r>
    </w:p>
    <w:p w14:paraId="4104FC8F" w14:textId="77777777" w:rsidR="00F202AD" w:rsidRDefault="00F202AD" w:rsidP="008E5CB0">
      <w:pPr>
        <w:tabs>
          <w:tab w:val="left" w:pos="1440"/>
        </w:tabs>
        <w:jc w:val="both"/>
        <w:rPr>
          <w:rFonts w:ascii="Arial" w:hAnsi="Arial" w:cs="Arial"/>
          <w:color w:val="000000"/>
          <w:sz w:val="20"/>
        </w:rPr>
      </w:pPr>
    </w:p>
    <w:p w14:paraId="60475337" w14:textId="429975FD" w:rsidR="00CE3457" w:rsidRDefault="00CE3457" w:rsidP="008E5CB0">
      <w:pPr>
        <w:tabs>
          <w:tab w:val="left" w:pos="1440"/>
        </w:tabs>
        <w:jc w:val="both"/>
        <w:rPr>
          <w:rFonts w:ascii="Arial" w:hAnsi="Arial" w:cs="Arial"/>
          <w:bCs/>
          <w:color w:val="000000"/>
          <w:sz w:val="20"/>
        </w:rPr>
      </w:pPr>
      <w:r>
        <w:rPr>
          <w:rFonts w:ascii="Arial" w:hAnsi="Arial" w:cs="Arial"/>
          <w:color w:val="000000"/>
          <w:sz w:val="20"/>
        </w:rPr>
        <w:t>In relation to procedural fairness s</w:t>
      </w:r>
      <w:r w:rsidRPr="00D92415">
        <w:rPr>
          <w:rFonts w:ascii="Arial" w:hAnsi="Arial" w:cs="Arial"/>
          <w:color w:val="000000"/>
          <w:sz w:val="20"/>
        </w:rPr>
        <w:t xml:space="preserve">ee </w:t>
      </w:r>
      <w:r w:rsidR="006C7EDC">
        <w:rPr>
          <w:rFonts w:ascii="Arial" w:hAnsi="Arial" w:cs="Arial"/>
          <w:color w:val="000000"/>
          <w:sz w:val="20"/>
        </w:rPr>
        <w:t xml:space="preserve">section 3.5.6.4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w:t>
      </w:r>
      <w:proofErr w:type="spellStart"/>
      <w:r w:rsidRPr="00D92415">
        <w:rPr>
          <w:rFonts w:ascii="Arial" w:hAnsi="Arial" w:cs="Arial"/>
          <w:i/>
          <w:color w:val="000000"/>
          <w:sz w:val="20"/>
        </w:rPr>
        <w:t>Lieschke</w:t>
      </w:r>
      <w:proofErr w:type="spellEnd"/>
      <w:r w:rsidRPr="00D92415">
        <w:rPr>
          <w:rFonts w:ascii="Arial" w:hAnsi="Arial" w:cs="Arial"/>
          <w:i/>
          <w:color w:val="000000"/>
          <w:sz w:val="20"/>
        </w:rPr>
        <w:t xml:space="preserv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proofErr w:type="spellStart"/>
      <w:r w:rsidRPr="00D92415">
        <w:rPr>
          <w:rFonts w:ascii="Arial" w:hAnsi="Arial" w:cs="Arial"/>
          <w:i/>
          <w:color w:val="000000"/>
          <w:sz w:val="20"/>
        </w:rPr>
        <w:t>Pantorno</w:t>
      </w:r>
      <w:proofErr w:type="spellEnd"/>
      <w:r w:rsidRPr="00D92415">
        <w:rPr>
          <w:rFonts w:ascii="Arial" w:hAnsi="Arial" w:cs="Arial"/>
          <w:i/>
          <w:color w:val="000000"/>
          <w:sz w:val="20"/>
        </w:rPr>
        <w:t xml:space="preserve">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 xml:space="preserve">[2009] HCA 21 at [115] per </w:t>
      </w:r>
      <w:proofErr w:type="spellStart"/>
      <w:r w:rsidRPr="00D92415">
        <w:rPr>
          <w:rFonts w:ascii="Arial" w:hAnsi="Arial" w:cs="Arial"/>
          <w:color w:val="000000"/>
          <w:sz w:val="20"/>
        </w:rPr>
        <w:t>Heydon</w:t>
      </w:r>
      <w:proofErr w:type="spellEnd"/>
      <w:r w:rsidRPr="00D92415">
        <w:rPr>
          <w:rFonts w:ascii="Arial" w:hAnsi="Arial" w:cs="Arial"/>
          <w:color w:val="000000"/>
          <w:sz w:val="20"/>
        </w:rPr>
        <w:t xml:space="preserve">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w:t>
      </w:r>
      <w:r w:rsidRPr="000D175A">
        <w:rPr>
          <w:rFonts w:ascii="Arial" w:hAnsi="Arial" w:cs="Arial"/>
          <w:color w:val="000000"/>
          <w:sz w:val="20"/>
          <w:szCs w:val="20"/>
        </w:rPr>
        <w:t>[147] per Bell J</w:t>
      </w:r>
      <w:r w:rsidRPr="000D175A">
        <w:rPr>
          <w:rFonts w:ascii="Arial" w:hAnsi="Arial" w:cs="Arial"/>
          <w:i/>
          <w:color w:val="000000"/>
          <w:sz w:val="20"/>
          <w:szCs w:val="20"/>
        </w:rPr>
        <w:t>; AB v Magistrates’ Court at Heidelberg</w:t>
      </w:r>
      <w:r w:rsidRPr="000D175A">
        <w:rPr>
          <w:rFonts w:ascii="Arial" w:hAnsi="Arial" w:cs="Arial"/>
          <w:color w:val="000000"/>
          <w:sz w:val="20"/>
          <w:szCs w:val="20"/>
        </w:rPr>
        <w:t xml:space="preserve"> [2011] VSC 61 at [93] per Mukhtar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proofErr w:type="spellStart"/>
      <w:r w:rsidRPr="000D175A">
        <w:rPr>
          <w:rFonts w:ascii="Arial" w:hAnsi="Arial" w:cs="Arial"/>
          <w:i/>
          <w:color w:val="000000"/>
          <w:sz w:val="20"/>
          <w:szCs w:val="20"/>
        </w:rPr>
        <w:t>Zigouris</w:t>
      </w:r>
      <w:proofErr w:type="spellEnd"/>
      <w:r w:rsidRPr="000D175A">
        <w:rPr>
          <w:rFonts w:ascii="Arial" w:hAnsi="Arial" w:cs="Arial"/>
          <w:i/>
          <w:color w:val="000000"/>
          <w:sz w:val="20"/>
          <w:szCs w:val="20"/>
        </w:rPr>
        <w:t xml:space="preserve"> v Sunshine Magistrates’ Court</w:t>
      </w:r>
      <w:r w:rsidRPr="000D175A">
        <w:rPr>
          <w:rFonts w:ascii="Arial" w:hAnsi="Arial" w:cs="Arial"/>
          <w:color w:val="000000"/>
          <w:sz w:val="20"/>
          <w:szCs w:val="20"/>
        </w:rPr>
        <w:t xml:space="preserve"> [2012] VSC 183 at [24]-[27] per Zammit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r w:rsidRPr="000D175A">
        <w:rPr>
          <w:rFonts w:ascii="Arial" w:hAnsi="Arial" w:cs="Arial"/>
          <w:bCs/>
          <w:i/>
          <w:color w:val="000000"/>
          <w:sz w:val="20"/>
          <w:szCs w:val="20"/>
        </w:rPr>
        <w:t xml:space="preserve">DOHS v Children’s Court of Victoria &amp; </w:t>
      </w:r>
      <w:proofErr w:type="spellStart"/>
      <w:r w:rsidRPr="000D175A">
        <w:rPr>
          <w:rFonts w:ascii="Arial" w:hAnsi="Arial" w:cs="Arial"/>
          <w:bCs/>
          <w:i/>
          <w:color w:val="000000"/>
          <w:sz w:val="20"/>
          <w:szCs w:val="20"/>
        </w:rPr>
        <w:t>Ors</w:t>
      </w:r>
      <w:proofErr w:type="spellEnd"/>
      <w:r w:rsidRPr="000D175A">
        <w:rPr>
          <w:rFonts w:ascii="Arial" w:hAnsi="Arial" w:cs="Arial"/>
          <w:bCs/>
          <w:color w:val="000000"/>
          <w:sz w:val="20"/>
          <w:szCs w:val="20"/>
        </w:rPr>
        <w:t xml:space="preserve"> [2012] VSC 422 at [12]-[21], [29] &amp; [32] per Dixon J; </w:t>
      </w:r>
      <w:proofErr w:type="spellStart"/>
      <w:r w:rsidRPr="000D175A">
        <w:rPr>
          <w:rFonts w:ascii="Arial" w:hAnsi="Arial" w:cs="Arial"/>
          <w:bCs/>
          <w:i/>
          <w:color w:val="000000"/>
          <w:sz w:val="20"/>
          <w:szCs w:val="20"/>
        </w:rPr>
        <w:t>Danne</w:t>
      </w:r>
      <w:proofErr w:type="spellEnd"/>
      <w:r w:rsidRPr="000D175A">
        <w:rPr>
          <w:rFonts w:ascii="Arial" w:hAnsi="Arial" w:cs="Arial"/>
          <w:bCs/>
          <w:i/>
          <w:color w:val="000000"/>
          <w:sz w:val="20"/>
          <w:szCs w:val="20"/>
        </w:rPr>
        <w:t xml:space="preserve"> v Coroner</w:t>
      </w:r>
      <w:r w:rsidRPr="000D175A">
        <w:rPr>
          <w:rFonts w:ascii="Arial" w:hAnsi="Arial" w:cs="Arial"/>
          <w:bCs/>
          <w:color w:val="000000"/>
          <w:sz w:val="20"/>
          <w:szCs w:val="20"/>
        </w:rPr>
        <w:t xml:space="preserve"> [2012] VSC 454 at [20]-[26] per Kyrou J; </w:t>
      </w:r>
      <w:r w:rsidRPr="000D175A">
        <w:rPr>
          <w:rFonts w:ascii="Arial" w:hAnsi="Arial" w:cs="Arial"/>
          <w:i/>
          <w:color w:val="000000"/>
          <w:sz w:val="20"/>
          <w:szCs w:val="20"/>
        </w:rPr>
        <w:t>Eaton v Dental Board of Australia</w:t>
      </w:r>
      <w:r w:rsidRPr="000D175A">
        <w:rPr>
          <w:rFonts w:ascii="Arial" w:hAnsi="Arial" w:cs="Arial"/>
          <w:color w:val="000000"/>
          <w:sz w:val="20"/>
          <w:szCs w:val="20"/>
        </w:rPr>
        <w:t xml:space="preserve"> </w:t>
      </w:r>
      <w:r w:rsidRPr="000D175A">
        <w:rPr>
          <w:rFonts w:ascii="Arial" w:hAnsi="Arial" w:cs="Arial"/>
          <w:bCs/>
          <w:color w:val="000000"/>
          <w:sz w:val="20"/>
          <w:szCs w:val="20"/>
        </w:rPr>
        <w:t xml:space="preserve">[2012] VSC 510 at [25]-[32] per Kyrou J; </w:t>
      </w:r>
      <w:r w:rsidR="000D175A" w:rsidRPr="000D175A">
        <w:rPr>
          <w:rFonts w:ascii="Arial" w:hAnsi="Arial" w:cs="Arial"/>
          <w:i/>
          <w:iCs/>
          <w:color w:val="000000"/>
          <w:sz w:val="20"/>
          <w:szCs w:val="20"/>
        </w:rPr>
        <w:t>Williams v Hand</w:t>
      </w:r>
      <w:r w:rsidR="000D175A" w:rsidRPr="000D175A">
        <w:rPr>
          <w:rFonts w:ascii="Arial" w:hAnsi="Arial" w:cs="Arial"/>
          <w:color w:val="000000"/>
          <w:sz w:val="20"/>
          <w:szCs w:val="20"/>
        </w:rPr>
        <w:t xml:space="preserve"> [2014] VSC 527 at [97]-[105].</w:t>
      </w:r>
      <w:proofErr w:type="spellStart"/>
      <w:r w:rsidRPr="000D175A">
        <w:rPr>
          <w:rFonts w:ascii="Arial" w:hAnsi="Arial" w:cs="Arial"/>
          <w:bCs/>
          <w:i/>
          <w:color w:val="000000"/>
          <w:sz w:val="20"/>
          <w:szCs w:val="20"/>
        </w:rPr>
        <w:t>Trkulja</w:t>
      </w:r>
      <w:proofErr w:type="spellEnd"/>
      <w:r w:rsidRPr="000D175A">
        <w:rPr>
          <w:rFonts w:ascii="Arial" w:hAnsi="Arial" w:cs="Arial"/>
          <w:bCs/>
          <w:i/>
          <w:color w:val="000000"/>
          <w:sz w:val="20"/>
          <w:szCs w:val="20"/>
        </w:rPr>
        <w:t xml:space="preserve"> v Markovic</w:t>
      </w:r>
      <w:r w:rsidRPr="000D175A">
        <w:rPr>
          <w:rFonts w:ascii="Arial" w:hAnsi="Arial" w:cs="Arial"/>
          <w:bCs/>
          <w:color w:val="000000"/>
          <w:sz w:val="20"/>
          <w:szCs w:val="20"/>
        </w:rPr>
        <w:t xml:space="preserve"> [2015] VSCA 298 at [37]-[39] per Kyrou &amp; Kaye JJA and </w:t>
      </w:r>
      <w:proofErr w:type="spellStart"/>
      <w:r w:rsidRPr="000D175A">
        <w:rPr>
          <w:rFonts w:ascii="Arial" w:hAnsi="Arial" w:cs="Arial"/>
          <w:bCs/>
          <w:color w:val="000000"/>
          <w:sz w:val="20"/>
          <w:szCs w:val="20"/>
        </w:rPr>
        <w:t>Ginnane</w:t>
      </w:r>
      <w:proofErr w:type="spellEnd"/>
      <w:r w:rsidRPr="000D175A">
        <w:rPr>
          <w:rFonts w:ascii="Arial" w:hAnsi="Arial" w:cs="Arial"/>
          <w:bCs/>
          <w:color w:val="000000"/>
          <w:sz w:val="20"/>
          <w:szCs w:val="20"/>
        </w:rPr>
        <w:t xml:space="preserve"> AJA; </w:t>
      </w:r>
      <w:r w:rsidRPr="000D175A">
        <w:rPr>
          <w:rFonts w:ascii="Arial" w:hAnsi="Arial" w:cs="Arial"/>
          <w:bCs/>
          <w:i/>
          <w:color w:val="000000"/>
          <w:sz w:val="20"/>
          <w:szCs w:val="20"/>
        </w:rPr>
        <w:t>Roberts v Harkness</w:t>
      </w:r>
      <w:r w:rsidRPr="000D175A">
        <w:rPr>
          <w:rFonts w:ascii="Arial" w:hAnsi="Arial" w:cs="Arial"/>
          <w:bCs/>
          <w:color w:val="000000"/>
          <w:sz w:val="20"/>
          <w:szCs w:val="20"/>
        </w:rPr>
        <w:t xml:space="preserve"> (2018) 85 MVR 314; </w:t>
      </w:r>
      <w:r w:rsidRPr="000D175A">
        <w:rPr>
          <w:rFonts w:ascii="Arial" w:hAnsi="Arial" w:cs="Arial"/>
          <w:bCs/>
          <w:i/>
          <w:color w:val="000000"/>
          <w:sz w:val="20"/>
          <w:szCs w:val="20"/>
        </w:rPr>
        <w:t>Davies v The Queen</w:t>
      </w:r>
      <w:r w:rsidRPr="000D175A">
        <w:rPr>
          <w:rFonts w:ascii="Arial" w:hAnsi="Arial" w:cs="Arial"/>
          <w:bCs/>
          <w:color w:val="000000"/>
          <w:sz w:val="20"/>
          <w:szCs w:val="20"/>
        </w:rPr>
        <w:t xml:space="preserve"> [2019] VSCA 66 at [518]</w:t>
      </w:r>
      <w:r w:rsidRPr="000D175A">
        <w:rPr>
          <w:rFonts w:ascii="Arial" w:hAnsi="Arial" w:cs="Arial"/>
          <w:bCs/>
          <w:color w:val="000000"/>
          <w:sz w:val="20"/>
          <w:szCs w:val="20"/>
        </w:rPr>
        <w:noBreakHyphen/>
        <w:t xml:space="preserve">[581], esp. [523] per Kaye, McLeish &amp; T Forrest JJA; </w:t>
      </w:r>
      <w:r w:rsidRPr="000D175A">
        <w:rPr>
          <w:rFonts w:ascii="Arial" w:hAnsi="Arial" w:cs="Arial"/>
          <w:bCs/>
          <w:i/>
          <w:color w:val="000000"/>
          <w:sz w:val="20"/>
          <w:szCs w:val="20"/>
        </w:rPr>
        <w:t xml:space="preserve">David </w:t>
      </w:r>
      <w:proofErr w:type="spellStart"/>
      <w:r w:rsidRPr="000D175A">
        <w:rPr>
          <w:rFonts w:ascii="Arial" w:hAnsi="Arial" w:cs="Arial"/>
          <w:bCs/>
          <w:i/>
          <w:color w:val="000000"/>
          <w:sz w:val="20"/>
          <w:szCs w:val="20"/>
        </w:rPr>
        <w:t>Hingst</w:t>
      </w:r>
      <w:proofErr w:type="spellEnd"/>
      <w:r w:rsidRPr="000D175A">
        <w:rPr>
          <w:rFonts w:ascii="Arial" w:hAnsi="Arial" w:cs="Arial"/>
          <w:bCs/>
          <w:i/>
          <w:color w:val="000000"/>
          <w:sz w:val="20"/>
          <w:szCs w:val="20"/>
        </w:rPr>
        <w:t xml:space="preserve"> v</w:t>
      </w:r>
      <w:r w:rsidRPr="008268C5">
        <w:rPr>
          <w:rFonts w:ascii="Arial" w:hAnsi="Arial" w:cs="Arial"/>
          <w:bCs/>
          <w:i/>
          <w:color w:val="000000"/>
          <w:sz w:val="20"/>
        </w:rPr>
        <w:t xml:space="preserve"> Construction Engineering (Aust) Pty Ltd</w:t>
      </w:r>
      <w:r>
        <w:rPr>
          <w:rFonts w:ascii="Arial" w:hAnsi="Arial" w:cs="Arial"/>
          <w:bCs/>
          <w:color w:val="000000"/>
          <w:sz w:val="20"/>
        </w:rPr>
        <w:t xml:space="preserve"> [2019] VSCA 67 at [67]-[76] per Priest AP &amp; Beach JA; </w:t>
      </w:r>
      <w:proofErr w:type="spellStart"/>
      <w:r w:rsidR="00320575" w:rsidRPr="00320575">
        <w:rPr>
          <w:rFonts w:ascii="Arial" w:hAnsi="Arial" w:cs="Arial"/>
          <w:bCs/>
          <w:i/>
          <w:iCs/>
          <w:color w:val="000000"/>
          <w:sz w:val="20"/>
        </w:rPr>
        <w:t>Shadi</w:t>
      </w:r>
      <w:proofErr w:type="spellEnd"/>
      <w:r w:rsidR="00320575" w:rsidRPr="00320575">
        <w:rPr>
          <w:rFonts w:ascii="Arial" w:hAnsi="Arial" w:cs="Arial"/>
          <w:bCs/>
          <w:i/>
          <w:iCs/>
          <w:color w:val="000000"/>
          <w:sz w:val="20"/>
        </w:rPr>
        <w:t xml:space="preserve">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 xml:space="preserve">Celsius Fire Services Pty Ltd v Magistrates’ Court of Victoria &amp; </w:t>
      </w:r>
      <w:proofErr w:type="spellStart"/>
      <w:r w:rsidR="0017286C" w:rsidRPr="0017286C">
        <w:rPr>
          <w:rFonts w:ascii="Arial" w:hAnsi="Arial" w:cs="Arial"/>
          <w:bCs/>
          <w:i/>
          <w:iCs/>
          <w:color w:val="000000"/>
          <w:sz w:val="20"/>
        </w:rPr>
        <w:t>anor</w:t>
      </w:r>
      <w:proofErr w:type="spellEnd"/>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r w:rsidR="00F202AD">
        <w:rPr>
          <w:rFonts w:ascii="Arial" w:hAnsi="Arial" w:cs="Arial"/>
          <w:bCs/>
          <w:color w:val="000000"/>
          <w:sz w:val="20"/>
        </w:rPr>
        <w:t xml:space="preserve">; </w:t>
      </w:r>
      <w:r w:rsidR="00F202AD" w:rsidRPr="00AB2A46">
        <w:rPr>
          <w:rFonts w:ascii="Arial" w:hAnsi="Arial" w:cs="Arial"/>
          <w:bCs/>
          <w:i/>
          <w:iCs/>
          <w:color w:val="000000"/>
          <w:sz w:val="20"/>
        </w:rPr>
        <w:t>Cathcart v Wang</w:t>
      </w:r>
      <w:r w:rsidR="00F202AD">
        <w:rPr>
          <w:rFonts w:ascii="Arial" w:hAnsi="Arial" w:cs="Arial"/>
          <w:bCs/>
          <w:color w:val="000000"/>
          <w:sz w:val="20"/>
        </w:rPr>
        <w:t xml:space="preserve"> [2021] VSC 685</w:t>
      </w:r>
      <w:r w:rsidR="00AB2A46">
        <w:rPr>
          <w:rFonts w:ascii="Arial" w:hAnsi="Arial" w:cs="Arial"/>
          <w:bCs/>
          <w:color w:val="000000"/>
          <w:sz w:val="20"/>
        </w:rPr>
        <w:t>.</w:t>
      </w:r>
    </w:p>
    <w:p w14:paraId="2B5061AA" w14:textId="14763E33" w:rsidR="00DD62D8" w:rsidRDefault="00DD62D8" w:rsidP="00CE3457">
      <w:pPr>
        <w:tabs>
          <w:tab w:val="left" w:pos="1440"/>
        </w:tabs>
        <w:jc w:val="both"/>
        <w:rPr>
          <w:rFonts w:ascii="Arial" w:hAnsi="Arial" w:cs="Arial"/>
          <w:bCs/>
          <w:color w:val="000000"/>
          <w:sz w:val="20"/>
        </w:rPr>
      </w:pPr>
    </w:p>
    <w:p w14:paraId="45BF73D3" w14:textId="77777777"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rarely happens, a party can request that a judicial officer disqualify himself or herself from hearing a matter on the ground of actual bias or a reasonable apprehension of bias.  The Guide to Judicial Conduct published for the Council of Chief Justices of Australia in 2002 states the guiding principles to be [at p.8]:</w:t>
      </w:r>
    </w:p>
    <w:p w14:paraId="5CCB40EA"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77777777" w:rsidR="001E2974" w:rsidRDefault="001E2974">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w:t>
      </w:r>
      <w:proofErr w:type="spellStart"/>
      <w:r>
        <w:rPr>
          <w:rFonts w:ascii="Arial" w:hAnsi="Arial" w:cs="Arial"/>
          <w:sz w:val="20"/>
        </w:rPr>
        <w:t>eg.</w:t>
      </w:r>
      <w:proofErr w:type="spellEnd"/>
      <w:r>
        <w:rPr>
          <w:rFonts w:ascii="Arial" w:hAnsi="Arial" w:cs="Arial"/>
          <w:sz w:val="20"/>
        </w:rPr>
        <w:t xml:space="preserve">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 xml:space="preserve">allowed an appeal from the decision of the primary judge on the grounds that in his conduct of the case the primary judge had demonstrated apparent bias.  The High Court restored the judgment.  At [112] Kirby &amp; </w:t>
      </w:r>
      <w:proofErr w:type="spellStart"/>
      <w:r>
        <w:rPr>
          <w:rFonts w:ascii="Arial" w:hAnsi="Arial" w:cs="Arial"/>
          <w:iCs/>
          <w:sz w:val="20"/>
          <w:szCs w:val="20"/>
        </w:rPr>
        <w:t>Crennan</w:t>
      </w:r>
      <w:proofErr w:type="spellEnd"/>
      <w:r>
        <w:rPr>
          <w:rFonts w:ascii="Arial" w:hAnsi="Arial" w:cs="Arial"/>
          <w:iCs/>
          <w:sz w:val="20"/>
          <w:szCs w:val="20"/>
        </w:rPr>
        <w:t xml:space="preserve"> JJ said:</w:t>
      </w:r>
    </w:p>
    <w:p w14:paraId="17B11086" w14:textId="77777777" w:rsidR="002304A5" w:rsidRDefault="002304A5" w:rsidP="0049196B">
      <w:pPr>
        <w:spacing w:before="60"/>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judicial interventions and observations can exceed what is a proper and reasonable expression of tentative views.  Whether that has happened is a matter of judgment taking into account all of the circumstances of the case</w:t>
      </w:r>
      <w:r>
        <w:rPr>
          <w:rFonts w:ascii="Arial" w:hAnsi="Arial" w:cs="Arial"/>
          <w:sz w:val="20"/>
        </w:rPr>
        <w:t xml:space="preserve">: </w:t>
      </w:r>
      <w:proofErr w:type="spellStart"/>
      <w:r w:rsidRPr="00BD5912">
        <w:rPr>
          <w:rFonts w:ascii="Arial" w:hAnsi="Arial" w:cs="Arial"/>
          <w:i/>
          <w:sz w:val="20"/>
        </w:rPr>
        <w:t>Antoun</w:t>
      </w:r>
      <w:proofErr w:type="spellEnd"/>
      <w:r w:rsidRPr="00BD5912">
        <w:rPr>
          <w:rFonts w:ascii="Arial" w:hAnsi="Arial" w:cs="Arial"/>
          <w:i/>
          <w:sz w:val="20"/>
        </w:rPr>
        <w:t xml:space="preserve"> v The Queen</w:t>
      </w:r>
      <w:r>
        <w:rPr>
          <w:rFonts w:ascii="Arial" w:hAnsi="Arial" w:cs="Arial"/>
          <w:sz w:val="20"/>
        </w:rPr>
        <w:t xml:space="preserve"> (2006) 80 ALJR 497 at 502 [22] per Gleeson CJ, 503-504 [27]-[30] per Kirby J, 508-509 [56]-[57] per Hayne J, 517 [81] per </w:t>
      </w:r>
      <w:proofErr w:type="spellStart"/>
      <w:r>
        <w:rPr>
          <w:rFonts w:ascii="Arial" w:hAnsi="Arial" w:cs="Arial"/>
          <w:sz w:val="20"/>
        </w:rPr>
        <w:t>Callinan</w:t>
      </w:r>
      <w:proofErr w:type="spellEnd"/>
      <w:r>
        <w:rPr>
          <w:rFonts w:ascii="Arial" w:hAnsi="Arial" w:cs="Arial"/>
          <w:sz w:val="20"/>
        </w:rPr>
        <w:t xml:space="preserve"> J.</w:t>
      </w:r>
      <w:r w:rsidRPr="00BD5912">
        <w:rPr>
          <w:rFonts w:ascii="Arial" w:hAnsi="Arial" w:cs="Arial"/>
          <w:sz w:val="20"/>
        </w:rPr>
        <w:t xml:space="preserve">  However, one thing that is clear is that the expression of tentative </w:t>
      </w:r>
      <w:r w:rsidRPr="00BD5912">
        <w:rPr>
          <w:rFonts w:ascii="Arial" w:hAnsi="Arial" w:cs="Arial"/>
          <w:sz w:val="20"/>
        </w:rPr>
        <w:lastRenderedPageBreak/>
        <w:t>views during the course of argument as to matters on which the parties are permitted to make full submissions does not manifest partiality or bias</w:t>
      </w:r>
      <w:r>
        <w:rPr>
          <w:rFonts w:ascii="Arial" w:hAnsi="Arial" w:cs="Arial"/>
          <w:sz w:val="20"/>
        </w:rPr>
        <w:t xml:space="preserve">: </w:t>
      </w:r>
      <w:proofErr w:type="spellStart"/>
      <w:r w:rsidRPr="00BD5912">
        <w:rPr>
          <w:rFonts w:ascii="Arial" w:hAnsi="Arial" w:cs="Arial"/>
          <w:i/>
          <w:sz w:val="20"/>
        </w:rPr>
        <w:t>Bienstein</w:t>
      </w:r>
      <w:proofErr w:type="spellEnd"/>
      <w:r w:rsidRPr="00BD5912">
        <w:rPr>
          <w:rFonts w:ascii="Arial" w:hAnsi="Arial" w:cs="Arial"/>
          <w:i/>
          <w:sz w:val="20"/>
        </w:rPr>
        <w:t xml:space="preserve"> v </w:t>
      </w:r>
      <w:proofErr w:type="spellStart"/>
      <w:r w:rsidRPr="00BD5912">
        <w:rPr>
          <w:rFonts w:ascii="Arial" w:hAnsi="Arial" w:cs="Arial"/>
          <w:i/>
          <w:sz w:val="20"/>
        </w:rPr>
        <w:t>Bienstein</w:t>
      </w:r>
      <w:proofErr w:type="spellEnd"/>
      <w:r>
        <w:rPr>
          <w:rFonts w:ascii="Arial" w:hAnsi="Arial" w:cs="Arial"/>
          <w:sz w:val="20"/>
        </w:rPr>
        <w:t xml:space="preserve"> (2003) 195 ALR 225 at 232 [34] per McHugh, Kirby &amp; </w:t>
      </w:r>
      <w:proofErr w:type="spellStart"/>
      <w:r>
        <w:rPr>
          <w:rFonts w:ascii="Arial" w:hAnsi="Arial" w:cs="Arial"/>
          <w:sz w:val="20"/>
        </w:rPr>
        <w:t>Callinan</w:t>
      </w:r>
      <w:proofErr w:type="spellEnd"/>
      <w:r>
        <w:rPr>
          <w:rFonts w:ascii="Arial" w:hAnsi="Arial" w:cs="Arial"/>
          <w:sz w:val="20"/>
        </w:rPr>
        <w:t xml:space="preserve">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 xml:space="preserve">At [180] </w:t>
      </w:r>
      <w:proofErr w:type="spellStart"/>
      <w:r w:rsidRPr="00BD5912">
        <w:rPr>
          <w:rFonts w:ascii="Arial" w:hAnsi="Arial" w:cs="Arial"/>
          <w:iCs/>
          <w:sz w:val="20"/>
          <w:szCs w:val="20"/>
        </w:rPr>
        <w:t>Callinan</w:t>
      </w:r>
      <w:proofErr w:type="spellEnd"/>
      <w:r w:rsidRPr="00BD5912">
        <w:rPr>
          <w:rFonts w:ascii="Arial" w:hAnsi="Arial" w:cs="Arial"/>
          <w:iCs/>
          <w:sz w:val="20"/>
          <w:szCs w:val="20"/>
        </w:rPr>
        <w:t xml:space="preserve"> J said:</w:t>
      </w:r>
    </w:p>
    <w:p w14:paraId="183E9429" w14:textId="77777777" w:rsidR="002304A5" w:rsidRDefault="002304A5" w:rsidP="0049196B">
      <w:pPr>
        <w:spacing w:before="60"/>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 xml:space="preserve">that there had been no unfairness in the sentencing judge continuing after the out of court communication had been disclosed, Redlich &amp; </w:t>
      </w:r>
      <w:proofErr w:type="spellStart"/>
      <w:r w:rsidR="008A42F3">
        <w:rPr>
          <w:rFonts w:ascii="Arial" w:hAnsi="Arial" w:cs="Arial"/>
          <w:sz w:val="20"/>
          <w:szCs w:val="20"/>
        </w:rPr>
        <w:t>Dodds</w:t>
      </w:r>
      <w:proofErr w:type="spellEnd"/>
      <w:r w:rsidR="008A42F3">
        <w:rPr>
          <w:rFonts w:ascii="Arial" w:hAnsi="Arial" w:cs="Arial"/>
          <w:sz w:val="20"/>
          <w:szCs w:val="20"/>
        </w:rPr>
        <w:t>-Streeton JJA cautioned at [20] against the use of out of court material:</w:t>
      </w:r>
    </w:p>
    <w:p w14:paraId="17F46F71" w14:textId="77777777" w:rsidR="008A42F3" w:rsidRDefault="008A42F3" w:rsidP="0049196B">
      <w:pPr>
        <w:spacing w:before="60"/>
        <w:ind w:left="454" w:right="454"/>
        <w:jc w:val="both"/>
        <w:rPr>
          <w:rFonts w:ascii="Arial" w:hAnsi="Arial" w:cs="Arial"/>
          <w:sz w:val="20"/>
        </w:rPr>
      </w:pPr>
      <w:r>
        <w:rPr>
          <w:rFonts w:ascii="Arial" w:hAnsi="Arial" w:cs="Arial"/>
          <w:sz w:val="20"/>
        </w:rPr>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is acquired out of court.  In </w:t>
      </w:r>
      <w:r w:rsidRPr="008A42F3">
        <w:rPr>
          <w:rFonts w:ascii="Arial" w:hAnsi="Arial" w:cs="Arial"/>
          <w:i/>
          <w:iCs/>
          <w:sz w:val="20"/>
        </w:rPr>
        <w:t xml:space="preserve">Re Media, Entertainment and Arts </w:t>
      </w:r>
      <w:smartTag w:uri="urn:schemas-microsoft-com:office:smarttags" w:element="City">
        <w:smartTag w:uri="urn:schemas-microsoft-com:office:smarttags" w:element="place">
          <w:r w:rsidRPr="008A42F3">
            <w:rPr>
              <w:rFonts w:ascii="Arial" w:hAnsi="Arial" w:cs="Arial"/>
              <w:i/>
              <w:iCs/>
              <w:sz w:val="20"/>
            </w:rPr>
            <w:t>Alliance</w:t>
          </w:r>
        </w:smartTag>
      </w:smartTag>
      <w:r w:rsidRPr="008A42F3">
        <w:rPr>
          <w:rFonts w:ascii="Arial" w:hAnsi="Arial" w:cs="Arial"/>
          <w:i/>
          <w:iCs/>
          <w:sz w:val="20"/>
        </w:rPr>
        <w:t xml:space="preserve">; ex </w:t>
      </w:r>
      <w:proofErr w:type="spellStart"/>
      <w:r w:rsidRPr="008A42F3">
        <w:rPr>
          <w:rFonts w:ascii="Arial" w:hAnsi="Arial" w:cs="Arial"/>
          <w:i/>
          <w:iCs/>
          <w:sz w:val="20"/>
        </w:rPr>
        <w:t>parte</w:t>
      </w:r>
      <w:proofErr w:type="spellEnd"/>
      <w:r w:rsidRPr="008A42F3">
        <w:rPr>
          <w:rFonts w:ascii="Arial" w:hAnsi="Arial" w:cs="Arial"/>
          <w:i/>
          <w:iCs/>
          <w:sz w:val="20"/>
        </w:rPr>
        <w:t xml:space="preserv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 xml:space="preserve">Mason CJ and Brennan, Deane, Dawson and </w:t>
      </w:r>
      <w:proofErr w:type="spellStart"/>
      <w:r w:rsidRPr="008A42F3">
        <w:rPr>
          <w:rFonts w:ascii="Arial" w:hAnsi="Arial" w:cs="Arial"/>
          <w:sz w:val="20"/>
        </w:rPr>
        <w:t>Gaudron</w:t>
      </w:r>
      <w:proofErr w:type="spellEnd"/>
      <w:r w:rsidRPr="008A42F3">
        <w:rPr>
          <w:rFonts w:ascii="Arial" w:hAnsi="Arial" w:cs="Arial"/>
          <w:sz w:val="20"/>
        </w:rPr>
        <w:t xml:space="preserve"> JJ, described it as an aspect of ‘the rule against</w:t>
      </w:r>
      <w:r w:rsidRPr="008A42F3">
        <w:rPr>
          <w:rFonts w:ascii="Arial" w:hAnsi="Arial" w:cs="Arial"/>
          <w:b/>
          <w:bCs/>
          <w:sz w:val="20"/>
        </w:rPr>
        <w:t> </w:t>
      </w:r>
      <w:proofErr w:type="gramStart"/>
      <w:r w:rsidRPr="008A42F3">
        <w:rPr>
          <w:rFonts w:ascii="Arial" w:hAnsi="Arial" w:cs="Arial"/>
          <w:bCs/>
          <w:sz w:val="20"/>
        </w:rPr>
        <w:t>bias</w:t>
      </w:r>
      <w:r w:rsidRPr="008A42F3">
        <w:rPr>
          <w:rFonts w:ascii="Arial" w:hAnsi="Arial" w:cs="Arial"/>
          <w:sz w:val="20"/>
        </w:rPr>
        <w:t>‘</w:t>
      </w:r>
      <w:proofErr w:type="gramEnd"/>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w:t>
      </w:r>
      <w:proofErr w:type="gramStart"/>
      <w:r w:rsidRPr="008A42F3">
        <w:rPr>
          <w:rFonts w:ascii="Arial" w:hAnsi="Arial" w:cs="Arial"/>
          <w:sz w:val="20"/>
        </w:rPr>
        <w:t>decision‘</w:t>
      </w:r>
      <w:proofErr w:type="gramEnd"/>
      <w:r w:rsidRPr="008A42F3">
        <w:rPr>
          <w:rFonts w:ascii="Arial" w:hAnsi="Arial" w:cs="Arial"/>
          <w:sz w:val="20"/>
        </w:rPr>
        <w:t>.</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w:t>
      </w:r>
      <w:proofErr w:type="spellStart"/>
      <w:r w:rsidRPr="001A1BF2">
        <w:rPr>
          <w:rFonts w:ascii="Arial" w:hAnsi="Arial" w:cs="Arial"/>
          <w:i/>
          <w:color w:val="000000"/>
          <w:sz w:val="20"/>
        </w:rPr>
        <w:t>Assadi</w:t>
      </w:r>
      <w:proofErr w:type="spellEnd"/>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 xml:space="preserve">R v </w:t>
      </w:r>
      <w:proofErr w:type="spellStart"/>
      <w:r w:rsidR="000E6603" w:rsidRPr="001A1BF2">
        <w:rPr>
          <w:rFonts w:ascii="Arial" w:hAnsi="Arial" w:cs="Arial"/>
          <w:i/>
          <w:color w:val="000000"/>
          <w:sz w:val="20"/>
        </w:rPr>
        <w:t>Balassis</w:t>
      </w:r>
      <w:proofErr w:type="spellEnd"/>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76EC29AB" w14:textId="77777777" w:rsidR="00CC65A4" w:rsidRDefault="00CC65A4" w:rsidP="00CC65A4">
      <w:pPr>
        <w:jc w:val="both"/>
        <w:rPr>
          <w:rFonts w:ascii="Arial" w:hAnsi="Arial" w:cs="Arial"/>
          <w:sz w:val="20"/>
          <w:szCs w:val="20"/>
        </w:rPr>
      </w:pPr>
    </w:p>
    <w:p w14:paraId="7FFE2B25" w14:textId="01AA9783" w:rsidR="00566F3D" w:rsidRPr="005B1DDA" w:rsidRDefault="00CC65A4" w:rsidP="00CC65A4">
      <w:pPr>
        <w:jc w:val="both"/>
        <w:rPr>
          <w:rFonts w:ascii="Arial" w:hAnsi="Arial" w:cs="Arial"/>
          <w:sz w:val="20"/>
          <w:szCs w:val="20"/>
        </w:rPr>
      </w:pPr>
      <w:r w:rsidRPr="005B1DDA">
        <w:rPr>
          <w:rFonts w:ascii="Arial" w:hAnsi="Arial" w:cs="Arial"/>
          <w:sz w:val="20"/>
          <w:szCs w:val="20"/>
        </w:rPr>
        <w:t xml:space="preserve">In </w:t>
      </w:r>
      <w:bookmarkStart w:id="100" w:name="_Hlk88486393"/>
      <w:proofErr w:type="spellStart"/>
      <w:r w:rsidRPr="005B1DDA">
        <w:rPr>
          <w:rFonts w:ascii="Arial" w:hAnsi="Arial" w:cs="Arial"/>
          <w:i/>
          <w:iCs/>
          <w:sz w:val="20"/>
          <w:szCs w:val="20"/>
        </w:rPr>
        <w:t>Charisteas</w:t>
      </w:r>
      <w:proofErr w:type="spellEnd"/>
      <w:r w:rsidRPr="005B1DDA">
        <w:rPr>
          <w:rFonts w:ascii="Arial" w:hAnsi="Arial" w:cs="Arial"/>
          <w:i/>
          <w:iCs/>
          <w:sz w:val="20"/>
          <w:szCs w:val="20"/>
        </w:rPr>
        <w:t xml:space="preserve"> v </w:t>
      </w:r>
      <w:proofErr w:type="spellStart"/>
      <w:r w:rsidRPr="005B1DDA">
        <w:rPr>
          <w:rFonts w:ascii="Arial" w:hAnsi="Arial" w:cs="Arial"/>
          <w:i/>
          <w:iCs/>
          <w:sz w:val="20"/>
          <w:szCs w:val="20"/>
        </w:rPr>
        <w:t>Charisteas</w:t>
      </w:r>
      <w:proofErr w:type="spellEnd"/>
      <w:r w:rsidRPr="005B1DDA">
        <w:rPr>
          <w:rFonts w:ascii="Arial" w:hAnsi="Arial" w:cs="Arial"/>
          <w:sz w:val="20"/>
          <w:szCs w:val="20"/>
        </w:rPr>
        <w:t xml:space="preserve"> [2021] HCA 29 </w:t>
      </w:r>
      <w:bookmarkEnd w:id="100"/>
      <w:r w:rsidR="00566F3D" w:rsidRPr="005B1DDA">
        <w:rPr>
          <w:rFonts w:ascii="Arial" w:hAnsi="Arial" w:cs="Arial"/>
          <w:sz w:val="20"/>
          <w:szCs w:val="20"/>
        </w:rPr>
        <w:t xml:space="preserve">the wife's barrister had engaged in private communication with trial judge, including while case </w:t>
      </w:r>
      <w:r w:rsidR="000C0683" w:rsidRPr="005B1DDA">
        <w:rPr>
          <w:rFonts w:ascii="Arial" w:hAnsi="Arial" w:cs="Arial"/>
          <w:sz w:val="20"/>
          <w:szCs w:val="20"/>
        </w:rPr>
        <w:t xml:space="preserve">was </w:t>
      </w:r>
      <w:r w:rsidR="00566F3D" w:rsidRPr="005B1DDA">
        <w:rPr>
          <w:rFonts w:ascii="Arial" w:hAnsi="Arial" w:cs="Arial"/>
          <w:sz w:val="20"/>
          <w:szCs w:val="20"/>
        </w:rPr>
        <w:t xml:space="preserve">underway and while judgment </w:t>
      </w:r>
      <w:r w:rsidR="000C0683" w:rsidRPr="005B1DDA">
        <w:rPr>
          <w:rFonts w:ascii="Arial" w:hAnsi="Arial" w:cs="Arial"/>
          <w:sz w:val="20"/>
          <w:szCs w:val="20"/>
        </w:rPr>
        <w:t xml:space="preserve">was </w:t>
      </w:r>
      <w:r w:rsidR="00566F3D" w:rsidRPr="005B1DDA">
        <w:rPr>
          <w:rFonts w:ascii="Arial" w:hAnsi="Arial" w:cs="Arial"/>
          <w:sz w:val="20"/>
          <w:szCs w:val="20"/>
        </w:rPr>
        <w:t xml:space="preserve">reserved, without previous knowledge and consent of other parties.  The wife's barrister said </w:t>
      </w:r>
      <w:r w:rsidR="000C0683" w:rsidRPr="005B1DDA">
        <w:rPr>
          <w:rFonts w:ascii="Arial" w:hAnsi="Arial" w:cs="Arial"/>
          <w:sz w:val="20"/>
          <w:szCs w:val="20"/>
        </w:rPr>
        <w:t xml:space="preserve">that the </w:t>
      </w:r>
      <w:r w:rsidR="00566F3D" w:rsidRPr="005B1DDA">
        <w:rPr>
          <w:rFonts w:ascii="Arial" w:hAnsi="Arial" w:cs="Arial"/>
          <w:sz w:val="20"/>
          <w:szCs w:val="20"/>
        </w:rPr>
        <w:t xml:space="preserve">communications did not concern </w:t>
      </w:r>
      <w:r w:rsidR="000C0683" w:rsidRPr="005B1DDA">
        <w:rPr>
          <w:rFonts w:ascii="Arial" w:hAnsi="Arial" w:cs="Arial"/>
          <w:sz w:val="20"/>
          <w:szCs w:val="20"/>
        </w:rPr>
        <w:t xml:space="preserve">the </w:t>
      </w:r>
      <w:r w:rsidR="00566F3D" w:rsidRPr="005B1DDA">
        <w:rPr>
          <w:rFonts w:ascii="Arial" w:hAnsi="Arial" w:cs="Arial"/>
          <w:sz w:val="20"/>
          <w:szCs w:val="20"/>
        </w:rPr>
        <w:t xml:space="preserve">substance of </w:t>
      </w:r>
      <w:r w:rsidR="000C0683" w:rsidRPr="005B1DDA">
        <w:rPr>
          <w:rFonts w:ascii="Arial" w:hAnsi="Arial" w:cs="Arial"/>
          <w:sz w:val="20"/>
          <w:szCs w:val="20"/>
        </w:rPr>
        <w:t xml:space="preserve">the </w:t>
      </w:r>
      <w:r w:rsidR="00566F3D" w:rsidRPr="005B1DDA">
        <w:rPr>
          <w:rFonts w:ascii="Arial" w:hAnsi="Arial" w:cs="Arial"/>
          <w:sz w:val="20"/>
          <w:szCs w:val="20"/>
        </w:rPr>
        <w:t xml:space="preserve">case.  </w:t>
      </w:r>
      <w:r w:rsidR="005B1DDA" w:rsidRPr="005B1DDA">
        <w:rPr>
          <w:rFonts w:ascii="Arial" w:hAnsi="Arial" w:cs="Arial"/>
          <w:sz w:val="20"/>
          <w:szCs w:val="20"/>
        </w:rPr>
        <w:t xml:space="preserve">By majority (Strickland and Ryan JJ,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dissenting), the Full Court of the Family Court of Australia dismissed the appeal. </w:t>
      </w:r>
      <w:r w:rsidR="005B1DDA">
        <w:rPr>
          <w:rFonts w:ascii="Arial" w:hAnsi="Arial" w:cs="Arial"/>
          <w:sz w:val="20"/>
          <w:szCs w:val="20"/>
        </w:rPr>
        <w:t xml:space="preserve"> </w:t>
      </w:r>
      <w:r w:rsidR="005B1DDA" w:rsidRPr="005B1DDA">
        <w:rPr>
          <w:rFonts w:ascii="Arial" w:hAnsi="Arial" w:cs="Arial"/>
          <w:sz w:val="20"/>
          <w:szCs w:val="20"/>
        </w:rPr>
        <w:t xml:space="preserve">Strickland and Ryan JJ rejected the allegations of apprehended bias and dismissed the appeal against the 2018 Property Orders.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would have allowed the appeal on the ground of apprehended bias and remitted the matter for rehearing.  </w:t>
      </w:r>
      <w:r w:rsidR="000B2322" w:rsidRPr="005B1DDA">
        <w:rPr>
          <w:rFonts w:ascii="Arial" w:hAnsi="Arial" w:cs="Arial"/>
          <w:sz w:val="20"/>
          <w:szCs w:val="20"/>
        </w:rPr>
        <w:t>In allowing the husband’s appeal, t</w:t>
      </w:r>
      <w:r w:rsidR="00566F3D" w:rsidRPr="005B1DDA">
        <w:rPr>
          <w:rFonts w:ascii="Arial" w:hAnsi="Arial" w:cs="Arial"/>
          <w:sz w:val="20"/>
          <w:szCs w:val="20"/>
        </w:rPr>
        <w:t xml:space="preserve">he High Court </w:t>
      </w:r>
      <w:r w:rsidR="000B2322" w:rsidRPr="005B1DDA">
        <w:rPr>
          <w:rFonts w:ascii="Arial" w:hAnsi="Arial" w:cs="Arial"/>
          <w:sz w:val="20"/>
          <w:szCs w:val="20"/>
        </w:rPr>
        <w:t>(</w:t>
      </w:r>
      <w:proofErr w:type="spellStart"/>
      <w:r w:rsidR="000B2322" w:rsidRPr="005B1DDA">
        <w:rPr>
          <w:rFonts w:ascii="Arial" w:hAnsi="Arial" w:cs="Arial"/>
          <w:sz w:val="20"/>
          <w:szCs w:val="20"/>
        </w:rPr>
        <w:t>Kiefel</w:t>
      </w:r>
      <w:proofErr w:type="spellEnd"/>
      <w:r w:rsidR="000B2322" w:rsidRPr="005B1DDA">
        <w:rPr>
          <w:rFonts w:ascii="Arial" w:hAnsi="Arial" w:cs="Arial"/>
          <w:sz w:val="20"/>
          <w:szCs w:val="20"/>
        </w:rPr>
        <w:t xml:space="preserve"> CJ, </w:t>
      </w:r>
      <w:proofErr w:type="spellStart"/>
      <w:r w:rsidR="000B2322" w:rsidRPr="005B1DDA">
        <w:rPr>
          <w:rFonts w:ascii="Arial" w:hAnsi="Arial" w:cs="Arial"/>
          <w:sz w:val="20"/>
          <w:szCs w:val="20"/>
        </w:rPr>
        <w:t>Gageler</w:t>
      </w:r>
      <w:proofErr w:type="spellEnd"/>
      <w:r w:rsidR="000B2322" w:rsidRPr="005B1DDA">
        <w:rPr>
          <w:rFonts w:ascii="Arial" w:hAnsi="Arial" w:cs="Arial"/>
          <w:sz w:val="20"/>
          <w:szCs w:val="20"/>
        </w:rPr>
        <w:t>, Keane, Gordon &amp; Gleeson JJ) said at [11]-[</w:t>
      </w:r>
      <w:r w:rsidR="00767AA0" w:rsidRPr="005B1DDA">
        <w:rPr>
          <w:rFonts w:ascii="Arial" w:hAnsi="Arial" w:cs="Arial"/>
          <w:sz w:val="20"/>
          <w:szCs w:val="20"/>
        </w:rPr>
        <w:t>22</w:t>
      </w:r>
      <w:r w:rsidR="000B2322" w:rsidRPr="005B1DDA">
        <w:rPr>
          <w:rFonts w:ascii="Arial" w:hAnsi="Arial" w:cs="Arial"/>
          <w:sz w:val="20"/>
          <w:szCs w:val="20"/>
        </w:rPr>
        <w:t>]:</w:t>
      </w:r>
    </w:p>
    <w:p w14:paraId="1ACCE027" w14:textId="44AFA8BA" w:rsidR="000B2322" w:rsidRPr="00EE754E" w:rsidRDefault="000C0683" w:rsidP="00EE754E">
      <w:pPr>
        <w:spacing w:before="60"/>
        <w:ind w:left="454" w:right="454"/>
        <w:jc w:val="both"/>
        <w:rPr>
          <w:rFonts w:ascii="Arial" w:hAnsi="Arial" w:cs="Arial"/>
          <w:sz w:val="20"/>
          <w:szCs w:val="20"/>
        </w:rPr>
      </w:pPr>
      <w:r>
        <w:rPr>
          <w:rFonts w:ascii="Arial" w:hAnsi="Arial" w:cs="Arial"/>
          <w:color w:val="000000"/>
          <w:sz w:val="20"/>
          <w:szCs w:val="20"/>
        </w:rPr>
        <w:t xml:space="preserve">[11] </w:t>
      </w:r>
      <w:r w:rsidR="000B2322" w:rsidRPr="00D13D00">
        <w:rPr>
          <w:rFonts w:ascii="Arial" w:hAnsi="Arial" w:cs="Arial"/>
          <w:color w:val="000000"/>
          <w:sz w:val="20"/>
          <w:szCs w:val="20"/>
        </w:rPr>
        <w:t>“</w:t>
      </w:r>
      <w:r w:rsidR="000B2322" w:rsidRPr="00D13D00">
        <w:rPr>
          <w:rFonts w:ascii="Arial" w:hAnsi="Arial" w:cs="Arial"/>
          <w:sz w:val="20"/>
          <w:szCs w:val="20"/>
        </w:rPr>
        <w:t xml:space="preserve">Where, as here, a question arises as to the independence or impartiality of a judge, the </w:t>
      </w:r>
      <w:r w:rsidR="000B2322" w:rsidRPr="000C0683">
        <w:rPr>
          <w:rFonts w:ascii="Arial" w:hAnsi="Arial" w:cs="Arial"/>
          <w:sz w:val="20"/>
          <w:szCs w:val="20"/>
        </w:rPr>
        <w:t xml:space="preserve">applicable principles are well established </w:t>
      </w:r>
      <w:r w:rsidR="00D13D00" w:rsidRPr="000C0683">
        <w:rPr>
          <w:rFonts w:ascii="Arial" w:hAnsi="Arial" w:cs="Arial"/>
          <w:sz w:val="20"/>
          <w:szCs w:val="20"/>
        </w:rPr>
        <w:t>{</w:t>
      </w:r>
      <w:r w:rsidR="00D13D00" w:rsidRPr="000C0683">
        <w:rPr>
          <w:rFonts w:ascii="Arial" w:hAnsi="Arial" w:cs="Arial"/>
          <w:i/>
          <w:iCs/>
          <w:sz w:val="20"/>
          <w:szCs w:val="20"/>
        </w:rPr>
        <w:t xml:space="preserve">Ebner </w:t>
      </w:r>
      <w:r w:rsidRPr="000C0683">
        <w:rPr>
          <w:rFonts w:ascii="Arial" w:hAnsi="Arial" w:cs="Arial"/>
          <w:i/>
          <w:iCs/>
          <w:sz w:val="20"/>
          <w:szCs w:val="20"/>
        </w:rPr>
        <w:t>v Official Trustee in Bankruptcy</w:t>
      </w:r>
      <w:r w:rsidRPr="000C0683">
        <w:rPr>
          <w:rFonts w:ascii="Arial" w:hAnsi="Arial" w:cs="Arial"/>
          <w:sz w:val="20"/>
          <w:szCs w:val="20"/>
        </w:rPr>
        <w:t xml:space="preserve"> </w:t>
      </w:r>
      <w:r w:rsidR="00D13D00" w:rsidRPr="000C0683">
        <w:rPr>
          <w:rFonts w:ascii="Arial" w:hAnsi="Arial" w:cs="Arial"/>
          <w:sz w:val="20"/>
          <w:szCs w:val="20"/>
        </w:rPr>
        <w:t>(2000)</w:t>
      </w:r>
      <w:r w:rsidR="00D13D00" w:rsidRPr="00D13D00">
        <w:rPr>
          <w:rFonts w:ascii="Arial" w:hAnsi="Arial" w:cs="Arial"/>
          <w:sz w:val="20"/>
          <w:szCs w:val="20"/>
        </w:rPr>
        <w:t xml:space="preserve"> 205 CLR 337 at 344-345 [6]-[8]; </w:t>
      </w:r>
      <w:r w:rsidR="00D13D00" w:rsidRPr="000C0683">
        <w:rPr>
          <w:rFonts w:ascii="Arial" w:hAnsi="Arial" w:cs="Arial"/>
          <w:i/>
          <w:iCs/>
          <w:sz w:val="20"/>
          <w:szCs w:val="20"/>
        </w:rPr>
        <w:t>Concrete</w:t>
      </w:r>
      <w:r w:rsidR="00D13D00" w:rsidRPr="000C0683">
        <w:rPr>
          <w:rFonts w:ascii="Arial" w:hAnsi="Arial" w:cs="Arial"/>
          <w:sz w:val="20"/>
          <w:szCs w:val="20"/>
        </w:rPr>
        <w:t xml:space="preserve"> </w:t>
      </w:r>
      <w:r w:rsidRPr="000C0683">
        <w:rPr>
          <w:rFonts w:ascii="Arial" w:hAnsi="Arial" w:cs="Arial"/>
          <w:i/>
          <w:iCs/>
          <w:sz w:val="20"/>
          <w:szCs w:val="20"/>
        </w:rPr>
        <w:t>Pty Ltd v Parramatta Design &amp; Developments Pty Ltd</w:t>
      </w:r>
      <w:r w:rsidRPr="000C0683">
        <w:rPr>
          <w:rFonts w:ascii="Arial" w:hAnsi="Arial" w:cs="Arial"/>
          <w:sz w:val="20"/>
          <w:szCs w:val="20"/>
        </w:rPr>
        <w:t xml:space="preserve"> </w:t>
      </w:r>
      <w:r w:rsidR="00D13D00" w:rsidRPr="000C0683">
        <w:rPr>
          <w:rFonts w:ascii="Arial" w:hAnsi="Arial" w:cs="Arial"/>
          <w:sz w:val="20"/>
          <w:szCs w:val="20"/>
        </w:rPr>
        <w:t>(2006) 229 CLR 577 at</w:t>
      </w:r>
      <w:r w:rsidR="00D13D00" w:rsidRPr="00D13D00">
        <w:rPr>
          <w:rFonts w:ascii="Arial" w:hAnsi="Arial" w:cs="Arial"/>
          <w:sz w:val="20"/>
          <w:szCs w:val="20"/>
        </w:rPr>
        <w:t xml:space="preserve"> 581-582 [3], 609 [110]; </w:t>
      </w:r>
      <w:r w:rsidR="00D13D00" w:rsidRPr="00D13D00">
        <w:rPr>
          <w:rFonts w:ascii="Arial" w:hAnsi="Arial" w:cs="Arial"/>
          <w:i/>
          <w:iCs/>
          <w:sz w:val="20"/>
          <w:szCs w:val="20"/>
        </w:rPr>
        <w:t>Smits v Roach</w:t>
      </w:r>
      <w:r w:rsidR="00D13D00" w:rsidRPr="00D13D00">
        <w:rPr>
          <w:rFonts w:ascii="Arial" w:hAnsi="Arial" w:cs="Arial"/>
          <w:sz w:val="20"/>
          <w:szCs w:val="20"/>
        </w:rPr>
        <w:t xml:space="preserve"> (2006) 227 CLR 423 at 443-444 [53]; </w:t>
      </w:r>
      <w:r w:rsidR="00D13D00" w:rsidRPr="00D13D00">
        <w:rPr>
          <w:rFonts w:ascii="Arial" w:hAnsi="Arial" w:cs="Arial"/>
          <w:i/>
          <w:iCs/>
          <w:sz w:val="20"/>
          <w:szCs w:val="20"/>
        </w:rPr>
        <w:t>Michael Wilson &amp; Partners Ltd v Nicholls</w:t>
      </w:r>
      <w:r w:rsidR="00D13D00" w:rsidRPr="00D13D00">
        <w:rPr>
          <w:rFonts w:ascii="Arial" w:hAnsi="Arial" w:cs="Arial"/>
          <w:sz w:val="20"/>
          <w:szCs w:val="20"/>
        </w:rPr>
        <w:t xml:space="preserve"> (2011) 244 CLR 427 at 437 [31]; </w:t>
      </w:r>
      <w:proofErr w:type="spellStart"/>
      <w:r w:rsidR="00D13D00" w:rsidRPr="00D13D00">
        <w:rPr>
          <w:rFonts w:ascii="Arial" w:hAnsi="Arial" w:cs="Arial"/>
          <w:i/>
          <w:iCs/>
          <w:sz w:val="20"/>
          <w:szCs w:val="20"/>
        </w:rPr>
        <w:t>Isbester</w:t>
      </w:r>
      <w:proofErr w:type="spellEnd"/>
      <w:r w:rsidR="00D13D00" w:rsidRPr="00D13D00">
        <w:rPr>
          <w:rFonts w:ascii="Arial" w:hAnsi="Arial" w:cs="Arial"/>
          <w:i/>
          <w:iCs/>
          <w:sz w:val="20"/>
          <w:szCs w:val="20"/>
        </w:rPr>
        <w:t xml:space="preserve"> v Knox City Council</w:t>
      </w:r>
      <w:r w:rsidR="00D13D00" w:rsidRPr="00D13D00">
        <w:rPr>
          <w:rFonts w:ascii="Arial" w:hAnsi="Arial" w:cs="Arial"/>
          <w:sz w:val="20"/>
          <w:szCs w:val="20"/>
        </w:rPr>
        <w:t xml:space="preserve"> (2015) </w:t>
      </w:r>
      <w:r w:rsidR="00D13D00" w:rsidRPr="000C0683">
        <w:rPr>
          <w:rFonts w:ascii="Arial" w:hAnsi="Arial" w:cs="Arial"/>
          <w:sz w:val="20"/>
          <w:szCs w:val="20"/>
        </w:rPr>
        <w:t xml:space="preserve">255 CLR 135 at 146 [21]; </w:t>
      </w:r>
      <w:r w:rsidR="00D13D00" w:rsidRPr="000C0683">
        <w:rPr>
          <w:rFonts w:ascii="Arial" w:hAnsi="Arial" w:cs="Arial"/>
          <w:i/>
          <w:iCs/>
          <w:sz w:val="20"/>
          <w:szCs w:val="20"/>
        </w:rPr>
        <w:t>CNY17</w:t>
      </w:r>
      <w:r w:rsidR="00D13D00" w:rsidRPr="000C0683">
        <w:rPr>
          <w:rFonts w:ascii="Arial" w:hAnsi="Arial" w:cs="Arial"/>
          <w:sz w:val="20"/>
          <w:szCs w:val="20"/>
        </w:rPr>
        <w:t xml:space="preserve"> </w:t>
      </w:r>
      <w:r w:rsidRPr="000C0683">
        <w:rPr>
          <w:rFonts w:ascii="Arial" w:hAnsi="Arial" w:cs="Arial"/>
          <w:i/>
          <w:iCs/>
          <w:sz w:val="20"/>
          <w:szCs w:val="20"/>
        </w:rPr>
        <w:t xml:space="preserve">v Minister for Immigration and </w:t>
      </w:r>
      <w:r w:rsidRPr="000C0683">
        <w:rPr>
          <w:rFonts w:ascii="Arial" w:hAnsi="Arial" w:cs="Arial"/>
          <w:i/>
          <w:iCs/>
          <w:sz w:val="20"/>
          <w:szCs w:val="20"/>
        </w:rPr>
        <w:lastRenderedPageBreak/>
        <w:t>Border Protection</w:t>
      </w:r>
      <w:r w:rsidRPr="00D13D00">
        <w:rPr>
          <w:rFonts w:ascii="Arial" w:hAnsi="Arial" w:cs="Arial"/>
          <w:sz w:val="20"/>
          <w:szCs w:val="20"/>
        </w:rPr>
        <w:t xml:space="preserve"> </w:t>
      </w:r>
      <w:r w:rsidR="00D13D00" w:rsidRPr="00D13D00">
        <w:rPr>
          <w:rFonts w:ascii="Arial" w:hAnsi="Arial" w:cs="Arial"/>
          <w:sz w:val="20"/>
          <w:szCs w:val="20"/>
        </w:rPr>
        <w:t xml:space="preserve">(2019) 268 CLR 76 at 88 [21], 98-99 [57]} </w:t>
      </w:r>
      <w:r w:rsidR="00D13D00">
        <w:rPr>
          <w:rFonts w:ascii="Arial" w:hAnsi="Arial" w:cs="Arial"/>
          <w:sz w:val="20"/>
          <w:szCs w:val="20"/>
        </w:rPr>
        <w:t xml:space="preserve">and they were not in dispute.  </w:t>
      </w:r>
      <w:r w:rsidR="000B2322" w:rsidRPr="000B2322">
        <w:rPr>
          <w:rFonts w:ascii="Arial" w:hAnsi="Arial" w:cs="Arial"/>
          <w:sz w:val="20"/>
          <w:szCs w:val="20"/>
        </w:rPr>
        <w:t xml:space="preserve">The apprehension of bias principle is that </w:t>
      </w:r>
      <w:r w:rsidR="00D13D00">
        <w:rPr>
          <w:rFonts w:ascii="Arial" w:hAnsi="Arial" w:cs="Arial"/>
          <w:sz w:val="20"/>
          <w:szCs w:val="20"/>
        </w:rPr>
        <w:t>‘</w:t>
      </w:r>
      <w:r w:rsidR="000B2322" w:rsidRPr="000B2322">
        <w:rPr>
          <w:rFonts w:ascii="Arial" w:hAnsi="Arial" w:cs="Arial"/>
          <w:sz w:val="20"/>
          <w:szCs w:val="20"/>
        </w:rPr>
        <w:t xml:space="preserve">a judge is disqualified if a fair-minded lay observer might reasonably apprehend that the judge might not bring an impartial mind to the resolution of the question the judge is required to </w:t>
      </w:r>
      <w:r w:rsidR="000B2322" w:rsidRPr="00D13D00">
        <w:rPr>
          <w:rFonts w:ascii="Arial" w:hAnsi="Arial" w:cs="Arial"/>
          <w:sz w:val="20"/>
          <w:szCs w:val="20"/>
        </w:rPr>
        <w:t>decide</w:t>
      </w:r>
      <w:r w:rsidR="00D13D00" w:rsidRPr="00D13D00">
        <w:rPr>
          <w:rFonts w:ascii="Arial" w:hAnsi="Arial" w:cs="Arial"/>
          <w:sz w:val="20"/>
          <w:szCs w:val="20"/>
        </w:rPr>
        <w:t>’ {</w:t>
      </w:r>
      <w:r w:rsidR="00D13D00" w:rsidRPr="00D13D00">
        <w:rPr>
          <w:rFonts w:ascii="Arial" w:hAnsi="Arial" w:cs="Arial"/>
          <w:i/>
          <w:iCs/>
          <w:sz w:val="20"/>
          <w:szCs w:val="20"/>
        </w:rPr>
        <w:t>Ebner</w:t>
      </w:r>
      <w:r w:rsidR="00D13D00" w:rsidRPr="00D13D00">
        <w:rPr>
          <w:rFonts w:ascii="Arial" w:hAnsi="Arial" w:cs="Arial"/>
          <w:sz w:val="20"/>
          <w:szCs w:val="20"/>
        </w:rPr>
        <w:t xml:space="preserve"> (2000) 205 CLR 337 at 344 [6]; </w:t>
      </w:r>
      <w:r w:rsidR="00D13D00" w:rsidRPr="00D13D00">
        <w:rPr>
          <w:rFonts w:ascii="Arial" w:hAnsi="Arial" w:cs="Arial"/>
          <w:i/>
          <w:iCs/>
          <w:sz w:val="20"/>
          <w:szCs w:val="20"/>
        </w:rPr>
        <w:t>Concrete</w:t>
      </w:r>
      <w:r w:rsidR="00D13D00" w:rsidRPr="00D13D00">
        <w:rPr>
          <w:rFonts w:ascii="Arial" w:hAnsi="Arial" w:cs="Arial"/>
          <w:sz w:val="20"/>
          <w:szCs w:val="20"/>
        </w:rPr>
        <w:t xml:space="preserve"> (2006) 229 CLR 577 at 609 [110]}.  </w:t>
      </w:r>
      <w:r w:rsidR="000B2322" w:rsidRPr="00EE754E">
        <w:rPr>
          <w:rFonts w:ascii="Arial" w:hAnsi="Arial" w:cs="Arial"/>
          <w:sz w:val="20"/>
          <w:szCs w:val="20"/>
        </w:rPr>
        <w:t>The principle gives effect to the requirement that justice should both be done and be seen to be done, reflecting a requirement fundamental to the common law system of adversarial trial – that it is conducted by an independent and impartial tribunal</w:t>
      </w:r>
      <w:r w:rsidR="00D13D00"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343 [3], 344-345 [6]-[7], 348 [22]-[23], 362 [79];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0B2322" w:rsidRPr="000B2322">
        <w:rPr>
          <w:rFonts w:ascii="Arial" w:hAnsi="Arial" w:cs="Arial"/>
          <w:sz w:val="20"/>
          <w:szCs w:val="20"/>
        </w:rPr>
        <w:t xml:space="preserve">Its application requires two steps: first, </w:t>
      </w:r>
      <w:r w:rsidR="00EE754E">
        <w:rPr>
          <w:rFonts w:ascii="Arial" w:hAnsi="Arial" w:cs="Arial"/>
          <w:sz w:val="20"/>
          <w:szCs w:val="20"/>
        </w:rPr>
        <w:t>‘</w:t>
      </w:r>
      <w:r w:rsidR="000B2322" w:rsidRPr="000B2322">
        <w:rPr>
          <w:rFonts w:ascii="Arial" w:hAnsi="Arial" w:cs="Arial"/>
          <w:sz w:val="20"/>
          <w:szCs w:val="20"/>
        </w:rPr>
        <w:t xml:space="preserve">it requires the identification of what it is said might lead a judge ... to decide a case other than on its legal and factual merits"; and, second, there must be articulated a </w:t>
      </w:r>
      <w:r w:rsidR="00EE754E">
        <w:rPr>
          <w:rFonts w:ascii="Arial" w:hAnsi="Arial" w:cs="Arial"/>
          <w:sz w:val="20"/>
          <w:szCs w:val="20"/>
        </w:rPr>
        <w:t>‘</w:t>
      </w:r>
      <w:r w:rsidR="000B2322" w:rsidRPr="000B2322">
        <w:rPr>
          <w:rFonts w:ascii="Arial" w:hAnsi="Arial" w:cs="Arial"/>
          <w:sz w:val="20"/>
          <w:szCs w:val="20"/>
        </w:rPr>
        <w:t>logical connection</w:t>
      </w:r>
      <w:r w:rsidR="00EE754E">
        <w:rPr>
          <w:rFonts w:ascii="Arial" w:hAnsi="Arial" w:cs="Arial"/>
          <w:sz w:val="20"/>
          <w:szCs w:val="20"/>
        </w:rPr>
        <w:t>’</w:t>
      </w:r>
      <w:r w:rsidR="000B2322" w:rsidRPr="000B2322">
        <w:rPr>
          <w:rFonts w:ascii="Arial" w:hAnsi="Arial" w:cs="Arial"/>
          <w:sz w:val="20"/>
          <w:szCs w:val="20"/>
        </w:rPr>
        <w:t xml:space="preserve"> between that matter and the feared </w:t>
      </w:r>
      <w:r w:rsidR="000B2322" w:rsidRPr="00EE754E">
        <w:rPr>
          <w:rFonts w:ascii="Arial" w:hAnsi="Arial" w:cs="Arial"/>
          <w:sz w:val="20"/>
          <w:szCs w:val="20"/>
        </w:rPr>
        <w:t>departure from the judge deciding the case on its merits</w:t>
      </w:r>
      <w:r w:rsidR="00EE754E" w:rsidRPr="00EE754E">
        <w:rPr>
          <w:rFonts w:ascii="Arial" w:hAnsi="Arial" w:cs="Arial"/>
          <w:sz w:val="20"/>
          <w:szCs w:val="20"/>
        </w:rPr>
        <w:t xml:space="preserve"> {Ebner (2000) 205 CLR 337 at 345 [8]; see also 350 [30]</w:t>
      </w:r>
      <w:r w:rsidR="00EE754E">
        <w:rPr>
          <w:rFonts w:ascii="Arial" w:hAnsi="Arial" w:cs="Arial"/>
          <w:sz w:val="20"/>
          <w:szCs w:val="20"/>
        </w:rPr>
        <w:t xml:space="preserve">}.  </w:t>
      </w:r>
      <w:r w:rsidR="000B2322" w:rsidRPr="000B2322">
        <w:rPr>
          <w:rFonts w:ascii="Arial" w:hAnsi="Arial" w:cs="Arial"/>
          <w:sz w:val="20"/>
          <w:szCs w:val="20"/>
        </w:rPr>
        <w:t xml:space="preserve">Once those two steps are taken, the reasonableness of the asserted </w:t>
      </w:r>
      <w:r w:rsidR="000B2322" w:rsidRPr="00EE754E">
        <w:rPr>
          <w:rFonts w:ascii="Arial" w:hAnsi="Arial" w:cs="Arial"/>
          <w:sz w:val="20"/>
          <w:szCs w:val="20"/>
        </w:rPr>
        <w:t>apprehension of bias can then ultimately be assessed</w:t>
      </w:r>
      <w:r w:rsidR="00EE754E"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345 [8], 350 [30];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EE754E" w:rsidRPr="00EE754E">
        <w:rPr>
          <w:rFonts w:ascii="Arial" w:hAnsi="Arial" w:cs="Arial"/>
          <w:i/>
          <w:iCs/>
          <w:sz w:val="20"/>
          <w:szCs w:val="20"/>
        </w:rPr>
        <w:t>CNY17</w:t>
      </w:r>
      <w:r w:rsidR="00EE754E" w:rsidRPr="00EE754E">
        <w:rPr>
          <w:rFonts w:ascii="Arial" w:hAnsi="Arial" w:cs="Arial"/>
          <w:sz w:val="20"/>
          <w:szCs w:val="20"/>
        </w:rPr>
        <w:t xml:space="preserve"> (2019) 268 CLR 76 at 88 [21], 98-99 [57]</w:t>
      </w:r>
      <w:r w:rsidR="00EE754E">
        <w:rPr>
          <w:rFonts w:ascii="Arial" w:hAnsi="Arial" w:cs="Arial"/>
          <w:sz w:val="20"/>
          <w:szCs w:val="20"/>
        </w:rPr>
        <w:t>}</w:t>
      </w:r>
      <w:r w:rsidR="00EE754E" w:rsidRPr="00EE754E">
        <w:rPr>
          <w:rFonts w:ascii="Arial" w:hAnsi="Arial" w:cs="Arial"/>
          <w:sz w:val="20"/>
          <w:szCs w:val="20"/>
        </w:rPr>
        <w:t>.</w:t>
      </w:r>
    </w:p>
    <w:p w14:paraId="1621A285" w14:textId="1D3FF202" w:rsidR="00EE754E" w:rsidRPr="001B409F" w:rsidRDefault="000C0683" w:rsidP="00EE754E">
      <w:pPr>
        <w:spacing w:before="60"/>
        <w:ind w:left="454" w:right="454"/>
        <w:jc w:val="both"/>
        <w:rPr>
          <w:rFonts w:ascii="Arial" w:hAnsi="Arial" w:cs="Arial"/>
          <w:sz w:val="20"/>
          <w:szCs w:val="20"/>
        </w:rPr>
      </w:pPr>
      <w:r w:rsidRPr="001B409F">
        <w:rPr>
          <w:rFonts w:ascii="Arial" w:hAnsi="Arial" w:cs="Arial"/>
          <w:sz w:val="20"/>
          <w:szCs w:val="20"/>
        </w:rPr>
        <w:t xml:space="preserve">[12] As five judges of this Court said in </w:t>
      </w:r>
      <w:r w:rsidRPr="001B409F">
        <w:rPr>
          <w:rFonts w:ascii="Arial" w:hAnsi="Arial" w:cs="Arial"/>
          <w:i/>
          <w:iCs/>
          <w:sz w:val="20"/>
          <w:szCs w:val="20"/>
        </w:rPr>
        <w:t>Johnson v Johnson</w:t>
      </w:r>
      <w:r w:rsidRPr="001B409F">
        <w:rPr>
          <w:rFonts w:ascii="Arial" w:hAnsi="Arial" w:cs="Arial"/>
          <w:sz w:val="20"/>
          <w:szCs w:val="20"/>
        </w:rPr>
        <w:t xml:space="preserve"> </w:t>
      </w:r>
      <w:r w:rsidR="001B409F" w:rsidRPr="001B409F">
        <w:rPr>
          <w:rFonts w:ascii="Arial" w:hAnsi="Arial" w:cs="Arial"/>
          <w:sz w:val="20"/>
          <w:szCs w:val="20"/>
        </w:rPr>
        <w:t xml:space="preserve">{(2000) 201 CLR 488 at 493 [13] (footnote omitted), quoted in Concrete (2006) 229 CLR 577 at 609-610 [111]. See also </w:t>
      </w:r>
      <w:r w:rsidR="001B409F" w:rsidRPr="001B409F">
        <w:rPr>
          <w:rFonts w:ascii="Arial" w:hAnsi="Arial" w:cs="Arial"/>
          <w:i/>
          <w:iCs/>
          <w:sz w:val="20"/>
          <w:szCs w:val="20"/>
        </w:rPr>
        <w:t>S &amp; M Motor Repairs Pty Ltd v Caltex Oil (Australia) Pty Ltd</w:t>
      </w:r>
      <w:r w:rsidR="001B409F" w:rsidRPr="001B409F">
        <w:rPr>
          <w:rFonts w:ascii="Arial" w:hAnsi="Arial" w:cs="Arial"/>
          <w:sz w:val="20"/>
          <w:szCs w:val="20"/>
        </w:rPr>
        <w:t xml:space="preserve"> (1988) 12 NSWLR 358 at 378-381},</w:t>
      </w:r>
      <w:r w:rsidRPr="001B409F">
        <w:rPr>
          <w:rFonts w:ascii="Arial" w:hAnsi="Arial" w:cs="Arial"/>
          <w:sz w:val="20"/>
          <w:szCs w:val="20"/>
        </w:rPr>
        <w:t xml:space="preserve"> while the fair-minded lay observer ‘is not to be assumed to have a detailed knowledge of the law, or of the character or ability of a particular judge, the reasonableness of any suggested apprehension of bias is to be considered in the context of ordinary judicial practice’.</w:t>
      </w:r>
    </w:p>
    <w:p w14:paraId="5259946F" w14:textId="057632BA" w:rsidR="001B409F" w:rsidRPr="00334789" w:rsidRDefault="000C0683" w:rsidP="001B409F">
      <w:pPr>
        <w:spacing w:before="60"/>
        <w:ind w:left="454" w:right="454"/>
        <w:jc w:val="both"/>
        <w:rPr>
          <w:rFonts w:ascii="Arial" w:hAnsi="Arial" w:cs="Arial"/>
          <w:sz w:val="20"/>
          <w:szCs w:val="20"/>
        </w:rPr>
      </w:pPr>
      <w:r w:rsidRPr="00334789">
        <w:rPr>
          <w:rFonts w:ascii="Arial" w:hAnsi="Arial" w:cs="Arial"/>
          <w:sz w:val="20"/>
          <w:szCs w:val="20"/>
        </w:rPr>
        <w:t xml:space="preserve">[13] </w:t>
      </w:r>
      <w:r w:rsidR="001B409F" w:rsidRPr="00334789">
        <w:rPr>
          <w:rFonts w:ascii="Arial" w:hAnsi="Arial" w:cs="Arial"/>
          <w:sz w:val="20"/>
          <w:szCs w:val="20"/>
        </w:rPr>
        <w:t xml:space="preserve">Ordinary judicial practice, or what might be described in this context as the most basic of judicial practice, was relevantly and clearly stated by Gibbs CJ and </w:t>
      </w:r>
      <w:r w:rsidR="000B2322" w:rsidRPr="00334789">
        <w:rPr>
          <w:rFonts w:ascii="Arial" w:hAnsi="Arial" w:cs="Arial"/>
          <w:sz w:val="20"/>
          <w:szCs w:val="20"/>
        </w:rPr>
        <w:t xml:space="preserve">Mason J in </w:t>
      </w:r>
      <w:r w:rsidR="000B2322" w:rsidRPr="00334789">
        <w:rPr>
          <w:rFonts w:ascii="Arial" w:hAnsi="Arial" w:cs="Arial"/>
          <w:i/>
          <w:iCs/>
          <w:sz w:val="20"/>
          <w:szCs w:val="20"/>
        </w:rPr>
        <w:t xml:space="preserve">Re JRL;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CJL</w:t>
      </w:r>
      <w:r w:rsidR="001B409F" w:rsidRPr="00334789">
        <w:rPr>
          <w:rFonts w:ascii="Arial" w:hAnsi="Arial" w:cs="Arial"/>
          <w:sz w:val="20"/>
          <w:szCs w:val="20"/>
        </w:rPr>
        <w:t xml:space="preserve"> {(1986) 161 CLR 342 at 346, 350-351}</w:t>
      </w:r>
      <w:r w:rsidR="000B2322" w:rsidRPr="00334789">
        <w:rPr>
          <w:rFonts w:ascii="Arial" w:hAnsi="Arial" w:cs="Arial"/>
          <w:sz w:val="20"/>
          <w:szCs w:val="20"/>
        </w:rPr>
        <w:t xml:space="preserve"> in 1986 by adopting what was said by </w:t>
      </w:r>
      <w:proofErr w:type="spellStart"/>
      <w:r w:rsidR="000B2322" w:rsidRPr="00334789">
        <w:rPr>
          <w:rFonts w:ascii="Arial" w:hAnsi="Arial" w:cs="Arial"/>
          <w:sz w:val="20"/>
          <w:szCs w:val="20"/>
        </w:rPr>
        <w:t>McInerney</w:t>
      </w:r>
      <w:proofErr w:type="spellEnd"/>
      <w:r w:rsidR="000B2322" w:rsidRPr="00334789">
        <w:rPr>
          <w:rFonts w:ascii="Arial" w:hAnsi="Arial" w:cs="Arial"/>
          <w:sz w:val="20"/>
          <w:szCs w:val="20"/>
        </w:rPr>
        <w:t xml:space="preserve"> J </w:t>
      </w:r>
      <w:r w:rsidR="00334789" w:rsidRPr="00334789">
        <w:rPr>
          <w:rFonts w:ascii="Arial" w:hAnsi="Arial" w:cs="Arial"/>
          <w:sz w:val="20"/>
          <w:szCs w:val="20"/>
        </w:rPr>
        <w:t xml:space="preserve">in 1972 </w:t>
      </w:r>
      <w:r w:rsidR="000B2322" w:rsidRPr="00334789">
        <w:rPr>
          <w:rFonts w:ascii="Arial" w:hAnsi="Arial" w:cs="Arial"/>
          <w:sz w:val="20"/>
          <w:szCs w:val="20"/>
        </w:rPr>
        <w:t xml:space="preserve">in </w:t>
      </w:r>
      <w:r w:rsidR="000B2322" w:rsidRPr="00334789">
        <w:rPr>
          <w:rFonts w:ascii="Arial" w:hAnsi="Arial" w:cs="Arial"/>
          <w:i/>
          <w:iCs/>
          <w:sz w:val="20"/>
          <w:szCs w:val="20"/>
        </w:rPr>
        <w:t xml:space="preserve">R v Magistrates' Court at Lilydale;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Ciccone</w:t>
      </w:r>
      <w:r w:rsidR="001B409F" w:rsidRPr="00334789">
        <w:rPr>
          <w:rFonts w:ascii="Arial" w:hAnsi="Arial" w:cs="Arial"/>
          <w:sz w:val="20"/>
          <w:szCs w:val="20"/>
        </w:rPr>
        <w:t xml:space="preserve"> {[1973] VR 122 at 127. Now reflected in Australasian Institute of Judicial Administration Inc, Guide to Judicial Conduct, 3rd ed (2017) at 19-20 [4.3]</w:t>
      </w:r>
      <w:r w:rsidR="00334789" w:rsidRPr="00334789">
        <w:rPr>
          <w:rFonts w:ascii="Arial" w:hAnsi="Arial" w:cs="Arial"/>
          <w:sz w:val="20"/>
          <w:szCs w:val="20"/>
        </w:rPr>
        <w:t>}:</w:t>
      </w:r>
    </w:p>
    <w:p w14:paraId="5424944A" w14:textId="4D32A9E5" w:rsidR="00334789" w:rsidRPr="001A1BF2" w:rsidRDefault="00334789" w:rsidP="00334789">
      <w:pPr>
        <w:spacing w:before="60"/>
        <w:ind w:left="907" w:right="907"/>
        <w:jc w:val="both"/>
        <w:rPr>
          <w:rFonts w:ascii="Arial" w:hAnsi="Arial" w:cs="Arial"/>
          <w:color w:val="000000"/>
          <w:sz w:val="20"/>
        </w:rPr>
      </w:pPr>
      <w:r>
        <w:rPr>
          <w:rFonts w:ascii="Arial" w:hAnsi="Arial" w:cs="Arial"/>
          <w:color w:val="000000"/>
          <w:sz w:val="20"/>
        </w:rPr>
        <w:t>‘</w:t>
      </w:r>
      <w:r w:rsidRPr="000B2322">
        <w:rPr>
          <w:rFonts w:ascii="Arial" w:hAnsi="Arial" w:cs="Arial"/>
          <w:sz w:val="20"/>
          <w:szCs w:val="20"/>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 knowledge and consent of the other party. For if something is done which affords a reasonable basis for such suspicion, confidence in the impartiality of the judicial officer is undermined.</w:t>
      </w:r>
      <w:r>
        <w:rPr>
          <w:rFonts w:ascii="Arial" w:hAnsi="Arial" w:cs="Arial"/>
          <w:sz w:val="20"/>
          <w:szCs w:val="20"/>
        </w:rPr>
        <w:t>’</w:t>
      </w:r>
    </w:p>
    <w:p w14:paraId="0BDE7C07" w14:textId="3B3B81D2" w:rsidR="001B409F" w:rsidRDefault="00334789" w:rsidP="001B409F">
      <w:pPr>
        <w:spacing w:before="60"/>
        <w:ind w:left="454" w:right="454"/>
        <w:jc w:val="both"/>
        <w:rPr>
          <w:rFonts w:ascii="Arial" w:hAnsi="Arial" w:cs="Arial"/>
          <w:sz w:val="20"/>
          <w:szCs w:val="20"/>
        </w:rPr>
      </w:pPr>
      <w:r>
        <w:rPr>
          <w:rFonts w:ascii="Arial" w:hAnsi="Arial" w:cs="Arial"/>
          <w:sz w:val="20"/>
          <w:szCs w:val="20"/>
        </w:rPr>
        <w:t xml:space="preserve">[14] </w:t>
      </w:r>
      <w:r w:rsidRPr="000B2322">
        <w:rPr>
          <w:rFonts w:ascii="Arial" w:hAnsi="Arial" w:cs="Arial"/>
          <w:sz w:val="20"/>
          <w:szCs w:val="20"/>
        </w:rPr>
        <w:t xml:space="preserve">In this matter, what is said might have led the trial judge to decide the case other than on its legal and factual merits was identified. It comprised the various communications between the trial judge and the wife's barrister </w:t>
      </w:r>
      <w:r>
        <w:rPr>
          <w:rFonts w:ascii="Arial" w:hAnsi="Arial" w:cs="Arial"/>
          <w:sz w:val="20"/>
          <w:szCs w:val="20"/>
        </w:rPr>
        <w:t>‘</w:t>
      </w:r>
      <w:r w:rsidRPr="000B2322">
        <w:rPr>
          <w:rFonts w:ascii="Arial" w:hAnsi="Arial" w:cs="Arial"/>
          <w:sz w:val="20"/>
          <w:szCs w:val="20"/>
        </w:rPr>
        <w:t xml:space="preserve">otherwise than in the presence of or with the previous </w:t>
      </w:r>
      <w:r w:rsidRPr="00334789">
        <w:rPr>
          <w:rFonts w:ascii="Arial" w:hAnsi="Arial" w:cs="Arial"/>
          <w:sz w:val="20"/>
          <w:szCs w:val="20"/>
        </w:rPr>
        <w:t>knowledge and consent of’ {</w:t>
      </w:r>
      <w:proofErr w:type="spellStart"/>
      <w:r w:rsidRPr="00334789">
        <w:rPr>
          <w:rFonts w:ascii="Arial" w:hAnsi="Arial" w:cs="Arial"/>
          <w:sz w:val="20"/>
          <w:szCs w:val="20"/>
        </w:rPr>
        <w:t>cf</w:t>
      </w:r>
      <w:proofErr w:type="spellEnd"/>
      <w:r w:rsidRPr="00334789">
        <w:rPr>
          <w:rFonts w:ascii="Arial" w:hAnsi="Arial" w:cs="Arial"/>
          <w:sz w:val="20"/>
          <w:szCs w:val="20"/>
        </w:rPr>
        <w:t xml:space="preserve"> </w:t>
      </w:r>
      <w:r w:rsidRPr="00F50CEE">
        <w:rPr>
          <w:rFonts w:ascii="Arial" w:hAnsi="Arial" w:cs="Arial"/>
          <w:i/>
          <w:iCs/>
          <w:sz w:val="20"/>
          <w:szCs w:val="20"/>
        </w:rPr>
        <w:t>Magistrates' Court at Lilydale</w:t>
      </w:r>
      <w:r w:rsidRPr="00334789">
        <w:rPr>
          <w:rFonts w:ascii="Arial" w:hAnsi="Arial" w:cs="Arial"/>
          <w:sz w:val="20"/>
          <w:szCs w:val="20"/>
        </w:rPr>
        <w:t xml:space="preserve"> [1973] VR 122 at 127} the other parties to the litigation. Indeed, given the timing and frequency of the communications </w:t>
      </w:r>
      <w:r w:rsidRPr="000B2322">
        <w:rPr>
          <w:rFonts w:ascii="Arial" w:hAnsi="Arial" w:cs="Arial"/>
          <w:sz w:val="20"/>
          <w:szCs w:val="20"/>
        </w:rPr>
        <w:t>between the trial judge and the wife's barrister, it cannot be imagined that the other parties to the litigation would have given informed consent to the communications even if consent had been sought, and it was not. The communications should not have taken place. There were no exceptional circumstances.</w:t>
      </w:r>
    </w:p>
    <w:p w14:paraId="74F03768" w14:textId="2839C1B8" w:rsidR="00334789" w:rsidRDefault="00334789" w:rsidP="001B409F">
      <w:pPr>
        <w:spacing w:before="60"/>
        <w:ind w:left="454" w:right="454"/>
        <w:jc w:val="both"/>
        <w:rPr>
          <w:rFonts w:ascii="Arial" w:hAnsi="Arial" w:cs="Arial"/>
          <w:sz w:val="20"/>
          <w:szCs w:val="20"/>
        </w:rPr>
      </w:pPr>
      <w:r>
        <w:rPr>
          <w:rFonts w:ascii="Arial" w:hAnsi="Arial" w:cs="Arial"/>
          <w:sz w:val="20"/>
          <w:szCs w:val="20"/>
        </w:rPr>
        <w:t xml:space="preserve">[15] </w:t>
      </w:r>
      <w:r w:rsidRPr="000B2322">
        <w:rPr>
          <w:rFonts w:ascii="Arial" w:hAnsi="Arial" w:cs="Arial"/>
          <w:sz w:val="20"/>
          <w:szCs w:val="20"/>
        </w:rPr>
        <w:t>A fair-minded lay observer, understanding that ordinary and most basic of judicial practice, would reasonably apprehend that the trial judge might not bring an impartial mind to the resolution of the questions his Honour was required to decide. The trial judge's impartiality might have been compromised by something said in the course of the communications with the wife's barrister, or by some aspect of the personal relationship exemplified by the communications. Accordingly, there is a logical and direct connection between the communications and the feared departure from the trial judge deciding the case on its merits.</w:t>
      </w:r>
    </w:p>
    <w:p w14:paraId="17C8081F" w14:textId="6F39A94A" w:rsidR="00F50CEE" w:rsidRDefault="007964B5" w:rsidP="007964B5">
      <w:pPr>
        <w:spacing w:before="60"/>
        <w:ind w:left="454" w:right="454"/>
        <w:jc w:val="both"/>
        <w:rPr>
          <w:rFonts w:ascii="Arial" w:hAnsi="Arial" w:cs="Arial"/>
          <w:sz w:val="20"/>
          <w:szCs w:val="20"/>
        </w:rPr>
      </w:pPr>
      <w:r>
        <w:rPr>
          <w:rFonts w:ascii="Arial" w:hAnsi="Arial" w:cs="Arial"/>
          <w:sz w:val="20"/>
          <w:szCs w:val="20"/>
        </w:rPr>
        <w:t xml:space="preserve">[16] </w:t>
      </w:r>
      <w:r w:rsidR="000B2322" w:rsidRPr="000B2322">
        <w:rPr>
          <w:rFonts w:ascii="Arial" w:hAnsi="Arial" w:cs="Arial"/>
          <w:sz w:val="20"/>
          <w:szCs w:val="20"/>
        </w:rPr>
        <w:t xml:space="preserve">In their reasons the majority in the Full Court recognised the principle of judicial practice. Their Honours accepted that once a trial has commenced, private communication between a judge and counsel for one of the parties, without the knowledge and consent of the other parties, is so obvious a departure from the norms of judicial and professional conduct that it will usually be sufficient to establish the first limb in </w:t>
      </w:r>
      <w:r w:rsidR="000B2322" w:rsidRPr="007964B5">
        <w:rPr>
          <w:rFonts w:ascii="Arial" w:hAnsi="Arial" w:cs="Arial"/>
          <w:i/>
          <w:iCs/>
          <w:sz w:val="20"/>
          <w:szCs w:val="20"/>
        </w:rPr>
        <w:t>Ebner v Official Trustee in Bankruptcy</w:t>
      </w:r>
      <w:r>
        <w:rPr>
          <w:rFonts w:ascii="Arial" w:hAnsi="Arial" w:cs="Arial"/>
          <w:i/>
          <w:iCs/>
          <w:sz w:val="20"/>
          <w:szCs w:val="20"/>
        </w:rPr>
        <w:t xml:space="preserve"> </w:t>
      </w:r>
      <w:r w:rsidRPr="007964B5">
        <w:rPr>
          <w:rFonts w:ascii="Arial" w:hAnsi="Arial" w:cs="Arial"/>
          <w:sz w:val="20"/>
          <w:szCs w:val="20"/>
        </w:rPr>
        <w:t xml:space="preserve">(2000) 205 CLR 337.  </w:t>
      </w:r>
      <w:r w:rsidRPr="000B2322">
        <w:rPr>
          <w:rFonts w:ascii="Arial" w:hAnsi="Arial" w:cs="Arial"/>
          <w:sz w:val="20"/>
          <w:szCs w:val="20"/>
        </w:rPr>
        <w:t xml:space="preserve">Nothing that was said in the passage in </w:t>
      </w:r>
      <w:r w:rsidRPr="007964B5">
        <w:rPr>
          <w:rFonts w:ascii="Arial" w:hAnsi="Arial" w:cs="Arial"/>
          <w:i/>
          <w:iCs/>
          <w:sz w:val="20"/>
          <w:szCs w:val="20"/>
        </w:rPr>
        <w:t>Magistrates' Court at Lilydale</w:t>
      </w:r>
      <w:r>
        <w:rPr>
          <w:rFonts w:ascii="Arial" w:hAnsi="Arial" w:cs="Arial"/>
          <w:sz w:val="20"/>
          <w:szCs w:val="20"/>
        </w:rPr>
        <w:t xml:space="preserve"> </w:t>
      </w:r>
      <w:r w:rsidRPr="007964B5">
        <w:rPr>
          <w:rFonts w:ascii="Arial" w:hAnsi="Arial" w:cs="Arial"/>
          <w:sz w:val="20"/>
          <w:szCs w:val="20"/>
        </w:rPr>
        <w:t>[1973] VR 122 at 127</w:t>
      </w:r>
      <w:r>
        <w:rPr>
          <w:rFonts w:ascii="Arial" w:hAnsi="Arial" w:cs="Arial"/>
          <w:sz w:val="20"/>
          <w:szCs w:val="20"/>
        </w:rPr>
        <w:t xml:space="preserve"> extracted above, in guidelines {</w:t>
      </w:r>
      <w:r w:rsidRPr="007964B5">
        <w:rPr>
          <w:rFonts w:ascii="Arial" w:hAnsi="Arial" w:cs="Arial"/>
          <w:sz w:val="20"/>
          <w:szCs w:val="20"/>
        </w:rPr>
        <w:t xml:space="preserve">Australasian Institute of Judicial </w:t>
      </w:r>
      <w:r w:rsidRPr="007964B5">
        <w:rPr>
          <w:rFonts w:ascii="Arial" w:hAnsi="Arial" w:cs="Arial"/>
          <w:sz w:val="20"/>
          <w:szCs w:val="20"/>
        </w:rPr>
        <w:lastRenderedPageBreak/>
        <w:t>Administration Inc, Guide to Judicial Conduct, 3rd ed (2017) at 34 [6.11.1]</w:t>
      </w:r>
      <w:r>
        <w:rPr>
          <w:rFonts w:ascii="Arial" w:hAnsi="Arial" w:cs="Arial"/>
          <w:sz w:val="20"/>
          <w:szCs w:val="20"/>
        </w:rPr>
        <w:t xml:space="preserve">} </w:t>
      </w:r>
      <w:r w:rsidR="000B2322" w:rsidRPr="000B2322">
        <w:rPr>
          <w:rFonts w:ascii="Arial" w:hAnsi="Arial" w:cs="Arial"/>
          <w:sz w:val="20"/>
          <w:szCs w:val="20"/>
        </w:rPr>
        <w:t xml:space="preserve">or in a leading text </w:t>
      </w:r>
      <w:r w:rsidR="000B2322" w:rsidRPr="00F50CEE">
        <w:rPr>
          <w:rFonts w:ascii="Arial" w:hAnsi="Arial" w:cs="Arial"/>
          <w:sz w:val="20"/>
          <w:szCs w:val="20"/>
        </w:rPr>
        <w:t xml:space="preserve">on judicial ethics </w:t>
      </w:r>
      <w:r w:rsidR="00F50CEE" w:rsidRPr="00F50CEE">
        <w:rPr>
          <w:rFonts w:ascii="Arial" w:hAnsi="Arial" w:cs="Arial"/>
          <w:sz w:val="20"/>
          <w:szCs w:val="20"/>
        </w:rPr>
        <w:t xml:space="preserve">{Thomas, Judicial Ethics in Australia, 3rd ed (2009) at 65 [4.65]} </w:t>
      </w:r>
      <w:r w:rsidR="000B2322" w:rsidRPr="00F50CEE">
        <w:rPr>
          <w:rFonts w:ascii="Arial" w:hAnsi="Arial" w:cs="Arial"/>
          <w:sz w:val="20"/>
          <w:szCs w:val="20"/>
        </w:rPr>
        <w:t>limits the period necessary to avoid communication to after the commencement of the trial. In any</w:t>
      </w:r>
      <w:r w:rsidR="000B2322" w:rsidRPr="000B2322">
        <w:rPr>
          <w:rFonts w:ascii="Arial" w:hAnsi="Arial" w:cs="Arial"/>
          <w:sz w:val="20"/>
          <w:szCs w:val="20"/>
        </w:rPr>
        <w:t xml:space="preserve"> event, whilst communication here was halted while evidence was taken, it was resumed before final submissions and continued over the lengthy period of 17 months when the written reasons for the judgment on the question of recusal and the judgment on the settlement of property were reserved.</w:t>
      </w:r>
    </w:p>
    <w:p w14:paraId="4F8CE136" w14:textId="77777777" w:rsidR="00F50CEE" w:rsidRDefault="00F50CEE" w:rsidP="00F50CEE">
      <w:pPr>
        <w:spacing w:before="60"/>
        <w:ind w:left="454" w:right="454"/>
        <w:jc w:val="both"/>
        <w:rPr>
          <w:rFonts w:ascii="Arial" w:hAnsi="Arial" w:cs="Arial"/>
          <w:sz w:val="20"/>
          <w:szCs w:val="20"/>
        </w:rPr>
      </w:pPr>
      <w:r>
        <w:rPr>
          <w:rFonts w:ascii="Arial" w:hAnsi="Arial" w:cs="Arial"/>
          <w:sz w:val="20"/>
          <w:szCs w:val="20"/>
        </w:rPr>
        <w:t xml:space="preserve">[17] </w:t>
      </w:r>
      <w:r w:rsidR="000B2322" w:rsidRPr="000B2322">
        <w:rPr>
          <w:rFonts w:ascii="Arial" w:hAnsi="Arial" w:cs="Arial"/>
          <w:sz w:val="20"/>
          <w:szCs w:val="20"/>
        </w:rPr>
        <w:t>Focusing on this latter period, the majority in the Full Court reasoned tha</w:t>
      </w:r>
      <w:r>
        <w:rPr>
          <w:rFonts w:ascii="Arial" w:hAnsi="Arial" w:cs="Arial"/>
          <w:sz w:val="20"/>
          <w:szCs w:val="20"/>
        </w:rPr>
        <w:t xml:space="preserve">t </w:t>
      </w:r>
      <w:r w:rsidRPr="00F50CEE">
        <w:rPr>
          <w:rFonts w:ascii="Arial" w:hAnsi="Arial" w:cs="Arial"/>
          <w:sz w:val="20"/>
          <w:szCs w:val="20"/>
        </w:rPr>
        <w:t>the trial judge and the wife's barrister were aware of some of their obligations, by not communicating during the course of the trial, and the trial judge may be taken to have failed to appreciate that the same strictness applied at other times. According to the majority, the hypothetical observer would understand that the trial judge mistakenly held such a view but would not consider his lack of disclosure to be sinister.</w:t>
      </w:r>
    </w:p>
    <w:p w14:paraId="3446FBB9" w14:textId="372394AC" w:rsidR="004E3768" w:rsidRDefault="00F50CEE" w:rsidP="004E3768">
      <w:pPr>
        <w:spacing w:before="60"/>
        <w:ind w:left="454" w:right="454"/>
        <w:jc w:val="both"/>
        <w:rPr>
          <w:rFonts w:ascii="Arial" w:hAnsi="Arial" w:cs="Arial"/>
          <w:sz w:val="20"/>
          <w:szCs w:val="20"/>
        </w:rPr>
      </w:pPr>
      <w:r w:rsidRPr="004E3768">
        <w:rPr>
          <w:rFonts w:ascii="Arial" w:hAnsi="Arial" w:cs="Arial"/>
          <w:sz w:val="20"/>
          <w:szCs w:val="20"/>
        </w:rPr>
        <w:t xml:space="preserve">[18] This reasoning is erroneous. The apprehension of bias principle is so important to perceptions of independence and impartiality ‘that even the </w:t>
      </w:r>
      <w:r w:rsidRPr="004E3768">
        <w:rPr>
          <w:rFonts w:ascii="Arial" w:hAnsi="Arial" w:cs="Arial"/>
          <w:i/>
          <w:iCs/>
          <w:sz w:val="20"/>
          <w:szCs w:val="20"/>
        </w:rPr>
        <w:t>appearance</w:t>
      </w:r>
      <w:r w:rsidRPr="004E3768">
        <w:rPr>
          <w:rFonts w:ascii="Arial" w:hAnsi="Arial" w:cs="Arial"/>
          <w:sz w:val="20"/>
          <w:szCs w:val="20"/>
        </w:rPr>
        <w:t xml:space="preserve"> of departure from it is prohibited lest the integrity of the judicial system be undermined’ (emphasis added) {</w:t>
      </w:r>
      <w:r w:rsidRPr="004E3768">
        <w:rPr>
          <w:rFonts w:ascii="Arial" w:hAnsi="Arial" w:cs="Arial"/>
          <w:i/>
          <w:iCs/>
          <w:sz w:val="20"/>
          <w:szCs w:val="20"/>
        </w:rPr>
        <w:t>Ebner</w:t>
      </w:r>
      <w:r w:rsidRPr="004E3768">
        <w:rPr>
          <w:rFonts w:ascii="Arial" w:hAnsi="Arial" w:cs="Arial"/>
          <w:sz w:val="20"/>
          <w:szCs w:val="20"/>
        </w:rPr>
        <w:t xml:space="preserve"> (2000) 205 CLR 337 at 345 [7]}. No prediction by the court is involved</w:t>
      </w:r>
      <w:r w:rsidR="004E3768">
        <w:rPr>
          <w:rFonts w:ascii="Arial" w:hAnsi="Arial" w:cs="Arial"/>
          <w:sz w:val="20"/>
          <w:szCs w:val="20"/>
        </w:rPr>
        <w:t xml:space="preserve"> </w:t>
      </w:r>
      <w:r w:rsidR="004E3768" w:rsidRPr="004E3768">
        <w:rPr>
          <w:rFonts w:ascii="Arial" w:hAnsi="Arial" w:cs="Arial"/>
          <w:sz w:val="20"/>
          <w:szCs w:val="20"/>
        </w:rPr>
        <w:t>in deciding whether a judge might not bring an impartial mind to bear {</w:t>
      </w:r>
      <w:r w:rsidR="004E3768" w:rsidRPr="004E3768">
        <w:rPr>
          <w:rFonts w:ascii="Arial" w:hAnsi="Arial" w:cs="Arial"/>
          <w:i/>
          <w:iCs/>
          <w:sz w:val="20"/>
          <w:szCs w:val="20"/>
        </w:rPr>
        <w:t>Ebner</w:t>
      </w:r>
      <w:r w:rsidR="004E3768" w:rsidRPr="004E3768">
        <w:rPr>
          <w:rFonts w:ascii="Arial" w:hAnsi="Arial" w:cs="Arial"/>
          <w:sz w:val="20"/>
          <w:szCs w:val="20"/>
        </w:rPr>
        <w:t xml:space="preserve"> (2000) 205 CLR 337 at 345 [7]-[8]</w:t>
      </w:r>
      <w:r w:rsidR="004E3768">
        <w:rPr>
          <w:rFonts w:ascii="Arial" w:hAnsi="Arial" w:cs="Arial"/>
          <w:sz w:val="20"/>
          <w:szCs w:val="20"/>
        </w:rPr>
        <w:t xml:space="preserve">}.  </w:t>
      </w:r>
      <w:r w:rsidR="004E3768" w:rsidRPr="004E3768">
        <w:rPr>
          <w:rFonts w:ascii="Arial" w:hAnsi="Arial" w:cs="Arial"/>
          <w:sz w:val="20"/>
          <w:szCs w:val="20"/>
        </w:rPr>
        <w:t>No question as to the understanding or motivation of the particular judge arises.</w:t>
      </w:r>
    </w:p>
    <w:p w14:paraId="30A143FA" w14:textId="1392928E" w:rsidR="004E3768" w:rsidRDefault="004E3768" w:rsidP="004E3768">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19</w:t>
      </w:r>
      <w:r>
        <w:rPr>
          <w:rFonts w:ascii="Arial" w:hAnsi="Arial" w:cs="Arial"/>
          <w:sz w:val="20"/>
          <w:szCs w:val="20"/>
        </w:rPr>
        <w:t>]</w:t>
      </w:r>
      <w:r w:rsidRPr="004E3768">
        <w:rPr>
          <w:rFonts w:ascii="Arial" w:hAnsi="Arial" w:cs="Arial"/>
          <w:sz w:val="20"/>
          <w:szCs w:val="20"/>
        </w:rPr>
        <w:t xml:space="preserve"> The lack of disclosure in this case is particularly troubling. It is difficult to comprehend how the trial judge could have failed to appreciate the need to disclose the communications, particularly when he was dealing with the application to recuse himself on other grounds. It may give the hypothetical observer reason to doubt the correctness of the claim by the wife's barrister that their communications did not concern </w:t>
      </w:r>
      <w:r>
        <w:rPr>
          <w:rFonts w:ascii="Arial" w:hAnsi="Arial" w:cs="Arial"/>
          <w:sz w:val="20"/>
          <w:szCs w:val="20"/>
        </w:rPr>
        <w:t>‘</w:t>
      </w:r>
      <w:r w:rsidRPr="004E3768">
        <w:rPr>
          <w:rFonts w:ascii="Arial" w:hAnsi="Arial" w:cs="Arial"/>
          <w:sz w:val="20"/>
          <w:szCs w:val="20"/>
        </w:rPr>
        <w:t>the substance</w:t>
      </w:r>
      <w:r>
        <w:rPr>
          <w:rFonts w:ascii="Arial" w:hAnsi="Arial" w:cs="Arial"/>
          <w:sz w:val="20"/>
          <w:szCs w:val="20"/>
        </w:rPr>
        <w:t>’</w:t>
      </w:r>
      <w:r w:rsidRPr="004E3768">
        <w:rPr>
          <w:rFonts w:ascii="Arial" w:hAnsi="Arial" w:cs="Arial"/>
          <w:sz w:val="20"/>
          <w:szCs w:val="20"/>
        </w:rPr>
        <w:t xml:space="preserve"> of the case, if the ambiguity inherent in that statement is not itself of sufficient concern.</w:t>
      </w:r>
    </w:p>
    <w:p w14:paraId="723CA937" w14:textId="206F7918" w:rsidR="004E3768" w:rsidRDefault="004E3768" w:rsidP="00767AA0">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20</w:t>
      </w:r>
      <w:r>
        <w:rPr>
          <w:rFonts w:ascii="Arial" w:hAnsi="Arial" w:cs="Arial"/>
          <w:sz w:val="20"/>
          <w:szCs w:val="20"/>
        </w:rPr>
        <w:t>]</w:t>
      </w:r>
      <w:r w:rsidRPr="004E3768">
        <w:rPr>
          <w:rFonts w:ascii="Arial" w:hAnsi="Arial" w:cs="Arial"/>
          <w:sz w:val="20"/>
          <w:szCs w:val="20"/>
        </w:rPr>
        <w:t xml:space="preserve"> The majority also reasoned that the second limb in </w:t>
      </w:r>
      <w:r w:rsidRPr="004E3768">
        <w:rPr>
          <w:rFonts w:ascii="Arial" w:hAnsi="Arial" w:cs="Arial"/>
          <w:i/>
          <w:iCs/>
          <w:sz w:val="20"/>
          <w:szCs w:val="20"/>
        </w:rPr>
        <w:t>Ebner</w:t>
      </w:r>
      <w:r w:rsidRPr="004E3768">
        <w:rPr>
          <w:rFonts w:ascii="Arial" w:hAnsi="Arial" w:cs="Arial"/>
          <w:sz w:val="20"/>
          <w:szCs w:val="20"/>
        </w:rPr>
        <w:t xml:space="preserve"> was not made out by reference to what the fair-minded lay observer, properly informed as to the judiciary and the Bar, would think. The information included that barristers are professional members of an independent Bar who do not identify with the client; that judges are usually appointed from the senior ranks of the Bar; and that it may be expected they will have personal or professional associations with many counsel appearing before them {citing </w:t>
      </w:r>
      <w:r w:rsidRPr="004E3768">
        <w:rPr>
          <w:rFonts w:ascii="Arial" w:hAnsi="Arial" w:cs="Arial"/>
          <w:i/>
          <w:iCs/>
          <w:sz w:val="20"/>
          <w:szCs w:val="20"/>
        </w:rPr>
        <w:t>Aussie Airlines Pty Ltd v Australian Airlines Pty Ltd</w:t>
      </w:r>
      <w:r w:rsidRPr="004E3768">
        <w:rPr>
          <w:rFonts w:ascii="Arial" w:hAnsi="Arial" w:cs="Arial"/>
          <w:sz w:val="20"/>
          <w:szCs w:val="20"/>
        </w:rPr>
        <w:t xml:space="preserve"> (1996) 65 FCR 215 at 230. See also </w:t>
      </w:r>
      <w:r w:rsidRPr="004E3768">
        <w:rPr>
          <w:rFonts w:ascii="Arial" w:hAnsi="Arial" w:cs="Arial"/>
          <w:i/>
          <w:iCs/>
          <w:sz w:val="20"/>
          <w:szCs w:val="20"/>
        </w:rPr>
        <w:t>Taylor v Lawrence</w:t>
      </w:r>
      <w:r w:rsidRPr="004E3768">
        <w:rPr>
          <w:rFonts w:ascii="Arial" w:hAnsi="Arial" w:cs="Arial"/>
          <w:sz w:val="20"/>
          <w:szCs w:val="20"/>
        </w:rPr>
        <w:t xml:space="preserve"> [2003] QB 528 at 554-555 [73]}.  Informed by such matters, the majority reasoned, the hypothetical observer would be </w:t>
      </w:r>
      <w:r w:rsidR="00767AA0">
        <w:rPr>
          <w:rFonts w:ascii="Arial" w:hAnsi="Arial" w:cs="Arial"/>
          <w:sz w:val="20"/>
          <w:szCs w:val="20"/>
        </w:rPr>
        <w:t>‘</w:t>
      </w:r>
      <w:r w:rsidRPr="004E3768">
        <w:rPr>
          <w:rFonts w:ascii="Arial" w:hAnsi="Arial" w:cs="Arial"/>
          <w:sz w:val="20"/>
          <w:szCs w:val="20"/>
        </w:rPr>
        <w:t>able to tolerate</w:t>
      </w:r>
      <w:r w:rsidR="00767AA0">
        <w:rPr>
          <w:rFonts w:ascii="Arial" w:hAnsi="Arial" w:cs="Arial"/>
          <w:sz w:val="20"/>
          <w:szCs w:val="20"/>
        </w:rPr>
        <w:t>’</w:t>
      </w:r>
      <w:r w:rsidRPr="004E3768">
        <w:rPr>
          <w:rFonts w:ascii="Arial" w:hAnsi="Arial" w:cs="Arial"/>
          <w:sz w:val="20"/>
          <w:szCs w:val="20"/>
        </w:rPr>
        <w:t xml:space="preserve"> some degree of private communication between a judge and the legal representative of only one party, even if undisclosed. The majority considered that the hypothetical observer would accept in this case that the judge and the wife's barrister would adhere to professional restraint in what was discussed and would accept that a professional judge who has taken an oath of office would not discuss the case at hand</w:t>
      </w:r>
      <w:r w:rsidR="00767AA0">
        <w:rPr>
          <w:rFonts w:ascii="Arial" w:hAnsi="Arial" w:cs="Arial"/>
          <w:sz w:val="20"/>
          <w:szCs w:val="20"/>
        </w:rPr>
        <w:t>.</w:t>
      </w:r>
    </w:p>
    <w:p w14:paraId="1E661862" w14:textId="77777777"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[21] Once again, this reasoning is erroneous. The alignment of the fair-minded lay observer with the judiciary and the legal profession is inconsistent with the apprehension of bias principle and its operation and purpose. The hypothetical observer is a standard by which the courts address what may appear to the public served by the courts to be a departure from standards of impartiality and independence which are essential to the maintenance of public confidence in the judicial system {</w:t>
      </w:r>
      <w:r w:rsidRPr="00767AA0">
        <w:rPr>
          <w:rFonts w:ascii="Arial" w:hAnsi="Arial" w:cs="Arial"/>
          <w:i/>
          <w:iCs/>
          <w:sz w:val="20"/>
          <w:szCs w:val="20"/>
        </w:rPr>
        <w:t>Johnson</w:t>
      </w:r>
      <w:r w:rsidRPr="00767AA0">
        <w:rPr>
          <w:rFonts w:ascii="Arial" w:hAnsi="Arial" w:cs="Arial"/>
          <w:sz w:val="20"/>
          <w:szCs w:val="20"/>
        </w:rPr>
        <w:t xml:space="preserve"> (2000) 201 CLR 488 at 492-493 [12]; </w:t>
      </w:r>
      <w:r w:rsidRPr="00767AA0">
        <w:rPr>
          <w:rFonts w:ascii="Arial" w:hAnsi="Arial" w:cs="Arial"/>
          <w:i/>
          <w:iCs/>
          <w:sz w:val="20"/>
          <w:szCs w:val="20"/>
        </w:rPr>
        <w:t>Ebner</w:t>
      </w:r>
      <w:r w:rsidRPr="00767AA0">
        <w:rPr>
          <w:rFonts w:ascii="Arial" w:hAnsi="Arial" w:cs="Arial"/>
          <w:sz w:val="20"/>
          <w:szCs w:val="20"/>
        </w:rPr>
        <w:t xml:space="preserve"> (2000) 205 CLR 337 at 359 [65], 363 [81], 364 [84], 375 [123]}. The hypothetical observer is not conceived of as a lawyer but a member of the public served by the courts. It would defy logic and render nugatory the principle to imbue the hypothetical observer with professional self-appreciation of this kind.</w:t>
      </w:r>
    </w:p>
    <w:p w14:paraId="6F856336" w14:textId="04B6621D"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[22] It may be accepted that many judges and lawyers, barristers in particular, may have continuing professional and personal connections. The means by which their contact may be resumed is by a judge making orders and publishing reasons, thereby bringing the litigation to an end. It is obviously in everyone's interests, the litigants in particular, that this is done in a timely way.</w:t>
      </w:r>
      <w:r>
        <w:rPr>
          <w:rFonts w:ascii="Arial" w:hAnsi="Arial" w:cs="Arial"/>
          <w:sz w:val="20"/>
          <w:szCs w:val="20"/>
        </w:rPr>
        <w:t>”</w:t>
      </w:r>
    </w:p>
    <w:p w14:paraId="278DD49E" w14:textId="77777777" w:rsidR="004E3768" w:rsidRPr="001A1BF2" w:rsidRDefault="004E3768" w:rsidP="004A3510">
      <w:pPr>
        <w:rPr>
          <w:rFonts w:ascii="Arial" w:hAnsi="Arial" w:cs="Arial"/>
          <w:color w:val="000000"/>
          <w:sz w:val="20"/>
        </w:rPr>
      </w:pPr>
    </w:p>
    <w:p w14:paraId="4EA3DAD1" w14:textId="2A8FEE55" w:rsidR="0022688E" w:rsidRPr="0022688E" w:rsidRDefault="00FA1676" w:rsidP="0022688E">
      <w:pPr>
        <w:spacing w:before="20"/>
        <w:jc w:val="both"/>
        <w:rPr>
          <w:rFonts w:ascii="Arial" w:hAnsi="Arial" w:cs="Arial"/>
          <w:color w:val="000000"/>
          <w:sz w:val="20"/>
          <w:szCs w:val="20"/>
        </w:rPr>
      </w:pPr>
      <w:r w:rsidRPr="001A1BF2">
        <w:rPr>
          <w:rFonts w:ascii="Arial" w:hAnsi="Arial" w:cs="Arial"/>
          <w:color w:val="000000"/>
          <w:sz w:val="20"/>
        </w:rPr>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proofErr w:type="spellStart"/>
      <w:r w:rsidR="00B21DA4" w:rsidRPr="000A52DC">
        <w:rPr>
          <w:rFonts w:ascii="Arial" w:hAnsi="Arial" w:cs="Arial"/>
          <w:i/>
          <w:iCs/>
          <w:color w:val="000000"/>
          <w:sz w:val="20"/>
        </w:rPr>
        <w:t>Clenae</w:t>
      </w:r>
      <w:proofErr w:type="spellEnd"/>
      <w:r w:rsidR="00B21DA4" w:rsidRPr="000A52DC">
        <w:rPr>
          <w:rFonts w:ascii="Arial" w:hAnsi="Arial" w:cs="Arial"/>
          <w:i/>
          <w:iCs/>
          <w:color w:val="000000"/>
          <w:sz w:val="20"/>
        </w:rPr>
        <w:t xml:space="preserv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 xml:space="preserve">Anne </w:t>
      </w:r>
      <w:proofErr w:type="spellStart"/>
      <w:r w:rsidR="00B21DA4" w:rsidRPr="000A52DC">
        <w:rPr>
          <w:rFonts w:ascii="Arial" w:hAnsi="Arial" w:cs="Arial"/>
          <w:i/>
          <w:iCs/>
          <w:color w:val="000000"/>
          <w:sz w:val="20"/>
        </w:rPr>
        <w:t>Wintle</w:t>
      </w:r>
      <w:proofErr w:type="spellEnd"/>
      <w:r w:rsidR="00B21DA4" w:rsidRPr="000A52DC">
        <w:rPr>
          <w:rFonts w:ascii="Arial" w:hAnsi="Arial" w:cs="Arial"/>
          <w:i/>
          <w:iCs/>
          <w:color w:val="000000"/>
          <w:sz w:val="20"/>
        </w:rPr>
        <w:t xml:space="preserv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 xml:space="preserve">Re JRL: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CJL</w:t>
      </w:r>
      <w:r w:rsidR="00B21DA4" w:rsidRPr="000A52DC">
        <w:rPr>
          <w:rFonts w:ascii="Arial" w:hAnsi="Arial" w:cs="Arial"/>
          <w:color w:val="000000"/>
          <w:sz w:val="20"/>
        </w:rPr>
        <w:t xml:space="preserve"> (1986) 161 CLR 34; </w:t>
      </w:r>
      <w:proofErr w:type="spellStart"/>
      <w:r w:rsidR="00B21DA4" w:rsidRPr="000A52DC">
        <w:rPr>
          <w:rFonts w:ascii="Arial" w:hAnsi="Arial" w:cs="Arial"/>
          <w:i/>
          <w:iCs/>
          <w:color w:val="000000"/>
          <w:sz w:val="20"/>
        </w:rPr>
        <w:t>Vakauta</w:t>
      </w:r>
      <w:proofErr w:type="spellEnd"/>
      <w:r w:rsidR="00B21DA4" w:rsidRPr="000A52DC">
        <w:rPr>
          <w:rFonts w:ascii="Arial" w:hAnsi="Arial" w:cs="Arial"/>
          <w:i/>
          <w:iCs/>
          <w:color w:val="000000"/>
          <w:sz w:val="20"/>
        </w:rPr>
        <w:t xml:space="preserve">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 xml:space="preserve">Mond &amp; Mond v </w:t>
      </w:r>
      <w:proofErr w:type="spellStart"/>
      <w:r w:rsidR="00B21DA4" w:rsidRPr="000A52DC">
        <w:rPr>
          <w:rFonts w:ascii="Arial" w:hAnsi="Arial" w:cs="Arial"/>
          <w:i/>
          <w:iCs/>
          <w:color w:val="000000"/>
          <w:sz w:val="20"/>
        </w:rPr>
        <w:t>Dyan</w:t>
      </w:r>
      <w:proofErr w:type="spellEnd"/>
      <w:r w:rsidR="00B21DA4" w:rsidRPr="000A52DC">
        <w:rPr>
          <w:rFonts w:ascii="Arial" w:hAnsi="Arial" w:cs="Arial"/>
          <w:i/>
          <w:iCs/>
          <w:color w:val="000000"/>
          <w:sz w:val="20"/>
        </w:rPr>
        <w:t xml:space="preserve"> Rabbi Isaac </w:t>
      </w:r>
      <w:proofErr w:type="spellStart"/>
      <w:r w:rsidR="00B21DA4" w:rsidRPr="000A52DC">
        <w:rPr>
          <w:rFonts w:ascii="Arial" w:hAnsi="Arial" w:cs="Arial"/>
          <w:i/>
          <w:iCs/>
          <w:color w:val="000000"/>
          <w:sz w:val="20"/>
        </w:rPr>
        <w:t>Dov</w:t>
      </w:r>
      <w:proofErr w:type="spellEnd"/>
      <w:r w:rsidR="00B21DA4" w:rsidRPr="000A52DC">
        <w:rPr>
          <w:rFonts w:ascii="Arial" w:hAnsi="Arial" w:cs="Arial"/>
          <w:i/>
          <w:iCs/>
          <w:color w:val="000000"/>
          <w:sz w:val="20"/>
        </w:rPr>
        <w:t xml:space="preserve"> Berger</w:t>
      </w:r>
      <w:r w:rsidR="00B21DA4" w:rsidRPr="000A52DC">
        <w:rPr>
          <w:rFonts w:ascii="Arial" w:hAnsi="Arial" w:cs="Arial"/>
          <w:color w:val="000000"/>
          <w:sz w:val="20"/>
        </w:rPr>
        <w:t xml:space="preserve"> [2004] VSC 45; </w:t>
      </w:r>
      <w:proofErr w:type="spellStart"/>
      <w:r w:rsidR="00B21DA4" w:rsidRPr="000A52DC">
        <w:rPr>
          <w:rFonts w:ascii="Arial" w:hAnsi="Arial" w:cs="Arial"/>
          <w:i/>
          <w:iCs/>
          <w:color w:val="000000"/>
          <w:sz w:val="20"/>
        </w:rPr>
        <w:t>Gascor</w:t>
      </w:r>
      <w:proofErr w:type="spellEnd"/>
      <w:r w:rsidR="00B21DA4" w:rsidRPr="000A52DC">
        <w:rPr>
          <w:rFonts w:ascii="Arial" w:hAnsi="Arial" w:cs="Arial"/>
          <w:i/>
          <w:iCs/>
          <w:color w:val="000000"/>
          <w:sz w:val="20"/>
        </w:rPr>
        <w:t xml:space="preserve">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 xml:space="preserve">Re </w:t>
      </w:r>
      <w:r w:rsidR="00B21DA4" w:rsidRPr="000A52DC">
        <w:rPr>
          <w:rFonts w:ascii="Arial" w:hAnsi="Arial" w:cs="Arial"/>
          <w:i/>
          <w:iCs/>
          <w:color w:val="000000"/>
          <w:sz w:val="20"/>
        </w:rPr>
        <w:lastRenderedPageBreak/>
        <w:t xml:space="preserve">Keeley: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Ansett Transport Industries (Operations) Pty Ltd</w:t>
      </w:r>
      <w:r w:rsidR="00BD5912" w:rsidRPr="000A52DC">
        <w:rPr>
          <w:rFonts w:ascii="Arial" w:hAnsi="Arial" w:cs="Arial"/>
          <w:color w:val="000000"/>
          <w:sz w:val="20"/>
        </w:rPr>
        <w:t xml:space="preserve"> (1990) 94 ALR 1; </w:t>
      </w:r>
      <w:proofErr w:type="spellStart"/>
      <w:r w:rsidR="00BD5912" w:rsidRPr="000A52DC">
        <w:rPr>
          <w:rFonts w:ascii="Arial" w:hAnsi="Arial" w:cs="Arial"/>
          <w:i/>
          <w:color w:val="000000"/>
          <w:sz w:val="20"/>
        </w:rPr>
        <w:t>Antoun</w:t>
      </w:r>
      <w:proofErr w:type="spellEnd"/>
      <w:r w:rsidR="00BD5912" w:rsidRPr="000A52DC">
        <w:rPr>
          <w:rFonts w:ascii="Arial" w:hAnsi="Arial" w:cs="Arial"/>
          <w:i/>
          <w:color w:val="000000"/>
          <w:sz w:val="20"/>
        </w:rPr>
        <w:t xml:space="preserve">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proofErr w:type="spellStart"/>
      <w:r w:rsidR="00F527DA" w:rsidRPr="000A52DC">
        <w:rPr>
          <w:rFonts w:ascii="Arial" w:hAnsi="Arial" w:cs="Arial"/>
          <w:i/>
          <w:color w:val="000000"/>
          <w:sz w:val="20"/>
        </w:rPr>
        <w:t>Slaveski</w:t>
      </w:r>
      <w:proofErr w:type="spellEnd"/>
      <w:r w:rsidR="00F527DA" w:rsidRPr="000A52DC">
        <w:rPr>
          <w:rFonts w:ascii="Arial" w:hAnsi="Arial" w:cs="Arial"/>
          <w:i/>
          <w:color w:val="000000"/>
          <w:sz w:val="20"/>
        </w:rPr>
        <w:t xml:space="preserve">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proofErr w:type="spellStart"/>
      <w:r w:rsidR="009958BE" w:rsidRPr="000A52DC">
        <w:rPr>
          <w:rFonts w:ascii="Arial" w:hAnsi="Arial" w:cs="Arial"/>
          <w:i/>
          <w:color w:val="000000"/>
          <w:sz w:val="20"/>
          <w:szCs w:val="20"/>
        </w:rPr>
        <w:t>Velissaris</w:t>
      </w:r>
      <w:proofErr w:type="spellEnd"/>
      <w:r w:rsidR="009958BE" w:rsidRPr="000A52DC">
        <w:rPr>
          <w:rFonts w:ascii="Arial" w:hAnsi="Arial" w:cs="Arial"/>
          <w:i/>
          <w:color w:val="000000"/>
          <w:sz w:val="20"/>
          <w:szCs w:val="20"/>
        </w:rPr>
        <w:t xml:space="preserve">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Moorfields</w:t>
      </w:r>
      <w:proofErr w:type="spellEnd"/>
      <w:r w:rsidR="003B1EF0" w:rsidRPr="000A52DC">
        <w:rPr>
          <w:rFonts w:ascii="Arial" w:hAnsi="Arial" w:cs="Arial"/>
          <w:i/>
          <w:color w:val="000000"/>
          <w:sz w:val="20"/>
          <w:szCs w:val="20"/>
        </w:rPr>
        <w:t xml:space="preserve"> Community &amp; </w:t>
      </w:r>
      <w:proofErr w:type="spellStart"/>
      <w:r w:rsidR="003B1EF0" w:rsidRPr="000A52DC">
        <w:rPr>
          <w:rFonts w:ascii="Arial" w:hAnsi="Arial" w:cs="Arial"/>
          <w:i/>
          <w:color w:val="000000"/>
          <w:sz w:val="20"/>
          <w:szCs w:val="20"/>
        </w:rPr>
        <w:t>Ors</w:t>
      </w:r>
      <w:proofErr w:type="spellEnd"/>
      <w:r w:rsidR="003B1EF0" w:rsidRPr="000A52DC">
        <w:rPr>
          <w:rFonts w:ascii="Arial" w:hAnsi="Arial" w:cs="Arial"/>
          <w:i/>
          <w:color w:val="000000"/>
          <w:sz w:val="20"/>
          <w:szCs w:val="20"/>
        </w:rPr>
        <w:t xml:space="preserve"> v </w:t>
      </w:r>
      <w:proofErr w:type="spellStart"/>
      <w:r w:rsidR="003B1EF0" w:rsidRPr="000A52DC">
        <w:rPr>
          <w:rFonts w:ascii="Arial" w:hAnsi="Arial" w:cs="Arial"/>
          <w:i/>
          <w:color w:val="000000"/>
          <w:sz w:val="20"/>
          <w:szCs w:val="20"/>
        </w:rPr>
        <w:t>Stanislawa</w:t>
      </w:r>
      <w:proofErr w:type="spellEnd"/>
      <w:r w:rsidR="003B1EF0"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Bahonko</w:t>
      </w:r>
      <w:proofErr w:type="spellEnd"/>
      <w:r w:rsidR="00493A72" w:rsidRPr="000A52DC">
        <w:rPr>
          <w:rFonts w:ascii="Arial" w:hAnsi="Arial" w:cs="Arial"/>
          <w:color w:val="000000"/>
          <w:sz w:val="20"/>
          <w:szCs w:val="20"/>
        </w:rPr>
        <w:t xml:space="preserve"> [2011] VSCA 295; </w:t>
      </w:r>
      <w:proofErr w:type="spellStart"/>
      <w:r w:rsidR="00493A72" w:rsidRPr="000A52DC">
        <w:rPr>
          <w:rFonts w:ascii="Arial" w:hAnsi="Arial" w:cs="Arial"/>
          <w:i/>
          <w:color w:val="000000"/>
          <w:sz w:val="20"/>
          <w:szCs w:val="20"/>
        </w:rPr>
        <w:t>Bahonko</w:t>
      </w:r>
      <w:proofErr w:type="spellEnd"/>
      <w:r w:rsidR="00493A72" w:rsidRPr="000A52DC">
        <w:rPr>
          <w:rFonts w:ascii="Arial" w:hAnsi="Arial" w:cs="Arial"/>
          <w:i/>
          <w:color w:val="000000"/>
          <w:sz w:val="20"/>
          <w:szCs w:val="20"/>
        </w:rPr>
        <w:t xml:space="preserve"> v </w:t>
      </w:r>
      <w:proofErr w:type="spellStart"/>
      <w:r w:rsidR="00493A72" w:rsidRPr="000A52DC">
        <w:rPr>
          <w:rFonts w:ascii="Arial" w:hAnsi="Arial" w:cs="Arial"/>
          <w:i/>
          <w:color w:val="000000"/>
          <w:sz w:val="20"/>
          <w:szCs w:val="20"/>
        </w:rPr>
        <w:t>Moorfields</w:t>
      </w:r>
      <w:proofErr w:type="spellEnd"/>
      <w:r w:rsidR="00493A72" w:rsidRPr="000A52DC">
        <w:rPr>
          <w:rFonts w:ascii="Arial" w:hAnsi="Arial" w:cs="Arial"/>
          <w:i/>
          <w:color w:val="000000"/>
          <w:sz w:val="20"/>
          <w:szCs w:val="20"/>
        </w:rPr>
        <w:t xml:space="preserve">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proofErr w:type="spellStart"/>
      <w:r w:rsidR="003D25C5" w:rsidRPr="00232FC7">
        <w:rPr>
          <w:rFonts w:ascii="Arial" w:hAnsi="Arial" w:cs="Arial"/>
          <w:i/>
          <w:color w:val="000000"/>
          <w:sz w:val="20"/>
          <w:szCs w:val="20"/>
        </w:rPr>
        <w:t>Vasiliou</w:t>
      </w:r>
      <w:proofErr w:type="spellEnd"/>
      <w:r w:rsidR="00AD06C0" w:rsidRPr="00232FC7">
        <w:rPr>
          <w:rFonts w:ascii="Arial" w:hAnsi="Arial" w:cs="Arial"/>
          <w:color w:val="000000"/>
          <w:sz w:val="20"/>
          <w:szCs w:val="20"/>
        </w:rPr>
        <w:t xml:space="preserve"> [2012] VSC 216 at [9]-[11]; </w:t>
      </w:r>
      <w:proofErr w:type="spellStart"/>
      <w:r w:rsidR="00AD06C0" w:rsidRPr="00232FC7">
        <w:rPr>
          <w:rFonts w:ascii="Arial" w:hAnsi="Arial" w:cs="Arial"/>
          <w:i/>
          <w:color w:val="000000"/>
          <w:sz w:val="20"/>
          <w:szCs w:val="20"/>
        </w:rPr>
        <w:t>Flavel</w:t>
      </w:r>
      <w:proofErr w:type="spellEnd"/>
      <w:r w:rsidR="00AD06C0" w:rsidRPr="00232FC7">
        <w:rPr>
          <w:rFonts w:ascii="Arial" w:hAnsi="Arial" w:cs="Arial"/>
          <w:i/>
          <w:color w:val="000000"/>
          <w:sz w:val="20"/>
          <w:szCs w:val="20"/>
        </w:rPr>
        <w:t xml:space="preserve"> v </w:t>
      </w:r>
      <w:proofErr w:type="spellStart"/>
      <w:r w:rsidR="00AD06C0" w:rsidRPr="00232FC7">
        <w:rPr>
          <w:rFonts w:ascii="Arial" w:hAnsi="Arial" w:cs="Arial"/>
          <w:i/>
          <w:color w:val="000000"/>
          <w:sz w:val="20"/>
          <w:szCs w:val="20"/>
        </w:rPr>
        <w:t>Morsby</w:t>
      </w:r>
      <w:proofErr w:type="spellEnd"/>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[51]-[61]; </w:t>
      </w:r>
      <w:r w:rsidR="00A40C64" w:rsidRPr="00423D61">
        <w:rPr>
          <w:rFonts w:ascii="Arial" w:hAnsi="Arial" w:cs="Arial"/>
          <w:i/>
          <w:color w:val="000000"/>
          <w:sz w:val="20"/>
          <w:szCs w:val="20"/>
        </w:rPr>
        <w:t xml:space="preserve">Wain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v </w:t>
      </w:r>
      <w:proofErr w:type="spellStart"/>
      <w:r w:rsidR="00A40C64" w:rsidRPr="00423D61">
        <w:rPr>
          <w:rFonts w:ascii="Arial" w:hAnsi="Arial" w:cs="Arial"/>
          <w:i/>
          <w:color w:val="000000"/>
          <w:sz w:val="20"/>
          <w:szCs w:val="20"/>
        </w:rPr>
        <w:t>Drapac</w:t>
      </w:r>
      <w:proofErr w:type="spellEnd"/>
      <w:r w:rsidR="00A40C64" w:rsidRPr="00423D61">
        <w:rPr>
          <w:rFonts w:ascii="Arial" w:hAnsi="Arial" w:cs="Arial"/>
          <w:i/>
          <w:color w:val="000000"/>
          <w:sz w:val="20"/>
          <w:szCs w:val="20"/>
        </w:rPr>
        <w:t xml:space="preserve">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 xml:space="preserve">In the Matter of </w:t>
      </w:r>
      <w:proofErr w:type="spellStart"/>
      <w:r w:rsidR="0017286C" w:rsidRPr="0017286C">
        <w:rPr>
          <w:rFonts w:ascii="Arial" w:hAnsi="Arial" w:cs="Arial"/>
          <w:i/>
          <w:iCs/>
          <w:color w:val="000000"/>
          <w:sz w:val="20"/>
          <w:szCs w:val="20"/>
        </w:rPr>
        <w:t>Kornucopia</w:t>
      </w:r>
      <w:proofErr w:type="spellEnd"/>
      <w:r w:rsidR="0017286C" w:rsidRPr="0017286C">
        <w:rPr>
          <w:rFonts w:ascii="Arial" w:hAnsi="Arial" w:cs="Arial"/>
          <w:i/>
          <w:iCs/>
          <w:color w:val="000000"/>
          <w:sz w:val="20"/>
          <w:szCs w:val="20"/>
        </w:rPr>
        <w:t xml:space="preserve">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w:t>
      </w:r>
      <w:proofErr w:type="spellStart"/>
      <w:r w:rsidR="00EE6CBF" w:rsidRPr="00EE6CBF">
        <w:rPr>
          <w:rFonts w:ascii="Arial" w:hAnsi="Arial" w:cs="Arial"/>
          <w:i/>
          <w:iCs/>
          <w:sz w:val="20"/>
          <w:szCs w:val="20"/>
        </w:rPr>
        <w:t>Cth</w:t>
      </w:r>
      <w:proofErr w:type="spellEnd"/>
      <w:r w:rsidR="00EE6CBF" w:rsidRPr="00EE6CBF">
        <w:rPr>
          <w:rFonts w:ascii="Arial" w:hAnsi="Arial" w:cs="Arial"/>
          <w:i/>
          <w:iCs/>
          <w:sz w:val="20"/>
          <w:szCs w:val="20"/>
        </w:rPr>
        <w:t>)</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AF5EB8">
        <w:rPr>
          <w:rFonts w:ascii="Arial" w:hAnsi="Arial" w:cs="Arial"/>
          <w:color w:val="000000"/>
          <w:sz w:val="20"/>
          <w:szCs w:val="20"/>
        </w:rPr>
        <w:t xml:space="preserve">; </w:t>
      </w:r>
      <w:r w:rsidR="00AF5EB8" w:rsidRPr="00AF5EB8">
        <w:rPr>
          <w:rFonts w:ascii="Arial" w:hAnsi="Arial" w:cs="Arial"/>
          <w:i/>
          <w:iCs/>
          <w:color w:val="000000"/>
          <w:sz w:val="20"/>
          <w:szCs w:val="20"/>
        </w:rPr>
        <w:t>Grahame v Bendigo and Adelaide Bank Ltd</w:t>
      </w:r>
      <w:r w:rsidR="00AF5EB8">
        <w:rPr>
          <w:rFonts w:ascii="Arial" w:hAnsi="Arial" w:cs="Arial"/>
          <w:color w:val="000000"/>
          <w:sz w:val="20"/>
          <w:szCs w:val="20"/>
        </w:rPr>
        <w:t xml:space="preserve"> [2021] VSCA 222 at [47]-[58]</w:t>
      </w:r>
      <w:r w:rsidR="00BF0956">
        <w:rPr>
          <w:rFonts w:ascii="Arial" w:hAnsi="Arial" w:cs="Arial"/>
          <w:color w:val="000000"/>
          <w:sz w:val="20"/>
          <w:szCs w:val="20"/>
        </w:rPr>
        <w:t xml:space="preserve">; </w:t>
      </w:r>
      <w:r w:rsidR="00BF0956" w:rsidRPr="00BF0956">
        <w:rPr>
          <w:rFonts w:ascii="Arial" w:hAnsi="Arial" w:cs="Arial"/>
          <w:i/>
          <w:iCs/>
          <w:color w:val="000000"/>
          <w:sz w:val="20"/>
          <w:szCs w:val="20"/>
        </w:rPr>
        <w:t xml:space="preserve">Minister for Home Affairs v </w:t>
      </w:r>
      <w:proofErr w:type="spellStart"/>
      <w:r w:rsidR="00BF0956" w:rsidRPr="00BF0956">
        <w:rPr>
          <w:rFonts w:ascii="Arial" w:hAnsi="Arial" w:cs="Arial"/>
          <w:i/>
          <w:iCs/>
          <w:color w:val="000000"/>
          <w:sz w:val="20"/>
          <w:szCs w:val="20"/>
        </w:rPr>
        <w:t>Benbrika</w:t>
      </w:r>
      <w:proofErr w:type="spellEnd"/>
      <w:r w:rsidR="00BF0956">
        <w:rPr>
          <w:rFonts w:ascii="Arial" w:hAnsi="Arial" w:cs="Arial"/>
          <w:i/>
          <w:iCs/>
          <w:color w:val="000000"/>
          <w:sz w:val="20"/>
          <w:szCs w:val="20"/>
        </w:rPr>
        <w:t xml:space="preserve"> (No.2)</w:t>
      </w:r>
      <w:r w:rsidR="00BF0956">
        <w:rPr>
          <w:rFonts w:ascii="Arial" w:hAnsi="Arial" w:cs="Arial"/>
          <w:color w:val="000000"/>
          <w:sz w:val="20"/>
          <w:szCs w:val="20"/>
        </w:rPr>
        <w:t xml:space="preserve"> [2021] VSC 684 at [40]-[44]</w:t>
      </w:r>
      <w:r w:rsidR="00AA17C4">
        <w:rPr>
          <w:rFonts w:ascii="Arial" w:hAnsi="Arial" w:cs="Arial"/>
          <w:color w:val="000000"/>
          <w:sz w:val="20"/>
          <w:szCs w:val="20"/>
        </w:rPr>
        <w:t xml:space="preserve">; </w:t>
      </w:r>
      <w:r w:rsidR="00AA17C4" w:rsidRPr="00AA17C4">
        <w:rPr>
          <w:rFonts w:ascii="Arial" w:hAnsi="Arial" w:cs="Arial"/>
          <w:i/>
          <w:iCs/>
          <w:color w:val="000000"/>
          <w:sz w:val="20"/>
          <w:szCs w:val="20"/>
        </w:rPr>
        <w:t>Tessa v DPP (</w:t>
      </w:r>
      <w:proofErr w:type="spellStart"/>
      <w:r w:rsidR="00AA17C4" w:rsidRPr="00AA17C4">
        <w:rPr>
          <w:rFonts w:ascii="Arial" w:hAnsi="Arial" w:cs="Arial"/>
          <w:i/>
          <w:iCs/>
          <w:color w:val="000000"/>
          <w:sz w:val="20"/>
          <w:szCs w:val="20"/>
        </w:rPr>
        <w:t>Cth</w:t>
      </w:r>
      <w:proofErr w:type="spellEnd"/>
      <w:r w:rsidR="00AA17C4" w:rsidRPr="00AA17C4">
        <w:rPr>
          <w:rFonts w:ascii="Arial" w:hAnsi="Arial" w:cs="Arial"/>
          <w:i/>
          <w:iCs/>
          <w:color w:val="000000"/>
          <w:sz w:val="20"/>
          <w:szCs w:val="20"/>
        </w:rPr>
        <w:t>)</w:t>
      </w:r>
      <w:r w:rsidR="00AA17C4">
        <w:rPr>
          <w:rFonts w:ascii="Arial" w:hAnsi="Arial" w:cs="Arial"/>
          <w:color w:val="000000"/>
          <w:sz w:val="20"/>
          <w:szCs w:val="20"/>
        </w:rPr>
        <w:t xml:space="preserve"> [2022] VSCA 61 esp. at [21]-[29]</w:t>
      </w:r>
      <w:r w:rsidR="00D858C8">
        <w:rPr>
          <w:rFonts w:ascii="Arial" w:hAnsi="Arial" w:cs="Arial"/>
          <w:color w:val="000000"/>
          <w:sz w:val="20"/>
          <w:szCs w:val="20"/>
        </w:rPr>
        <w:t xml:space="preserve">; </w:t>
      </w:r>
      <w:r w:rsidR="00D858C8" w:rsidRPr="00D858C8">
        <w:rPr>
          <w:rFonts w:ascii="Arial" w:hAnsi="Arial" w:cs="Arial"/>
          <w:i/>
          <w:iCs/>
          <w:color w:val="000000"/>
          <w:sz w:val="20"/>
          <w:szCs w:val="20"/>
        </w:rPr>
        <w:t xml:space="preserve">Minogue v </w:t>
      </w:r>
      <w:proofErr w:type="spellStart"/>
      <w:r w:rsidR="00D858C8" w:rsidRPr="00D858C8">
        <w:rPr>
          <w:rFonts w:ascii="Arial" w:hAnsi="Arial" w:cs="Arial"/>
          <w:i/>
          <w:iCs/>
          <w:color w:val="000000"/>
          <w:sz w:val="20"/>
          <w:szCs w:val="20"/>
        </w:rPr>
        <w:t>Falkingham</w:t>
      </w:r>
      <w:proofErr w:type="spellEnd"/>
      <w:r w:rsidR="00D858C8">
        <w:rPr>
          <w:rFonts w:ascii="Arial" w:hAnsi="Arial" w:cs="Arial"/>
          <w:color w:val="000000"/>
          <w:sz w:val="20"/>
          <w:szCs w:val="20"/>
        </w:rPr>
        <w:t xml:space="preserve"> [2022] VSC 111 at [42]-[65]: </w:t>
      </w:r>
      <w:r w:rsidR="00D858C8" w:rsidRPr="00A15316">
        <w:rPr>
          <w:rFonts w:ascii="Arial" w:hAnsi="Arial" w:cs="Arial"/>
          <w:i/>
          <w:iCs/>
          <w:color w:val="000000"/>
          <w:sz w:val="20"/>
          <w:szCs w:val="20"/>
        </w:rPr>
        <w:t xml:space="preserve">Hill </w:t>
      </w:r>
      <w:r w:rsidR="00050826" w:rsidRPr="00A15316">
        <w:rPr>
          <w:rFonts w:ascii="Arial" w:hAnsi="Arial" w:cs="Arial"/>
          <w:i/>
          <w:iCs/>
          <w:color w:val="000000"/>
          <w:sz w:val="20"/>
          <w:szCs w:val="20"/>
        </w:rPr>
        <w:t>v Cronin (No 2)</w:t>
      </w:r>
      <w:r w:rsidR="00050826">
        <w:rPr>
          <w:rFonts w:ascii="Arial" w:hAnsi="Arial" w:cs="Arial"/>
          <w:color w:val="000000"/>
          <w:sz w:val="20"/>
          <w:szCs w:val="20"/>
        </w:rPr>
        <w:t xml:space="preserve"> [2022] VSC 328</w:t>
      </w:r>
      <w:r w:rsidR="00BF0956">
        <w:rPr>
          <w:rFonts w:ascii="Arial" w:hAnsi="Arial" w:cs="Arial"/>
          <w:color w:val="000000"/>
          <w:sz w:val="20"/>
          <w:szCs w:val="20"/>
        </w:rPr>
        <w:t>.</w:t>
      </w:r>
    </w:p>
    <w:p w14:paraId="7F0E74FD" w14:textId="77777777" w:rsidR="00DD765C" w:rsidRDefault="00DD765C" w:rsidP="00DD765C">
      <w:pPr>
        <w:rPr>
          <w:rFonts w:ascii="Arial" w:hAnsi="Arial" w:cs="Arial"/>
          <w:sz w:val="20"/>
        </w:rPr>
      </w:pPr>
    </w:p>
    <w:p w14:paraId="68AB11C8" w14:textId="63CA6D1E" w:rsidR="00DD765C" w:rsidRDefault="00DD765C" w:rsidP="00DD765C">
      <w:pPr>
        <w:jc w:val="both"/>
        <w:rPr>
          <w:rFonts w:ascii="Arial" w:hAnsi="Arial" w:cs="Arial"/>
          <w:sz w:val="20"/>
        </w:rPr>
      </w:pPr>
      <w:r>
        <w:rPr>
          <w:rFonts w:ascii="Arial" w:hAnsi="Arial" w:cs="Arial"/>
          <w:sz w:val="20"/>
        </w:rPr>
        <w:t xml:space="preserve">In </w:t>
      </w:r>
      <w:proofErr w:type="spellStart"/>
      <w:r w:rsidRPr="00F13772">
        <w:rPr>
          <w:rFonts w:ascii="Arial" w:hAnsi="Arial" w:cs="Arial"/>
          <w:i/>
          <w:sz w:val="20"/>
        </w:rPr>
        <w:t>Grima</w:t>
      </w:r>
      <w:proofErr w:type="spellEnd"/>
      <w:r w:rsidRPr="00F13772">
        <w:rPr>
          <w:rFonts w:ascii="Arial" w:hAnsi="Arial" w:cs="Arial"/>
          <w:i/>
          <w:sz w:val="20"/>
        </w:rPr>
        <w:t xml:space="preserve"> v MacCallum</w:t>
      </w:r>
      <w:r>
        <w:rPr>
          <w:rFonts w:ascii="Arial" w:hAnsi="Arial" w:cs="Arial"/>
          <w:sz w:val="20"/>
        </w:rPr>
        <w:t xml:space="preserve"> [2014] VSC 473 on two occasions early in the summary hearing of criminal charges the presiding Magistrate had warned the </w:t>
      </w:r>
      <w:r w:rsidR="00192094">
        <w:rPr>
          <w:rFonts w:ascii="Arial" w:hAnsi="Arial" w:cs="Arial"/>
          <w:sz w:val="20"/>
        </w:rPr>
        <w:t>accused</w:t>
      </w:r>
      <w:r>
        <w:rPr>
          <w:rFonts w:ascii="Arial" w:hAnsi="Arial" w:cs="Arial"/>
          <w:sz w:val="20"/>
        </w:rPr>
        <w:t xml:space="preserve"> in relation to the issue of costs if he was unsuccessful.  The </w:t>
      </w:r>
      <w:r w:rsidR="00192094">
        <w:rPr>
          <w:rFonts w:ascii="Arial" w:hAnsi="Arial" w:cs="Arial"/>
          <w:sz w:val="20"/>
        </w:rPr>
        <w:t>accused</w:t>
      </w:r>
      <w:r>
        <w:rPr>
          <w:rFonts w:ascii="Arial" w:hAnsi="Arial" w:cs="Arial"/>
          <w:sz w:val="20"/>
        </w:rPr>
        <w:t xml:space="preserve"> b</w:t>
      </w:r>
      <w:r w:rsidR="00192094">
        <w:rPr>
          <w:rFonts w:ascii="Arial" w:hAnsi="Arial" w:cs="Arial"/>
          <w:sz w:val="20"/>
        </w:rPr>
        <w:t>r</w:t>
      </w:r>
      <w:r>
        <w:rPr>
          <w:rFonts w:ascii="Arial" w:hAnsi="Arial" w:cs="Arial"/>
          <w:sz w:val="20"/>
        </w:rPr>
        <w:t xml:space="preserve">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w:t>
      </w:r>
      <w:r w:rsidR="00192094">
        <w:rPr>
          <w:rFonts w:ascii="Arial" w:hAnsi="Arial" w:cs="Arial"/>
          <w:sz w:val="20"/>
        </w:rPr>
        <w:t>accused</w:t>
      </w:r>
      <w:r>
        <w:rPr>
          <w:rFonts w:ascii="Arial" w:hAnsi="Arial" w:cs="Arial"/>
          <w:sz w:val="20"/>
        </w:rPr>
        <w:t>.  Allowing the review, Bell J said:</w:t>
      </w:r>
    </w:p>
    <w:p w14:paraId="05D619E0" w14:textId="77777777" w:rsidR="00DD765C" w:rsidRDefault="00DD765C" w:rsidP="00DD765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 xml:space="preserve">R v The Australian Broadcasting Tribunal; Ex </w:t>
      </w:r>
      <w:proofErr w:type="spellStart"/>
      <w:r w:rsidRPr="00DD765C">
        <w:rPr>
          <w:rFonts w:ascii="Arial" w:hAnsi="Arial" w:cs="Arial"/>
          <w:i/>
          <w:sz w:val="20"/>
        </w:rPr>
        <w:t>parte</w:t>
      </w:r>
      <w:proofErr w:type="spellEnd"/>
      <w:r w:rsidRPr="00DD765C">
        <w:rPr>
          <w:rFonts w:ascii="Arial" w:hAnsi="Arial" w:cs="Arial"/>
          <w:i/>
          <w:sz w:val="20"/>
        </w:rPr>
        <w:t xml:space="preserve"> Hardiman</w:t>
      </w:r>
      <w:r>
        <w:rPr>
          <w:rFonts w:ascii="Arial" w:hAnsi="Arial" w:cs="Arial"/>
          <w:sz w:val="20"/>
        </w:rPr>
        <w:t xml:space="preserve"> (1980) 144 CLR 13, 35-6, the usual and proper practice for the court or tribunal to take in judicial review proceedings </w:t>
      </w:r>
      <w:r w:rsidR="00261FB4">
        <w:rPr>
          <w:rFonts w:ascii="Arial" w:hAnsi="Arial" w:cs="Arial"/>
          <w:sz w:val="20"/>
        </w:rPr>
        <w:t>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01AB4F4A" w14:textId="77777777" w:rsidR="00261FB4" w:rsidRDefault="00261FB4" w:rsidP="00DD765C">
      <w:pPr>
        <w:spacing w:before="60"/>
        <w:ind w:left="454" w:right="454"/>
        <w:jc w:val="both"/>
        <w:rPr>
          <w:rFonts w:ascii="Arial" w:hAnsi="Arial" w:cs="Arial"/>
          <w:sz w:val="20"/>
        </w:rPr>
      </w:pPr>
      <w:r>
        <w:rPr>
          <w:rFonts w:ascii="Arial" w:hAnsi="Arial" w:cs="Arial"/>
          <w:sz w:val="20"/>
        </w:rPr>
        <w:t>[6] The foundation of this principle is that it is very difficult, and usually impossible</w:t>
      </w:r>
      <w:r w:rsidR="00B60B78">
        <w:rPr>
          <w:rFonts w:ascii="Arial" w:hAnsi="Arial" w:cs="Arial"/>
          <w:sz w:val="20"/>
        </w:rPr>
        <w:t>, f</w:t>
      </w:r>
      <w:r>
        <w:rPr>
          <w:rFonts w:ascii="Arial" w:hAnsi="Arial" w:cs="Arial"/>
          <w:sz w:val="20"/>
        </w:rPr>
        <w:t xml:space="preserve">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address">
        <w:smartTag w:uri="urn:schemas-microsoft-com:office:smarttags" w:element="Street">
          <w:r>
            <w:rPr>
              <w:rFonts w:ascii="Arial" w:hAnsi="Arial" w:cs="Arial"/>
              <w:sz w:val="20"/>
            </w:rPr>
            <w:t>Practice Court</w:t>
          </w:r>
        </w:smartTag>
      </w:smartTag>
      <w:r>
        <w:rPr>
          <w:rFonts w:ascii="Arial" w:hAnsi="Arial" w:cs="Arial"/>
          <w:sz w:val="20"/>
        </w:rPr>
        <w:t>."</w:t>
      </w:r>
    </w:p>
    <w:p w14:paraId="240D841B" w14:textId="77777777" w:rsidR="00DD765C" w:rsidRDefault="00DD765C" w:rsidP="00DD765C">
      <w:pPr>
        <w:jc w:val="both"/>
        <w:rPr>
          <w:rFonts w:ascii="Arial" w:hAnsi="Arial" w:cs="Arial"/>
          <w:sz w:val="20"/>
        </w:rPr>
      </w:pPr>
    </w:p>
    <w:p w14:paraId="3591B875" w14:textId="561D54DB" w:rsidR="00B21DA4" w:rsidRDefault="00B21DA4">
      <w:pPr>
        <w:jc w:val="both"/>
        <w:rPr>
          <w:rFonts w:ascii="Arial" w:hAnsi="Arial" w:cs="Arial"/>
          <w:sz w:val="20"/>
        </w:rPr>
      </w:pPr>
      <w:r>
        <w:rPr>
          <w:rFonts w:ascii="Arial" w:hAnsi="Arial" w:cs="Arial"/>
          <w:sz w:val="20"/>
        </w:rPr>
        <w:t>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President and magistrates of the Children's Court are bound to accept that interpretation of the law and apply it.</w:t>
      </w:r>
    </w:p>
    <w:p w14:paraId="41834386" w14:textId="77777777" w:rsidR="00AC42A5" w:rsidRDefault="00AC42A5" w:rsidP="00AC42A5">
      <w:pPr>
        <w:jc w:val="both"/>
        <w:rPr>
          <w:rFonts w:ascii="Arial" w:hAnsi="Arial" w:cs="Arial"/>
          <w:sz w:val="20"/>
        </w:rPr>
      </w:pPr>
    </w:p>
    <w:p w14:paraId="63C23B2D" w14:textId="77777777" w:rsidR="00AC42A5" w:rsidRPr="00BD3BA0" w:rsidRDefault="00AC42A5" w:rsidP="00AC42A5">
      <w:pPr>
        <w:jc w:val="center"/>
        <w:rPr>
          <w:rFonts w:ascii="Arial" w:hAnsi="Arial" w:cs="Arial"/>
          <w:b/>
          <w:bCs/>
          <w:sz w:val="22"/>
          <w:szCs w:val="28"/>
        </w:rPr>
      </w:pPr>
      <w:r w:rsidRPr="00BD3BA0">
        <w:rPr>
          <w:rFonts w:ascii="Arial" w:hAnsi="Arial" w:cs="Arial"/>
          <w:b/>
          <w:bCs/>
          <w:sz w:val="22"/>
          <w:szCs w:val="28"/>
        </w:rPr>
        <w:t>THE REST OF THIS PAGE IS BLANK</w:t>
      </w:r>
    </w:p>
    <w:p w14:paraId="21BD526B" w14:textId="77777777" w:rsidR="00AC42A5" w:rsidRDefault="00AC42A5">
      <w:pPr>
        <w:rPr>
          <w:rFonts w:ascii="Arial" w:hAnsi="Arial" w:cs="Arial"/>
          <w:sz w:val="20"/>
        </w:rPr>
      </w:pPr>
    </w:p>
    <w:p w14:paraId="3E4D3CE3" w14:textId="543F76CC" w:rsidR="002F2123" w:rsidRDefault="002F2123">
      <w:pPr>
        <w:rPr>
          <w:rFonts w:ascii="Arial" w:hAnsi="Arial" w:cs="Arial"/>
          <w:sz w:val="20"/>
        </w:rPr>
      </w:pPr>
      <w:r>
        <w:rPr>
          <w:rFonts w:ascii="Arial" w:hAnsi="Arial" w:cs="Arial"/>
          <w:sz w:val="20"/>
        </w:rPr>
        <w:br w:type="page"/>
      </w:r>
    </w:p>
    <w:p w14:paraId="637B38F1" w14:textId="3ED91435" w:rsidR="00B21DA4" w:rsidRPr="00036D92" w:rsidRDefault="00B21DA4" w:rsidP="00036D92">
      <w:pPr>
        <w:pStyle w:val="Heading2"/>
        <w:keepNext/>
        <w:keepLines/>
        <w:widowControl/>
        <w:rPr>
          <w:rFonts w:ascii="Arial" w:hAnsi="Arial" w:cs="Arial"/>
          <w:b/>
          <w:bCs/>
        </w:rPr>
      </w:pPr>
      <w:bookmarkStart w:id="101" w:name="B32"/>
      <w:bookmarkStart w:id="102" w:name="_3.2_Judicial_Independence"/>
      <w:bookmarkStart w:id="103" w:name="_Toc30608805"/>
      <w:bookmarkStart w:id="104" w:name="_Toc30610019"/>
      <w:bookmarkStart w:id="105" w:name="_Toc30610263"/>
      <w:bookmarkStart w:id="106" w:name="_Toc30638417"/>
      <w:bookmarkStart w:id="107" w:name="_Toc30644226"/>
      <w:bookmarkStart w:id="108" w:name="_Toc30644629"/>
      <w:bookmarkStart w:id="109" w:name="_Toc30645179"/>
      <w:bookmarkStart w:id="110" w:name="_Toc30646390"/>
      <w:bookmarkStart w:id="111" w:name="_Toc30646685"/>
      <w:bookmarkStart w:id="112" w:name="_Toc30646796"/>
      <w:bookmarkStart w:id="113" w:name="_Toc30648153"/>
      <w:bookmarkStart w:id="114" w:name="_Toc30649051"/>
      <w:bookmarkStart w:id="115" w:name="_Toc30649127"/>
      <w:bookmarkStart w:id="116" w:name="_Toc30649388"/>
      <w:bookmarkStart w:id="117" w:name="_Toc30649708"/>
      <w:bookmarkStart w:id="118" w:name="_Toc30651642"/>
      <w:bookmarkStart w:id="119" w:name="_Toc30652626"/>
      <w:bookmarkStart w:id="120" w:name="_Toc30652724"/>
      <w:bookmarkStart w:id="121" w:name="_Toc30654069"/>
      <w:bookmarkStart w:id="122" w:name="_Toc30654420"/>
      <w:bookmarkStart w:id="123" w:name="_Toc30655039"/>
      <w:bookmarkStart w:id="124" w:name="_Toc30655296"/>
      <w:bookmarkStart w:id="125" w:name="_Toc30656974"/>
      <w:bookmarkStart w:id="126" w:name="_Toc30661723"/>
      <w:bookmarkStart w:id="127" w:name="_Toc30666411"/>
      <w:bookmarkStart w:id="128" w:name="_Toc30666641"/>
      <w:bookmarkStart w:id="129" w:name="_Toc30667816"/>
      <w:bookmarkStart w:id="130" w:name="_Toc30669194"/>
      <w:bookmarkStart w:id="131" w:name="_Toc30671410"/>
      <w:bookmarkStart w:id="132" w:name="_Toc30673937"/>
      <w:bookmarkStart w:id="133" w:name="_Toc30691159"/>
      <w:bookmarkStart w:id="134" w:name="_Toc30691530"/>
      <w:bookmarkStart w:id="135" w:name="_Toc30691910"/>
      <w:bookmarkStart w:id="136" w:name="_Toc30692669"/>
      <w:bookmarkStart w:id="137" w:name="_Toc30693048"/>
      <w:bookmarkStart w:id="138" w:name="_Toc30693426"/>
      <w:bookmarkStart w:id="139" w:name="_Toc30693805"/>
      <w:bookmarkStart w:id="140" w:name="_Toc30694186"/>
      <w:bookmarkStart w:id="141" w:name="_Toc30698775"/>
      <w:bookmarkStart w:id="142" w:name="_Toc30699153"/>
      <w:bookmarkStart w:id="143" w:name="_Toc30699538"/>
      <w:bookmarkStart w:id="144" w:name="_Toc30700693"/>
      <w:bookmarkStart w:id="145" w:name="_Toc30701080"/>
      <w:bookmarkStart w:id="146" w:name="_Toc30743689"/>
      <w:bookmarkStart w:id="147" w:name="_Toc30754511"/>
      <w:bookmarkStart w:id="148" w:name="_Toc30756951"/>
      <w:bookmarkStart w:id="149" w:name="_Toc30757500"/>
      <w:bookmarkStart w:id="150" w:name="_Toc30757900"/>
      <w:bookmarkStart w:id="151" w:name="_Toc30762661"/>
      <w:bookmarkStart w:id="152" w:name="_Toc30767315"/>
      <w:bookmarkStart w:id="153" w:name="_Toc34823331"/>
      <w:bookmarkEnd w:id="101"/>
      <w:bookmarkEnd w:id="102"/>
      <w:r w:rsidRPr="00036D92">
        <w:rPr>
          <w:rFonts w:ascii="Arial" w:hAnsi="Arial" w:cs="Arial"/>
          <w:b/>
          <w:bCs/>
        </w:rPr>
        <w:lastRenderedPageBreak/>
        <w:t>3.2</w:t>
      </w:r>
      <w:r w:rsidRPr="00036D92">
        <w:rPr>
          <w:rFonts w:ascii="Arial" w:hAnsi="Arial" w:cs="Arial"/>
          <w:b/>
          <w:bCs/>
        </w:rPr>
        <w:tab/>
        <w:t>Judicial Independence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r w:rsidRPr="00174CDB">
        <w:rPr>
          <w:rFonts w:ascii="Arial" w:hAnsi="Arial" w:cs="Arial"/>
          <w:i/>
          <w:iCs/>
          <w:sz w:val="20"/>
        </w:rPr>
        <w:t>Commonwealth of Australia Constitution Act 1900</w:t>
      </w:r>
      <w:r>
        <w:rPr>
          <w:rFonts w:ascii="Arial" w:hAnsi="Arial" w:cs="Arial"/>
          <w:sz w:val="20"/>
        </w:rPr>
        <w:t>.</w:t>
      </w:r>
    </w:p>
    <w:p w14:paraId="4E296CC7" w14:textId="77777777" w:rsidR="00B21DA4" w:rsidRDefault="00B21DA4">
      <w:pPr>
        <w:rPr>
          <w:rFonts w:ascii="Arial" w:hAnsi="Arial" w:cs="Arial"/>
          <w:sz w:val="20"/>
        </w:rPr>
      </w:pPr>
    </w:p>
    <w:p w14:paraId="263EE80F" w14:textId="19A8704F"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174CDB">
        <w:rPr>
          <w:rFonts w:ascii="Arial" w:hAnsi="Arial" w:cs="Arial"/>
          <w:i/>
          <w:iCs/>
          <w:sz w:val="20"/>
        </w:rPr>
        <w:t>Magistrates' Court Act 1989</w:t>
      </w:r>
      <w:r>
        <w:rPr>
          <w:rFonts w:ascii="Arial" w:hAnsi="Arial" w:cs="Arial"/>
          <w:sz w:val="20"/>
        </w:rPr>
        <w:t xml:space="preserve">.  See also s.9 of the </w:t>
      </w:r>
      <w:r w:rsidRPr="00174CDB">
        <w:rPr>
          <w:rFonts w:ascii="Arial" w:hAnsi="Arial" w:cs="Arial"/>
          <w:i/>
          <w:iCs/>
          <w:sz w:val="20"/>
        </w:rPr>
        <w:t>County Court Act 1958</w:t>
      </w:r>
      <w:r w:rsidRPr="00174CDB">
        <w:rPr>
          <w:rFonts w:ascii="Arial" w:hAnsi="Arial" w:cs="Arial"/>
          <w:sz w:val="20"/>
        </w:rPr>
        <w:t xml:space="preserve">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54" w:name="_3.3_Judicial_Powers"/>
      <w:bookmarkStart w:id="155" w:name="_3.3_Children’s_Court"/>
      <w:bookmarkStart w:id="156" w:name="B33"/>
      <w:bookmarkStart w:id="157" w:name="_Toc30608806"/>
      <w:bookmarkStart w:id="158" w:name="_Toc30610020"/>
      <w:bookmarkStart w:id="159" w:name="_Toc30610264"/>
      <w:bookmarkStart w:id="160" w:name="_Toc30638418"/>
      <w:bookmarkStart w:id="161" w:name="_Toc30644227"/>
      <w:bookmarkStart w:id="162" w:name="_Toc30644630"/>
      <w:bookmarkStart w:id="163" w:name="_Toc30645180"/>
      <w:bookmarkStart w:id="164" w:name="_Toc30646391"/>
      <w:bookmarkStart w:id="165" w:name="_Toc30646686"/>
      <w:bookmarkStart w:id="166" w:name="_Toc30646797"/>
      <w:bookmarkStart w:id="167" w:name="_Toc30648154"/>
      <w:bookmarkStart w:id="168" w:name="_Toc30649052"/>
      <w:bookmarkStart w:id="169" w:name="_Toc30649128"/>
      <w:bookmarkStart w:id="170" w:name="_Toc30649389"/>
      <w:bookmarkStart w:id="171" w:name="_Toc30649709"/>
      <w:bookmarkStart w:id="172" w:name="_Toc30651643"/>
      <w:bookmarkStart w:id="173" w:name="_Toc30652627"/>
      <w:bookmarkStart w:id="174" w:name="_Toc30652725"/>
      <w:bookmarkStart w:id="175" w:name="_Toc30654070"/>
      <w:bookmarkStart w:id="176" w:name="_Toc30654421"/>
      <w:bookmarkStart w:id="177" w:name="_Toc30655040"/>
      <w:bookmarkStart w:id="178" w:name="_Toc30655297"/>
      <w:bookmarkStart w:id="179" w:name="_Toc30656975"/>
      <w:bookmarkStart w:id="180" w:name="_Toc30661724"/>
      <w:bookmarkStart w:id="181" w:name="_Toc30666412"/>
      <w:bookmarkStart w:id="182" w:name="_Toc30666642"/>
      <w:bookmarkStart w:id="183" w:name="_Toc30667817"/>
      <w:bookmarkStart w:id="184" w:name="_Toc30669195"/>
      <w:bookmarkStart w:id="185" w:name="_Toc30671411"/>
      <w:bookmarkStart w:id="186" w:name="_Toc30673938"/>
      <w:bookmarkStart w:id="187" w:name="_Toc30691160"/>
      <w:bookmarkStart w:id="188" w:name="_Toc30691531"/>
      <w:bookmarkStart w:id="189" w:name="_Toc30691911"/>
      <w:bookmarkStart w:id="190" w:name="_Toc30692670"/>
      <w:bookmarkStart w:id="191" w:name="_Toc30693049"/>
      <w:bookmarkStart w:id="192" w:name="_Toc30693427"/>
      <w:bookmarkStart w:id="193" w:name="_Toc30693806"/>
      <w:bookmarkStart w:id="194" w:name="_Toc30694187"/>
      <w:bookmarkStart w:id="195" w:name="_Toc30698776"/>
      <w:bookmarkStart w:id="196" w:name="_Toc30699154"/>
      <w:bookmarkStart w:id="197" w:name="_Toc30699539"/>
      <w:bookmarkStart w:id="198" w:name="_Toc30700694"/>
      <w:bookmarkStart w:id="199" w:name="_Toc30701081"/>
      <w:bookmarkStart w:id="200" w:name="_Toc30743690"/>
      <w:bookmarkStart w:id="201" w:name="_Toc30754512"/>
      <w:bookmarkStart w:id="202" w:name="_Toc30756952"/>
      <w:bookmarkStart w:id="203" w:name="_Toc30757501"/>
      <w:bookmarkStart w:id="204" w:name="_Toc30757901"/>
      <w:bookmarkStart w:id="205" w:name="_Toc30762662"/>
      <w:bookmarkStart w:id="206" w:name="_Toc30767316"/>
      <w:bookmarkStart w:id="207" w:name="_Toc34823332"/>
      <w:bookmarkEnd w:id="154"/>
      <w:bookmarkEnd w:id="155"/>
      <w:bookmarkEnd w:id="156"/>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14B7B15A" w:rsidR="00312136" w:rsidRPr="00312136" w:rsidRDefault="00312136" w:rsidP="00312136">
      <w:pPr>
        <w:pStyle w:val="Heading3"/>
        <w:keepNext/>
        <w:keepLines/>
        <w:spacing w:after="120" w:line="240" w:lineRule="auto"/>
        <w:rPr>
          <w:rFonts w:ascii="Arial" w:hAnsi="Arial" w:cs="Arial"/>
          <w:b/>
          <w:bCs/>
          <w:sz w:val="20"/>
        </w:rPr>
      </w:pPr>
      <w:bookmarkStart w:id="208" w:name="_3.3.1_Powers_conferred"/>
      <w:bookmarkStart w:id="209" w:name="B331"/>
      <w:bookmarkEnd w:id="208"/>
      <w:bookmarkEnd w:id="209"/>
      <w:r>
        <w:rPr>
          <w:rFonts w:ascii="Arial" w:hAnsi="Arial" w:cs="Arial"/>
          <w:b/>
          <w:bCs/>
          <w:sz w:val="20"/>
        </w:rPr>
        <w:t>3.3.1</w:t>
      </w:r>
      <w:r>
        <w:rPr>
          <w:rFonts w:ascii="Arial" w:hAnsi="Arial" w:cs="Arial"/>
          <w:b/>
          <w:bCs/>
          <w:sz w:val="20"/>
        </w:rPr>
        <w:tab/>
      </w:r>
      <w:r w:rsidR="00AB5230">
        <w:rPr>
          <w:rFonts w:ascii="Arial" w:hAnsi="Arial" w:cs="Arial"/>
          <w:b/>
          <w:bCs/>
          <w:sz w:val="20"/>
        </w:rPr>
        <w:t>Contempt p</w:t>
      </w:r>
      <w:r>
        <w:rPr>
          <w:rFonts w:ascii="Arial" w:hAnsi="Arial" w:cs="Arial"/>
          <w:b/>
          <w:bCs/>
          <w:sz w:val="20"/>
        </w:rPr>
        <w:t xml:space="preserve">owers </w:t>
      </w:r>
      <w:r w:rsidR="00E31386">
        <w:rPr>
          <w:rFonts w:ascii="Arial" w:hAnsi="Arial" w:cs="Arial"/>
          <w:b/>
          <w:bCs/>
          <w:sz w:val="20"/>
        </w:rPr>
        <w:t>conferr</w:t>
      </w:r>
      <w:r>
        <w:rPr>
          <w:rFonts w:ascii="Arial" w:hAnsi="Arial" w:cs="Arial"/>
          <w:b/>
          <w:bCs/>
          <w:sz w:val="20"/>
        </w:rPr>
        <w:t xml:space="preserve">ed by the </w:t>
      </w:r>
      <w:r w:rsidRPr="00004C01">
        <w:rPr>
          <w:rFonts w:ascii="Arial" w:hAnsi="Arial" w:cs="Arial"/>
          <w:b/>
          <w:bCs/>
          <w:i/>
          <w:iCs/>
          <w:sz w:val="20"/>
        </w:rPr>
        <w:t>Magistrates’ Court Act 1989</w:t>
      </w:r>
    </w:p>
    <w:p w14:paraId="1EAC0946" w14:textId="50968AB0" w:rsidR="00312136" w:rsidRDefault="00312136" w:rsidP="00312136">
      <w:pPr>
        <w:jc w:val="both"/>
        <w:rPr>
          <w:rFonts w:ascii="Arial" w:hAnsi="Arial" w:cs="Arial"/>
          <w:sz w:val="20"/>
        </w:rPr>
      </w:pPr>
      <w:r>
        <w:rPr>
          <w:rFonts w:ascii="Arial" w:hAnsi="Arial" w:cs="Arial"/>
          <w:sz w:val="20"/>
        </w:rPr>
        <w:t xml:space="preserve">Section 528(1) of the </w:t>
      </w:r>
      <w:r w:rsidR="000E5532" w:rsidRPr="000E5532">
        <w:rPr>
          <w:rFonts w:ascii="Arial" w:hAnsi="Arial" w:cs="Arial"/>
          <w:i/>
          <w:iCs/>
          <w:sz w:val="20"/>
        </w:rPr>
        <w:t>Children, Youth and Families Act 2005</w:t>
      </w:r>
      <w:r w:rsidR="000E5532">
        <w:rPr>
          <w:rFonts w:ascii="Arial" w:hAnsi="Arial" w:cs="Arial"/>
          <w:sz w:val="20"/>
        </w:rPr>
        <w:t xml:space="preserve"> [‘</w:t>
      </w:r>
      <w:r>
        <w:rPr>
          <w:rFonts w:ascii="Arial" w:hAnsi="Arial" w:cs="Arial"/>
          <w:sz w:val="20"/>
        </w:rPr>
        <w:t>CYFA</w:t>
      </w:r>
      <w:r w:rsidR="000E5532">
        <w:rPr>
          <w:rFonts w:ascii="Arial" w:hAnsi="Arial" w:cs="Arial"/>
          <w:sz w:val="20"/>
        </w:rPr>
        <w:t>’]</w:t>
      </w:r>
      <w:r>
        <w:rPr>
          <w:rFonts w:ascii="Arial" w:hAnsi="Arial" w:cs="Arial"/>
          <w:sz w:val="20"/>
        </w:rPr>
        <w:t xml:space="preserve">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174CDB">
        <w:rPr>
          <w:rFonts w:ascii="Arial" w:hAnsi="Arial" w:cs="Arial"/>
          <w:i/>
          <w:iCs/>
          <w:sz w:val="20"/>
        </w:rPr>
        <w:t>Magistrates' Court Act 1989</w:t>
      </w:r>
      <w:r>
        <w:rPr>
          <w:rFonts w:ascii="Arial" w:hAnsi="Arial" w:cs="Arial"/>
          <w:sz w:val="20"/>
        </w:rPr>
        <w:t xml:space="preserve"> (except s.58 &amp; Part 5 - Civil 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0A8199F3" w14:textId="30BABB04" w:rsidR="00AB5230" w:rsidRDefault="00081C0C" w:rsidP="008A004D">
      <w:pPr>
        <w:jc w:val="both"/>
        <w:rPr>
          <w:rFonts w:ascii="Arial" w:hAnsi="Arial" w:cs="Arial"/>
          <w:sz w:val="20"/>
        </w:rPr>
      </w:pPr>
      <w:r>
        <w:rPr>
          <w:rFonts w:ascii="Arial" w:hAnsi="Arial" w:cs="Arial"/>
          <w:sz w:val="20"/>
        </w:rPr>
        <w:t xml:space="preserve">Included in these powers are powers to deal with </w:t>
      </w:r>
      <w:r w:rsidR="00FE09C0">
        <w:rPr>
          <w:rFonts w:ascii="Arial" w:hAnsi="Arial" w:cs="Arial"/>
          <w:sz w:val="20"/>
        </w:rPr>
        <w:t>c</w:t>
      </w:r>
      <w:r>
        <w:rPr>
          <w:rFonts w:ascii="Arial" w:hAnsi="Arial" w:cs="Arial"/>
          <w:sz w:val="20"/>
        </w:rPr>
        <w:t xml:space="preserve">ontempt in face of the Court [s.133] and </w:t>
      </w:r>
      <w:r w:rsidR="00FE09C0">
        <w:rPr>
          <w:rFonts w:ascii="Arial" w:hAnsi="Arial" w:cs="Arial"/>
          <w:sz w:val="20"/>
        </w:rPr>
        <w:t>c</w:t>
      </w:r>
      <w:r>
        <w:rPr>
          <w:rFonts w:ascii="Arial" w:hAnsi="Arial" w:cs="Arial"/>
          <w:sz w:val="20"/>
        </w:rPr>
        <w:t xml:space="preserve">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w:t>
      </w:r>
    </w:p>
    <w:p w14:paraId="5AC06AE3" w14:textId="77777777" w:rsidR="00AB5230" w:rsidRDefault="00AB5230" w:rsidP="008A004D">
      <w:pPr>
        <w:jc w:val="both"/>
        <w:rPr>
          <w:rFonts w:ascii="Arial" w:hAnsi="Arial" w:cs="Arial"/>
          <w:sz w:val="20"/>
        </w:rPr>
      </w:pPr>
    </w:p>
    <w:p w14:paraId="2B372A76" w14:textId="1E8588BE" w:rsidR="005A369B" w:rsidRPr="008C6C91" w:rsidRDefault="00FE09C0" w:rsidP="005A369B">
      <w:pPr>
        <w:spacing w:after="87"/>
        <w:ind w:left="10"/>
        <w:jc w:val="both"/>
        <w:rPr>
          <w:rFonts w:ascii="Arial" w:hAnsi="Arial" w:cs="Arial"/>
          <w:sz w:val="20"/>
          <w:szCs w:val="20"/>
        </w:rPr>
      </w:pPr>
      <w:r w:rsidRPr="008C6C91">
        <w:rPr>
          <w:rFonts w:ascii="Arial" w:hAnsi="Arial" w:cs="Arial"/>
          <w:sz w:val="20"/>
          <w:szCs w:val="20"/>
        </w:rPr>
        <w:t xml:space="preserve">For further discussion of contempt powers </w:t>
      </w:r>
      <w:r w:rsidR="00AB5230" w:rsidRPr="008C6C91">
        <w:rPr>
          <w:rFonts w:ascii="Arial" w:hAnsi="Arial" w:cs="Arial"/>
          <w:sz w:val="20"/>
          <w:szCs w:val="20"/>
        </w:rPr>
        <w:t xml:space="preserve">generally, </w:t>
      </w:r>
      <w:r w:rsidRPr="008C6C91">
        <w:rPr>
          <w:rFonts w:ascii="Arial" w:hAnsi="Arial" w:cs="Arial"/>
          <w:sz w:val="20"/>
          <w:szCs w:val="20"/>
        </w:rPr>
        <w:t>s</w:t>
      </w:r>
      <w:r w:rsidR="00081C0C" w:rsidRPr="008C6C91">
        <w:rPr>
          <w:rFonts w:ascii="Arial" w:hAnsi="Arial" w:cs="Arial"/>
          <w:sz w:val="20"/>
          <w:szCs w:val="20"/>
        </w:rPr>
        <w:t xml:space="preserve">ee </w:t>
      </w:r>
      <w:r w:rsidR="00081C0C" w:rsidRPr="008C6C91">
        <w:rPr>
          <w:rFonts w:ascii="Arial" w:hAnsi="Arial" w:cs="Arial"/>
          <w:i/>
          <w:sz w:val="20"/>
          <w:szCs w:val="20"/>
        </w:rPr>
        <w:t>Moira Shire Council v Sidebottom Group Pty Ltd (No.3)</w:t>
      </w:r>
      <w:r w:rsidR="00081C0C" w:rsidRPr="008C6C91">
        <w:rPr>
          <w:rFonts w:ascii="Arial" w:hAnsi="Arial" w:cs="Arial"/>
          <w:sz w:val="20"/>
          <w:szCs w:val="20"/>
        </w:rPr>
        <w:t xml:space="preserve"> [2018] VSC 556</w:t>
      </w:r>
      <w:r w:rsidRPr="008C6C91">
        <w:rPr>
          <w:rFonts w:ascii="Arial" w:hAnsi="Arial" w:cs="Arial"/>
          <w:sz w:val="20"/>
          <w:szCs w:val="20"/>
        </w:rPr>
        <w:t xml:space="preserve">; </w:t>
      </w:r>
      <w:r w:rsidRPr="008C6C91">
        <w:rPr>
          <w:rFonts w:ascii="Arial" w:hAnsi="Arial" w:cs="Arial"/>
          <w:i/>
          <w:iCs/>
          <w:color w:val="000000"/>
          <w:sz w:val="20"/>
          <w:szCs w:val="20"/>
          <w:shd w:val="clear" w:color="auto" w:fill="FFFFFF"/>
        </w:rPr>
        <w:t>Re Albert (a barrister) and McLean (a solicitor)</w:t>
      </w:r>
      <w:r w:rsidRPr="008C6C91">
        <w:rPr>
          <w:rFonts w:ascii="Arial" w:hAnsi="Arial" w:cs="Arial"/>
          <w:sz w:val="20"/>
          <w:szCs w:val="20"/>
        </w:rPr>
        <w:t xml:space="preserve"> [2021] VSC 297</w:t>
      </w:r>
      <w:r w:rsidR="00AB5230" w:rsidRPr="008C6C91">
        <w:rPr>
          <w:rFonts w:ascii="Arial" w:hAnsi="Arial" w:cs="Arial"/>
          <w:sz w:val="20"/>
          <w:szCs w:val="20"/>
        </w:rPr>
        <w:t xml:space="preserve">; </w:t>
      </w:r>
      <w:r w:rsidR="00AB5230" w:rsidRPr="008C6C91">
        <w:rPr>
          <w:rFonts w:ascii="Arial" w:hAnsi="Arial" w:cs="Arial"/>
          <w:i/>
          <w:iCs/>
          <w:sz w:val="20"/>
          <w:szCs w:val="20"/>
        </w:rPr>
        <w:t>R v The Herald &amp; Weekly Times Pty Ltd</w:t>
      </w:r>
      <w:r w:rsidR="00AB5230" w:rsidRPr="008C6C91">
        <w:rPr>
          <w:rFonts w:ascii="Arial" w:hAnsi="Arial" w:cs="Arial"/>
          <w:sz w:val="20"/>
          <w:szCs w:val="20"/>
        </w:rPr>
        <w:t xml:space="preserve"> [2021] VSC 2</w:t>
      </w:r>
      <w:r w:rsidR="007A2B68" w:rsidRPr="008C6C91">
        <w:rPr>
          <w:rFonts w:ascii="Arial" w:hAnsi="Arial" w:cs="Arial"/>
          <w:sz w:val="20"/>
          <w:szCs w:val="20"/>
        </w:rPr>
        <w:t>5</w:t>
      </w:r>
      <w:r w:rsidR="00AB5230" w:rsidRPr="008C6C91">
        <w:rPr>
          <w:rFonts w:ascii="Arial" w:hAnsi="Arial" w:cs="Arial"/>
          <w:sz w:val="20"/>
          <w:szCs w:val="20"/>
        </w:rPr>
        <w:t xml:space="preserve">3; </w:t>
      </w:r>
      <w:r w:rsidR="00F159F4" w:rsidRPr="008C6C91">
        <w:rPr>
          <w:rFonts w:ascii="Arial" w:hAnsi="Arial" w:cs="Arial"/>
          <w:i/>
          <w:iCs/>
          <w:sz w:val="20"/>
          <w:szCs w:val="20"/>
        </w:rPr>
        <w:t>Khoury v Kirwan (No 4)</w:t>
      </w:r>
      <w:r w:rsidR="00F159F4" w:rsidRPr="008C6C91">
        <w:rPr>
          <w:rFonts w:ascii="Arial" w:hAnsi="Arial" w:cs="Arial"/>
          <w:sz w:val="20"/>
          <w:szCs w:val="20"/>
        </w:rPr>
        <w:t xml:space="preserve"> [2021] VSC 333</w:t>
      </w:r>
      <w:r w:rsidR="005A369B" w:rsidRPr="008C6C91">
        <w:rPr>
          <w:rFonts w:ascii="Arial" w:hAnsi="Arial" w:cs="Arial"/>
          <w:sz w:val="20"/>
          <w:szCs w:val="20"/>
        </w:rPr>
        <w:t xml:space="preserve">; </w:t>
      </w:r>
      <w:r w:rsidR="005A369B" w:rsidRPr="008C6C91">
        <w:rPr>
          <w:rFonts w:ascii="Arial" w:hAnsi="Arial" w:cs="Arial"/>
          <w:i/>
          <w:iCs/>
          <w:sz w:val="20"/>
          <w:szCs w:val="20"/>
        </w:rPr>
        <w:t xml:space="preserve">Victorian Legal Services Board v </w:t>
      </w:r>
      <w:proofErr w:type="spellStart"/>
      <w:r w:rsidR="005A369B" w:rsidRPr="008C6C91">
        <w:rPr>
          <w:rFonts w:ascii="Arial" w:hAnsi="Arial" w:cs="Arial"/>
          <w:i/>
          <w:iCs/>
          <w:sz w:val="20"/>
          <w:szCs w:val="20"/>
        </w:rPr>
        <w:t>Thexton</w:t>
      </w:r>
      <w:proofErr w:type="spellEnd"/>
      <w:r w:rsidR="005A369B" w:rsidRPr="008C6C91">
        <w:rPr>
          <w:rFonts w:ascii="Arial" w:hAnsi="Arial" w:cs="Arial"/>
          <w:i/>
          <w:iCs/>
          <w:sz w:val="20"/>
          <w:szCs w:val="20"/>
        </w:rPr>
        <w:t xml:space="preserve"> (penalty)</w:t>
      </w:r>
      <w:r w:rsidR="005A369B" w:rsidRPr="008C6C91">
        <w:rPr>
          <w:rFonts w:ascii="Arial" w:hAnsi="Arial" w:cs="Arial"/>
          <w:sz w:val="20"/>
          <w:szCs w:val="20"/>
        </w:rPr>
        <w:t xml:space="preserve"> [2021] VSC 391</w:t>
      </w:r>
      <w:r w:rsidR="008C6C91" w:rsidRPr="008C6C91">
        <w:rPr>
          <w:rFonts w:ascii="Arial" w:hAnsi="Arial" w:cs="Arial"/>
          <w:sz w:val="20"/>
          <w:szCs w:val="20"/>
        </w:rPr>
        <w:t xml:space="preserve">; </w:t>
      </w:r>
      <w:r w:rsidR="008C6C91" w:rsidRPr="008C6C91">
        <w:rPr>
          <w:rFonts w:ascii="Arial" w:hAnsi="Arial" w:cs="Arial"/>
          <w:i/>
          <w:iCs/>
          <w:sz w:val="20"/>
          <w:szCs w:val="20"/>
        </w:rPr>
        <w:t>Re Ramsay Health Care Australia Pty Ltd</w:t>
      </w:r>
      <w:r w:rsidR="008C6C91" w:rsidRPr="008C6C91">
        <w:rPr>
          <w:rFonts w:ascii="Arial" w:hAnsi="Arial" w:cs="Arial"/>
          <w:sz w:val="20"/>
          <w:szCs w:val="20"/>
        </w:rPr>
        <w:t xml:space="preserve"> [2022] VSC 226</w:t>
      </w:r>
      <w:r w:rsidR="005A369B" w:rsidRPr="008C6C91">
        <w:rPr>
          <w:rFonts w:ascii="Arial" w:hAnsi="Arial" w:cs="Arial"/>
          <w:sz w:val="20"/>
          <w:szCs w:val="20"/>
        </w:rPr>
        <w:t>.</w:t>
      </w:r>
    </w:p>
    <w:p w14:paraId="3DC56DC7" w14:textId="77777777" w:rsidR="005A00C5" w:rsidRDefault="005A00C5" w:rsidP="005A00C5">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10" w:name="_3.3.2_Powers_conferred_1"/>
      <w:bookmarkStart w:id="211" w:name="B332"/>
      <w:bookmarkEnd w:id="210"/>
      <w:bookmarkEnd w:id="211"/>
      <w:r>
        <w:rPr>
          <w:rFonts w:ascii="Arial" w:hAnsi="Arial" w:cs="Arial"/>
          <w:b/>
          <w:bCs/>
          <w:sz w:val="20"/>
        </w:rPr>
        <w:t>3.3.2</w:t>
      </w:r>
      <w:r>
        <w:rPr>
          <w:rFonts w:ascii="Arial" w:hAnsi="Arial" w:cs="Arial"/>
          <w:b/>
          <w:bCs/>
          <w:sz w:val="20"/>
        </w:rPr>
        <w:tab/>
        <w:t xml:space="preserve">Powers conferred by the </w:t>
      </w:r>
      <w:r w:rsidRPr="00004C01">
        <w:rPr>
          <w:rFonts w:ascii="Arial" w:hAnsi="Arial" w:cs="Arial"/>
          <w:b/>
          <w:bCs/>
          <w:i/>
          <w:iCs/>
          <w:sz w:val="20"/>
        </w:rPr>
        <w:t>Vexatious Proceedings Act 2014</w:t>
      </w:r>
    </w:p>
    <w:p w14:paraId="612916F5" w14:textId="468910B1"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174CDB">
        <w:rPr>
          <w:rFonts w:ascii="Arial" w:hAnsi="Arial" w:cs="Arial"/>
          <w:i/>
          <w:iCs/>
          <w:sz w:val="20"/>
          <w:szCs w:val="20"/>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[‘VPA’] </w:t>
      </w:r>
      <w:r w:rsidRPr="00963A3D">
        <w:rPr>
          <w:rFonts w:ascii="Arial" w:hAnsi="Arial" w:cs="Arial"/>
          <w:sz w:val="20"/>
          <w:szCs w:val="20"/>
        </w:rPr>
        <w:t>‘court’ is defined as-</w:t>
      </w:r>
    </w:p>
    <w:p w14:paraId="00629631" w14:textId="77777777" w:rsidR="009D494C" w:rsidRDefault="009D494C"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Crimes (Family Violence)</w:t>
      </w:r>
      <w:r w:rsidR="005665A7" w:rsidRPr="00174CDB">
        <w:rPr>
          <w:rFonts w:ascii="Arial" w:hAnsi="Arial" w:cs="Arial"/>
          <w:i/>
          <w:iCs/>
          <w:sz w:val="20"/>
          <w:szCs w:val="20"/>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Family Violence Protection Act 2008</w:t>
      </w:r>
      <w:r>
        <w:rPr>
          <w:rFonts w:ascii="Arial" w:hAnsi="Arial" w:cs="Arial"/>
          <w:sz w:val="20"/>
          <w:szCs w:val="20"/>
        </w:rPr>
        <w:t>;</w:t>
      </w:r>
    </w:p>
    <w:p w14:paraId="493350B2"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Personal Safety Intervention Orders Act 2010</w:t>
      </w:r>
      <w:r w:rsidRPr="00963A3D">
        <w:rPr>
          <w:rFonts w:ascii="Arial" w:hAnsi="Arial" w:cs="Arial"/>
          <w:sz w:val="20"/>
          <w:szCs w:val="20"/>
        </w:rPr>
        <w:t>; and</w:t>
      </w:r>
    </w:p>
    <w:p w14:paraId="50AB8FE9" w14:textId="77777777" w:rsidR="00963A3D" w:rsidRDefault="00963A3D" w:rsidP="00D772F0">
      <w:pPr>
        <w:numPr>
          <w:ilvl w:val="0"/>
          <w:numId w:val="53"/>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174CDB">
        <w:rPr>
          <w:rFonts w:ascii="Arial" w:hAnsi="Arial" w:cs="Arial"/>
          <w:i/>
          <w:iCs/>
          <w:sz w:val="20"/>
          <w:szCs w:val="20"/>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 xml:space="preserve">Because the jurisdiction of the Children’s Court under the VPA is so expressly and restrictively defined, the writer is of the view that the Children’s Court probably cannot rely on s.528(1) of the CYFA to ‘piggy-back’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t xml:space="preserve">Sections 19, 36, </w:t>
      </w:r>
      <w:r w:rsidR="005A00C5" w:rsidRPr="00963A3D">
        <w:rPr>
          <w:rFonts w:ascii="Arial" w:hAnsi="Arial" w:cs="Arial"/>
          <w:color w:val="000000"/>
          <w:sz w:val="20"/>
          <w:szCs w:val="20"/>
        </w:rPr>
        <w:lastRenderedPageBreak/>
        <w:t>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77777777" w:rsidR="005A00C5" w:rsidRPr="00963A3D" w:rsidRDefault="00963A3D" w:rsidP="00963A3D">
      <w:pPr>
        <w:jc w:val="both"/>
        <w:rPr>
          <w:rFonts w:ascii="Arial" w:hAnsi="Arial" w:cs="Arial"/>
          <w:color w:val="000000"/>
          <w:sz w:val="20"/>
        </w:rPr>
      </w:pPr>
      <w:r w:rsidRPr="00963A3D">
        <w:rPr>
          <w:rFonts w:ascii="Arial" w:hAnsi="Arial" w:cs="Arial"/>
          <w:color w:val="000000"/>
          <w:sz w:val="20"/>
        </w:rPr>
        <w:t>For details of these four types of orders, see section 6.15.</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12" w:name="_3.3.2_Powers_conferred"/>
      <w:bookmarkStart w:id="213" w:name="B333"/>
      <w:bookmarkEnd w:id="212"/>
      <w:bookmarkEnd w:id="213"/>
      <w:r>
        <w:rPr>
          <w:rFonts w:ascii="Arial" w:hAnsi="Arial" w:cs="Arial"/>
          <w:b/>
          <w:bCs/>
          <w:sz w:val="20"/>
        </w:rPr>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174CDB">
        <w:rPr>
          <w:rFonts w:ascii="Arial" w:hAnsi="Arial" w:cs="Arial"/>
          <w:i/>
          <w:iCs/>
          <w:sz w:val="20"/>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 xml:space="preserve">R v McGowan &amp; Another; ex </w:t>
      </w:r>
      <w:proofErr w:type="spellStart"/>
      <w:r>
        <w:rPr>
          <w:rFonts w:ascii="Arial" w:hAnsi="Arial" w:cs="Arial"/>
          <w:i/>
          <w:iCs/>
          <w:sz w:val="20"/>
        </w:rPr>
        <w:t>parte</w:t>
      </w:r>
      <w:proofErr w:type="spellEnd"/>
      <w:r>
        <w:rPr>
          <w:rFonts w:ascii="Arial" w:hAnsi="Arial" w:cs="Arial"/>
          <w:i/>
          <w:iCs/>
          <w:sz w:val="20"/>
        </w:rPr>
        <w:t xml:space="preserve"> </w:t>
      </w:r>
      <w:proofErr w:type="spellStart"/>
      <w:r>
        <w:rPr>
          <w:rFonts w:ascii="Arial" w:hAnsi="Arial" w:cs="Arial"/>
          <w:i/>
          <w:iCs/>
          <w:sz w:val="20"/>
        </w:rPr>
        <w:t>Macko</w:t>
      </w:r>
      <w:proofErr w:type="spellEnd"/>
      <w:r>
        <w:rPr>
          <w:rFonts w:ascii="Arial" w:hAnsi="Arial" w:cs="Arial"/>
          <w:i/>
          <w:iCs/>
          <w:sz w:val="20"/>
        </w:rPr>
        <w:t xml:space="preserve">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CF0C70">
      <w:pPr>
        <w:keepNext/>
        <w:keepLines/>
        <w:spacing w:before="60"/>
        <w:ind w:left="567" w:right="567"/>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77B0148C" w14:textId="77777777" w:rsidR="002D7CD8" w:rsidRDefault="002D7CD8" w:rsidP="002D7CD8">
      <w:pPr>
        <w:spacing w:before="60"/>
        <w:ind w:left="567" w:right="567"/>
        <w:jc w:val="both"/>
        <w:rPr>
          <w:rFonts w:ascii="Arial" w:hAnsi="Arial" w:cs="Arial"/>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i/>
          <w:iCs/>
          <w:sz w:val="20"/>
        </w:rPr>
        <w:t xml:space="preserve">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D15730">
      <w:pPr>
        <w:spacing w:before="80"/>
        <w:ind w:left="567" w:right="567"/>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State">
        <w:smartTag w:uri="urn:schemas-microsoft-com:office:smarttags" w:element="place">
          <w:r>
            <w:rPr>
              <w:rFonts w:ascii="Arial" w:hAnsi="Arial" w:cs="Arial"/>
              <w:sz w:val="20"/>
            </w:rPr>
            <w:t>New South Wales</w:t>
          </w:r>
        </w:smartTag>
      </w:smartTag>
      <w:r>
        <w:rPr>
          <w:rFonts w:ascii="Arial" w:hAnsi="Arial" w:cs="Arial"/>
          <w:sz w:val="20"/>
        </w:rPr>
        <w:t xml:space="preserve"> in </w:t>
      </w:r>
      <w:proofErr w:type="spellStart"/>
      <w:r>
        <w:rPr>
          <w:rFonts w:ascii="Arial" w:hAnsi="Arial" w:cs="Arial"/>
          <w:i/>
          <w:sz w:val="20"/>
        </w:rPr>
        <w:t>Cucu</w:t>
      </w:r>
      <w:proofErr w:type="spellEnd"/>
      <w:r>
        <w:rPr>
          <w:rFonts w:ascii="Arial" w:hAnsi="Arial" w:cs="Arial"/>
          <w:i/>
          <w:sz w:val="20"/>
        </w:rPr>
        <w:t xml:space="preserve"> v. District Court of New South Wales</w:t>
      </w:r>
      <w:r>
        <w:rPr>
          <w:rFonts w:ascii="Arial" w:hAnsi="Arial" w:cs="Arial"/>
          <w:sz w:val="20"/>
        </w:rPr>
        <w:t xml:space="preserve"> (1994) 73 A Crim R 240.  At p.246, Kirby, P., as he then was, said:</w:t>
      </w:r>
    </w:p>
    <w:p w14:paraId="76E1F0E8"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elaboration:  see,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i/>
          <w:sz w:val="20"/>
        </w:rPr>
        <w:lastRenderedPageBreak/>
        <w:t>Sali</w:t>
      </w:r>
      <w:proofErr w:type="spellEnd"/>
      <w:r>
        <w:rPr>
          <w:rFonts w:ascii="Arial" w:hAnsi="Arial" w:cs="Arial"/>
          <w:i/>
          <w:sz w:val="20"/>
        </w:rPr>
        <w:t xml:space="preserve"> v SPC Ltd</w:t>
      </w:r>
      <w:r>
        <w:rPr>
          <w:rFonts w:ascii="Arial" w:hAnsi="Arial" w:cs="Arial"/>
          <w:sz w:val="20"/>
        </w:rPr>
        <w:t xml:space="preserve"> (1993) 67 ALJR 841 at 848-849; </w:t>
      </w:r>
      <w:r>
        <w:rPr>
          <w:rFonts w:ascii="Arial" w:hAnsi="Arial" w:cs="Arial"/>
          <w:i/>
          <w:sz w:val="20"/>
        </w:rPr>
        <w:t xml:space="preserve">Sydney City Council v </w:t>
      </w:r>
      <w:proofErr w:type="spellStart"/>
      <w:r>
        <w:rPr>
          <w:rFonts w:ascii="Arial" w:hAnsi="Arial" w:cs="Arial"/>
          <w:i/>
          <w:sz w:val="20"/>
        </w:rPr>
        <w:t>Ke-Su</w:t>
      </w:r>
      <w:proofErr w:type="spellEnd"/>
      <w:r>
        <w:rPr>
          <w:rFonts w:ascii="Arial" w:hAnsi="Arial" w:cs="Arial"/>
          <w:i/>
          <w:sz w:val="20"/>
        </w:rPr>
        <w:t xml:space="preserve"> Investments Pty Ltd</w:t>
      </w:r>
      <w:r>
        <w:rPr>
          <w:rFonts w:ascii="Arial" w:hAnsi="Arial" w:cs="Arial"/>
          <w:sz w:val="20"/>
        </w:rPr>
        <w:t xml:space="preserve"> (1985) 1 NSWLR 246 at 250; </w:t>
      </w:r>
      <w:proofErr w:type="spellStart"/>
      <w:r>
        <w:rPr>
          <w:rFonts w:ascii="Arial" w:hAnsi="Arial" w:cs="Arial"/>
          <w:i/>
          <w:sz w:val="20"/>
        </w:rPr>
        <w:t>Adamopoulos</w:t>
      </w:r>
      <w:proofErr w:type="spellEnd"/>
      <w:r>
        <w:rPr>
          <w:rFonts w:ascii="Arial" w:hAnsi="Arial" w:cs="Arial"/>
          <w:sz w:val="20"/>
        </w:rPr>
        <w:t xml:space="preserve"> (at 77); </w:t>
      </w:r>
      <w:r>
        <w:rPr>
          <w:rFonts w:ascii="Arial" w:hAnsi="Arial" w:cs="Arial"/>
          <w:i/>
          <w:sz w:val="20"/>
        </w:rPr>
        <w:t>GSA Industries Pty Ltd v NT Gas Ltd</w:t>
      </w:r>
      <w:r>
        <w:rPr>
          <w:rFonts w:ascii="Arial" w:hAnsi="Arial" w:cs="Arial"/>
          <w:sz w:val="20"/>
        </w:rPr>
        <w:t xml:space="preserve"> (1990) 24 NSWLR 710 at 712.</w:t>
      </w:r>
    </w:p>
    <w:p w14:paraId="54E3F994" w14:textId="77777777" w:rsidR="00D15730" w:rsidRDefault="00D15730" w:rsidP="00943038">
      <w:pPr>
        <w:spacing w:before="80"/>
        <w:ind w:left="851" w:right="851"/>
        <w:jc w:val="both"/>
        <w:rPr>
          <w:rFonts w:ascii="Arial" w:hAnsi="Arial" w:cs="Arial"/>
          <w:sz w:val="20"/>
        </w:rPr>
      </w:pPr>
      <w:r>
        <w:rPr>
          <w:rFonts w:ascii="Arial" w:hAnsi="Arial" w:cs="Arial"/>
          <w:sz w:val="20"/>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D15730">
      <w:pPr>
        <w:spacing w:before="80"/>
        <w:ind w:left="567" w:right="567"/>
        <w:jc w:val="both"/>
        <w:rPr>
          <w:rFonts w:ascii="Arial" w:hAnsi="Arial" w:cs="Arial"/>
          <w:sz w:val="20"/>
        </w:rPr>
      </w:pPr>
      <w:r>
        <w:rPr>
          <w:rFonts w:ascii="Arial" w:hAnsi="Arial" w:cs="Arial"/>
          <w:sz w:val="20"/>
        </w:rPr>
        <w:t>However, His Honour then held that the Judge of the District Court who refused the adjournment in that case had erred and held that there should be a re-hearing.</w:t>
      </w:r>
    </w:p>
    <w:p w14:paraId="678A0EAB" w14:textId="77777777" w:rsidR="00D15730" w:rsidRDefault="00D15730" w:rsidP="00D15730">
      <w:pPr>
        <w:spacing w:before="80"/>
        <w:ind w:left="567" w:right="567"/>
        <w:jc w:val="both"/>
        <w:rPr>
          <w:rFonts w:ascii="Arial" w:hAnsi="Arial" w:cs="Arial"/>
          <w:sz w:val="20"/>
        </w:rPr>
      </w:pPr>
      <w:r>
        <w:rPr>
          <w:rFonts w:ascii="Arial" w:hAnsi="Arial" w:cs="Arial"/>
          <w:sz w:val="20"/>
        </w:rPr>
        <w:t>[17] At p.249 Meagher JA said:</w:t>
      </w:r>
    </w:p>
    <w:p w14:paraId="366199B4" w14:textId="77777777" w:rsidR="00D15730" w:rsidRDefault="00D15730" w:rsidP="00D15730">
      <w:pPr>
        <w:spacing w:before="80"/>
        <w:ind w:left="851" w:right="851"/>
        <w:jc w:val="both"/>
        <w:rPr>
          <w:rFonts w:ascii="Arial" w:hAnsi="Arial" w:cs="Arial"/>
          <w:sz w:val="20"/>
        </w:rPr>
      </w:pPr>
      <w:r>
        <w:rPr>
          <w:rFonts w:ascii="Arial" w:hAnsi="Arial" w:cs="Arial"/>
          <w:sz w:val="20"/>
        </w:rPr>
        <w:t>'I have read Kirby P's judgment in draft, and reluctantly agree with it.  I say 'reluctantly', because in my view a trial judge's decision to grant or refuse an adjournment ought be almost inviolable.'</w:t>
      </w:r>
    </w:p>
    <w:p w14:paraId="5952513A"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7777777" w:rsidR="006B6A68" w:rsidRDefault="006B6A68" w:rsidP="00D15730">
      <w:pPr>
        <w:rPr>
          <w:rFonts w:ascii="Arial" w:hAnsi="Arial" w:cs="Arial"/>
          <w:sz w:val="20"/>
        </w:rPr>
      </w:pPr>
    </w:p>
    <w:p w14:paraId="7B0FF5C3" w14:textId="77777777"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 xml:space="preserve">AON </w:t>
      </w:r>
      <w:r w:rsidR="00142190" w:rsidRPr="00142190">
        <w:rPr>
          <w:rFonts w:ascii="Arial" w:hAnsi="Arial" w:cs="Arial"/>
          <w:i/>
          <w:sz w:val="20"/>
        </w:rPr>
        <w:t xml:space="preserve">Risk Services Australia Limited v </w:t>
      </w:r>
      <w:smartTag w:uri="urn:schemas-microsoft-com:office:smarttags" w:element="place">
        <w:smartTag w:uri="urn:schemas-microsoft-com:office:smarttags" w:element="PlaceName">
          <w:r w:rsidR="00142190" w:rsidRPr="00142190">
            <w:rPr>
              <w:rFonts w:ascii="Arial" w:hAnsi="Arial" w:cs="Arial"/>
              <w:i/>
              <w:sz w:val="20"/>
            </w:rPr>
            <w:t>Australian</w:t>
          </w:r>
        </w:smartTag>
        <w:r w:rsidR="00142190" w:rsidRPr="00142190">
          <w:rPr>
            <w:rFonts w:ascii="Arial" w:hAnsi="Arial" w:cs="Arial"/>
            <w:i/>
            <w:sz w:val="20"/>
          </w:rPr>
          <w:t xml:space="preserve"> </w:t>
        </w:r>
        <w:smartTag w:uri="urn:schemas-microsoft-com:office:smarttags" w:element="PlaceName">
          <w:r w:rsidR="00142190" w:rsidRPr="00142190">
            <w:rPr>
              <w:rFonts w:ascii="Arial" w:hAnsi="Arial" w:cs="Arial"/>
              <w:i/>
              <w:sz w:val="20"/>
            </w:rPr>
            <w:t>National</w:t>
          </w:r>
        </w:smartTag>
        <w:r w:rsidR="00142190" w:rsidRPr="00142190">
          <w:rPr>
            <w:rFonts w:ascii="Arial" w:hAnsi="Arial" w:cs="Arial"/>
            <w:i/>
            <w:sz w:val="20"/>
          </w:rPr>
          <w:t xml:space="preserve"> </w:t>
        </w:r>
        <w:smartTag w:uri="urn:schemas-microsoft-com:office:smarttags" w:element="PlaceType">
          <w:r w:rsidR="00142190" w:rsidRPr="00142190">
            <w:rPr>
              <w:rFonts w:ascii="Arial" w:hAnsi="Arial" w:cs="Arial"/>
              <w:i/>
              <w:sz w:val="20"/>
            </w:rPr>
            <w:t>University</w:t>
          </w:r>
        </w:smartTag>
      </w:smartTag>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D772F0">
      <w:pPr>
        <w:numPr>
          <w:ilvl w:val="0"/>
          <w:numId w:val="21"/>
        </w:numPr>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D772F0">
      <w:pPr>
        <w:numPr>
          <w:ilvl w:val="0"/>
          <w:numId w:val="21"/>
        </w:numPr>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proofErr w:type="spellStart"/>
      <w:r w:rsidR="00A03BFF">
        <w:rPr>
          <w:rFonts w:ascii="Arial" w:hAnsi="Arial" w:cs="Arial"/>
          <w:sz w:val="20"/>
        </w:rPr>
        <w:t>Gummow</w:t>
      </w:r>
      <w:proofErr w:type="spellEnd"/>
      <w:r w:rsidR="00A03BFF">
        <w:rPr>
          <w:rFonts w:ascii="Arial" w:hAnsi="Arial" w:cs="Arial"/>
          <w:sz w:val="20"/>
        </w:rPr>
        <w:t xml:space="preserve">, Hayne, </w:t>
      </w:r>
      <w:proofErr w:type="spellStart"/>
      <w:r w:rsidR="00A03BFF">
        <w:rPr>
          <w:rFonts w:ascii="Arial" w:hAnsi="Arial" w:cs="Arial"/>
          <w:sz w:val="20"/>
        </w:rPr>
        <w:t>Crennan</w:t>
      </w:r>
      <w:proofErr w:type="spellEnd"/>
      <w:r w:rsidR="00A03BFF">
        <w:rPr>
          <w:rFonts w:ascii="Arial" w:hAnsi="Arial" w:cs="Arial"/>
          <w:sz w:val="20"/>
        </w:rPr>
        <w:t xml:space="preserve">, </w:t>
      </w:r>
      <w:proofErr w:type="spellStart"/>
      <w:r w:rsidR="00A03BFF">
        <w:rPr>
          <w:rFonts w:ascii="Arial" w:hAnsi="Arial" w:cs="Arial"/>
          <w:sz w:val="20"/>
        </w:rPr>
        <w:t>Kiefel</w:t>
      </w:r>
      <w:proofErr w:type="spellEnd"/>
      <w:r w:rsidR="00A03BFF">
        <w:rPr>
          <w:rFonts w:ascii="Arial" w:hAnsi="Arial" w:cs="Arial"/>
          <w:sz w:val="20"/>
        </w:rPr>
        <w:t xml:space="preserve">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A03BFF">
      <w:pPr>
        <w:spacing w:before="60"/>
        <w:ind w:left="567" w:right="567"/>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A03BFF">
      <w:pPr>
        <w:spacing w:before="60"/>
        <w:ind w:left="567" w:right="567"/>
        <w:jc w:val="both"/>
        <w:rPr>
          <w:rFonts w:ascii="Arial" w:hAnsi="Arial" w:cs="Arial"/>
          <w:bCs/>
          <w:sz w:val="20"/>
        </w:rPr>
      </w:pPr>
      <w:r>
        <w:rPr>
          <w:rFonts w:ascii="Arial" w:hAnsi="Arial" w:cs="Arial"/>
          <w:bCs/>
          <w:sz w:val="20"/>
        </w:rPr>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77777777" w:rsidR="0007304C" w:rsidRDefault="0007304C" w:rsidP="00D15730">
      <w:pPr>
        <w:rPr>
          <w:rFonts w:ascii="Arial" w:hAnsi="Arial" w:cs="Arial"/>
          <w:sz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14" w:name="_3.3.3_Implied_powers"/>
      <w:bookmarkStart w:id="215" w:name="B334"/>
      <w:bookmarkEnd w:id="214"/>
      <w:bookmarkEnd w:id="215"/>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proofErr w:type="spellStart"/>
      <w:r w:rsidRPr="00B87617">
        <w:rPr>
          <w:rFonts w:ascii="Arial" w:hAnsi="Arial" w:cs="Arial"/>
          <w:i/>
          <w:sz w:val="20"/>
        </w:rPr>
        <w:t>Grassby</w:t>
      </w:r>
      <w:proofErr w:type="spellEnd"/>
      <w:r w:rsidRPr="00B87617">
        <w:rPr>
          <w:rFonts w:ascii="Arial" w:hAnsi="Arial" w:cs="Arial"/>
          <w:i/>
          <w:sz w:val="20"/>
        </w:rPr>
        <w:t xml:space="preserve">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w:t>
      </w:r>
      <w:proofErr w:type="spellStart"/>
      <w:r w:rsidR="005D6EA1">
        <w:rPr>
          <w:rFonts w:ascii="Arial" w:hAnsi="Arial" w:cs="Arial"/>
          <w:sz w:val="20"/>
        </w:rPr>
        <w:t>otwithstanding</w:t>
      </w:r>
      <w:proofErr w:type="spellEnd"/>
      <w:r w:rsidR="005D6EA1">
        <w:rPr>
          <w:rFonts w:ascii="Arial" w:hAnsi="Arial" w:cs="Arial"/>
          <w:sz w:val="20"/>
        </w:rPr>
        <w:t xml:space="preserve">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16" w:name="B3341"/>
    <w:bookmarkStart w:id="217" w:name="_3.3.4.1_Power_to"/>
    <w:bookmarkEnd w:id="216"/>
    <w:bookmarkEnd w:id="217"/>
    <w:p w14:paraId="4F9218A2" w14:textId="77777777" w:rsidR="004618DC" w:rsidRPr="00004C01" w:rsidRDefault="00C624E6" w:rsidP="004618DC">
      <w:pPr>
        <w:pStyle w:val="Heading3"/>
        <w:keepNext/>
        <w:spacing w:after="120" w:line="240" w:lineRule="auto"/>
        <w:rPr>
          <w:rFonts w:ascii="Arial" w:hAnsi="Arial" w:cs="Arial"/>
          <w:b/>
          <w:bCs/>
          <w:color w:val="000000"/>
          <w:sz w:val="20"/>
        </w:rPr>
      </w:pPr>
      <w:r w:rsidRPr="00004C01">
        <w:rPr>
          <w:rFonts w:ascii="Arial" w:hAnsi="Arial" w:cs="Arial"/>
          <w:b/>
          <w:bCs/>
          <w:color w:val="000000"/>
          <w:sz w:val="20"/>
        </w:rPr>
        <w:fldChar w:fldCharType="begin"/>
      </w:r>
      <w:r w:rsidRPr="00004C01">
        <w:rPr>
          <w:rFonts w:ascii="Arial" w:hAnsi="Arial" w:cs="Arial"/>
          <w:b/>
          <w:bCs/>
          <w:color w:val="000000"/>
          <w:sz w:val="20"/>
        </w:rPr>
        <w:instrText xml:space="preserve"> HYPERLINK  \l "_3.3.4.1_Power_to" </w:instrText>
      </w:r>
      <w:r w:rsidRPr="00004C01">
        <w:rPr>
          <w:rFonts w:ascii="Arial" w:hAnsi="Arial" w:cs="Arial"/>
          <w:b/>
          <w:bCs/>
          <w:color w:val="000000"/>
          <w:sz w:val="20"/>
        </w:rPr>
        <w:fldChar w:fldCharType="separate"/>
      </w:r>
      <w:r w:rsidR="006C4114" w:rsidRPr="00004C01">
        <w:rPr>
          <w:rStyle w:val="Hyperlink"/>
          <w:rFonts w:ascii="Arial" w:hAnsi="Arial" w:cs="Arial"/>
          <w:b/>
          <w:bCs/>
          <w:color w:val="000000"/>
          <w:sz w:val="20"/>
          <w:u w:val="none"/>
        </w:rPr>
        <w:t>3.3.</w:t>
      </w:r>
      <w:r w:rsidR="005619F6" w:rsidRPr="00004C01">
        <w:rPr>
          <w:rStyle w:val="Hyperlink"/>
          <w:rFonts w:ascii="Arial" w:hAnsi="Arial" w:cs="Arial"/>
          <w:b/>
          <w:bCs/>
          <w:color w:val="000000"/>
          <w:sz w:val="20"/>
          <w:u w:val="none"/>
        </w:rPr>
        <w:t>4</w:t>
      </w:r>
      <w:r w:rsidR="006C4114" w:rsidRPr="00004C01">
        <w:rPr>
          <w:rStyle w:val="Hyperlink"/>
          <w:rFonts w:ascii="Arial" w:hAnsi="Arial" w:cs="Arial"/>
          <w:b/>
          <w:bCs/>
          <w:color w:val="000000"/>
          <w:sz w:val="20"/>
          <w:u w:val="none"/>
        </w:rPr>
        <w:t>.1</w:t>
      </w:r>
      <w:r w:rsidR="006C4114" w:rsidRPr="00004C01">
        <w:rPr>
          <w:rStyle w:val="Hyperlink"/>
          <w:rFonts w:ascii="Arial" w:hAnsi="Arial" w:cs="Arial"/>
          <w:b/>
          <w:bCs/>
          <w:color w:val="000000"/>
          <w:sz w:val="20"/>
          <w:u w:val="none"/>
        </w:rPr>
        <w:tab/>
        <w:t>Power to prevent an abuse of the Court’s own judicial process</w:t>
      </w:r>
      <w:r w:rsidRPr="00004C01">
        <w:rPr>
          <w:rFonts w:ascii="Arial" w:hAnsi="Arial" w:cs="Arial"/>
          <w:b/>
          <w:bCs/>
          <w:color w:val="000000"/>
          <w:sz w:val="20"/>
        </w:rPr>
        <w:fldChar w:fldCharType="end"/>
      </w:r>
    </w:p>
    <w:p w14:paraId="32C7CBE1" w14:textId="7EBDA9EA" w:rsidR="00C80B82" w:rsidRPr="006F0EF3" w:rsidRDefault="005D6EA1" w:rsidP="002A6040">
      <w:pPr>
        <w:jc w:val="both"/>
        <w:rPr>
          <w:rFonts w:ascii="Arial" w:hAnsi="Arial" w:cs="Arial"/>
          <w:sz w:val="20"/>
          <w:szCs w:val="20"/>
        </w:rPr>
      </w:pPr>
      <w:r>
        <w:rPr>
          <w:rFonts w:ascii="Arial" w:hAnsi="Arial" w:cs="Arial"/>
          <w:sz w:val="20"/>
        </w:rPr>
        <w:t xml:space="preserve">This includes power to prevent an abuse of the Court’s own judicial process, as to which see the </w:t>
      </w:r>
      <w:r w:rsidR="00C17780">
        <w:rPr>
          <w:rFonts w:ascii="Arial" w:hAnsi="Arial" w:cs="Arial"/>
          <w:sz w:val="20"/>
        </w:rPr>
        <w:t xml:space="preserve">judgment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at [18]-[24] and the cases cited therein.  </w:t>
      </w:r>
      <w:r w:rsidR="00D73175">
        <w:rPr>
          <w:rFonts w:ascii="Arial" w:hAnsi="Arial" w:cs="Arial"/>
          <w:sz w:val="20"/>
        </w:rPr>
        <w:t xml:space="preserve">See also </w:t>
      </w:r>
      <w:proofErr w:type="spellStart"/>
      <w:r w:rsidR="00C17780" w:rsidRPr="00435CC5">
        <w:rPr>
          <w:rFonts w:ascii="Arial" w:hAnsi="Arial" w:cs="Arial"/>
          <w:i/>
          <w:sz w:val="20"/>
          <w:szCs w:val="22"/>
        </w:rPr>
        <w:t>Mokbel</w:t>
      </w:r>
      <w:proofErr w:type="spellEnd"/>
      <w:r w:rsidR="00C17780" w:rsidRPr="00435CC5">
        <w:rPr>
          <w:rFonts w:ascii="Arial" w:hAnsi="Arial" w:cs="Arial"/>
          <w:i/>
          <w:sz w:val="20"/>
          <w:szCs w:val="22"/>
        </w:rPr>
        <w:t xml:space="preserve"> v DPP (Vic) &amp; </w:t>
      </w:r>
      <w:proofErr w:type="spellStart"/>
      <w:r w:rsidR="00C17780" w:rsidRPr="00435CC5">
        <w:rPr>
          <w:rFonts w:ascii="Arial" w:hAnsi="Arial" w:cs="Arial"/>
          <w:i/>
          <w:sz w:val="20"/>
          <w:szCs w:val="22"/>
        </w:rPr>
        <w:t>Ors</w:t>
      </w:r>
      <w:proofErr w:type="spellEnd"/>
      <w:r w:rsidR="00C17780">
        <w:rPr>
          <w:rFonts w:ascii="Arial" w:hAnsi="Arial" w:cs="Arial"/>
          <w:sz w:val="20"/>
        </w:rPr>
        <w:t xml:space="preserve"> [2008] VSC 433 per Kaye J at [24]-[39]; </w:t>
      </w:r>
      <w:r w:rsidR="00D73175" w:rsidRPr="00D73175">
        <w:rPr>
          <w:rFonts w:ascii="Arial" w:hAnsi="Arial" w:cs="Arial"/>
          <w:i/>
          <w:iCs/>
          <w:sz w:val="20"/>
        </w:rPr>
        <w:t>Neville Donohue v The Queen (No.3)</w:t>
      </w:r>
      <w:r w:rsidR="00D73175">
        <w:rPr>
          <w:rFonts w:ascii="Arial" w:hAnsi="Arial" w:cs="Arial"/>
          <w:sz w:val="20"/>
        </w:rPr>
        <w:t xml:space="preserve"> [2020] VSCA 302.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proofErr w:type="spellStart"/>
      <w:r w:rsidR="00E345FD" w:rsidRPr="00E345FD">
        <w:rPr>
          <w:rFonts w:ascii="Arial" w:hAnsi="Arial" w:cs="Arial"/>
          <w:i/>
          <w:sz w:val="20"/>
        </w:rPr>
        <w:t>Hadju</w:t>
      </w:r>
      <w:proofErr w:type="spellEnd"/>
      <w:r w:rsidR="00E345FD" w:rsidRPr="00E345FD">
        <w:rPr>
          <w:rFonts w:ascii="Arial" w:hAnsi="Arial" w:cs="Arial"/>
          <w:i/>
          <w:sz w:val="20"/>
        </w:rPr>
        <w:t xml:space="preserve"> v Breguet</w:t>
      </w:r>
      <w:r w:rsidR="00E345FD">
        <w:rPr>
          <w:rFonts w:ascii="Arial" w:hAnsi="Arial" w:cs="Arial"/>
          <w:sz w:val="20"/>
        </w:rPr>
        <w:t xml:space="preserve"> [2008] VSC 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proofErr w:type="spellStart"/>
      <w:r w:rsidR="00E345FD" w:rsidRPr="002A6040">
        <w:rPr>
          <w:rFonts w:ascii="Arial" w:hAnsi="Arial" w:cs="Arial"/>
          <w:i/>
          <w:sz w:val="20"/>
          <w:szCs w:val="20"/>
        </w:rPr>
        <w:t>Jago</w:t>
      </w:r>
      <w:proofErr w:type="spellEnd"/>
      <w:r w:rsidR="00E345FD" w:rsidRPr="002A6040">
        <w:rPr>
          <w:rFonts w:ascii="Arial" w:hAnsi="Arial" w:cs="Arial"/>
          <w:i/>
          <w:sz w:val="20"/>
          <w:szCs w:val="20"/>
        </w:rPr>
        <w:t xml:space="preserve">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6F0EF3" w:rsidRPr="006F0EF3">
        <w:rPr>
          <w:rFonts w:ascii="Arial" w:hAnsi="Arial" w:cs="Arial"/>
          <w:i/>
          <w:iCs/>
          <w:sz w:val="20"/>
          <w:szCs w:val="20"/>
        </w:rPr>
        <w:t>Connellan v Murphy</w:t>
      </w:r>
      <w:r w:rsidR="006F0EF3">
        <w:rPr>
          <w:rFonts w:ascii="Arial" w:hAnsi="Arial" w:cs="Arial"/>
          <w:sz w:val="20"/>
          <w:szCs w:val="20"/>
        </w:rPr>
        <w:t xml:space="preserve"> [2017] VSCA 116;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lastRenderedPageBreak/>
        <w:t>[114]-[115]</w:t>
      </w:r>
      <w:r w:rsidR="002D3459">
        <w:rPr>
          <w:rFonts w:ascii="Arial" w:hAnsi="Arial" w:cs="Arial"/>
          <w:sz w:val="20"/>
          <w:szCs w:val="20"/>
        </w:rPr>
        <w:t xml:space="preserve">; </w:t>
      </w:r>
      <w:r w:rsidR="002D3459" w:rsidRPr="002D3459">
        <w:rPr>
          <w:rFonts w:ascii="Arial" w:hAnsi="Arial" w:cs="Arial"/>
          <w:i/>
          <w:iCs/>
          <w:sz w:val="20"/>
          <w:szCs w:val="20"/>
        </w:rPr>
        <w:t xml:space="preserve">Harper </w:t>
      </w:r>
      <w:r w:rsidR="00532DB6">
        <w:rPr>
          <w:rFonts w:ascii="Arial" w:hAnsi="Arial" w:cs="Arial"/>
          <w:i/>
          <w:iCs/>
          <w:sz w:val="20"/>
          <w:szCs w:val="20"/>
        </w:rPr>
        <w:t xml:space="preserve">(a pseudonym) </w:t>
      </w:r>
      <w:r w:rsidR="002D3459" w:rsidRPr="002D3459">
        <w:rPr>
          <w:rFonts w:ascii="Arial" w:hAnsi="Arial" w:cs="Arial"/>
          <w:i/>
          <w:iCs/>
          <w:sz w:val="20"/>
          <w:szCs w:val="20"/>
        </w:rPr>
        <w:t>v DPP (</w:t>
      </w:r>
      <w:proofErr w:type="spellStart"/>
      <w:r w:rsidR="002D3459" w:rsidRPr="002D3459">
        <w:rPr>
          <w:rFonts w:ascii="Arial" w:hAnsi="Arial" w:cs="Arial"/>
          <w:i/>
          <w:iCs/>
          <w:sz w:val="20"/>
          <w:szCs w:val="20"/>
        </w:rPr>
        <w:t>Cth</w:t>
      </w:r>
      <w:proofErr w:type="spellEnd"/>
      <w:r w:rsidR="002D3459" w:rsidRPr="002D3459">
        <w:rPr>
          <w:rFonts w:ascii="Arial" w:hAnsi="Arial" w:cs="Arial"/>
          <w:i/>
          <w:iCs/>
          <w:sz w:val="20"/>
          <w:szCs w:val="20"/>
        </w:rPr>
        <w:t>)</w:t>
      </w:r>
      <w:r w:rsidR="002D3459">
        <w:rPr>
          <w:rFonts w:ascii="Arial" w:hAnsi="Arial" w:cs="Arial"/>
          <w:sz w:val="20"/>
          <w:szCs w:val="20"/>
        </w:rPr>
        <w:t xml:space="preserve"> [2021] VSCA 173</w:t>
      </w:r>
      <w:r w:rsidR="006F0EF3">
        <w:rPr>
          <w:rFonts w:ascii="Arial" w:hAnsi="Arial" w:cs="Arial"/>
          <w:sz w:val="20"/>
          <w:szCs w:val="20"/>
        </w:rPr>
        <w:t xml:space="preserve">; </w:t>
      </w:r>
      <w:r w:rsidR="006F0EF3" w:rsidRPr="006F0EF3">
        <w:rPr>
          <w:rFonts w:ascii="Arial" w:hAnsi="Arial" w:cs="Arial"/>
          <w:i/>
          <w:iCs/>
          <w:sz w:val="20"/>
          <w:szCs w:val="20"/>
        </w:rPr>
        <w:t>Grant v Bird</w:t>
      </w:r>
      <w:r w:rsidR="006F0EF3">
        <w:rPr>
          <w:rFonts w:ascii="Arial" w:hAnsi="Arial" w:cs="Arial"/>
          <w:sz w:val="20"/>
          <w:szCs w:val="20"/>
        </w:rPr>
        <w:t xml:space="preserve"> [2021] VSC 380 at [34]</w:t>
      </w:r>
      <w:r w:rsidR="006F0EF3">
        <w:rPr>
          <w:rFonts w:ascii="Arial" w:hAnsi="Arial" w:cs="Arial"/>
          <w:sz w:val="20"/>
          <w:szCs w:val="20"/>
        </w:rPr>
        <w:noBreakHyphen/>
        <w:t>[60]</w:t>
      </w:r>
      <w:r w:rsidR="004938F3">
        <w:rPr>
          <w:rFonts w:ascii="Arial" w:hAnsi="Arial" w:cs="Arial"/>
          <w:sz w:val="20"/>
          <w:szCs w:val="20"/>
        </w:rPr>
        <w:t>.</w:t>
      </w:r>
    </w:p>
    <w:p w14:paraId="35E54617" w14:textId="77777777" w:rsidR="00C17780" w:rsidRPr="00164487" w:rsidRDefault="00C17780" w:rsidP="002A6040">
      <w:pPr>
        <w:jc w:val="both"/>
        <w:rPr>
          <w:rFonts w:ascii="Arial" w:hAnsi="Arial" w:cs="Arial"/>
          <w:color w:val="000000"/>
          <w:sz w:val="20"/>
          <w:szCs w:val="20"/>
        </w:rPr>
      </w:pPr>
    </w:p>
    <w:p w14:paraId="37BEA18B" w14:textId="777777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w:t>
      </w:r>
      <w:smartTag w:uri="urn:schemas-microsoft-com:office:smarttags" w:element="place">
        <w:smartTag w:uri="urn:schemas-microsoft-com:office:smarttags" w:element="State">
          <w:r w:rsidRPr="00164487">
            <w:rPr>
              <w:rFonts w:ascii="Arial" w:hAnsi="Arial" w:cs="Arial"/>
              <w:color w:val="000000"/>
              <w:sz w:val="20"/>
              <w:szCs w:val="20"/>
            </w:rPr>
            <w:t>Victoria</w:t>
          </w:r>
        </w:smartTag>
      </w:smartTag>
      <w:r w:rsidRPr="00164487">
        <w:rPr>
          <w:rFonts w:ascii="Arial" w:hAnsi="Arial" w:cs="Arial"/>
          <w:color w:val="000000"/>
          <w:sz w:val="20"/>
          <w:szCs w:val="20"/>
        </w:rPr>
        <w:t xml:space="preserve">,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t>Subsequently the prosecution recommenced the proceedings against the accused.  In granting a permanent stay of the charges, Magistrate Levine:</w:t>
      </w:r>
    </w:p>
    <w:p w14:paraId="27482C63" w14:textId="77777777" w:rsidR="00E345FD" w:rsidRPr="00164487" w:rsidRDefault="000D6AB7"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w:t>
      </w:r>
      <w:proofErr w:type="spellStart"/>
      <w:r w:rsidRPr="00164487">
        <w:rPr>
          <w:rFonts w:ascii="Arial" w:hAnsi="Arial" w:cs="Arial"/>
          <w:color w:val="000000"/>
          <w:sz w:val="20"/>
          <w:szCs w:val="20"/>
        </w:rPr>
        <w:t>Qd</w:t>
      </w:r>
      <w:proofErr w:type="spellEnd"/>
      <w:r w:rsidRPr="00164487">
        <w:rPr>
          <w:rFonts w:ascii="Arial" w:hAnsi="Arial" w:cs="Arial"/>
          <w:color w:val="000000"/>
          <w:sz w:val="20"/>
          <w:szCs w:val="20"/>
        </w:rPr>
        <w:t xml:space="preserve"> R 572, </w:t>
      </w:r>
      <w:r w:rsidRPr="00164487">
        <w:rPr>
          <w:rFonts w:ascii="Arial" w:hAnsi="Arial" w:cs="Arial"/>
          <w:i/>
          <w:color w:val="000000"/>
          <w:sz w:val="20"/>
          <w:szCs w:val="20"/>
        </w:rPr>
        <w:t xml:space="preserve">R v Croydon Justices; Ex </w:t>
      </w:r>
      <w:proofErr w:type="spellStart"/>
      <w:r w:rsidRPr="00164487">
        <w:rPr>
          <w:rFonts w:ascii="Arial" w:hAnsi="Arial" w:cs="Arial"/>
          <w:i/>
          <w:color w:val="000000"/>
          <w:sz w:val="20"/>
          <w:szCs w:val="20"/>
        </w:rPr>
        <w:t>Parte</w:t>
      </w:r>
      <w:proofErr w:type="spellEnd"/>
      <w:r w:rsidRPr="00164487">
        <w:rPr>
          <w:rFonts w:ascii="Arial" w:hAnsi="Arial" w:cs="Arial"/>
          <w:i/>
          <w:color w:val="000000"/>
          <w:sz w:val="20"/>
          <w:szCs w:val="20"/>
        </w:rPr>
        <w:t xml:space="preserv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 xml:space="preserve">R v </w:t>
      </w:r>
      <w:proofErr w:type="spellStart"/>
      <w:r w:rsidR="000C7B68" w:rsidRPr="00164487">
        <w:rPr>
          <w:rFonts w:ascii="Arial" w:hAnsi="Arial" w:cs="Arial"/>
          <w:i/>
          <w:color w:val="000000"/>
          <w:sz w:val="20"/>
          <w:szCs w:val="20"/>
        </w:rPr>
        <w:t>Mohi</w:t>
      </w:r>
      <w:proofErr w:type="spellEnd"/>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Pr="00164487" w:rsidRDefault="00C80B82" w:rsidP="002F5EE0">
      <w:pPr>
        <w:jc w:val="both"/>
        <w:rPr>
          <w:rFonts w:ascii="Arial" w:hAnsi="Arial" w:cs="Arial"/>
          <w:color w:val="000000"/>
          <w:sz w:val="20"/>
        </w:rPr>
      </w:pPr>
      <w:bookmarkStart w:id="218" w:name="_Toc30651644"/>
      <w:bookmarkStart w:id="219" w:name="_Toc30652628"/>
      <w:bookmarkStart w:id="220" w:name="_Toc30652726"/>
      <w:bookmarkStart w:id="221" w:name="_Toc30654071"/>
      <w:bookmarkStart w:id="222" w:name="_Toc30654422"/>
      <w:bookmarkStart w:id="223" w:name="_Toc30655041"/>
      <w:bookmarkStart w:id="224" w:name="_Toc30655298"/>
      <w:bookmarkStart w:id="225" w:name="_Toc30656976"/>
      <w:bookmarkStart w:id="226" w:name="_Toc30661725"/>
      <w:bookmarkStart w:id="227" w:name="_Toc30666413"/>
      <w:bookmarkStart w:id="228" w:name="_Toc30666643"/>
      <w:bookmarkStart w:id="229" w:name="_Toc30667818"/>
      <w:bookmarkStart w:id="230" w:name="_Toc30669196"/>
      <w:bookmarkStart w:id="231" w:name="_Toc30671412"/>
      <w:bookmarkStart w:id="232" w:name="_Toc30673939"/>
      <w:bookmarkStart w:id="233" w:name="_Toc30691161"/>
      <w:bookmarkStart w:id="234" w:name="_Toc30691532"/>
      <w:bookmarkStart w:id="235" w:name="_Toc30691912"/>
      <w:bookmarkStart w:id="236" w:name="_Toc30692671"/>
      <w:bookmarkStart w:id="237" w:name="_Toc30693050"/>
      <w:bookmarkStart w:id="238" w:name="_Toc30693428"/>
      <w:bookmarkStart w:id="239" w:name="_Toc30693807"/>
      <w:bookmarkStart w:id="240" w:name="_Toc30694188"/>
      <w:bookmarkStart w:id="241" w:name="_Toc30698777"/>
      <w:bookmarkStart w:id="242" w:name="_Toc30699155"/>
      <w:bookmarkStart w:id="243" w:name="_Toc30699540"/>
      <w:bookmarkStart w:id="244" w:name="_Toc30700695"/>
      <w:bookmarkStart w:id="245" w:name="_Toc30701082"/>
      <w:bookmarkStart w:id="246" w:name="_Toc30743691"/>
      <w:bookmarkStart w:id="247" w:name="_Toc30754513"/>
      <w:bookmarkStart w:id="248" w:name="_Toc30756953"/>
      <w:bookmarkStart w:id="249" w:name="_Toc30757502"/>
      <w:bookmarkStart w:id="250" w:name="_Toc30757902"/>
      <w:bookmarkStart w:id="251" w:name="_Toc30762663"/>
      <w:bookmarkStart w:id="252" w:name="_Toc30767317"/>
      <w:bookmarkStart w:id="253" w:name="_Toc34823333"/>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proofErr w:type="spellStart"/>
      <w:r w:rsidRPr="00164487">
        <w:rPr>
          <w:rFonts w:ascii="Arial" w:hAnsi="Arial" w:cs="Arial"/>
          <w:i/>
          <w:color w:val="000000"/>
          <w:sz w:val="20"/>
        </w:rPr>
        <w:t>Prestia</w:t>
      </w:r>
      <w:proofErr w:type="spellEnd"/>
      <w:r w:rsidRPr="00164487">
        <w:rPr>
          <w:rFonts w:ascii="Arial" w:hAnsi="Arial" w:cs="Arial"/>
          <w:i/>
          <w:color w:val="000000"/>
          <w:sz w:val="20"/>
        </w:rPr>
        <w:t xml:space="preserve"> v </w:t>
      </w:r>
      <w:proofErr w:type="spellStart"/>
      <w:r w:rsidRPr="00164487">
        <w:rPr>
          <w:rFonts w:ascii="Arial" w:hAnsi="Arial" w:cs="Arial"/>
          <w:i/>
          <w:color w:val="000000"/>
          <w:sz w:val="20"/>
        </w:rPr>
        <w:t>Machok</w:t>
      </w:r>
      <w:proofErr w:type="spellEnd"/>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D772F0">
      <w:pPr>
        <w:numPr>
          <w:ilvl w:val="0"/>
          <w:numId w:val="31"/>
        </w:numPr>
        <w:ind w:left="284" w:hanging="284"/>
        <w:jc w:val="both"/>
        <w:rPr>
          <w:rFonts w:ascii="Arial" w:hAnsi="Arial" w:cs="Arial"/>
          <w:color w:val="000000"/>
          <w:sz w:val="16"/>
          <w:szCs w:val="20"/>
        </w:rPr>
      </w:pPr>
      <w:r w:rsidRPr="00164487">
        <w:rPr>
          <w:rFonts w:ascii="Arial" w:hAnsi="Arial" w:cs="Arial"/>
          <w:color w:val="000000"/>
          <w:sz w:val="20"/>
          <w:szCs w:val="20"/>
        </w:rPr>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 xml:space="preserve">DPP v </w:t>
      </w:r>
      <w:proofErr w:type="spellStart"/>
      <w:r w:rsidRPr="00164487">
        <w:rPr>
          <w:rFonts w:ascii="Arial" w:hAnsi="Arial" w:cs="Arial"/>
          <w:i/>
          <w:color w:val="000000"/>
          <w:sz w:val="20"/>
          <w:szCs w:val="20"/>
        </w:rPr>
        <w:t>Shirvanian</w:t>
      </w:r>
      <w:proofErr w:type="spellEnd"/>
      <w:r w:rsidRPr="00164487">
        <w:rPr>
          <w:rFonts w:ascii="Arial" w:hAnsi="Arial" w:cs="Arial"/>
          <w:color w:val="000000"/>
          <w:sz w:val="20"/>
          <w:szCs w:val="20"/>
        </w:rPr>
        <w:t xml:space="preserve"> (1998) 102 A Crim R 180 per Mason J; </w:t>
      </w:r>
      <w:proofErr w:type="spellStart"/>
      <w:r w:rsidRPr="00164487">
        <w:rPr>
          <w:rFonts w:ascii="Arial" w:hAnsi="Arial" w:cs="Arial"/>
          <w:i/>
          <w:color w:val="000000"/>
          <w:sz w:val="20"/>
          <w:szCs w:val="20"/>
        </w:rPr>
        <w:t>Edebone</w:t>
      </w:r>
      <w:proofErr w:type="spellEnd"/>
      <w:r w:rsidRPr="00164487">
        <w:rPr>
          <w:rFonts w:ascii="Arial" w:hAnsi="Arial" w:cs="Arial"/>
          <w:i/>
          <w:color w:val="000000"/>
          <w:sz w:val="20"/>
          <w:szCs w:val="20"/>
        </w:rPr>
        <w:t xml:space="preserv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proofErr w:type="spellStart"/>
      <w:r w:rsidRPr="00164487">
        <w:rPr>
          <w:rFonts w:ascii="Arial" w:hAnsi="Arial" w:cs="Arial"/>
          <w:i/>
          <w:color w:val="000000"/>
          <w:sz w:val="20"/>
          <w:szCs w:val="20"/>
        </w:rPr>
        <w:t>Jago</w:t>
      </w:r>
      <w:proofErr w:type="spellEnd"/>
      <w:r w:rsidRPr="00164487">
        <w:rPr>
          <w:rFonts w:ascii="Arial" w:hAnsi="Arial" w:cs="Arial"/>
          <w:i/>
          <w:color w:val="000000"/>
          <w:sz w:val="20"/>
          <w:szCs w:val="20"/>
        </w:rPr>
        <w:t xml:space="preserve">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D772F0">
      <w:pPr>
        <w:numPr>
          <w:ilvl w:val="0"/>
          <w:numId w:val="31"/>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w:t>
      </w:r>
      <w:r w:rsidRPr="00934D0F">
        <w:rPr>
          <w:rFonts w:ascii="Arial" w:hAnsi="Arial" w:cs="Arial"/>
          <w:i/>
          <w:iCs/>
          <w:color w:val="000000"/>
          <w:sz w:val="20"/>
          <w:szCs w:val="20"/>
        </w:rPr>
        <w:t>Charter of Human Rights and Responsibilities Act 2006</w:t>
      </w:r>
      <w:r w:rsidRPr="00164487">
        <w:rPr>
          <w:rFonts w:ascii="Arial" w:hAnsi="Arial" w:cs="Arial"/>
          <w:color w:val="000000"/>
          <w:sz w:val="20"/>
          <w:szCs w:val="20"/>
        </w:rPr>
        <w:t xml:space="preserve"> – providing that an accused child must be brought to trial as quickly as possible” – only applied to Mr</w:t>
      </w:r>
      <w:r w:rsidR="0074095E" w:rsidRPr="00164487">
        <w:rPr>
          <w:rFonts w:ascii="Arial" w:hAnsi="Arial" w:cs="Arial"/>
          <w:color w:val="000000"/>
          <w:sz w:val="20"/>
          <w:szCs w:val="20"/>
        </w:rPr>
        <w:t> </w:t>
      </w:r>
      <w:proofErr w:type="spellStart"/>
      <w:r w:rsidRPr="00164487">
        <w:rPr>
          <w:rFonts w:ascii="Arial" w:hAnsi="Arial" w:cs="Arial"/>
          <w:color w:val="000000"/>
          <w:sz w:val="20"/>
          <w:szCs w:val="20"/>
        </w:rPr>
        <w:t>Machok</w:t>
      </w:r>
      <w:proofErr w:type="spellEnd"/>
      <w:r w:rsidRPr="00164487">
        <w:rPr>
          <w:rFonts w:ascii="Arial" w:hAnsi="Arial" w:cs="Arial"/>
          <w:color w:val="000000"/>
          <w:sz w:val="20"/>
          <w:szCs w:val="20"/>
        </w:rPr>
        <w:t xml:space="preserve">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w:t>
      </w:r>
      <w:proofErr w:type="spellStart"/>
      <w:r w:rsidR="0074095E" w:rsidRPr="00164487">
        <w:rPr>
          <w:rFonts w:ascii="Arial" w:hAnsi="Arial" w:cs="Arial"/>
          <w:color w:val="000000"/>
          <w:sz w:val="20"/>
          <w:szCs w:val="20"/>
        </w:rPr>
        <w:t>Somes</w:t>
      </w:r>
      <w:proofErr w:type="spellEnd"/>
      <w:r w:rsidR="0074095E" w:rsidRPr="00164487">
        <w:rPr>
          <w:rFonts w:ascii="Arial" w:hAnsi="Arial" w:cs="Arial"/>
          <w:color w:val="000000"/>
          <w:sz w:val="20"/>
          <w:szCs w:val="20"/>
        </w:rPr>
        <w:t xml:space="preserve">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proofErr w:type="spellStart"/>
      <w:r w:rsidR="00F83143" w:rsidRPr="00164487">
        <w:rPr>
          <w:rFonts w:ascii="Arial" w:hAnsi="Arial" w:cs="Arial"/>
          <w:i/>
          <w:color w:val="000000"/>
          <w:sz w:val="20"/>
        </w:rPr>
        <w:t>Jago</w:t>
      </w:r>
      <w:proofErr w:type="spellEnd"/>
      <w:r w:rsidR="00F83143" w:rsidRPr="00164487">
        <w:rPr>
          <w:rFonts w:ascii="Arial" w:hAnsi="Arial" w:cs="Arial"/>
          <w:i/>
          <w:color w:val="000000"/>
          <w:sz w:val="20"/>
        </w:rPr>
        <w:t xml:space="preserve">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lastRenderedPageBreak/>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0BB5627D" w:rsidR="00D64B2E" w:rsidRDefault="00D64B2E" w:rsidP="00D64B2E">
      <w:pPr>
        <w:rPr>
          <w:rFonts w:ascii="Arial" w:hAnsi="Arial" w:cs="Arial"/>
          <w:sz w:val="20"/>
        </w:rPr>
      </w:pPr>
    </w:p>
    <w:p w14:paraId="489011BA" w14:textId="5A22EA41" w:rsidR="00095896" w:rsidRPr="00095896" w:rsidRDefault="00095896" w:rsidP="00095896">
      <w:pPr>
        <w:jc w:val="both"/>
        <w:rPr>
          <w:rFonts w:ascii="Arial" w:hAnsi="Arial" w:cs="Arial"/>
          <w:sz w:val="20"/>
          <w:szCs w:val="20"/>
        </w:rPr>
      </w:pPr>
      <w:r>
        <w:rPr>
          <w:rFonts w:ascii="Arial" w:hAnsi="Arial" w:cs="Arial"/>
          <w:sz w:val="20"/>
        </w:rPr>
        <w:t>The issue of abuse of pr</w:t>
      </w:r>
      <w:r w:rsidR="00C43839">
        <w:rPr>
          <w:rFonts w:ascii="Arial" w:hAnsi="Arial" w:cs="Arial"/>
          <w:sz w:val="20"/>
        </w:rPr>
        <w:t>ocess</w:t>
      </w:r>
      <w:r>
        <w:rPr>
          <w:rFonts w:ascii="Arial" w:hAnsi="Arial" w:cs="Arial"/>
          <w:sz w:val="20"/>
        </w:rPr>
        <w:t xml:space="preserve"> includes but is inherently broader than the estoppel issues discussed in the next sub-section: see the judgment of Judge Cosgrave 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in which at [23] his Honour cited the joint judgment of French CJ, Bell, </w:t>
      </w:r>
      <w:proofErr w:type="spellStart"/>
      <w:r>
        <w:rPr>
          <w:rFonts w:ascii="Arial" w:hAnsi="Arial" w:cs="Arial"/>
          <w:sz w:val="20"/>
        </w:rPr>
        <w:t>Gageler</w:t>
      </w:r>
      <w:proofErr w:type="spellEnd"/>
      <w:r>
        <w:rPr>
          <w:rFonts w:ascii="Arial" w:hAnsi="Arial" w:cs="Arial"/>
          <w:sz w:val="20"/>
        </w:rPr>
        <w:t xml:space="preserve"> and Keane JJ in </w:t>
      </w:r>
      <w:r w:rsidRPr="00C2496F">
        <w:rPr>
          <w:rFonts w:ascii="Arial" w:hAnsi="Arial" w:cs="Arial"/>
          <w:i/>
          <w:iCs/>
          <w:sz w:val="20"/>
        </w:rPr>
        <w:t xml:space="preserve">Tomlinson v </w:t>
      </w:r>
      <w:r w:rsidRPr="00C2496F">
        <w:rPr>
          <w:rFonts w:ascii="Arial" w:hAnsi="Arial" w:cs="Arial"/>
          <w:i/>
          <w:iCs/>
          <w:sz w:val="20"/>
          <w:szCs w:val="20"/>
        </w:rPr>
        <w:t>Ramsey Food Processing Pty Ltd</w:t>
      </w:r>
      <w:r w:rsidRPr="00095896">
        <w:rPr>
          <w:rFonts w:ascii="Arial" w:hAnsi="Arial" w:cs="Arial"/>
          <w:sz w:val="20"/>
          <w:szCs w:val="20"/>
        </w:rPr>
        <w:t xml:space="preserve"> (2015) 256 CLR 507</w:t>
      </w:r>
      <w:r w:rsidR="00C2496F">
        <w:rPr>
          <w:rFonts w:ascii="Arial" w:hAnsi="Arial" w:cs="Arial"/>
          <w:sz w:val="20"/>
          <w:szCs w:val="20"/>
        </w:rPr>
        <w:t xml:space="preserve"> at </w:t>
      </w:r>
      <w:r w:rsidR="00C43839">
        <w:rPr>
          <w:rFonts w:ascii="Arial" w:hAnsi="Arial" w:cs="Arial"/>
          <w:sz w:val="20"/>
          <w:szCs w:val="20"/>
        </w:rPr>
        <w:t>[25]-[26]:</w:t>
      </w:r>
    </w:p>
    <w:p w14:paraId="682DB633" w14:textId="2BA0C081" w:rsidR="00C2496F" w:rsidRDefault="00C2496F" w:rsidP="00C2496F">
      <w:pPr>
        <w:spacing w:before="80"/>
        <w:ind w:left="567" w:right="567"/>
        <w:jc w:val="both"/>
        <w:rPr>
          <w:rFonts w:ascii="Arial" w:eastAsia="Arial" w:hAnsi="Arial" w:cs="Arial"/>
          <w:iCs/>
          <w:sz w:val="20"/>
          <w:szCs w:val="20"/>
        </w:rPr>
      </w:pPr>
      <w:r>
        <w:rPr>
          <w:rFonts w:ascii="Arial" w:hAnsi="Arial" w:cs="Arial"/>
          <w:color w:val="000000"/>
          <w:sz w:val="20"/>
        </w:rPr>
        <w:t>“</w:t>
      </w:r>
      <w:r w:rsidRPr="00C2496F">
        <w:rPr>
          <w:rFonts w:ascii="Arial" w:eastAsia="Arial" w:hAnsi="Arial" w:cs="Arial"/>
          <w:iCs/>
          <w:sz w:val="20"/>
          <w:szCs w:val="20"/>
        </w:rPr>
        <w:t xml:space="preserve">Abuse of process, which may be invoked in areas in which estoppels also apply, is inherently broader and more flexible than estoppel. Although insusceptible of a formulation which comprises closed categories </w:t>
      </w:r>
      <w:r w:rsidR="00C43839">
        <w:rPr>
          <w:rFonts w:ascii="Arial" w:eastAsia="Arial" w:hAnsi="Arial" w:cs="Arial"/>
          <w:iCs/>
          <w:sz w:val="20"/>
          <w:szCs w:val="20"/>
        </w:rPr>
        <w:t>{</w:t>
      </w:r>
      <w:proofErr w:type="spellStart"/>
      <w:r w:rsidR="00C43839" w:rsidRPr="00C43839">
        <w:rPr>
          <w:rFonts w:ascii="Arial" w:eastAsia="Arial" w:hAnsi="Arial" w:cs="Arial"/>
          <w:i/>
          <w:sz w:val="20"/>
          <w:szCs w:val="20"/>
        </w:rPr>
        <w:t>Batistatos</w:t>
      </w:r>
      <w:proofErr w:type="spellEnd"/>
      <w:r w:rsidR="00C43839" w:rsidRPr="00C43839">
        <w:rPr>
          <w:rFonts w:ascii="Arial" w:eastAsia="Arial" w:hAnsi="Arial" w:cs="Arial"/>
          <w:i/>
          <w:sz w:val="20"/>
          <w:szCs w:val="20"/>
        </w:rPr>
        <w:t xml:space="preserve"> v Roads and Traffic Authority (NSW)</w:t>
      </w:r>
      <w:r w:rsidR="00C43839">
        <w:rPr>
          <w:rFonts w:ascii="Arial" w:eastAsia="Arial" w:hAnsi="Arial" w:cs="Arial"/>
          <w:iCs/>
          <w:sz w:val="20"/>
          <w:szCs w:val="20"/>
        </w:rPr>
        <w:t xml:space="preserve"> (2006) 226 CLR 256 at 262 [1], 265 [9]}, </w:t>
      </w:r>
      <w:r w:rsidRPr="00C2496F">
        <w:rPr>
          <w:rFonts w:ascii="Arial" w:eastAsia="Arial" w:hAnsi="Arial" w:cs="Arial"/>
          <w:iCs/>
          <w:sz w:val="20"/>
          <w:szCs w:val="20"/>
        </w:rPr>
        <w:t xml:space="preserve">abuse of process is capable of application in any circumstances in which the use of a court’s procedures would be unjustifiably oppressive to a party or would bring the administration of justice into disrepute </w:t>
      </w:r>
      <w:r w:rsidR="009D6463">
        <w:rPr>
          <w:rFonts w:ascii="Arial" w:eastAsia="Arial" w:hAnsi="Arial" w:cs="Arial"/>
          <w:iCs/>
          <w:sz w:val="20"/>
          <w:szCs w:val="20"/>
        </w:rPr>
        <w:t>{</w:t>
      </w:r>
      <w:r w:rsidR="009D6463" w:rsidRPr="009D6463">
        <w:rPr>
          <w:rFonts w:ascii="Arial" w:eastAsia="Arial" w:hAnsi="Arial" w:cs="Arial"/>
          <w:i/>
          <w:sz w:val="20"/>
          <w:szCs w:val="20"/>
        </w:rPr>
        <w:t>PNJ v The Queen</w:t>
      </w:r>
      <w:r w:rsidR="009D6463">
        <w:rPr>
          <w:rFonts w:ascii="Arial" w:eastAsia="Arial" w:hAnsi="Arial" w:cs="Arial"/>
          <w:iCs/>
          <w:sz w:val="20"/>
          <w:szCs w:val="20"/>
        </w:rPr>
        <w:t xml:space="preserve"> (2009) 83 ALJR 384 at 385-386 [3]}</w:t>
      </w:r>
      <w:r w:rsidRPr="00C2496F">
        <w:rPr>
          <w:rFonts w:ascii="Arial" w:eastAsia="Arial" w:hAnsi="Arial" w:cs="Arial"/>
          <w:iCs/>
          <w:sz w:val="20"/>
          <w:szCs w:val="20"/>
        </w:rPr>
        <w:t>. It can for that</w:t>
      </w:r>
      <w:r>
        <w:rPr>
          <w:rFonts w:ascii="Arial" w:eastAsia="Arial" w:hAnsi="Arial" w:cs="Arial"/>
          <w:iCs/>
          <w:sz w:val="20"/>
          <w:szCs w:val="20"/>
        </w:rPr>
        <w:t xml:space="preserve"> reason be available to relieve against injustice to a party or impairment to the system of administration of justice which might otherwise be occasioned in circumstances where a party to a subsequent proceeding is not bound by an estoppel.</w:t>
      </w:r>
    </w:p>
    <w:p w14:paraId="383380F3" w14:textId="0D8B2B61" w:rsidR="00C2496F" w:rsidRDefault="00C2496F" w:rsidP="00C2496F">
      <w:pPr>
        <w:spacing w:before="80"/>
        <w:ind w:left="567" w:right="567"/>
        <w:jc w:val="both"/>
        <w:rPr>
          <w:rFonts w:ascii="Arial" w:eastAsia="Arial" w:hAnsi="Arial" w:cs="Arial"/>
          <w:iCs/>
          <w:sz w:val="20"/>
          <w:szCs w:val="20"/>
        </w:rPr>
      </w:pPr>
      <w:r>
        <w:rPr>
          <w:rFonts w:ascii="Arial" w:eastAsia="Arial" w:hAnsi="Arial" w:cs="Arial"/>
          <w:iCs/>
          <w:sz w:val="20"/>
          <w:szCs w:val="20"/>
        </w:rPr>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sidR="009D6463">
        <w:rPr>
          <w:rFonts w:ascii="Arial" w:eastAsia="Arial" w:hAnsi="Arial" w:cs="Arial"/>
          <w:iCs/>
          <w:sz w:val="20"/>
          <w:szCs w:val="20"/>
        </w:rPr>
        <w:t xml:space="preserve"> {</w:t>
      </w:r>
      <w:r w:rsidR="009D6463" w:rsidRPr="009D6463">
        <w:rPr>
          <w:rFonts w:ascii="Arial" w:eastAsia="Arial" w:hAnsi="Arial" w:cs="Arial"/>
          <w:i/>
          <w:sz w:val="20"/>
          <w:szCs w:val="20"/>
        </w:rPr>
        <w:t>Walton v Gardiner</w:t>
      </w:r>
      <w:r w:rsidR="009D6463">
        <w:rPr>
          <w:rFonts w:ascii="Arial" w:eastAsia="Arial" w:hAnsi="Arial" w:cs="Arial"/>
          <w:iCs/>
          <w:sz w:val="20"/>
          <w:szCs w:val="20"/>
        </w:rPr>
        <w:t xml:space="preserve"> (1993) 177 CLR 378 at 393}</w:t>
      </w:r>
      <w:r>
        <w:rPr>
          <w:rFonts w:ascii="Arial" w:eastAsia="Arial" w:hAnsi="Arial" w:cs="Arial"/>
          <w:iCs/>
          <w:sz w:val="20"/>
          <w:szCs w:val="20"/>
        </w:rPr>
        <w:t>.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r w:rsidR="009D6463">
        <w:rPr>
          <w:rFonts w:ascii="Arial" w:eastAsia="Arial" w:hAnsi="Arial" w:cs="Arial"/>
          <w:iCs/>
          <w:sz w:val="20"/>
          <w:szCs w:val="20"/>
        </w:rPr>
        <w:t xml:space="preserve"> {</w:t>
      </w:r>
      <w:proofErr w:type="spellStart"/>
      <w:r w:rsidR="009D6463" w:rsidRPr="00C77210">
        <w:rPr>
          <w:rFonts w:ascii="Arial" w:eastAsia="Arial" w:hAnsi="Arial" w:cs="Arial"/>
          <w:i/>
          <w:sz w:val="20"/>
          <w:szCs w:val="20"/>
        </w:rPr>
        <w:t>O’Shane</w:t>
      </w:r>
      <w:proofErr w:type="spellEnd"/>
      <w:r w:rsidR="009D6463" w:rsidRPr="00C77210">
        <w:rPr>
          <w:rFonts w:ascii="Arial" w:eastAsia="Arial" w:hAnsi="Arial" w:cs="Arial"/>
          <w:i/>
          <w:sz w:val="20"/>
          <w:szCs w:val="20"/>
        </w:rPr>
        <w:t xml:space="preserve"> v Harbour Radio Pty Ltd</w:t>
      </w:r>
      <w:r w:rsidR="009D6463">
        <w:rPr>
          <w:rFonts w:ascii="Arial" w:eastAsia="Arial" w:hAnsi="Arial" w:cs="Arial"/>
          <w:iCs/>
          <w:sz w:val="20"/>
          <w:szCs w:val="20"/>
        </w:rPr>
        <w:t xml:space="preserve"> (2013) 85 NSWLR 698 at 722-724</w:t>
      </w:r>
      <w:r w:rsidR="00C77210">
        <w:rPr>
          <w:rFonts w:ascii="Arial" w:eastAsia="Arial" w:hAnsi="Arial" w:cs="Arial"/>
          <w:iCs/>
          <w:sz w:val="20"/>
          <w:szCs w:val="20"/>
        </w:rPr>
        <w:t xml:space="preserve"> and the cases there cited}</w:t>
      </w:r>
      <w:r>
        <w:rPr>
          <w:rFonts w:ascii="Arial" w:eastAsia="Arial" w:hAnsi="Arial" w:cs="Arial"/>
          <w:iCs/>
          <w:sz w:val="20"/>
          <w:szCs w:val="20"/>
        </w:rPr>
        <w:t>.”</w:t>
      </w:r>
    </w:p>
    <w:p w14:paraId="774ADADF" w14:textId="77777777" w:rsidR="00095896" w:rsidRDefault="00095896"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54" w:name="_3.3.4.2_Res_judicata,"/>
      <w:bookmarkStart w:id="255" w:name="B3342"/>
      <w:bookmarkEnd w:id="254"/>
      <w:bookmarkEnd w:id="255"/>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proofErr w:type="spellStart"/>
      <w:r w:rsidRPr="00D64B2E">
        <w:rPr>
          <w:rFonts w:ascii="Arial" w:hAnsi="Arial" w:cs="Arial"/>
          <w:b/>
          <w:bCs/>
          <w:i/>
          <w:iCs/>
          <w:sz w:val="20"/>
        </w:rPr>
        <w:t>Anshun</w:t>
      </w:r>
      <w:proofErr w:type="spellEnd"/>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rsidP="00D772F0">
      <w:pPr>
        <w:keepNext/>
        <w:keepLines/>
        <w:numPr>
          <w:ilvl w:val="0"/>
          <w:numId w:val="83"/>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rsidP="00D772F0">
      <w:pPr>
        <w:numPr>
          <w:ilvl w:val="0"/>
          <w:numId w:val="83"/>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rsidP="00D772F0">
      <w:pPr>
        <w:numPr>
          <w:ilvl w:val="0"/>
          <w:numId w:val="83"/>
        </w:numPr>
        <w:ind w:left="357" w:hanging="357"/>
        <w:jc w:val="both"/>
        <w:rPr>
          <w:rFonts w:ascii="Arial" w:hAnsi="Arial" w:cs="Arial"/>
          <w:sz w:val="20"/>
          <w:szCs w:val="20"/>
        </w:rPr>
      </w:pPr>
      <w:proofErr w:type="spellStart"/>
      <w:r w:rsidRPr="008A7D66">
        <w:rPr>
          <w:rFonts w:ascii="Arial" w:hAnsi="Arial" w:cs="Arial"/>
          <w:i/>
          <w:iCs/>
          <w:sz w:val="20"/>
          <w:szCs w:val="20"/>
        </w:rPr>
        <w:t>Anshun</w:t>
      </w:r>
      <w:proofErr w:type="spellEnd"/>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 xml:space="preserve">Port of Melbourne Authority v </w:t>
      </w:r>
      <w:proofErr w:type="spellStart"/>
      <w:r w:rsidR="008A7D66" w:rsidRPr="008A7D66">
        <w:rPr>
          <w:rFonts w:ascii="Arial" w:hAnsi="Arial" w:cs="Arial"/>
          <w:i/>
          <w:sz w:val="20"/>
          <w:szCs w:val="20"/>
        </w:rPr>
        <w:t>Anshun</w:t>
      </w:r>
      <w:proofErr w:type="spellEnd"/>
      <w:r w:rsidR="008A7D66" w:rsidRPr="008A7D66">
        <w:rPr>
          <w:rFonts w:ascii="Arial" w:hAnsi="Arial" w:cs="Arial"/>
          <w:i/>
          <w:sz w:val="20"/>
          <w:szCs w:val="20"/>
        </w:rPr>
        <w:t xml:space="preserve">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5FBA039E"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E835E6">
        <w:rPr>
          <w:rFonts w:ascii="Arial" w:hAnsi="Arial" w:cs="Arial"/>
          <w:b/>
          <w:bCs/>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r w:rsidR="00F56D91">
        <w:rPr>
          <w:rFonts w:ascii="Arial" w:hAnsi="Arial" w:cs="Arial"/>
          <w:sz w:val="20"/>
          <w:szCs w:val="20"/>
        </w:rPr>
        <w:t xml:space="preserve">  </w:t>
      </w:r>
      <w:r w:rsidR="00AB41D4">
        <w:rPr>
          <w:rFonts w:ascii="Arial" w:hAnsi="Arial" w:cs="Arial"/>
          <w:sz w:val="20"/>
          <w:szCs w:val="20"/>
        </w:rPr>
        <w:t>T</w:t>
      </w:r>
      <w:r w:rsidR="00F56D91">
        <w:rPr>
          <w:rFonts w:ascii="Arial" w:hAnsi="Arial" w:cs="Arial"/>
          <w:sz w:val="20"/>
          <w:szCs w:val="20"/>
        </w:rPr>
        <w:t xml:space="preserve">hese doctrines </w:t>
      </w:r>
      <w:r w:rsidR="00AB41D4">
        <w:rPr>
          <w:rFonts w:ascii="Arial" w:hAnsi="Arial" w:cs="Arial"/>
          <w:sz w:val="20"/>
          <w:szCs w:val="20"/>
        </w:rPr>
        <w:t xml:space="preserve">and their inter-relationship </w:t>
      </w:r>
      <w:r w:rsidR="00F56D91">
        <w:rPr>
          <w:rFonts w:ascii="Arial" w:hAnsi="Arial" w:cs="Arial"/>
          <w:sz w:val="20"/>
          <w:szCs w:val="20"/>
        </w:rPr>
        <w:t xml:space="preserve">were discussed by Riordan J in </w:t>
      </w:r>
      <w:proofErr w:type="spellStart"/>
      <w:r w:rsidR="00F56D91" w:rsidRPr="00F56D91">
        <w:rPr>
          <w:rFonts w:ascii="Arial" w:hAnsi="Arial" w:cs="Arial"/>
          <w:i/>
          <w:iCs/>
          <w:sz w:val="20"/>
          <w:szCs w:val="20"/>
        </w:rPr>
        <w:t>Gemcan</w:t>
      </w:r>
      <w:proofErr w:type="spellEnd"/>
      <w:r w:rsidR="00F56D91" w:rsidRPr="00F56D91">
        <w:rPr>
          <w:rFonts w:ascii="Arial" w:hAnsi="Arial" w:cs="Arial"/>
          <w:i/>
          <w:iCs/>
          <w:sz w:val="20"/>
          <w:szCs w:val="20"/>
        </w:rPr>
        <w:t xml:space="preserve"> </w:t>
      </w:r>
      <w:r w:rsidR="00AB41D4">
        <w:rPr>
          <w:rFonts w:ascii="Arial" w:hAnsi="Arial" w:cs="Arial"/>
          <w:i/>
          <w:iCs/>
          <w:sz w:val="20"/>
          <w:szCs w:val="20"/>
        </w:rPr>
        <w:t xml:space="preserve">Constructions Pty Ltd </w:t>
      </w:r>
      <w:r w:rsidR="00F56D91" w:rsidRPr="00F56D91">
        <w:rPr>
          <w:rFonts w:ascii="Arial" w:hAnsi="Arial" w:cs="Arial"/>
          <w:i/>
          <w:iCs/>
          <w:sz w:val="20"/>
          <w:szCs w:val="20"/>
        </w:rPr>
        <w:t>v Westbourne Grammar School</w:t>
      </w:r>
      <w:r w:rsidR="00F56D91">
        <w:rPr>
          <w:rFonts w:ascii="Arial" w:hAnsi="Arial" w:cs="Arial"/>
          <w:sz w:val="20"/>
          <w:szCs w:val="20"/>
        </w:rPr>
        <w:t xml:space="preserve"> [2022] VSC 6 at [45]-[58].</w:t>
      </w:r>
    </w:p>
    <w:p w14:paraId="1B48C028" w14:textId="77777777" w:rsidR="00F56D91" w:rsidRDefault="00F56D91" w:rsidP="003E6965">
      <w:pPr>
        <w:rPr>
          <w:rFonts w:ascii="Arial" w:hAnsi="Arial" w:cs="Arial"/>
          <w:sz w:val="20"/>
        </w:rPr>
      </w:pPr>
    </w:p>
    <w:p w14:paraId="6539FA17" w14:textId="55358AD9" w:rsidR="00E835E6" w:rsidRDefault="00E835E6" w:rsidP="003E6965">
      <w:pPr>
        <w:rPr>
          <w:rFonts w:ascii="Arial" w:hAnsi="Arial" w:cs="Arial"/>
          <w:sz w:val="20"/>
        </w:rPr>
      </w:pPr>
      <w:r>
        <w:rPr>
          <w:rFonts w:ascii="Arial" w:hAnsi="Arial" w:cs="Arial"/>
          <w:sz w:val="20"/>
        </w:rPr>
        <w:t xml:space="preserve">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at [17] Judge Cosgrave said</w:t>
      </w:r>
      <w:r w:rsidR="00347753">
        <w:rPr>
          <w:rFonts w:ascii="Arial" w:hAnsi="Arial" w:cs="Arial"/>
          <w:sz w:val="20"/>
        </w:rPr>
        <w:t xml:space="preserve"> of </w:t>
      </w:r>
      <w:r w:rsidR="00347753" w:rsidRPr="00347753">
        <w:rPr>
          <w:rFonts w:ascii="Arial" w:hAnsi="Arial" w:cs="Arial"/>
          <w:b/>
          <w:bCs/>
          <w:sz w:val="20"/>
        </w:rPr>
        <w:t>issue estoppel</w:t>
      </w:r>
      <w:r w:rsidR="00347753">
        <w:rPr>
          <w:rFonts w:ascii="Arial" w:hAnsi="Arial" w:cs="Arial"/>
          <w:sz w:val="20"/>
        </w:rPr>
        <w:t xml:space="preserve"> that it</w:t>
      </w:r>
    </w:p>
    <w:p w14:paraId="277FA30F" w14:textId="737EC8A5" w:rsidR="00347753" w:rsidRPr="00304349" w:rsidRDefault="00347753" w:rsidP="00347753">
      <w:pPr>
        <w:spacing w:before="60"/>
        <w:ind w:left="567" w:right="567"/>
        <w:jc w:val="both"/>
        <w:rPr>
          <w:rFonts w:ascii="Arial" w:hAnsi="Arial" w:cs="Arial"/>
          <w:sz w:val="20"/>
          <w:szCs w:val="20"/>
        </w:rPr>
      </w:pPr>
      <w:r>
        <w:rPr>
          <w:rFonts w:ascii="Arial" w:hAnsi="Arial" w:cs="Arial"/>
          <w:sz w:val="20"/>
          <w:szCs w:val="20"/>
        </w:rPr>
        <w:t>“</w:t>
      </w:r>
      <w:r w:rsidRPr="00347753">
        <w:rPr>
          <w:rFonts w:ascii="Arial" w:hAnsi="Arial" w:cs="Arial"/>
          <w:sz w:val="20"/>
          <w:szCs w:val="20"/>
        </w:rPr>
        <w:t>operates to prevent a party raising in a subsequent proceeding an ultimate issue of fact or law which was necessarily resolved as a step in reaching the determination made in an earlier judgment.  It is important that the issue estoppel can arise only in respect of a matter which was an essential step in the reasoning of the earlier court.  Where a court makes findings of fact or law which are of a subsidiary or collateral nature, they do not give rise to an estoppel.  As</w:t>
      </w:r>
      <w:r>
        <w:rPr>
          <w:rFonts w:ascii="Arial" w:hAnsi="Arial" w:cs="Arial"/>
          <w:sz w:val="20"/>
          <w:szCs w:val="20"/>
        </w:rPr>
        <w:t xml:space="preserve"> Dixon J explained in </w:t>
      </w:r>
      <w:r w:rsidRPr="00347753">
        <w:rPr>
          <w:rFonts w:ascii="Arial" w:hAnsi="Arial" w:cs="Arial"/>
          <w:i/>
          <w:iCs/>
          <w:sz w:val="20"/>
          <w:szCs w:val="20"/>
        </w:rPr>
        <w:t>Blair v Curran</w:t>
      </w:r>
      <w:r>
        <w:rPr>
          <w:rFonts w:ascii="Arial" w:hAnsi="Arial" w:cs="Arial"/>
          <w:sz w:val="20"/>
          <w:szCs w:val="20"/>
        </w:rPr>
        <w:t xml:space="preserve"> (1939) 62 CLR 464, 531-2:</w:t>
      </w:r>
    </w:p>
    <w:p w14:paraId="2BBADAAE" w14:textId="4C783BB3" w:rsidR="00E835E6" w:rsidRDefault="00347753" w:rsidP="00347753">
      <w:pPr>
        <w:spacing w:before="60"/>
        <w:ind w:left="1021" w:right="1021"/>
        <w:jc w:val="both"/>
        <w:rPr>
          <w:rFonts w:ascii="Arial" w:eastAsia="Arial" w:hAnsi="Arial" w:cs="Arial"/>
          <w:iCs/>
          <w:sz w:val="18"/>
          <w:szCs w:val="18"/>
        </w:rPr>
      </w:pPr>
      <w:r w:rsidRPr="00347753">
        <w:rPr>
          <w:rFonts w:ascii="Arial" w:eastAsia="Arial" w:hAnsi="Arial" w:cs="Arial"/>
          <w:iCs/>
          <w:sz w:val="18"/>
          <w:szCs w:val="18"/>
        </w:rPr>
        <w:t>A judicial determination directly involving an issue of fact or of law disposes once for all of the issue, so that it cannot afterwards be raised between the same parties or their privies.  The estoppel covers only those matters which the prior judgment, decree or order necessarily established as the legal foundation or justification of its conclusion, whether that conclusion is that a money sum be recovered or that the doing of an act be commanded or be restrained or that rights be declared</w:t>
      </w:r>
      <w:r>
        <w:rPr>
          <w:rFonts w:ascii="Arial" w:eastAsia="Arial" w:hAnsi="Arial" w:cs="Arial"/>
          <w:iCs/>
          <w:sz w:val="18"/>
          <w:szCs w:val="18"/>
        </w:rPr>
        <w:t>…</w:t>
      </w:r>
    </w:p>
    <w:p w14:paraId="3B9725FB" w14:textId="7BD5104F" w:rsidR="00347753" w:rsidRDefault="00347753" w:rsidP="00347753">
      <w:pPr>
        <w:spacing w:before="60"/>
        <w:ind w:left="1021" w:right="1021"/>
        <w:jc w:val="both"/>
        <w:rPr>
          <w:rFonts w:ascii="Arial" w:eastAsia="Arial" w:hAnsi="Arial" w:cs="Arial"/>
          <w:iCs/>
          <w:sz w:val="18"/>
          <w:szCs w:val="18"/>
        </w:rPr>
      </w:pPr>
      <w:r>
        <w:rPr>
          <w:rFonts w:ascii="Arial" w:eastAsia="Arial" w:hAnsi="Arial" w:cs="Arial"/>
          <w:iCs/>
          <w:sz w:val="18"/>
          <w:szCs w:val="18"/>
        </w:rPr>
        <w:lastRenderedPageBreak/>
        <w:t xml:space="preserve">Nothing but what is </w:t>
      </w:r>
      <w:r w:rsidRPr="00347753">
        <w:rPr>
          <w:rFonts w:ascii="Arial" w:eastAsia="Arial" w:hAnsi="Arial" w:cs="Arial"/>
          <w:iCs/>
          <w:sz w:val="18"/>
          <w:szCs w:val="18"/>
        </w:rPr>
        <w:t>legally indispensable to the conclusion is thus finally closed or precluded.  In matters of fact the issue estoppel is confined to those ultimate facts which form the ingredients in the cause of action, that is, the title to the right established.…</w:t>
      </w:r>
    </w:p>
    <w:p w14:paraId="008CF256" w14:textId="42C77D74" w:rsidR="00347753" w:rsidRDefault="00347753" w:rsidP="00347753">
      <w:pPr>
        <w:spacing w:before="60"/>
        <w:ind w:left="1021" w:right="1021"/>
        <w:jc w:val="both"/>
        <w:rPr>
          <w:rFonts w:ascii="Arial" w:hAnsi="Arial" w:cs="Arial"/>
          <w:sz w:val="20"/>
        </w:rPr>
      </w:pPr>
      <w:r w:rsidRPr="00347753">
        <w:rPr>
          <w:rFonts w:ascii="Arial" w:eastAsia="Arial" w:hAnsi="Arial" w:cs="Arial"/>
          <w:iCs/>
          <w:sz w:val="18"/>
          <w:szCs w:val="18"/>
        </w:rPr>
        <w:t xml:space="preserve">In the phraseology of Lord Shaw, </w:t>
      </w:r>
      <w:r>
        <w:rPr>
          <w:rFonts w:ascii="Arial" w:eastAsia="Arial" w:hAnsi="Arial" w:cs="Arial"/>
          <w:iCs/>
          <w:sz w:val="18"/>
          <w:szCs w:val="18"/>
        </w:rPr>
        <w:t>‘</w:t>
      </w:r>
      <w:r w:rsidRPr="00347753">
        <w:rPr>
          <w:rFonts w:ascii="Arial" w:eastAsia="Arial" w:hAnsi="Arial" w:cs="Arial"/>
          <w:iCs/>
          <w:sz w:val="18"/>
          <w:szCs w:val="18"/>
        </w:rPr>
        <w:t>a fact fundamental to the decision arrived at</w:t>
      </w:r>
      <w:r>
        <w:rPr>
          <w:rFonts w:ascii="Arial" w:eastAsia="Arial" w:hAnsi="Arial" w:cs="Arial"/>
          <w:iCs/>
          <w:sz w:val="18"/>
          <w:szCs w:val="18"/>
        </w:rPr>
        <w:t>’</w:t>
      </w:r>
      <w:r w:rsidRPr="00347753">
        <w:rPr>
          <w:rFonts w:ascii="Arial" w:eastAsia="Arial" w:hAnsi="Arial" w:cs="Arial"/>
          <w:iCs/>
          <w:sz w:val="18"/>
          <w:szCs w:val="18"/>
        </w:rPr>
        <w:t xml:space="preserve"> in the former proceedings and the </w:t>
      </w:r>
      <w:r>
        <w:rPr>
          <w:rFonts w:ascii="Arial" w:eastAsia="Arial" w:hAnsi="Arial" w:cs="Arial"/>
          <w:iCs/>
          <w:sz w:val="18"/>
          <w:szCs w:val="18"/>
        </w:rPr>
        <w:t>‘</w:t>
      </w:r>
      <w:r w:rsidRPr="00347753">
        <w:rPr>
          <w:rFonts w:ascii="Arial" w:eastAsia="Arial" w:hAnsi="Arial" w:cs="Arial"/>
          <w:iCs/>
          <w:sz w:val="18"/>
          <w:szCs w:val="18"/>
        </w:rPr>
        <w:t>legal quality of the fact</w:t>
      </w:r>
      <w:r>
        <w:rPr>
          <w:rFonts w:ascii="Arial" w:eastAsia="Arial" w:hAnsi="Arial" w:cs="Arial"/>
          <w:iCs/>
          <w:sz w:val="18"/>
          <w:szCs w:val="18"/>
        </w:rPr>
        <w:t>’</w:t>
      </w:r>
      <w:r w:rsidRPr="00347753">
        <w:rPr>
          <w:rFonts w:ascii="Arial" w:eastAsia="Arial" w:hAnsi="Arial" w:cs="Arial"/>
          <w:iCs/>
          <w:sz w:val="18"/>
          <w:szCs w:val="18"/>
        </w:rPr>
        <w:t xml:space="preserve"> must be taken as finally and conclusively established (</w:t>
      </w:r>
      <w:proofErr w:type="spellStart"/>
      <w:r w:rsidRPr="00347753">
        <w:rPr>
          <w:rFonts w:ascii="Arial" w:eastAsia="Arial" w:hAnsi="Arial" w:cs="Arial"/>
          <w:i/>
          <w:sz w:val="18"/>
          <w:szCs w:val="18"/>
        </w:rPr>
        <w:t>Hoystead</w:t>
      </w:r>
      <w:proofErr w:type="spellEnd"/>
      <w:r w:rsidRPr="00347753">
        <w:rPr>
          <w:rFonts w:ascii="Arial" w:eastAsia="Arial" w:hAnsi="Arial" w:cs="Arial"/>
          <w:i/>
          <w:sz w:val="18"/>
          <w:szCs w:val="18"/>
        </w:rPr>
        <w:t xml:space="preserve"> v Commissioner of Taxation</w:t>
      </w:r>
      <w:r w:rsidRPr="00347753">
        <w:rPr>
          <w:rFonts w:ascii="Arial" w:eastAsia="Arial" w:hAnsi="Arial" w:cs="Arial"/>
          <w:iCs/>
          <w:sz w:val="18"/>
          <w:szCs w:val="18"/>
        </w:rPr>
        <w:t xml:space="preserve"> (1926) AC 155</w:t>
      </w:r>
      <w:r>
        <w:rPr>
          <w:rFonts w:ascii="Arial" w:eastAsia="Arial" w:hAnsi="Arial" w:cs="Arial"/>
          <w:iCs/>
          <w:sz w:val="18"/>
          <w:szCs w:val="18"/>
        </w:rPr>
        <w:t>)</w:t>
      </w:r>
      <w:r w:rsidRPr="00347753">
        <w:rPr>
          <w:rFonts w:ascii="Arial" w:eastAsia="Arial" w:hAnsi="Arial" w:cs="Arial"/>
          <w:iCs/>
          <w:sz w:val="18"/>
          <w:szCs w:val="18"/>
        </w:rPr>
        <w:t>.  But matters of fact or law which are subsidiary or collateral are not covered by the estoppel.  Findings, however deliberate and formal, which concern only evidentiary facts and not ultimate facts forming the very title to the rights give rise to no preclusion.  Decisions upon matters of law which amount to no more than steps in a process of reasoning tending to establish or support the proposition upon which the rights depend do not estop the parties if the same matters of law arise in subsequent litigation.</w:t>
      </w:r>
      <w:r>
        <w:rPr>
          <w:rFonts w:ascii="Arial" w:eastAsia="Arial" w:hAnsi="Arial" w:cs="Arial"/>
          <w:iCs/>
          <w:sz w:val="18"/>
          <w:szCs w:val="18"/>
        </w:rPr>
        <w:t>”</w:t>
      </w:r>
    </w:p>
    <w:p w14:paraId="230F83A6" w14:textId="77777777" w:rsidR="00E835E6" w:rsidRDefault="00E835E6"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w:t>
      </w:r>
      <w:proofErr w:type="spellStart"/>
      <w:r w:rsidR="0007656A">
        <w:rPr>
          <w:rFonts w:ascii="Arial" w:hAnsi="Arial" w:cs="Arial"/>
          <w:sz w:val="20"/>
          <w:szCs w:val="20"/>
        </w:rPr>
        <w:t>Cth</w:t>
      </w:r>
      <w:proofErr w:type="spellEnd"/>
      <w:r w:rsidR="0007656A">
        <w:rPr>
          <w:rFonts w:ascii="Arial" w:hAnsi="Arial" w:cs="Arial"/>
          <w:sz w:val="20"/>
          <w:szCs w:val="20"/>
        </w:rPr>
        <w:t xml:space="preserve">).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w:t>
      </w:r>
      <w:proofErr w:type="spellStart"/>
      <w:r w:rsidR="0007656A" w:rsidRPr="0007656A">
        <w:rPr>
          <w:rFonts w:ascii="Arial" w:hAnsi="Arial" w:cs="Arial"/>
          <w:sz w:val="20"/>
          <w:szCs w:val="20"/>
        </w:rPr>
        <w:t>FamCA</w:t>
      </w:r>
      <w:proofErr w:type="spellEnd"/>
      <w:r w:rsidR="0007656A" w:rsidRPr="0007656A">
        <w:rPr>
          <w:rFonts w:ascii="Arial" w:hAnsi="Arial" w:cs="Arial"/>
          <w:sz w:val="20"/>
          <w:szCs w:val="20"/>
        </w:rPr>
        <w:t xml:space="preserve">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w:t>
      </w:r>
      <w:proofErr w:type="spellStart"/>
      <w:r w:rsidR="00304349">
        <w:rPr>
          <w:rFonts w:ascii="Arial" w:hAnsi="Arial" w:cs="Arial"/>
          <w:sz w:val="20"/>
          <w:szCs w:val="20"/>
        </w:rPr>
        <w:t>Kiefel</w:t>
      </w:r>
      <w:proofErr w:type="spellEnd"/>
      <w:r w:rsidR="00304349">
        <w:rPr>
          <w:rFonts w:ascii="Arial" w:hAnsi="Arial" w:cs="Arial"/>
          <w:sz w:val="20"/>
          <w:szCs w:val="20"/>
        </w:rPr>
        <w:t xml:space="preserve"> CJ, Bell &amp; </w:t>
      </w:r>
      <w:proofErr w:type="spellStart"/>
      <w:r w:rsidR="00304349">
        <w:rPr>
          <w:rFonts w:ascii="Arial" w:hAnsi="Arial" w:cs="Arial"/>
          <w:sz w:val="20"/>
          <w:szCs w:val="20"/>
        </w:rPr>
        <w:t>Gageler</w:t>
      </w:r>
      <w:proofErr w:type="spellEnd"/>
      <w:r w:rsidR="00304349">
        <w:rPr>
          <w:rFonts w:ascii="Arial" w:hAnsi="Arial" w:cs="Arial"/>
          <w:sz w:val="20"/>
          <w:szCs w:val="20"/>
        </w:rPr>
        <w:t xml:space="preserve">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 xml:space="preserve">In the Marriage of </w:t>
      </w:r>
      <w:proofErr w:type="spellStart"/>
      <w:r w:rsidRPr="00304349">
        <w:rPr>
          <w:rFonts w:ascii="Arial" w:hAnsi="Arial" w:cs="Arial"/>
          <w:i/>
          <w:sz w:val="20"/>
          <w:szCs w:val="20"/>
        </w:rPr>
        <w:t>Florie</w:t>
      </w:r>
      <w:proofErr w:type="spellEnd"/>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proofErr w:type="spellStart"/>
      <w:r w:rsidR="0014279B">
        <w:rPr>
          <w:rFonts w:ascii="Arial" w:hAnsi="Arial" w:cs="Arial"/>
          <w:sz w:val="20"/>
          <w:szCs w:val="20"/>
        </w:rPr>
        <w:t>‘</w:t>
      </w:r>
      <w:r w:rsidR="0014279B" w:rsidRPr="006D6DA8">
        <w:rPr>
          <w:rFonts w:ascii="Arial" w:hAnsi="Arial" w:cs="Arial"/>
          <w:sz w:val="20"/>
          <w:szCs w:val="20"/>
        </w:rPr>
        <w:t>cause</w:t>
      </w:r>
      <w:proofErr w:type="spellEnd"/>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proofErr w:type="spellStart"/>
      <w:r w:rsidR="0014279B">
        <w:rPr>
          <w:rFonts w:ascii="Arial" w:hAnsi="Arial" w:cs="Arial"/>
          <w:sz w:val="20"/>
          <w:szCs w:val="20"/>
        </w:rPr>
        <w:t>‘c</w:t>
      </w:r>
      <w:r w:rsidR="0014279B" w:rsidRPr="006D6DA8">
        <w:rPr>
          <w:rFonts w:ascii="Arial" w:hAnsi="Arial" w:cs="Arial"/>
          <w:sz w:val="20"/>
          <w:szCs w:val="20"/>
        </w:rPr>
        <w:t>ause</w:t>
      </w:r>
      <w:proofErr w:type="spellEnd"/>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610-612; </w:t>
      </w:r>
      <w:r w:rsidRPr="006D6DA8">
        <w:rPr>
          <w:rFonts w:ascii="Arial" w:hAnsi="Arial" w:cs="Arial"/>
          <w:i/>
          <w:sz w:val="20"/>
          <w:szCs w:val="20"/>
        </w:rPr>
        <w:t>Chamberlain v 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such as the present, the form of estoppel would be better referred to by the more generic description of ‘claim’ estoppel: </w:t>
      </w:r>
      <w:proofErr w:type="spellStart"/>
      <w:r w:rsidRPr="006D6DA8">
        <w:rPr>
          <w:rFonts w:ascii="Arial" w:hAnsi="Arial" w:cs="Arial"/>
          <w:sz w:val="20"/>
          <w:szCs w:val="20"/>
        </w:rPr>
        <w:t>cf</w:t>
      </w:r>
      <w:proofErr w:type="spellEnd"/>
      <w:r w:rsidRPr="006D6DA8">
        <w:rPr>
          <w:rFonts w:ascii="Arial" w:hAnsi="Arial" w:cs="Arial"/>
          <w:sz w:val="20"/>
          <w:szCs w:val="20"/>
        </w:rPr>
        <w:t xml:space="preserve"> </w:t>
      </w:r>
      <w:proofErr w:type="spellStart"/>
      <w:r w:rsidRPr="006D6DA8">
        <w:rPr>
          <w:rFonts w:ascii="Arial" w:hAnsi="Arial" w:cs="Arial"/>
          <w:sz w:val="20"/>
          <w:szCs w:val="20"/>
        </w:rPr>
        <w:t>Casad</w:t>
      </w:r>
      <w:proofErr w:type="spellEnd"/>
      <w:r w:rsidRPr="006D6DA8">
        <w:rPr>
          <w:rFonts w:ascii="Arial" w:hAnsi="Arial" w:cs="Arial"/>
          <w:sz w:val="20"/>
          <w:szCs w:val="20"/>
        </w:rPr>
        <w:t xml:space="preserve">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w:t>
      </w:r>
      <w:r w:rsidRPr="006D6DA8">
        <w:rPr>
          <w:rFonts w:ascii="Arial" w:hAnsi="Arial" w:cs="Arial"/>
          <w:sz w:val="20"/>
          <w:szCs w:val="20"/>
        </w:rPr>
        <w:lastRenderedPageBreak/>
        <w:t xml:space="preserve">referred to in Australia as </w:t>
      </w:r>
      <w:r>
        <w:rPr>
          <w:rFonts w:ascii="Arial" w:hAnsi="Arial" w:cs="Arial"/>
          <w:sz w:val="20"/>
          <w:szCs w:val="20"/>
        </w:rPr>
        <w:t>‘</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has rightly been said to involve ‘fundamental error’: </w:t>
      </w:r>
      <w:proofErr w:type="spellStart"/>
      <w:r w:rsidRPr="00DE0813">
        <w:rPr>
          <w:rFonts w:ascii="Arial" w:hAnsi="Arial" w:cs="Arial"/>
          <w:i/>
          <w:sz w:val="20"/>
          <w:szCs w:val="20"/>
        </w:rPr>
        <w:t>Champerslife</w:t>
      </w:r>
      <w:proofErr w:type="spellEnd"/>
      <w:r w:rsidRPr="00DE0813">
        <w:rPr>
          <w:rFonts w:ascii="Arial" w:hAnsi="Arial" w:cs="Arial"/>
          <w:i/>
          <w:sz w:val="20"/>
          <w:szCs w:val="20"/>
        </w:rPr>
        <w:t xml:space="preserve"> Pty Ltd v </w:t>
      </w:r>
      <w:proofErr w:type="spellStart"/>
      <w:r w:rsidRPr="00DE0813">
        <w:rPr>
          <w:rFonts w:ascii="Arial" w:hAnsi="Arial" w:cs="Arial"/>
          <w:i/>
          <w:sz w:val="20"/>
          <w:szCs w:val="20"/>
        </w:rPr>
        <w:t>Manojlovski</w:t>
      </w:r>
      <w:proofErr w:type="spellEnd"/>
      <w:r w:rsidRPr="00DE0813">
        <w:rPr>
          <w:rFonts w:ascii="Arial" w:hAnsi="Arial" w:cs="Arial"/>
          <w:sz w:val="20"/>
          <w:szCs w:val="20"/>
        </w:rPr>
        <w:t xml:space="preserve"> (2010) 75 NSWLR 245 at 247 [4].. As was pointed out in </w:t>
      </w:r>
      <w:r w:rsidRPr="00DE0813">
        <w:rPr>
          <w:rFonts w:ascii="Arial" w:hAnsi="Arial" w:cs="Arial"/>
          <w:i/>
          <w:sz w:val="20"/>
          <w:szCs w:val="20"/>
        </w:rPr>
        <w:t xml:space="preserve">Port of Melbourne Authority v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 xml:space="preserve">there are a variety of circumstances ... why a party may justifiably refrain from litigating an issue in one proceeding yet wish to litigate the issue in other proceedings </w:t>
      </w:r>
      <w:proofErr w:type="spellStart"/>
      <w:r w:rsidRPr="00DE0813">
        <w:rPr>
          <w:rFonts w:ascii="Arial" w:hAnsi="Arial" w:cs="Arial"/>
          <w:sz w:val="20"/>
          <w:szCs w:val="20"/>
        </w:rPr>
        <w:t>eg</w:t>
      </w:r>
      <w:proofErr w:type="spellEnd"/>
      <w:r w:rsidRPr="00DE0813">
        <w:rPr>
          <w:rFonts w:ascii="Arial" w:hAnsi="Arial" w:cs="Arial"/>
          <w:sz w:val="20"/>
          <w:szCs w:val="20"/>
        </w:rPr>
        <w:t xml:space="preserve">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w:t>
      </w:r>
      <w:proofErr w:type="spellStart"/>
      <w:r w:rsidRPr="006B7D00">
        <w:rPr>
          <w:rFonts w:ascii="Arial" w:hAnsi="Arial" w:cs="Arial"/>
          <w:color w:val="000000"/>
          <w:sz w:val="20"/>
        </w:rPr>
        <w:t>VChC</w:t>
      </w:r>
      <w:proofErr w:type="spellEnd"/>
      <w:r w:rsidRPr="006B7D00">
        <w:rPr>
          <w:rFonts w:ascii="Arial" w:hAnsi="Arial" w:cs="Arial"/>
          <w:color w:val="000000"/>
          <w:sz w:val="20"/>
        </w:rPr>
        <w:t xml:space="preserve">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 xml:space="preserve">to consider whether or not a permanent care </w:t>
      </w:r>
      <w:proofErr w:type="spellStart"/>
      <w:r w:rsidR="007F7FD5" w:rsidRPr="00854172">
        <w:rPr>
          <w:rFonts w:ascii="Arial" w:hAnsi="Arial" w:cs="Arial"/>
          <w:bCs/>
          <w:sz w:val="20"/>
          <w:szCs w:val="20"/>
        </w:rPr>
        <w:t>caseplan</w:t>
      </w:r>
      <w:proofErr w:type="spellEnd"/>
      <w:r w:rsidR="007F7FD5" w:rsidRPr="00854172">
        <w:rPr>
          <w:rFonts w:ascii="Arial" w:hAnsi="Arial" w:cs="Arial"/>
          <w:bCs/>
          <w:sz w:val="20"/>
          <w:szCs w:val="20"/>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In matters of fact the issue estoppel is confined to those ultimate facts which form the ingredients in the cause of action, that is, the title to the right established.’</w:t>
      </w:r>
    </w:p>
    <w:p w14:paraId="47904EFB" w14:textId="77777777" w:rsidR="007F7FD5" w:rsidRPr="00854172" w:rsidRDefault="00854172" w:rsidP="00BA55C5">
      <w:pPr>
        <w:spacing w:before="120"/>
        <w:ind w:left="567" w:right="567"/>
        <w:jc w:val="both"/>
        <w:rPr>
          <w:rFonts w:ascii="Arial" w:hAnsi="Arial" w:cs="Arial"/>
          <w:bCs/>
          <w:sz w:val="20"/>
          <w:szCs w:val="20"/>
        </w:rPr>
      </w:pPr>
      <w:r>
        <w:rPr>
          <w:rFonts w:ascii="Arial" w:hAnsi="Arial" w:cs="Arial"/>
          <w:bCs/>
          <w:sz w:val="20"/>
          <w:szCs w:val="20"/>
        </w:rPr>
        <w:lastRenderedPageBreak/>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uncontested but nothing much turns on the difference.  </w:t>
      </w:r>
      <w:r w:rsidR="007F7FD5" w:rsidRPr="00854172">
        <w:rPr>
          <w:rFonts w:ascii="Arial" w:hAnsi="Arial" w:cs="Arial"/>
          <w:b/>
          <w:sz w:val="20"/>
          <w:szCs w:val="20"/>
        </w:rPr>
        <w:t>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DOHS needs seriously to consider whether it needs to adduce before this Court factual material dating back to 24/04/1998 when the orders made by the Court and the 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BA55C5">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w:t>
      </w:r>
      <w:r w:rsidRPr="00944C68">
        <w:rPr>
          <w:rFonts w:ascii="Arial" w:hAnsi="Arial" w:cs="Arial"/>
          <w:bCs/>
          <w:sz w:val="20"/>
          <w:szCs w:val="20"/>
        </w:rPr>
        <w:lastRenderedPageBreak/>
        <w:t>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t xml:space="preserve">In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At the beginning of this hearing, I determined that the principle of issue estoppel precluded the court reconsidering the question of whether the allegations of sexual misconduct made by C1 and C2 against the father were proven on the balance of probabilities. Accordingly, this hearing proceeded on the basis that the factual matters which formed the basis of the Intervention Order contest were proven.</w:t>
      </w:r>
      <w:r>
        <w:rPr>
          <w:rFonts w:ascii="Arial" w:hAnsi="Arial" w:cs="Arial"/>
          <w:sz w:val="20"/>
          <w:szCs w:val="20"/>
        </w:rPr>
        <w:t>”</w:t>
      </w:r>
    </w:p>
    <w:p w14:paraId="105DF5BD" w14:textId="3ED5E4E2" w:rsidR="0088010F" w:rsidRDefault="0088010F" w:rsidP="00BB4BAE">
      <w:pPr>
        <w:rPr>
          <w:rFonts w:ascii="Arial" w:hAnsi="Arial" w:cs="Arial"/>
          <w:sz w:val="20"/>
        </w:rPr>
      </w:pPr>
    </w:p>
    <w:p w14:paraId="2EBA74F0" w14:textId="2BF32572" w:rsidR="00490AA3" w:rsidRPr="00490AA3" w:rsidRDefault="00490AA3" w:rsidP="00490AA3">
      <w:pPr>
        <w:jc w:val="both"/>
        <w:rPr>
          <w:rFonts w:ascii="Arial" w:hAnsi="Arial" w:cs="Arial"/>
          <w:sz w:val="20"/>
          <w:szCs w:val="20"/>
        </w:rPr>
      </w:pPr>
      <w:r w:rsidRPr="00490AA3">
        <w:rPr>
          <w:rFonts w:ascii="Arial" w:hAnsi="Arial" w:cs="Arial"/>
          <w:sz w:val="20"/>
          <w:szCs w:val="20"/>
        </w:rPr>
        <w:t xml:space="preserve">The case of </w:t>
      </w:r>
      <w:bookmarkStart w:id="256" w:name="_Hlk83883804"/>
      <w:r w:rsidRPr="00490AA3">
        <w:rPr>
          <w:rFonts w:ascii="Arial" w:hAnsi="Arial" w:cs="Arial"/>
          <w:i/>
          <w:iCs/>
          <w:sz w:val="20"/>
          <w:szCs w:val="20"/>
        </w:rPr>
        <w:t>SL v DFFH</w:t>
      </w:r>
      <w:r w:rsidRPr="00490AA3">
        <w:rPr>
          <w:rFonts w:ascii="Arial" w:hAnsi="Arial" w:cs="Arial"/>
          <w:sz w:val="20"/>
          <w:szCs w:val="20"/>
        </w:rPr>
        <w:t xml:space="preserve"> [2021] VSC 523 </w:t>
      </w:r>
      <w:bookmarkEnd w:id="256"/>
      <w:r w:rsidRPr="00490AA3">
        <w:rPr>
          <w:rFonts w:ascii="Arial" w:hAnsi="Arial" w:cs="Arial"/>
          <w:sz w:val="20"/>
          <w:szCs w:val="20"/>
        </w:rPr>
        <w:t xml:space="preserve">involved two siblings, A (born 11/08/2020) and J (born 12/06/2017).  On 01/08/2018 the Children’s Court [CCV] had found a protection application for J proved on the actual harm limb of s.162(1)(c) CYFA and the likelihood of harm limbs of ss.162(1)(e) &amp; 162(1)(f) and placed J on a care by Secretary order [CBSO].  The findings and order were uncontested by the mother.  The applications currently before the CCV are a protection application by emergency care for A and an application for a long-term care order for J.  The issue before the CCV which grounded the Order 56 applications </w:t>
      </w:r>
      <w:r w:rsidR="00D15EEE">
        <w:rPr>
          <w:rFonts w:ascii="Arial" w:hAnsi="Arial" w:cs="Arial"/>
          <w:sz w:val="20"/>
          <w:szCs w:val="20"/>
        </w:rPr>
        <w:t xml:space="preserve">to the Supreme Court </w:t>
      </w:r>
      <w:r w:rsidRPr="00490AA3">
        <w:rPr>
          <w:rFonts w:ascii="Arial" w:hAnsi="Arial" w:cs="Arial"/>
          <w:sz w:val="20"/>
          <w:szCs w:val="20"/>
        </w:rPr>
        <w:t>was whether – and if so to what extent – the mother was estopped in a contest involving the 2020 applications from challenging the findings and orders made by the CCV in relation to J in 2018.</w:t>
      </w:r>
      <w:r w:rsidR="00BA55C5">
        <w:rPr>
          <w:rFonts w:ascii="Arial" w:hAnsi="Arial" w:cs="Arial"/>
          <w:sz w:val="20"/>
          <w:szCs w:val="20"/>
        </w:rPr>
        <w:t xml:space="preserve">  Overruling the magistrate’s determination</w:t>
      </w:r>
      <w:r w:rsidR="00D15EEE">
        <w:rPr>
          <w:rFonts w:ascii="Arial" w:hAnsi="Arial" w:cs="Arial"/>
          <w:sz w:val="20"/>
          <w:szCs w:val="20"/>
        </w:rPr>
        <w:t>,</w:t>
      </w:r>
      <w:r w:rsidR="00BA55C5">
        <w:rPr>
          <w:rFonts w:ascii="Arial" w:hAnsi="Arial" w:cs="Arial"/>
          <w:sz w:val="20"/>
          <w:szCs w:val="20"/>
        </w:rPr>
        <w:t xml:space="preserve"> O’Meara J made the following findings at [150]:</w:t>
      </w:r>
    </w:p>
    <w:p w14:paraId="368AF81A"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(a)</w:t>
      </w:r>
      <w:r w:rsidRPr="00BA55C5">
        <w:rPr>
          <w:rFonts w:ascii="Arial" w:hAnsi="Arial" w:cs="Arial"/>
          <w:sz w:val="20"/>
          <w:szCs w:val="20"/>
        </w:rPr>
        <w:tab/>
        <w:t>no estoppel arises in the 2020 application concerning child A;</w:t>
      </w:r>
    </w:p>
    <w:p w14:paraId="0C5CC049"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(b)</w:t>
      </w:r>
      <w:r w:rsidRPr="00BA55C5">
        <w:rPr>
          <w:rFonts w:ascii="Arial" w:hAnsi="Arial" w:cs="Arial"/>
          <w:sz w:val="20"/>
          <w:szCs w:val="20"/>
        </w:rPr>
        <w:tab/>
        <w:t>an estoppel arises in the 2020 application concerning child J but that does not extend beyond the finding that J had suffered ‘actual harm’;</w:t>
      </w:r>
    </w:p>
    <w:p w14:paraId="5D4964E5"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(c)</w:t>
      </w:r>
      <w:r w:rsidRPr="00BA55C5">
        <w:rPr>
          <w:rFonts w:ascii="Arial" w:hAnsi="Arial" w:cs="Arial"/>
          <w:sz w:val="20"/>
          <w:szCs w:val="20"/>
        </w:rPr>
        <w:tab/>
        <w:t>that estoppel does not prevent the mother from adducing evidence or calling witnesses in order to contest any proposition that particular injuries were suffered by child J or in respect of what might broadly be called the issue of ‘responsibility’ for harm of that type;</w:t>
      </w:r>
    </w:p>
    <w:p w14:paraId="63B07DC1"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(d)</w:t>
      </w:r>
      <w:r w:rsidRPr="00BA55C5">
        <w:rPr>
          <w:rFonts w:ascii="Arial" w:hAnsi="Arial" w:cs="Arial"/>
          <w:sz w:val="20"/>
          <w:szCs w:val="20"/>
        </w:rPr>
        <w:tab/>
        <w:t>the mother SL may not contend that the 2018 CBSO was wrongly made.</w:t>
      </w:r>
    </w:p>
    <w:p w14:paraId="44B4FF63" w14:textId="10B343E1" w:rsidR="00BA55C5" w:rsidRPr="00BA55C5" w:rsidRDefault="00BA55C5" w:rsidP="00201B53">
      <w:pPr>
        <w:tabs>
          <w:tab w:val="left" w:pos="454"/>
        </w:tabs>
        <w:spacing w:before="120"/>
        <w:ind w:left="454" w:hanging="454"/>
        <w:jc w:val="both"/>
        <w:rPr>
          <w:rFonts w:ascii="Arial" w:hAnsi="Arial" w:cs="Arial"/>
          <w:b/>
          <w:bCs/>
          <w:sz w:val="20"/>
          <w:szCs w:val="20"/>
        </w:rPr>
      </w:pPr>
      <w:r w:rsidRPr="00BA55C5">
        <w:rPr>
          <w:rFonts w:ascii="Arial" w:hAnsi="Arial" w:cs="Arial"/>
          <w:sz w:val="20"/>
          <w:szCs w:val="20"/>
        </w:rPr>
        <w:t>His Honour’s reasons for making these formal findings included the following</w:t>
      </w:r>
      <w:r w:rsidR="00E23DE2">
        <w:rPr>
          <w:rFonts w:ascii="Arial" w:hAnsi="Arial" w:cs="Arial"/>
          <w:sz w:val="20"/>
          <w:szCs w:val="20"/>
        </w:rPr>
        <w:t xml:space="preserve"> [emphasis added]</w:t>
      </w:r>
      <w:r w:rsidRPr="00BA55C5">
        <w:rPr>
          <w:rFonts w:ascii="Arial" w:hAnsi="Arial" w:cs="Arial"/>
          <w:sz w:val="20"/>
          <w:szCs w:val="20"/>
        </w:rPr>
        <w:t>:</w:t>
      </w:r>
    </w:p>
    <w:p w14:paraId="6EB65400" w14:textId="1967A99A"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rPr>
      </w:pPr>
      <w:r w:rsidRPr="00BA55C5">
        <w:rPr>
          <w:rFonts w:ascii="Arial" w:hAnsi="Arial" w:cs="Arial"/>
          <w:sz w:val="20"/>
          <w:szCs w:val="16"/>
        </w:rPr>
        <w:t>At [107]: “</w:t>
      </w:r>
      <w:r w:rsidRPr="00E23DE2">
        <w:rPr>
          <w:rFonts w:ascii="Arial" w:hAnsi="Arial" w:cs="Arial"/>
          <w:b/>
          <w:bCs/>
          <w:sz w:val="20"/>
          <w:szCs w:val="16"/>
        </w:rPr>
        <w:t>I cannot accept that the presence of s 10(1)</w:t>
      </w:r>
      <w:r w:rsidRPr="00BA55C5">
        <w:rPr>
          <w:rFonts w:ascii="Arial" w:hAnsi="Arial" w:cs="Arial"/>
          <w:sz w:val="20"/>
          <w:szCs w:val="16"/>
        </w:rPr>
        <w:t xml:space="preserve"> (or any other provisions of the Act referred to in the [mother’s] ground 1) sought to be interpreted via </w:t>
      </w:r>
      <w:proofErr w:type="spellStart"/>
      <w:r w:rsidRPr="00BA55C5">
        <w:rPr>
          <w:rFonts w:ascii="Arial" w:hAnsi="Arial" w:cs="Arial"/>
          <w:i/>
          <w:iCs/>
          <w:sz w:val="20"/>
          <w:szCs w:val="16"/>
        </w:rPr>
        <w:t>Schorel</w:t>
      </w:r>
      <w:proofErr w:type="spellEnd"/>
      <w:r w:rsidRPr="00BA55C5">
        <w:rPr>
          <w:rFonts w:ascii="Arial" w:hAnsi="Arial" w:cs="Arial"/>
          <w:sz w:val="20"/>
          <w:szCs w:val="16"/>
        </w:rPr>
        <w:t xml:space="preserve"> [1990] Fam CA 58 and </w:t>
      </w:r>
      <w:r w:rsidRPr="00BA55C5">
        <w:rPr>
          <w:rFonts w:ascii="Arial" w:hAnsi="Arial" w:cs="Arial"/>
          <w:i/>
          <w:iCs/>
          <w:sz w:val="20"/>
          <w:szCs w:val="16"/>
        </w:rPr>
        <w:t>CDJ v VAJ</w:t>
      </w:r>
      <w:r w:rsidRPr="00BA55C5">
        <w:rPr>
          <w:rFonts w:ascii="Arial" w:hAnsi="Arial" w:cs="Arial"/>
          <w:sz w:val="20"/>
          <w:szCs w:val="16"/>
        </w:rPr>
        <w:t xml:space="preserve"> (1998) 187 CLR 172 </w:t>
      </w:r>
      <w:r w:rsidRPr="00E23DE2">
        <w:rPr>
          <w:rFonts w:ascii="Arial" w:hAnsi="Arial" w:cs="Arial"/>
          <w:b/>
          <w:bCs/>
          <w:sz w:val="20"/>
          <w:szCs w:val="16"/>
        </w:rPr>
        <w:t xml:space="preserve">is such as to displace the operation of the doctrines of </w:t>
      </w:r>
      <w:r w:rsidRPr="00E23DE2">
        <w:rPr>
          <w:rFonts w:ascii="Arial" w:hAnsi="Arial" w:cs="Arial"/>
          <w:b/>
          <w:bCs/>
          <w:i/>
          <w:iCs/>
          <w:sz w:val="20"/>
          <w:szCs w:val="16"/>
        </w:rPr>
        <w:t>res judicata</w:t>
      </w:r>
      <w:r w:rsidRPr="00E23DE2">
        <w:rPr>
          <w:rFonts w:ascii="Arial" w:hAnsi="Arial" w:cs="Arial"/>
          <w:b/>
          <w:bCs/>
          <w:sz w:val="20"/>
          <w:szCs w:val="16"/>
        </w:rPr>
        <w:t xml:space="preserve"> and issue estoppel within the scheme of the Act</w:t>
      </w:r>
      <w:r w:rsidRPr="00BA55C5">
        <w:rPr>
          <w:rFonts w:ascii="Arial" w:hAnsi="Arial" w:cs="Arial"/>
          <w:sz w:val="20"/>
          <w:szCs w:val="16"/>
        </w:rPr>
        <w:t xml:space="preserve"> that I have described.  In</w:t>
      </w:r>
      <w:r>
        <w:rPr>
          <w:rFonts w:ascii="Arial" w:hAnsi="Arial" w:cs="Arial"/>
          <w:sz w:val="20"/>
          <w:szCs w:val="16"/>
        </w:rPr>
        <w:t> </w:t>
      </w:r>
      <w:r w:rsidRPr="00BA55C5">
        <w:rPr>
          <w:rFonts w:ascii="Arial" w:hAnsi="Arial" w:cs="Arial"/>
          <w:sz w:val="20"/>
          <w:szCs w:val="16"/>
        </w:rPr>
        <w:t>my view, it is much more likely that such doctrines are implicit within the operation of that scheme.”</w:t>
      </w:r>
    </w:p>
    <w:p w14:paraId="63C17870" w14:textId="77777777" w:rsidR="00BA55C5" w:rsidRPr="00BA55C5" w:rsidRDefault="00BA55C5" w:rsidP="00BA55C5">
      <w:pPr>
        <w:spacing w:before="60"/>
        <w:ind w:left="567" w:right="567"/>
        <w:jc w:val="both"/>
        <w:rPr>
          <w:rFonts w:ascii="Arial" w:hAnsi="Arial" w:cs="Arial"/>
          <w:sz w:val="2"/>
          <w:szCs w:val="2"/>
        </w:rPr>
      </w:pPr>
    </w:p>
    <w:p w14:paraId="10364505" w14:textId="77777777" w:rsidR="00BA55C5" w:rsidRPr="00BA55C5" w:rsidRDefault="00BA55C5" w:rsidP="00D772F0">
      <w:pPr>
        <w:pStyle w:val="ListParagraph"/>
        <w:numPr>
          <w:ilvl w:val="0"/>
          <w:numId w:val="77"/>
        </w:numPr>
        <w:spacing w:before="60"/>
        <w:ind w:left="567" w:right="567"/>
        <w:contextualSpacing/>
        <w:jc w:val="both"/>
        <w:rPr>
          <w:rFonts w:ascii="Arial" w:hAnsi="Arial" w:cs="Arial"/>
          <w:sz w:val="20"/>
          <w:szCs w:val="16"/>
        </w:rPr>
      </w:pPr>
      <w:r w:rsidRPr="00BA55C5">
        <w:rPr>
          <w:rFonts w:ascii="Arial" w:hAnsi="Arial" w:cs="Arial"/>
          <w:sz w:val="20"/>
          <w:szCs w:val="16"/>
        </w:rPr>
        <w:t>At [113]: In the context of the elements and principles relating to the doctrine of issue estoppel, “</w:t>
      </w:r>
      <w:r w:rsidRPr="00E23DE2">
        <w:rPr>
          <w:rFonts w:ascii="Arial" w:hAnsi="Arial" w:cs="Arial"/>
          <w:b/>
          <w:bCs/>
          <w:sz w:val="20"/>
          <w:szCs w:val="16"/>
        </w:rPr>
        <w:t>it may be accepted that the earlier determination of the Children’s Court was final in the necessary sense</w:t>
      </w:r>
      <w:r w:rsidRPr="00BA55C5">
        <w:rPr>
          <w:rFonts w:ascii="Arial" w:hAnsi="Arial" w:cs="Arial"/>
          <w:sz w:val="20"/>
          <w:szCs w:val="16"/>
        </w:rPr>
        <w:t>, and neither party contended to the contrary.”</w:t>
      </w:r>
    </w:p>
    <w:p w14:paraId="0D028C9D" w14:textId="77777777" w:rsidR="00BA55C5" w:rsidRPr="00BA55C5" w:rsidRDefault="00BA55C5" w:rsidP="00BA55C5">
      <w:pPr>
        <w:spacing w:before="60"/>
        <w:ind w:left="567" w:right="567"/>
        <w:jc w:val="both"/>
        <w:rPr>
          <w:rFonts w:ascii="Arial" w:hAnsi="Arial" w:cs="Arial"/>
          <w:sz w:val="2"/>
          <w:szCs w:val="2"/>
        </w:rPr>
      </w:pPr>
    </w:p>
    <w:p w14:paraId="35D91490" w14:textId="77777777"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t>At [120]: “…[it] must therefore be accepted that the Children’s Court did accept that child J had suffered ‘actual harm’, and the [mother’s] submission that no specific finding was made must be rejected.  However, the [DFFH] submission to the effect that the Children’s Court must be taken to have accepted some particular view of the underlying evidence in the Court book must also be rejected.”</w:t>
      </w:r>
    </w:p>
    <w:p w14:paraId="63F6B49F" w14:textId="77777777" w:rsidR="00BA55C5" w:rsidRPr="00BA55C5" w:rsidRDefault="00BA55C5" w:rsidP="00BA55C5">
      <w:pPr>
        <w:spacing w:before="60"/>
        <w:ind w:left="567" w:right="567"/>
        <w:jc w:val="both"/>
        <w:rPr>
          <w:rFonts w:ascii="Arial" w:hAnsi="Arial" w:cs="Arial"/>
          <w:sz w:val="2"/>
          <w:szCs w:val="2"/>
        </w:rPr>
      </w:pPr>
    </w:p>
    <w:p w14:paraId="0A7C2F93" w14:textId="046D3D84" w:rsid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t>At [141]: “</w:t>
      </w:r>
      <w:r w:rsidRPr="00E23DE2">
        <w:rPr>
          <w:rFonts w:ascii="Arial" w:hAnsi="Arial" w:cs="Arial"/>
          <w:b/>
          <w:bCs/>
          <w:sz w:val="20"/>
          <w:szCs w:val="16"/>
        </w:rPr>
        <w:t>I cannot accept that it is open to the [mother] to conduct the present application relating to child J on the basis that the earlier order was wrongly made.</w:t>
      </w:r>
      <w:r w:rsidRPr="00BA55C5">
        <w:rPr>
          <w:rFonts w:ascii="Arial" w:hAnsi="Arial" w:cs="Arial"/>
          <w:sz w:val="20"/>
          <w:szCs w:val="16"/>
        </w:rPr>
        <w:t xml:space="preserve">  Such an endeavour seems to me to be inconsistent with the proper administration of justice: </w:t>
      </w:r>
      <w:r w:rsidRPr="00BA55C5">
        <w:rPr>
          <w:rFonts w:ascii="Arial" w:hAnsi="Arial" w:cs="Arial"/>
          <w:i/>
          <w:iCs/>
          <w:sz w:val="20"/>
          <w:szCs w:val="16"/>
        </w:rPr>
        <w:t>Walton v Gardiner</w:t>
      </w:r>
      <w:r w:rsidRPr="00BA55C5">
        <w:rPr>
          <w:rFonts w:ascii="Arial" w:hAnsi="Arial" w:cs="Arial"/>
          <w:sz w:val="20"/>
          <w:szCs w:val="16"/>
        </w:rPr>
        <w:t xml:space="preserve"> (1993) 177 CLR 378, 392-393. In any event, for reasons that should be apparent, it is simply unnecessary for the [mother] to defend the present application concerning child J on that basis (or, for that matter, the application concerning child A). </w:t>
      </w:r>
      <w:r w:rsidRPr="00BA55C5">
        <w:rPr>
          <w:rFonts w:ascii="Arial" w:hAnsi="Arial" w:cs="Arial"/>
          <w:sz w:val="20"/>
          <w:szCs w:val="16"/>
        </w:rPr>
        <w:lastRenderedPageBreak/>
        <w:t>There can be dispute as to whether child J suffered certain injuries and, indeed, whether either or both parents ought to be considered to bear responsibility for such injuries, without any need specifically to contend that the earlier order was ‘wrongly made’.”</w:t>
      </w:r>
    </w:p>
    <w:p w14:paraId="6DDD9CEF" w14:textId="385426D3" w:rsidR="00D15EEE" w:rsidRDefault="00E23DE2" w:rsidP="00D772F0">
      <w:pPr>
        <w:pStyle w:val="ListParagraph"/>
        <w:numPr>
          <w:ilvl w:val="0"/>
          <w:numId w:val="77"/>
        </w:numPr>
        <w:spacing w:before="60"/>
        <w:ind w:left="567" w:right="567" w:hanging="357"/>
        <w:contextualSpacing/>
        <w:jc w:val="both"/>
        <w:rPr>
          <w:rFonts w:ascii="Arial" w:hAnsi="Arial" w:cs="Arial"/>
          <w:sz w:val="20"/>
          <w:szCs w:val="16"/>
        </w:rPr>
      </w:pPr>
      <w:r>
        <w:rPr>
          <w:rFonts w:ascii="Arial" w:hAnsi="Arial" w:cs="Arial"/>
          <w:sz w:val="20"/>
          <w:szCs w:val="16"/>
        </w:rPr>
        <w:t xml:space="preserve">At [143]-[149]: </w:t>
      </w:r>
      <w:r w:rsidRPr="00201B53">
        <w:rPr>
          <w:rFonts w:ascii="Arial" w:hAnsi="Arial" w:cs="Arial"/>
          <w:b/>
          <w:bCs/>
          <w:sz w:val="20"/>
          <w:szCs w:val="16"/>
        </w:rPr>
        <w:t>“[O]n the face of s.162(1)(c), there is no identity of issues between the determination of the Court concerning child J in 2018 and the issues now arising in the applications relating to child A</w:t>
      </w:r>
      <w:r>
        <w:rPr>
          <w:rFonts w:ascii="Arial" w:hAnsi="Arial" w:cs="Arial"/>
          <w:sz w:val="20"/>
          <w:szCs w:val="16"/>
        </w:rPr>
        <w:t xml:space="preserve">…The manner in which the [DFFH] sought to sidestep the present difficulty was to </w:t>
      </w:r>
      <w:r w:rsidRPr="00E23DE2">
        <w:rPr>
          <w:rFonts w:ascii="Arial" w:hAnsi="Arial" w:cs="Arial"/>
          <w:sz w:val="20"/>
          <w:szCs w:val="16"/>
        </w:rPr>
        <w:t>submit that child A is a ‘privy’ of child J</w:t>
      </w:r>
      <w:r>
        <w:rPr>
          <w:rFonts w:ascii="Arial" w:hAnsi="Arial" w:cs="Arial"/>
          <w:sz w:val="20"/>
          <w:szCs w:val="16"/>
        </w:rPr>
        <w:t>…</w:t>
      </w:r>
      <w:r w:rsidRPr="00E23DE2">
        <w:rPr>
          <w:rFonts w:ascii="Arial" w:hAnsi="Arial" w:cs="Arial"/>
          <w:sz w:val="20"/>
          <w:szCs w:val="16"/>
        </w:rPr>
        <w:t>That submission was sought to be supported by reference to a sequence of authorities.</w:t>
      </w:r>
      <w:r w:rsidR="00201B53">
        <w:rPr>
          <w:rFonts w:ascii="Arial" w:hAnsi="Arial" w:cs="Arial"/>
          <w:sz w:val="20"/>
          <w:szCs w:val="16"/>
        </w:rPr>
        <w:t xml:space="preserve">  </w:t>
      </w:r>
      <w:r w:rsidRPr="00E23DE2">
        <w:rPr>
          <w:rFonts w:ascii="Arial" w:hAnsi="Arial" w:cs="Arial"/>
          <w:sz w:val="20"/>
          <w:szCs w:val="16"/>
        </w:rPr>
        <w:t xml:space="preserve">However, so far as I can tell, none of those authorities concerns circumstances akin to the present. </w:t>
      </w:r>
      <w:r w:rsidR="00201B53">
        <w:rPr>
          <w:rFonts w:ascii="Arial" w:hAnsi="Arial" w:cs="Arial"/>
          <w:sz w:val="20"/>
          <w:szCs w:val="16"/>
        </w:rPr>
        <w:t xml:space="preserve"> </w:t>
      </w:r>
      <w:r w:rsidRPr="00E23DE2">
        <w:rPr>
          <w:rFonts w:ascii="Arial" w:hAnsi="Arial" w:cs="Arial"/>
          <w:sz w:val="20"/>
          <w:szCs w:val="16"/>
        </w:rPr>
        <w:t>Moreover, the authorities refer to privity of blood, title and interest.</w:t>
      </w:r>
      <w:r w:rsidR="00201B53">
        <w:rPr>
          <w:rFonts w:ascii="Arial" w:hAnsi="Arial" w:cs="Arial"/>
          <w:sz w:val="20"/>
          <w:szCs w:val="16"/>
        </w:rPr>
        <w:t xml:space="preserve">  </w:t>
      </w:r>
      <w:r w:rsidR="00201B53" w:rsidRPr="00E23DE2">
        <w:rPr>
          <w:rFonts w:ascii="Arial" w:hAnsi="Arial" w:cs="Arial"/>
          <w:sz w:val="20"/>
          <w:szCs w:val="16"/>
        </w:rPr>
        <w:t xml:space="preserve">The relevant submissions of the </w:t>
      </w:r>
      <w:r w:rsidR="00201B53">
        <w:rPr>
          <w:rFonts w:ascii="Arial" w:hAnsi="Arial" w:cs="Arial"/>
          <w:sz w:val="20"/>
          <w:szCs w:val="16"/>
        </w:rPr>
        <w:t>[DFFH]</w:t>
      </w:r>
      <w:r w:rsidR="00201B53" w:rsidRPr="00E23DE2">
        <w:rPr>
          <w:rFonts w:ascii="Arial" w:hAnsi="Arial" w:cs="Arial"/>
          <w:sz w:val="20"/>
          <w:szCs w:val="16"/>
        </w:rPr>
        <w:t xml:space="preserve"> ranged between emphasising matters of blood and interest, each in a general sense, but without distinguishing between those notions with any particular specificity. Estoppel is a matter personal between parties. </w:t>
      </w:r>
      <w:r w:rsidR="009749AD">
        <w:rPr>
          <w:rFonts w:ascii="Arial" w:hAnsi="Arial" w:cs="Arial"/>
          <w:sz w:val="20"/>
          <w:szCs w:val="16"/>
        </w:rPr>
        <w:t xml:space="preserve"> </w:t>
      </w:r>
      <w:r w:rsidR="00201B53" w:rsidRPr="00E23DE2">
        <w:rPr>
          <w:rFonts w:ascii="Arial" w:hAnsi="Arial" w:cs="Arial"/>
          <w:sz w:val="20"/>
          <w:szCs w:val="16"/>
        </w:rPr>
        <w:t>In each case, privies of blood, title or interest are made subject to the benefit or burden of an estoppel because they are representatives of the party originally so bound. In that sense, it may be understood why it is a person succeeding to the rights and liabilities of another via death, insolvency, assignment or statute could be a privy: that person has a legal or beneficial interest in the previous litigation or its subject matter. The privy comes to that interest under, through or on behalf of the party bound.</w:t>
      </w:r>
      <w:r w:rsidR="00201B53">
        <w:rPr>
          <w:rFonts w:ascii="Arial" w:hAnsi="Arial" w:cs="Arial"/>
          <w:sz w:val="20"/>
          <w:szCs w:val="16"/>
        </w:rPr>
        <w:t xml:space="preserve">  </w:t>
      </w:r>
      <w:r w:rsidR="00201B53" w:rsidRPr="00201B53">
        <w:rPr>
          <w:rFonts w:ascii="Arial" w:hAnsi="Arial" w:cs="Arial"/>
          <w:b/>
          <w:bCs/>
          <w:sz w:val="20"/>
          <w:szCs w:val="16"/>
        </w:rPr>
        <w:t>However, no relation of such a kind exists between child J and child A or, for that matter, between either of the parents and child A. In the present applications concerning him, child A is a party in his own right, as are each of his parents. Similarly, child J is a party in his own right in the application concerning him.  The submission that child A is a privy of child J, or, for that matter, his parents, in any of the senses discussed in the authorities, must be rejected.</w:t>
      </w:r>
      <w:r w:rsidR="00201B53">
        <w:rPr>
          <w:rFonts w:ascii="Arial" w:hAnsi="Arial" w:cs="Arial"/>
          <w:sz w:val="20"/>
          <w:szCs w:val="16"/>
        </w:rPr>
        <w:t>”</w:t>
      </w:r>
    </w:p>
    <w:p w14:paraId="69BAB14B" w14:textId="77777777" w:rsidR="00201B53" w:rsidRPr="00201B53" w:rsidRDefault="00201B53" w:rsidP="00201B53">
      <w:pPr>
        <w:ind w:left="210" w:right="567"/>
        <w:contextualSpacing/>
        <w:jc w:val="both"/>
        <w:rPr>
          <w:rFonts w:ascii="Arial" w:hAnsi="Arial" w:cs="Arial"/>
          <w:sz w:val="8"/>
          <w:szCs w:val="4"/>
        </w:rPr>
      </w:pPr>
    </w:p>
    <w:p w14:paraId="3DADB2D5" w14:textId="77777777" w:rsidR="00201B53" w:rsidRDefault="00B50F06" w:rsidP="00D772F0">
      <w:pPr>
        <w:pStyle w:val="ListParagraph"/>
        <w:numPr>
          <w:ilvl w:val="0"/>
          <w:numId w:val="77"/>
        </w:numPr>
        <w:ind w:left="567" w:right="567" w:hanging="357"/>
        <w:contextualSpacing/>
        <w:jc w:val="both"/>
        <w:rPr>
          <w:rFonts w:ascii="Arial" w:hAnsi="Arial" w:cs="Arial"/>
          <w:sz w:val="20"/>
          <w:szCs w:val="16"/>
        </w:rPr>
      </w:pPr>
      <w:r>
        <w:rPr>
          <w:rFonts w:ascii="Arial" w:hAnsi="Arial" w:cs="Arial"/>
          <w:sz w:val="20"/>
          <w:szCs w:val="16"/>
        </w:rPr>
        <w:t>At [151]: “</w:t>
      </w:r>
      <w:r w:rsidRPr="00B50F06">
        <w:rPr>
          <w:rFonts w:ascii="Arial" w:hAnsi="Arial" w:cs="Arial"/>
          <w:color w:val="333333"/>
          <w:sz w:val="20"/>
          <w:shd w:val="clear" w:color="auto" w:fill="FFFFFF"/>
        </w:rPr>
        <w:t>Whether or not the parents are strictly bound by an estoppel arising from any aspect of the making of the care by Secretary order in 2018 is one thing, but whatever that position might be it does not mean that the fact that such an order was earlier made unopposed does not have at least evidentiary significance in the present applications concerning child J and child A. In that regard, it is to some extent evident that the earlier order was made in circumstances where there was already some measure of underlying dispute concerning the injuries and any explanation for them, yet the order was made unopposed anyway. Ultimately, however, whether there is any significance in those matters or not must be a matter for the Children’s Court.</w:t>
      </w:r>
      <w:r>
        <w:rPr>
          <w:rFonts w:ascii="Arial" w:hAnsi="Arial" w:cs="Arial"/>
          <w:color w:val="333333"/>
          <w:sz w:val="20"/>
          <w:shd w:val="clear" w:color="auto" w:fill="FFFFFF"/>
        </w:rPr>
        <w:t>”</w:t>
      </w:r>
    </w:p>
    <w:p w14:paraId="063BCA6F" w14:textId="700D4225" w:rsidR="00490AA3" w:rsidRPr="00B50F06" w:rsidRDefault="00B50F06" w:rsidP="00201B53">
      <w:pPr>
        <w:spacing w:before="120"/>
        <w:jc w:val="both"/>
        <w:rPr>
          <w:rFonts w:ascii="Arial" w:hAnsi="Arial" w:cs="Arial"/>
          <w:color w:val="000000"/>
          <w:sz w:val="20"/>
          <w:szCs w:val="20"/>
          <w:bdr w:val="none" w:sz="0" w:space="0" w:color="auto" w:frame="1"/>
        </w:rPr>
      </w:pPr>
      <w:r w:rsidRPr="00B50F06">
        <w:rPr>
          <w:rFonts w:ascii="Arial" w:hAnsi="Arial" w:cs="Arial"/>
          <w:sz w:val="20"/>
          <w:szCs w:val="20"/>
        </w:rPr>
        <w:t xml:space="preserve">In the writer’s opinion </w:t>
      </w:r>
      <w:r w:rsidR="00490AA3" w:rsidRPr="00B50F06">
        <w:rPr>
          <w:rFonts w:ascii="Arial" w:hAnsi="Arial" w:cs="Arial"/>
          <w:color w:val="000000" w:themeColor="text1"/>
          <w:sz w:val="20"/>
          <w:szCs w:val="20"/>
          <w:bdr w:val="none" w:sz="0" w:space="0" w:color="auto" w:frame="1"/>
        </w:rPr>
        <w:t>th</w:t>
      </w:r>
      <w:r w:rsidR="00490AA3" w:rsidRPr="00B50F06">
        <w:rPr>
          <w:rFonts w:ascii="Arial" w:hAnsi="Arial" w:cs="Arial"/>
          <w:color w:val="000000"/>
          <w:sz w:val="20"/>
          <w:szCs w:val="20"/>
          <w:bdr w:val="none" w:sz="0" w:space="0" w:color="auto" w:frame="1"/>
        </w:rPr>
        <w:t xml:space="preserve">is case highlights a particular problem faced by jurisdictions like the Family Division’s Child Protection jurisdiction or the Family Court where a case is not necessarily ever over until the subject child turns 18 and where new siblings tend to appear on the scene from time to time.  The doctrines of </w:t>
      </w:r>
      <w:r w:rsidR="00490AA3" w:rsidRPr="00B50F06">
        <w:rPr>
          <w:rFonts w:ascii="Arial" w:hAnsi="Arial" w:cs="Arial"/>
          <w:i/>
          <w:iCs/>
          <w:color w:val="000000"/>
          <w:sz w:val="20"/>
          <w:szCs w:val="20"/>
          <w:bdr w:val="none" w:sz="0" w:space="0" w:color="auto" w:frame="1"/>
        </w:rPr>
        <w:t>res judicata</w:t>
      </w:r>
      <w:r w:rsidR="00490AA3" w:rsidRPr="00B50F06">
        <w:rPr>
          <w:rFonts w:ascii="Arial" w:hAnsi="Arial" w:cs="Arial"/>
          <w:color w:val="000000"/>
          <w:sz w:val="20"/>
          <w:szCs w:val="20"/>
          <w:bdr w:val="none" w:sz="0" w:space="0" w:color="auto" w:frame="1"/>
        </w:rPr>
        <w:t xml:space="preserve"> and issue estoppel, on the other hand, are founded on jurisdictions where a case is over [subject to appeals, variations, breaches and the like] once the court has made a decision.  So, the traditional legal analyses do not fit all that well with </w:t>
      </w:r>
      <w:r>
        <w:rPr>
          <w:rFonts w:ascii="Arial" w:hAnsi="Arial" w:cs="Arial"/>
          <w:color w:val="000000"/>
          <w:sz w:val="20"/>
          <w:szCs w:val="20"/>
          <w:bdr w:val="none" w:sz="0" w:space="0" w:color="auto" w:frame="1"/>
        </w:rPr>
        <w:t xml:space="preserve">the CCV’s </w:t>
      </w:r>
      <w:r w:rsidR="00490AA3" w:rsidRPr="00B50F06">
        <w:rPr>
          <w:rFonts w:ascii="Arial" w:hAnsi="Arial" w:cs="Arial"/>
          <w:color w:val="000000"/>
          <w:sz w:val="20"/>
          <w:szCs w:val="20"/>
          <w:bdr w:val="none" w:sz="0" w:space="0" w:color="auto" w:frame="1"/>
        </w:rPr>
        <w:t xml:space="preserve">Family Division.  On the other hand, there has to be some limit to litigation on particular issues, else – as his Honour has noted </w:t>
      </w:r>
      <w:r>
        <w:rPr>
          <w:rFonts w:ascii="Arial" w:hAnsi="Arial" w:cs="Arial"/>
          <w:color w:val="000000"/>
          <w:sz w:val="20"/>
          <w:szCs w:val="20"/>
          <w:bdr w:val="none" w:sz="0" w:space="0" w:color="auto" w:frame="1"/>
        </w:rPr>
        <w:t>at [141] with reference to</w:t>
      </w:r>
      <w:r w:rsidR="00490AA3" w:rsidRPr="00B50F06">
        <w:rPr>
          <w:rFonts w:ascii="Arial" w:hAnsi="Arial" w:cs="Arial"/>
          <w:color w:val="000000"/>
          <w:sz w:val="20"/>
          <w:szCs w:val="20"/>
          <w:bdr w:val="none" w:sz="0" w:space="0" w:color="auto" w:frame="1"/>
        </w:rPr>
        <w:t xml:space="preserve"> the dicta of the High Court in </w:t>
      </w:r>
      <w:r w:rsidR="00490AA3" w:rsidRPr="00B50F06">
        <w:rPr>
          <w:rFonts w:ascii="Arial" w:hAnsi="Arial" w:cs="Arial"/>
          <w:i/>
          <w:iCs/>
          <w:color w:val="000000"/>
          <w:sz w:val="20"/>
          <w:szCs w:val="20"/>
          <w:bdr w:val="none" w:sz="0" w:space="0" w:color="auto" w:frame="1"/>
        </w:rPr>
        <w:t>Walton v Gardiner</w:t>
      </w:r>
      <w:r w:rsidR="00490AA3" w:rsidRPr="00B50F06">
        <w:rPr>
          <w:rFonts w:ascii="Arial" w:hAnsi="Arial" w:cs="Arial"/>
          <w:color w:val="000000"/>
          <w:sz w:val="20"/>
          <w:szCs w:val="20"/>
          <w:bdr w:val="none" w:sz="0" w:space="0" w:color="auto" w:frame="1"/>
        </w:rPr>
        <w:t xml:space="preserve"> (1993) 177 CLR 378, 392-393 – the proper administration of justice will be impaired and </w:t>
      </w:r>
      <w:r>
        <w:rPr>
          <w:rFonts w:ascii="Arial" w:hAnsi="Arial" w:cs="Arial"/>
          <w:color w:val="000000"/>
          <w:sz w:val="20"/>
          <w:szCs w:val="20"/>
          <w:bdr w:val="none" w:sz="0" w:space="0" w:color="auto" w:frame="1"/>
        </w:rPr>
        <w:t>the CCV’s</w:t>
      </w:r>
      <w:r w:rsidR="00490AA3" w:rsidRPr="00B50F06">
        <w:rPr>
          <w:rFonts w:ascii="Arial" w:hAnsi="Arial" w:cs="Arial"/>
          <w:color w:val="000000"/>
          <w:sz w:val="20"/>
          <w:szCs w:val="20"/>
          <w:bdr w:val="none" w:sz="0" w:space="0" w:color="auto" w:frame="1"/>
        </w:rPr>
        <w:t xml:space="preserve"> Family Division will be at risk of being flooded.  It is a very difficult balance.</w:t>
      </w:r>
    </w:p>
    <w:p w14:paraId="594EFAF7" w14:textId="77777777" w:rsidR="00490AA3" w:rsidRDefault="00490AA3" w:rsidP="00BB4BAE">
      <w:pPr>
        <w:rPr>
          <w:rFonts w:ascii="Arial" w:hAnsi="Arial" w:cs="Arial"/>
          <w:sz w:val="20"/>
        </w:rPr>
      </w:pPr>
    </w:p>
    <w:p w14:paraId="7FA90E07" w14:textId="0910426D"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 xml:space="preserve">Miller v Martin &amp; </w:t>
      </w:r>
      <w:proofErr w:type="spellStart"/>
      <w:r w:rsidRPr="00132433">
        <w:rPr>
          <w:rFonts w:ascii="Arial" w:hAnsi="Arial" w:cs="Arial"/>
          <w:i/>
          <w:iCs/>
          <w:sz w:val="20"/>
        </w:rPr>
        <w:t>Ors</w:t>
      </w:r>
      <w:proofErr w:type="spellEnd"/>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57" w:name="_3.3.4.3_Requirement_of"/>
      <w:bookmarkStart w:id="258" w:name="B3343"/>
      <w:bookmarkEnd w:id="257"/>
      <w:bookmarkEnd w:id="258"/>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w:t>
      </w:r>
      <w:r>
        <w:rPr>
          <w:rFonts w:ascii="Arial" w:hAnsi="Arial" w:cs="Arial"/>
          <w:sz w:val="20"/>
        </w:rPr>
        <w:lastRenderedPageBreak/>
        <w:t>proceed before the Court.  The Court has power to decide how that shall best be accomplished.  Once the judicial process has been enlivened in this specialist jurisdiction, then it requires a judicial process to bring it to an end.  If the Court decides as a matter of process that leave is required, then leave is required."  Leave to appeal was refused by the Court of Appeal.</w:t>
      </w:r>
    </w:p>
    <w:p w14:paraId="57491905" w14:textId="52DA55C3" w:rsidR="00C33B4A" w:rsidRDefault="00C33B4A" w:rsidP="00C33B4A">
      <w:pPr>
        <w:rPr>
          <w:rFonts w:ascii="Arial" w:hAnsi="Arial" w:cs="Arial"/>
          <w:sz w:val="20"/>
          <w:szCs w:val="20"/>
        </w:rPr>
      </w:pPr>
    </w:p>
    <w:p w14:paraId="1D190B82" w14:textId="4EB2386B" w:rsidR="00320AF5" w:rsidRDefault="00320AF5" w:rsidP="00320AF5">
      <w:pPr>
        <w:jc w:val="both"/>
        <w:rPr>
          <w:rFonts w:ascii="Arial" w:hAnsi="Arial" w:cs="Arial"/>
          <w:sz w:val="20"/>
          <w:szCs w:val="20"/>
        </w:rPr>
      </w:pPr>
      <w:r w:rsidRPr="00320AF5">
        <w:rPr>
          <w:rFonts w:ascii="Arial" w:hAnsi="Arial" w:cs="Arial"/>
          <w:sz w:val="20"/>
          <w:szCs w:val="20"/>
        </w:rPr>
        <w:t>The protection application in</w:t>
      </w:r>
      <w:r>
        <w:rPr>
          <w:rFonts w:ascii="Arial" w:hAnsi="Arial" w:cs="Arial"/>
          <w:i/>
          <w:iCs/>
          <w:sz w:val="20"/>
          <w:szCs w:val="20"/>
        </w:rPr>
        <w:t xml:space="preserve"> </w:t>
      </w:r>
      <w:r w:rsidRPr="00320AF5">
        <w:rPr>
          <w:rFonts w:ascii="Arial" w:hAnsi="Arial" w:cs="Arial"/>
          <w:i/>
          <w:iCs/>
          <w:sz w:val="20"/>
          <w:szCs w:val="20"/>
        </w:rPr>
        <w:t>Y’s Case</w:t>
      </w:r>
      <w:r>
        <w:rPr>
          <w:rFonts w:ascii="Arial" w:hAnsi="Arial" w:cs="Arial"/>
          <w:sz w:val="20"/>
          <w:szCs w:val="20"/>
        </w:rPr>
        <w:t xml:space="preserve"> was issued under the provisions of the </w:t>
      </w:r>
      <w:r w:rsidRPr="00320AF5">
        <w:rPr>
          <w:rFonts w:ascii="Arial" w:hAnsi="Arial" w:cs="Arial"/>
          <w:i/>
          <w:iCs/>
          <w:sz w:val="20"/>
          <w:szCs w:val="20"/>
        </w:rPr>
        <w:t>Children and Young Persons Act 1989</w:t>
      </w:r>
      <w:r>
        <w:rPr>
          <w:rFonts w:ascii="Arial" w:hAnsi="Arial" w:cs="Arial"/>
          <w:sz w:val="20"/>
          <w:szCs w:val="20"/>
        </w:rPr>
        <w:t>.  The relevant provisions of that Act were replaced by the CYFA on 23/04/2007 and in the process the ‘best interests’ provisions of th</w:t>
      </w:r>
      <w:r w:rsidR="00E55EAA">
        <w:rPr>
          <w:rFonts w:ascii="Arial" w:hAnsi="Arial" w:cs="Arial"/>
          <w:sz w:val="20"/>
          <w:szCs w:val="20"/>
        </w:rPr>
        <w:t>is</w:t>
      </w:r>
      <w:r>
        <w:rPr>
          <w:rFonts w:ascii="Arial" w:hAnsi="Arial" w:cs="Arial"/>
          <w:sz w:val="20"/>
          <w:szCs w:val="20"/>
        </w:rPr>
        <w:t xml:space="preserve"> </w:t>
      </w:r>
      <w:r w:rsidR="00E55EAA">
        <w:rPr>
          <w:rFonts w:ascii="Arial" w:hAnsi="Arial" w:cs="Arial"/>
          <w:sz w:val="20"/>
          <w:szCs w:val="20"/>
        </w:rPr>
        <w:t xml:space="preserve">child protection </w:t>
      </w:r>
      <w:r>
        <w:rPr>
          <w:rFonts w:ascii="Arial" w:hAnsi="Arial" w:cs="Arial"/>
          <w:sz w:val="20"/>
          <w:szCs w:val="20"/>
        </w:rPr>
        <w:t>legislation were significantly strengthened.</w:t>
      </w:r>
      <w:r w:rsidR="00E55EAA">
        <w:rPr>
          <w:rFonts w:ascii="Arial" w:hAnsi="Arial" w:cs="Arial"/>
          <w:sz w:val="20"/>
          <w:szCs w:val="20"/>
        </w:rPr>
        <w:t xml:space="preserve">  In Part 1.2 – Principles – s.8(1) CYFA provides: “The Court must have regard to the principles set out in this Part (where relevant) in making any decision or taking any action under this Act.”  In the writer’s view s.8(1) imposes an independent obligation on the Court to ensure that the withdrawal of a protection application is in the </w:t>
      </w:r>
      <w:r w:rsidR="004E4A11">
        <w:rPr>
          <w:rFonts w:ascii="Arial" w:hAnsi="Arial" w:cs="Arial"/>
          <w:sz w:val="20"/>
          <w:szCs w:val="20"/>
        </w:rPr>
        <w:t>‘</w:t>
      </w:r>
      <w:r w:rsidR="00E55EAA">
        <w:rPr>
          <w:rFonts w:ascii="Arial" w:hAnsi="Arial" w:cs="Arial"/>
          <w:sz w:val="20"/>
          <w:szCs w:val="20"/>
        </w:rPr>
        <w:t>best interests</w:t>
      </w:r>
      <w:r w:rsidR="004E4A11">
        <w:rPr>
          <w:rFonts w:ascii="Arial" w:hAnsi="Arial" w:cs="Arial"/>
          <w:sz w:val="20"/>
          <w:szCs w:val="20"/>
        </w:rPr>
        <w:t>’</w:t>
      </w:r>
      <w:r w:rsidR="00E55EAA">
        <w:rPr>
          <w:rFonts w:ascii="Arial" w:hAnsi="Arial" w:cs="Arial"/>
          <w:sz w:val="20"/>
          <w:szCs w:val="20"/>
        </w:rPr>
        <w:t xml:space="preserve"> of the subject child when measured according to the principles in ss.10 &amp; 13-14.  Accordingly, the reasoning of Nathan J that leave of the Court is required </w:t>
      </w:r>
      <w:r w:rsidR="00E55EAA">
        <w:rPr>
          <w:rFonts w:ascii="Arial" w:hAnsi="Arial" w:cs="Arial"/>
          <w:sz w:val="20"/>
        </w:rPr>
        <w:t>to withdraw or discontinue a protection application once it has been filed and served is even stronger now in cases under the CYFA</w:t>
      </w:r>
      <w:r w:rsidR="004E4A11">
        <w:rPr>
          <w:rFonts w:ascii="Arial" w:hAnsi="Arial" w:cs="Arial"/>
          <w:sz w:val="20"/>
        </w:rPr>
        <w:t xml:space="preserve"> than it was at the time the case was decided</w:t>
      </w:r>
      <w:r w:rsidR="00E55EAA">
        <w:rPr>
          <w:rFonts w:ascii="Arial" w:hAnsi="Arial" w:cs="Arial"/>
          <w:sz w:val="20"/>
        </w:rPr>
        <w:t>.</w:t>
      </w:r>
    </w:p>
    <w:p w14:paraId="4A9CDFB9" w14:textId="77777777" w:rsidR="00320AF5" w:rsidRPr="00C33B4A" w:rsidRDefault="00320AF5" w:rsidP="00C33B4A">
      <w:pPr>
        <w:rPr>
          <w:rFonts w:ascii="Arial" w:hAnsi="Arial" w:cs="Arial"/>
          <w:sz w:val="20"/>
          <w:szCs w:val="20"/>
        </w:rPr>
      </w:pPr>
    </w:p>
    <w:p w14:paraId="6CE270C2" w14:textId="28CC4761" w:rsidR="00C33B4A" w:rsidRDefault="00C33B4A" w:rsidP="00C33B4A">
      <w:pPr>
        <w:jc w:val="both"/>
        <w:rPr>
          <w:rFonts w:ascii="Arial" w:hAnsi="Arial" w:cs="Arial"/>
          <w:sz w:val="20"/>
          <w:szCs w:val="20"/>
        </w:rPr>
      </w:pPr>
      <w:r>
        <w:rPr>
          <w:rFonts w:ascii="Arial" w:hAnsi="Arial" w:cs="Arial"/>
          <w:color w:val="000000"/>
          <w:sz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w:t>
      </w:r>
      <w:r>
        <w:rPr>
          <w:rFonts w:ascii="Arial" w:hAnsi="Arial" w:cs="Arial"/>
          <w:sz w:val="20"/>
          <w:szCs w:val="20"/>
        </w:rPr>
        <w:t xml:space="preserve">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filed a protection application 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Subsequently </w:t>
      </w:r>
      <w:r w:rsidRPr="005172AB">
        <w:rPr>
          <w:rFonts w:ascii="Arial" w:hAnsi="Arial" w:cs="Arial"/>
          <w:sz w:val="20"/>
          <w:szCs w:val="20"/>
        </w:rPr>
        <w:t>DFFH filed minutes of proposed orders consented to by the parties that the protection application be struck out with no order for costs.</w:t>
      </w:r>
      <w:r>
        <w:rPr>
          <w:rFonts w:ascii="Arial" w:hAnsi="Arial" w:cs="Arial"/>
          <w:sz w:val="20"/>
          <w:szCs w:val="20"/>
        </w:rPr>
        <w:t xml:space="preserve">  However, a magistrate </w:t>
      </w:r>
      <w:r w:rsidRPr="005172AB">
        <w:rPr>
          <w:rFonts w:ascii="Arial" w:hAnsi="Arial" w:cs="Arial"/>
          <w:sz w:val="20"/>
          <w:szCs w:val="20"/>
        </w:rPr>
        <w:t>decided not to strike out the proceeding at that time and instead made an order for the filing of a Children’s Court Clinic report [CCCR] seeking</w:t>
      </w:r>
      <w:r>
        <w:rPr>
          <w:rFonts w:ascii="Arial" w:hAnsi="Arial" w:cs="Arial"/>
          <w:sz w:val="20"/>
          <w:szCs w:val="20"/>
        </w:rPr>
        <w:t xml:space="preserve"> assessments in relation to risk factors involving DE &amp; M.  Although the magistrate’s order for a CCCR was set aside on appeal, </w:t>
      </w:r>
      <w:proofErr w:type="spellStart"/>
      <w:r>
        <w:rPr>
          <w:rFonts w:ascii="Arial" w:hAnsi="Arial" w:cs="Arial"/>
          <w:sz w:val="20"/>
          <w:szCs w:val="20"/>
        </w:rPr>
        <w:t>Ginnane</w:t>
      </w:r>
      <w:proofErr w:type="spellEnd"/>
      <w:r>
        <w:rPr>
          <w:rFonts w:ascii="Arial" w:hAnsi="Arial" w:cs="Arial"/>
          <w:sz w:val="20"/>
          <w:szCs w:val="20"/>
        </w:rPr>
        <w:t xml:space="preserve"> J said at [29]: “</w:t>
      </w:r>
      <w:r w:rsidRPr="00C33B4A">
        <w:rPr>
          <w:rFonts w:ascii="Arial" w:hAnsi="Arial" w:cs="Arial"/>
          <w:sz w:val="20"/>
          <w:szCs w:val="20"/>
        </w:rPr>
        <w:t xml:space="preserve">I should first state that the CCV was not obliged to make the orders sought by consent.  However, if it did not, or it was not ready to decide whether to make the orders, the order that it did make for the provision of an addition report had to be authorised by the Act.”  </w:t>
      </w:r>
      <w:r>
        <w:rPr>
          <w:rFonts w:ascii="Arial" w:hAnsi="Arial" w:cs="Arial"/>
          <w:sz w:val="20"/>
          <w:szCs w:val="20"/>
        </w:rPr>
        <w:t xml:space="preserve">His Honour’s dicta is thus consistent with the dicta of </w:t>
      </w:r>
      <w:r w:rsidRPr="00C33B4A">
        <w:rPr>
          <w:rFonts w:ascii="Arial" w:hAnsi="Arial" w:cs="Arial"/>
          <w:sz w:val="20"/>
          <w:szCs w:val="20"/>
        </w:rPr>
        <w:t xml:space="preserve">Nathan J in </w:t>
      </w:r>
      <w:r w:rsidRPr="00C33B4A">
        <w:rPr>
          <w:rFonts w:ascii="Arial" w:hAnsi="Arial" w:cs="Arial"/>
          <w:i/>
          <w:iCs/>
          <w:sz w:val="20"/>
          <w:szCs w:val="20"/>
        </w:rPr>
        <w:t>Secretary of the Department of Human Services v Y</w:t>
      </w:r>
      <w:r>
        <w:rPr>
          <w:rFonts w:ascii="Arial" w:hAnsi="Arial" w:cs="Arial"/>
          <w:sz w:val="20"/>
          <w:szCs w:val="20"/>
        </w:rPr>
        <w:t>.</w:t>
      </w:r>
    </w:p>
    <w:p w14:paraId="6EC5C08B" w14:textId="77777777" w:rsidR="00C33B4A" w:rsidRPr="00A92EB4" w:rsidRDefault="00C33B4A" w:rsidP="002F68AE">
      <w:pPr>
        <w:rPr>
          <w:rFonts w:ascii="Arial" w:hAnsi="Arial" w:cs="Arial"/>
          <w:sz w:val="20"/>
        </w:rPr>
      </w:pPr>
    </w:p>
    <w:p w14:paraId="763DAFF2" w14:textId="77777777" w:rsidR="00B21DA4" w:rsidRDefault="00B21DA4" w:rsidP="0087420C">
      <w:pPr>
        <w:pStyle w:val="Heading2"/>
        <w:widowControl/>
        <w:spacing w:line="240" w:lineRule="auto"/>
        <w:rPr>
          <w:rFonts w:ascii="Arial" w:hAnsi="Arial" w:cs="Arial"/>
          <w:b/>
          <w:bCs/>
        </w:rPr>
      </w:pPr>
      <w:bookmarkStart w:id="259" w:name="_3.4_Procedural_guidelines"/>
      <w:bookmarkStart w:id="260" w:name="B34"/>
      <w:bookmarkEnd w:id="259"/>
      <w:bookmarkEnd w:id="260"/>
      <w:r>
        <w:rPr>
          <w:rFonts w:ascii="Arial" w:hAnsi="Arial" w:cs="Arial"/>
          <w:b/>
          <w:bCs/>
        </w:rPr>
        <w:t>3.4</w:t>
      </w:r>
      <w:r>
        <w:rPr>
          <w:rFonts w:ascii="Arial" w:hAnsi="Arial" w:cs="Arial"/>
          <w:b/>
          <w:bCs/>
        </w:rPr>
        <w:tab/>
        <w:t>Procedural guidelines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61" w:name="_3.4.1_Comprehensibility_etc."/>
      <w:bookmarkStart w:id="262" w:name="B341"/>
      <w:bookmarkStart w:id="263" w:name="_Toc30651645"/>
      <w:bookmarkStart w:id="264" w:name="_Toc30652629"/>
      <w:bookmarkStart w:id="265" w:name="_Toc30652727"/>
      <w:bookmarkStart w:id="266" w:name="_Toc30654072"/>
      <w:bookmarkStart w:id="267" w:name="_Toc30654423"/>
      <w:bookmarkStart w:id="268" w:name="_Toc30655042"/>
      <w:bookmarkStart w:id="269" w:name="_Toc30655299"/>
      <w:bookmarkStart w:id="270" w:name="_Toc30656977"/>
      <w:bookmarkStart w:id="271" w:name="_Toc30661726"/>
      <w:bookmarkStart w:id="272" w:name="_Toc30666414"/>
      <w:bookmarkStart w:id="273" w:name="_Toc30666644"/>
      <w:bookmarkStart w:id="274" w:name="_Toc30667819"/>
      <w:bookmarkStart w:id="275" w:name="_Toc30669197"/>
      <w:bookmarkStart w:id="276" w:name="_Toc30671413"/>
      <w:bookmarkStart w:id="277" w:name="_Toc30673940"/>
      <w:bookmarkStart w:id="278" w:name="_Toc30691162"/>
      <w:bookmarkStart w:id="279" w:name="_Toc30691533"/>
      <w:bookmarkStart w:id="280" w:name="_Toc30691913"/>
      <w:bookmarkStart w:id="281" w:name="_Toc30692672"/>
      <w:bookmarkStart w:id="282" w:name="_Toc30693051"/>
      <w:bookmarkStart w:id="283" w:name="_Toc30693429"/>
      <w:bookmarkStart w:id="284" w:name="_Toc30693808"/>
      <w:bookmarkStart w:id="285" w:name="_Toc30694189"/>
      <w:bookmarkStart w:id="286" w:name="_Toc30698778"/>
      <w:bookmarkStart w:id="287" w:name="_Toc30699156"/>
      <w:bookmarkStart w:id="288" w:name="_Toc30699541"/>
      <w:bookmarkStart w:id="289" w:name="_Toc30700696"/>
      <w:bookmarkStart w:id="290" w:name="_Toc30701083"/>
      <w:bookmarkStart w:id="291" w:name="_Toc30743692"/>
      <w:bookmarkStart w:id="292" w:name="_Toc30754514"/>
      <w:bookmarkStart w:id="293" w:name="_Toc30756954"/>
      <w:bookmarkStart w:id="294" w:name="_Toc30757503"/>
      <w:bookmarkStart w:id="295" w:name="_Toc30757903"/>
      <w:bookmarkStart w:id="296" w:name="_Toc30762664"/>
      <w:bookmarkStart w:id="297" w:name="_Toc30767318"/>
      <w:bookmarkStart w:id="298" w:name="_Toc34823334"/>
      <w:bookmarkEnd w:id="261"/>
      <w:bookmarkEnd w:id="262"/>
      <w:r>
        <w:rPr>
          <w:rFonts w:ascii="Arial" w:hAnsi="Arial" w:cs="Arial"/>
          <w:b/>
          <w:bCs/>
          <w:sz w:val="20"/>
        </w:rPr>
        <w:t>3.4.1</w:t>
      </w:r>
      <w:r>
        <w:rPr>
          <w:rFonts w:ascii="Arial" w:hAnsi="Arial" w:cs="Arial"/>
          <w:b/>
          <w:bCs/>
          <w:sz w:val="20"/>
        </w:rPr>
        <w:tab/>
        <w:t>Comprehensibility etc.</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rsidP="00AB5230">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rsidP="00B50F06">
      <w:pPr>
        <w:keepNext/>
        <w:keepLines/>
        <w:numPr>
          <w:ilvl w:val="0"/>
          <w:numId w:val="6"/>
        </w:numPr>
        <w:jc w:val="both"/>
        <w:rPr>
          <w:rFonts w:ascii="Arial" w:hAnsi="Arial" w:cs="Arial"/>
          <w:sz w:val="20"/>
        </w:rPr>
      </w:pPr>
      <w:r>
        <w:rPr>
          <w:rFonts w:ascii="Arial" w:hAnsi="Arial" w:cs="Arial"/>
          <w:sz w:val="20"/>
        </w:rPr>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t>(f)</w:t>
      </w:r>
      <w:r>
        <w:rPr>
          <w:rFonts w:ascii="Arial" w:hAnsi="Arial" w:cs="Arial"/>
          <w:sz w:val="20"/>
        </w:rPr>
        <w:tab/>
        <w:t>to minimise the stigma to the child and his or her family.</w:t>
      </w:r>
    </w:p>
    <w:p w14:paraId="6352DDE5" w14:textId="77777777" w:rsidR="00490AA3" w:rsidRDefault="00490AA3" w:rsidP="00490AA3">
      <w:pPr>
        <w:jc w:val="both"/>
        <w:rPr>
          <w:rFonts w:ascii="Arial" w:hAnsi="Arial" w:cs="Arial"/>
          <w:sz w:val="20"/>
        </w:rPr>
      </w:pPr>
      <w:bookmarkStart w:id="299" w:name="_Hlk16845337"/>
    </w:p>
    <w:p w14:paraId="5A891BD5" w14:textId="4FD108EB" w:rsidR="0058391B" w:rsidRDefault="0058391B" w:rsidP="0058391B">
      <w:pPr>
        <w:tabs>
          <w:tab w:val="num" w:pos="720"/>
        </w:tabs>
        <w:jc w:val="both"/>
        <w:rPr>
          <w:rFonts w:ascii="Arial" w:hAnsi="Arial" w:cs="Arial"/>
          <w:sz w:val="20"/>
        </w:rPr>
      </w:pPr>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w:t>
      </w:r>
      <w:r w:rsidRPr="00934D0F">
        <w:rPr>
          <w:rFonts w:ascii="Arial" w:hAnsi="Arial" w:cs="Arial"/>
          <w:i/>
          <w:iCs/>
          <w:sz w:val="20"/>
        </w:rPr>
        <w:t xml:space="preserve">Charter </w:t>
      </w:r>
      <w:r w:rsidR="00875DEF" w:rsidRPr="00934D0F">
        <w:rPr>
          <w:rFonts w:ascii="Arial" w:hAnsi="Arial" w:cs="Arial"/>
          <w:i/>
          <w:iCs/>
          <w:sz w:val="20"/>
        </w:rPr>
        <w:t>of Human Rights and Responsibilities Act 2006</w:t>
      </w:r>
      <w:r w:rsidR="00875DEF">
        <w:rPr>
          <w:rFonts w:ascii="Arial" w:hAnsi="Arial" w:cs="Arial"/>
          <w:sz w:val="20"/>
        </w:rPr>
        <w:t>.</w:t>
      </w:r>
    </w:p>
    <w:bookmarkEnd w:id="299"/>
    <w:p w14:paraId="58FDA407" w14:textId="77777777" w:rsidR="0058391B" w:rsidRDefault="0058391B" w:rsidP="009D29CA">
      <w:pPr>
        <w:tabs>
          <w:tab w:val="num" w:pos="720"/>
        </w:tabs>
        <w:ind w:left="369" w:hanging="363"/>
        <w:jc w:val="both"/>
        <w:rPr>
          <w:rFonts w:ascii="Arial" w:hAnsi="Arial" w:cs="Arial"/>
          <w:sz w:val="20"/>
        </w:rPr>
      </w:pPr>
    </w:p>
    <w:p w14:paraId="158A7EBB" w14:textId="7CF5454F" w:rsidR="009D29CA" w:rsidRDefault="009D29CA" w:rsidP="009D29CA">
      <w:pPr>
        <w:pStyle w:val="Heading3"/>
        <w:spacing w:after="100" w:line="240" w:lineRule="auto"/>
        <w:rPr>
          <w:rFonts w:ascii="Arial" w:hAnsi="Arial" w:cs="Arial"/>
          <w:b/>
          <w:bCs/>
          <w:sz w:val="20"/>
        </w:rPr>
      </w:pPr>
      <w:bookmarkStart w:id="300" w:name="_3.4.2_Pilot_program"/>
      <w:bookmarkStart w:id="301" w:name="B342"/>
      <w:bookmarkEnd w:id="300"/>
      <w:bookmarkEnd w:id="301"/>
      <w:r>
        <w:rPr>
          <w:rFonts w:ascii="Arial" w:hAnsi="Arial" w:cs="Arial"/>
          <w:b/>
          <w:bCs/>
          <w:sz w:val="20"/>
        </w:rPr>
        <w:t>3.4.2</w:t>
      </w:r>
      <w:r>
        <w:rPr>
          <w:rFonts w:ascii="Arial" w:hAnsi="Arial" w:cs="Arial"/>
          <w:b/>
          <w:bCs/>
          <w:sz w:val="20"/>
        </w:rPr>
        <w:tab/>
      </w:r>
      <w:r w:rsidR="001417D5">
        <w:rPr>
          <w:rFonts w:ascii="Arial" w:hAnsi="Arial" w:cs="Arial"/>
          <w:b/>
          <w:bCs/>
          <w:sz w:val="20"/>
        </w:rPr>
        <w:t xml:space="preserve">Program for </w:t>
      </w:r>
      <w:r>
        <w:rPr>
          <w:rFonts w:ascii="Arial" w:hAnsi="Arial" w:cs="Arial"/>
          <w:b/>
          <w:bCs/>
          <w:sz w:val="20"/>
        </w:rPr>
        <w:t>Intermediaries and Ground Rules Hearings</w:t>
      </w:r>
    </w:p>
    <w:p w14:paraId="7D2C8BC5" w14:textId="77777777" w:rsidR="001417D5" w:rsidRDefault="001417D5" w:rsidP="009D29CA">
      <w:pPr>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F708614" w:rsidR="001417D5" w:rsidRDefault="001417D5" w:rsidP="009D29CA">
      <w:pPr>
        <w:tabs>
          <w:tab w:val="num" w:pos="720"/>
        </w:tabs>
        <w:ind w:left="6"/>
        <w:jc w:val="both"/>
        <w:rPr>
          <w:rFonts w:ascii="Arial" w:hAnsi="Arial" w:cs="Arial"/>
          <w:sz w:val="20"/>
        </w:rPr>
      </w:pPr>
      <w:r>
        <w:rPr>
          <w:rFonts w:ascii="Arial" w:hAnsi="Arial" w:cs="Arial"/>
          <w:sz w:val="20"/>
        </w:rPr>
        <w:lastRenderedPageBreak/>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934D0F">
        <w:rPr>
          <w:rFonts w:ascii="Arial" w:hAnsi="Arial" w:cs="Arial"/>
          <w:i/>
          <w:iCs/>
          <w:sz w:val="20"/>
        </w:rPr>
        <w:t xml:space="preserve">Criminal Procedure Act 2009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934D0F" w:rsidRPr="006A030F">
        <w:rPr>
          <w:rFonts w:ascii="Arial" w:hAnsi="Arial" w:cs="Arial"/>
          <w:i/>
          <w:iCs/>
          <w:color w:val="000000"/>
          <w:sz w:val="20"/>
        </w:rPr>
        <w:t>Criminal Procedure Regulations 2020</w:t>
      </w:r>
      <w:r w:rsidR="008276B9" w:rsidRPr="008276B9">
        <w:rPr>
          <w:rFonts w:ascii="Arial" w:hAnsi="Arial" w:cs="Arial"/>
          <w:color w:val="000000"/>
          <w:sz w:val="20"/>
        </w:rPr>
        <w:t>.</w:t>
      </w:r>
    </w:p>
    <w:p w14:paraId="1B5351FB" w14:textId="77777777" w:rsidR="001417D5" w:rsidRDefault="001417D5" w:rsidP="009D29CA">
      <w:pPr>
        <w:tabs>
          <w:tab w:val="num" w:pos="720"/>
        </w:tabs>
        <w:ind w:left="6"/>
        <w:jc w:val="both"/>
        <w:rPr>
          <w:rFonts w:ascii="Arial" w:hAnsi="Arial" w:cs="Arial"/>
          <w:sz w:val="20"/>
        </w:rPr>
      </w:pPr>
    </w:p>
    <w:p w14:paraId="667CCC32" w14:textId="0ABB3A44"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Program [‘IP’],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D772F0">
      <w:pPr>
        <w:numPr>
          <w:ilvl w:val="0"/>
          <w:numId w:val="39"/>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section 3.5.5 below); </w:t>
      </w:r>
      <w:r>
        <w:rPr>
          <w:rFonts w:ascii="Arial" w:hAnsi="Arial" w:cs="Arial"/>
          <w:sz w:val="20"/>
        </w:rPr>
        <w:t>and</w:t>
      </w:r>
    </w:p>
    <w:p w14:paraId="453E7A5B" w14:textId="77777777" w:rsidR="001417D5" w:rsidRDefault="0071787E" w:rsidP="00D772F0">
      <w:pPr>
        <w:numPr>
          <w:ilvl w:val="0"/>
          <w:numId w:val="39"/>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77777777" w:rsidR="0071787E" w:rsidRDefault="00582465" w:rsidP="00582465">
      <w:pPr>
        <w:tabs>
          <w:tab w:val="num" w:pos="720"/>
        </w:tabs>
        <w:ind w:left="6"/>
        <w:jc w:val="both"/>
        <w:rPr>
          <w:rFonts w:ascii="Arial" w:hAnsi="Arial" w:cs="Arial"/>
          <w:sz w:val="20"/>
        </w:rPr>
      </w:pPr>
      <w:r>
        <w:rPr>
          <w:rFonts w:ascii="Arial" w:hAnsi="Arial" w:cs="Arial"/>
          <w:sz w:val="20"/>
        </w:rPr>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63FD5A41" w14:textId="77777777" w:rsidR="00582465" w:rsidRDefault="00582465" w:rsidP="009D29CA">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6870D504" w14:textId="44206F07" w:rsidR="0084022D" w:rsidRDefault="00A33764" w:rsidP="0084022D">
      <w:pPr>
        <w:tabs>
          <w:tab w:val="num" w:pos="720"/>
        </w:tabs>
        <w:ind w:left="6"/>
        <w:jc w:val="both"/>
        <w:rPr>
          <w:rFonts w:ascii="Arial" w:hAnsi="Arial" w:cs="Arial"/>
          <w:color w:val="000000"/>
          <w:sz w:val="20"/>
        </w:rPr>
      </w:pPr>
      <w:r w:rsidRPr="00A33764">
        <w:rPr>
          <w:rFonts w:ascii="Arial" w:hAnsi="Arial" w:cs="Arial"/>
          <w:sz w:val="20"/>
        </w:rPr>
        <w:t>A program for Intermediaries and Ground Rules Hearings</w:t>
      </w:r>
      <w:r>
        <w:rPr>
          <w:rFonts w:ascii="Arial" w:hAnsi="Arial" w:cs="Arial"/>
          <w:sz w:val="20"/>
        </w:rPr>
        <w:t xml:space="preserve"> commenced operation </w:t>
      </w:r>
      <w:r w:rsidR="00FB31EB">
        <w:rPr>
          <w:rFonts w:ascii="Arial" w:hAnsi="Arial" w:cs="Arial"/>
          <w:sz w:val="20"/>
        </w:rPr>
        <w:t xml:space="preserve">as a Pilot </w:t>
      </w:r>
      <w:r>
        <w:rPr>
          <w:rFonts w:ascii="Arial" w:hAnsi="Arial" w:cs="Arial"/>
          <w:sz w:val="20"/>
        </w:rPr>
        <w:t xml:space="preserve">at Melbourne Children’s Court on 02/07/2018 and applies to criminal proceedings which commenced on or after 28/02/2018 that relate to a sexual offence (as defined in s.4(1) of the </w:t>
      </w:r>
      <w:r w:rsidRPr="00934D0F">
        <w:rPr>
          <w:rFonts w:ascii="Arial" w:hAnsi="Arial" w:cs="Arial"/>
          <w:i/>
          <w:iCs/>
          <w:sz w:val="20"/>
        </w:rPr>
        <w:t>Criminal Procedure Act 2009</w:t>
      </w:r>
      <w:r>
        <w:rPr>
          <w:rFonts w:ascii="Arial" w:hAnsi="Arial" w:cs="Arial"/>
          <w:sz w:val="20"/>
        </w:rPr>
        <w:t xml:space="preserve">)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4022D">
        <w:rPr>
          <w:rFonts w:ascii="Arial" w:hAnsi="Arial" w:cs="Arial"/>
          <w:color w:val="000000"/>
          <w:sz w:val="20"/>
        </w:rPr>
        <w:t xml:space="preserve"> </w:t>
      </w:r>
      <w:r w:rsidR="00FB31EB">
        <w:rPr>
          <w:rFonts w:ascii="Arial" w:hAnsi="Arial" w:cs="Arial"/>
          <w:color w:val="000000"/>
          <w:sz w:val="20"/>
        </w:rPr>
        <w:t>plus</w:t>
      </w:r>
      <w:r w:rsidR="0084022D">
        <w:rPr>
          <w:rFonts w:ascii="Arial" w:hAnsi="Arial" w:cs="Arial"/>
          <w:color w:val="000000"/>
          <w:sz w:val="20"/>
        </w:rPr>
        <w:t xml:space="preserve"> </w:t>
      </w:r>
      <w:r w:rsidR="0084022D" w:rsidRPr="00F05534">
        <w:rPr>
          <w:rFonts w:ascii="Arial" w:hAnsi="Arial" w:cs="Arial"/>
          <w:sz w:val="20"/>
          <w:szCs w:val="20"/>
        </w:rPr>
        <w:t>a Multi-Jurisdictional Guide which can be</w:t>
      </w:r>
      <w:r w:rsidR="00FB31EB">
        <w:rPr>
          <w:rFonts w:ascii="Arial" w:hAnsi="Arial" w:cs="Arial"/>
          <w:sz w:val="20"/>
          <w:szCs w:val="20"/>
        </w:rPr>
        <w:t> </w:t>
      </w:r>
      <w:r w:rsidR="0084022D" w:rsidRPr="00F05534">
        <w:rPr>
          <w:rFonts w:ascii="Arial" w:hAnsi="Arial" w:cs="Arial"/>
          <w:sz w:val="20"/>
          <w:szCs w:val="20"/>
        </w:rPr>
        <w:t xml:space="preserve">downloaded from </w:t>
      </w:r>
      <w:hyperlink r:id="rId25" w:history="1">
        <w:r w:rsidR="0084022D" w:rsidRPr="00F05534">
          <w:rPr>
            <w:rStyle w:val="Hyperlink"/>
            <w:rFonts w:ascii="Arial" w:hAnsi="Arial" w:cs="Arial"/>
            <w:sz w:val="20"/>
            <w:szCs w:val="20"/>
          </w:rPr>
          <w:t>https://www.childrenscourt.vic.gov.au/legal/guidelines-intermediary-pilot-program</w:t>
        </w:r>
      </w:hyperlink>
      <w:r w:rsidR="0084022D">
        <w:rPr>
          <w:rFonts w:ascii="Arial" w:hAnsi="Arial" w:cs="Arial"/>
          <w:sz w:val="20"/>
          <w:szCs w:val="20"/>
        </w:rPr>
        <w:t xml:space="preserve">. </w:t>
      </w:r>
      <w:r w:rsidR="0084022D">
        <w:rPr>
          <w:rFonts w:ascii="Arial" w:hAnsi="Arial" w:cs="Arial"/>
          <w:color w:val="000000"/>
          <w:sz w:val="20"/>
        </w:rPr>
        <w:t>The Intermediary Program is now an ongoing program, future funding having been confirmed.  However, the original Guidelines dated 28/06/2018 have not yet been formally amended and – at least as yet – the operational limits of the IP, set out in paragraph 4 of the Guidelines, have not been altered.</w:t>
      </w:r>
    </w:p>
    <w:p w14:paraId="7FABC87D" w14:textId="77777777" w:rsidR="00CB3935" w:rsidRDefault="00CB3935" w:rsidP="0030111F">
      <w:pPr>
        <w:tabs>
          <w:tab w:val="num" w:pos="720"/>
        </w:tabs>
        <w:ind w:left="6"/>
        <w:jc w:val="both"/>
        <w:rPr>
          <w:rFonts w:ascii="Arial" w:hAnsi="Arial" w:cs="Arial"/>
          <w:sz w:val="20"/>
        </w:rPr>
      </w:pPr>
    </w:p>
    <w:p w14:paraId="7C37536A" w14:textId="2A6E8B35" w:rsidR="009D29CA" w:rsidRDefault="00720618" w:rsidP="009D29CA">
      <w:pPr>
        <w:tabs>
          <w:tab w:val="num" w:pos="720"/>
        </w:tabs>
        <w:ind w:left="6"/>
        <w:jc w:val="both"/>
        <w:rPr>
          <w:rFonts w:ascii="Arial" w:hAnsi="Arial" w:cs="Arial"/>
          <w:sz w:val="20"/>
        </w:rPr>
      </w:pPr>
      <w:r>
        <w:rPr>
          <w:rFonts w:ascii="Arial" w:hAnsi="Arial" w:cs="Arial"/>
          <w:sz w:val="20"/>
        </w:rPr>
        <w:t>The IP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D772F0">
      <w:pPr>
        <w:numPr>
          <w:ilvl w:val="0"/>
          <w:numId w:val="39"/>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rsidP="0084022D">
      <w:pPr>
        <w:keepNext/>
        <w:keepLines/>
        <w:tabs>
          <w:tab w:val="num" w:pos="720"/>
        </w:tabs>
        <w:ind w:left="369" w:hanging="363"/>
        <w:jc w:val="both"/>
        <w:rPr>
          <w:rFonts w:ascii="Arial" w:hAnsi="Arial" w:cs="Arial"/>
          <w:sz w:val="20"/>
        </w:rPr>
      </w:pPr>
      <w:r>
        <w:rPr>
          <w:rFonts w:ascii="Arial" w:hAnsi="Arial" w:cs="Arial"/>
          <w:sz w:val="20"/>
        </w:rPr>
        <w:t>It is expected that-</w:t>
      </w:r>
    </w:p>
    <w:p w14:paraId="231101A7" w14:textId="379E4141"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either the accused will be legally represented in the matters to which the IP applies; or</w:t>
      </w:r>
    </w:p>
    <w:p w14:paraId="5E79303E"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the manner and duration of questioning of a vulnerable witness;</w:t>
      </w:r>
    </w:p>
    <w:p w14:paraId="1519EB85"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questions that may or may not be put to a witness;</w:t>
      </w:r>
    </w:p>
    <w:p w14:paraId="1E6D1BEB"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use of models, plans, body maps or similar aids to help communicate a question or answer;</w:t>
      </w:r>
    </w:p>
    <w:p w14:paraId="3106C7AF"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302" w:name="_3.4.3_Standing_to"/>
      <w:bookmarkStart w:id="303" w:name="B343"/>
      <w:bookmarkStart w:id="304" w:name="_Toc30651646"/>
      <w:bookmarkStart w:id="305" w:name="_Toc30652630"/>
      <w:bookmarkStart w:id="306" w:name="_Toc30652728"/>
      <w:bookmarkStart w:id="307" w:name="_Toc30654073"/>
      <w:bookmarkStart w:id="308" w:name="_Toc30654424"/>
      <w:bookmarkStart w:id="309" w:name="_Toc30655043"/>
      <w:bookmarkStart w:id="310" w:name="_Toc30655300"/>
      <w:bookmarkStart w:id="311" w:name="_Toc30656978"/>
      <w:bookmarkStart w:id="312" w:name="_Toc30661727"/>
      <w:bookmarkStart w:id="313" w:name="_Toc30666415"/>
      <w:bookmarkStart w:id="314" w:name="_Toc30666645"/>
      <w:bookmarkStart w:id="315" w:name="_Toc30667820"/>
      <w:bookmarkStart w:id="316" w:name="_Toc30669198"/>
      <w:bookmarkStart w:id="317" w:name="_Toc30671414"/>
      <w:bookmarkStart w:id="318" w:name="_Toc30673941"/>
      <w:bookmarkStart w:id="319" w:name="_Toc30691163"/>
      <w:bookmarkStart w:id="320" w:name="_Toc30691534"/>
      <w:bookmarkStart w:id="321" w:name="_Toc30691914"/>
      <w:bookmarkStart w:id="322" w:name="_Toc30692673"/>
      <w:bookmarkStart w:id="323" w:name="_Toc30693052"/>
      <w:bookmarkStart w:id="324" w:name="_Toc30693430"/>
      <w:bookmarkStart w:id="325" w:name="_Toc30693809"/>
      <w:bookmarkStart w:id="326" w:name="_Toc30694190"/>
      <w:bookmarkStart w:id="327" w:name="_Toc30698779"/>
      <w:bookmarkStart w:id="328" w:name="_Toc30699157"/>
      <w:bookmarkStart w:id="329" w:name="_Toc30699542"/>
      <w:bookmarkStart w:id="330" w:name="_Toc30700697"/>
      <w:bookmarkStart w:id="331" w:name="_Toc30701084"/>
      <w:bookmarkStart w:id="332" w:name="_Toc30743693"/>
      <w:bookmarkStart w:id="333" w:name="_Toc30754515"/>
      <w:bookmarkStart w:id="334" w:name="_Toc30756955"/>
      <w:bookmarkStart w:id="335" w:name="_Toc30757504"/>
      <w:bookmarkStart w:id="336" w:name="_Toc30757904"/>
      <w:bookmarkStart w:id="337" w:name="_Toc30762665"/>
      <w:bookmarkStart w:id="338" w:name="_Toc30767319"/>
      <w:bookmarkStart w:id="339" w:name="_Toc34823335"/>
      <w:bookmarkEnd w:id="302"/>
      <w:bookmarkEnd w:id="303"/>
      <w:r>
        <w:rPr>
          <w:rFonts w:ascii="Arial" w:hAnsi="Arial" w:cs="Arial"/>
          <w:b/>
          <w:bCs/>
          <w:sz w:val="20"/>
        </w:rPr>
        <w:t>3.4.</w:t>
      </w:r>
      <w:r w:rsidR="009D29CA">
        <w:rPr>
          <w:rFonts w:ascii="Arial" w:hAnsi="Arial" w:cs="Arial"/>
          <w:b/>
          <w:bCs/>
          <w:sz w:val="20"/>
        </w:rPr>
        <w:t>3</w:t>
      </w:r>
      <w:r>
        <w:rPr>
          <w:rFonts w:ascii="Arial" w:hAnsi="Arial" w:cs="Arial"/>
          <w:b/>
          <w:bCs/>
          <w:sz w:val="20"/>
        </w:rPr>
        <w:tab/>
        <w:t>Standing to participate as a party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7710D31C" w14:textId="77777777"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lastRenderedPageBreak/>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Attorney-General [s.215(2)];</w:t>
      </w:r>
    </w:p>
    <w:p w14:paraId="6EBF8415"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1858338E" w:rsidR="00AB2FCD" w:rsidRPr="00AB2FCD" w:rsidRDefault="00B84D25" w:rsidP="00201B53">
      <w:pPr>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1989 [‘CYPA’] which uses exactly the same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036D92">
      <w:pPr>
        <w:spacing w:before="80"/>
        <w:ind w:left="454" w:right="454"/>
        <w:jc w:val="both"/>
        <w:rPr>
          <w:rFonts w:ascii="Arial" w:hAnsi="Arial" w:cs="Arial"/>
          <w:iCs/>
          <w:sz w:val="20"/>
        </w:rPr>
      </w:pPr>
      <w:r w:rsidRPr="00152F96">
        <w:rPr>
          <w:rFonts w:ascii="Arial" w:hAnsi="Arial" w:cs="Arial"/>
          <w:sz w:val="20"/>
        </w:rPr>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444A4F">
      <w:pPr>
        <w:keepNext/>
        <w:keepLines/>
        <w:jc w:val="both"/>
        <w:rPr>
          <w:rFonts w:ascii="Arial" w:hAnsi="Arial" w:cs="Arial"/>
          <w:sz w:val="20"/>
          <w:szCs w:val="20"/>
        </w:rPr>
      </w:pPr>
      <w:r w:rsidRPr="00122DC7">
        <w:rPr>
          <w:rFonts w:ascii="Arial" w:hAnsi="Arial" w:cs="Arial"/>
          <w:sz w:val="20"/>
          <w:szCs w:val="20"/>
        </w:rPr>
        <w:lastRenderedPageBreak/>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D772F0">
      <w:pPr>
        <w:numPr>
          <w:ilvl w:val="0"/>
          <w:numId w:val="45"/>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03AEEE9F" w14:textId="77777777" w:rsidR="001B31CC" w:rsidRDefault="001B31CC" w:rsidP="001B31CC">
      <w:pPr>
        <w:jc w:val="both"/>
        <w:rPr>
          <w:rFonts w:ascii="Arial" w:hAnsi="Arial" w:cs="Arial"/>
          <w:sz w:val="20"/>
        </w:rPr>
      </w:pPr>
    </w:p>
    <w:p w14:paraId="6904EEC6" w14:textId="264F8A49" w:rsidR="001B31CC" w:rsidRDefault="001B31CC" w:rsidP="001B31CC">
      <w:pPr>
        <w:jc w:val="both"/>
        <w:rPr>
          <w:rFonts w:ascii="Arial" w:hAnsi="Arial" w:cs="Arial"/>
          <w:sz w:val="20"/>
        </w:rPr>
      </w:pPr>
      <w:r>
        <w:rPr>
          <w:rFonts w:ascii="Arial" w:hAnsi="Arial" w:cs="Arial"/>
          <w:sz w:val="20"/>
        </w:rPr>
        <w:t>Finally, in determining whether it is “</w:t>
      </w:r>
      <w:r w:rsidRPr="0019668C">
        <w:rPr>
          <w:rFonts w:ascii="Arial" w:hAnsi="Arial" w:cs="Arial"/>
          <w:b/>
          <w:bCs/>
          <w:sz w:val="20"/>
        </w:rPr>
        <w:t>practicable</w:t>
      </w:r>
      <w:r>
        <w:rPr>
          <w:rFonts w:ascii="Arial" w:hAnsi="Arial" w:cs="Arial"/>
          <w:sz w:val="20"/>
        </w:rPr>
        <w:t xml:space="preserve">” to allow a person to be joined as a party, the matters relating to management of child protection proceedings set out in s.215B of the CYFA appear to the writer to be relevant considerations.  See section </w:t>
      </w:r>
      <w:r w:rsidR="008D48D0">
        <w:rPr>
          <w:rFonts w:ascii="Arial" w:hAnsi="Arial" w:cs="Arial"/>
          <w:sz w:val="20"/>
        </w:rPr>
        <w:t>3.5.6.3 below for a discussion of s.215B.</w:t>
      </w:r>
    </w:p>
    <w:p w14:paraId="2C48C5C8" w14:textId="77777777" w:rsidR="001B31CC" w:rsidRDefault="001B31CC" w:rsidP="005F0874">
      <w:pPr>
        <w:jc w:val="both"/>
        <w:rPr>
          <w:rFonts w:ascii="Arial" w:hAnsi="Arial" w:cs="Arial"/>
          <w:sz w:val="20"/>
        </w:rPr>
      </w:pPr>
    </w:p>
    <w:p w14:paraId="4D72F6A9" w14:textId="77777777" w:rsidR="00B21DA4" w:rsidRDefault="00B21DA4" w:rsidP="00AB5230">
      <w:pPr>
        <w:pStyle w:val="Heading3"/>
        <w:widowControl/>
        <w:spacing w:after="100" w:line="240" w:lineRule="auto"/>
        <w:rPr>
          <w:rFonts w:ascii="Arial" w:hAnsi="Arial" w:cs="Arial"/>
          <w:b/>
          <w:bCs/>
          <w:sz w:val="20"/>
        </w:rPr>
      </w:pPr>
      <w:bookmarkStart w:id="340" w:name="_3.4.4_Interpreter"/>
      <w:bookmarkStart w:id="341" w:name="B344"/>
      <w:bookmarkStart w:id="342" w:name="_Toc30649710"/>
      <w:bookmarkStart w:id="343" w:name="_Toc30651647"/>
      <w:bookmarkStart w:id="344" w:name="_Toc30652631"/>
      <w:bookmarkStart w:id="345" w:name="_Toc30652729"/>
      <w:bookmarkStart w:id="346" w:name="_Toc30654074"/>
      <w:bookmarkStart w:id="347" w:name="_Toc30654425"/>
      <w:bookmarkStart w:id="348" w:name="_Toc30655044"/>
      <w:bookmarkStart w:id="349" w:name="_Toc30655301"/>
      <w:bookmarkStart w:id="350" w:name="_Toc30656979"/>
      <w:bookmarkStart w:id="351" w:name="_Toc30661728"/>
      <w:bookmarkStart w:id="352" w:name="_Toc30666416"/>
      <w:bookmarkStart w:id="353" w:name="_Toc30666646"/>
      <w:bookmarkStart w:id="354" w:name="_Toc30667821"/>
      <w:bookmarkStart w:id="355" w:name="_Toc30669199"/>
      <w:bookmarkStart w:id="356" w:name="_Toc30671415"/>
      <w:bookmarkStart w:id="357" w:name="_Toc30673942"/>
      <w:bookmarkStart w:id="358" w:name="_Toc30691164"/>
      <w:bookmarkStart w:id="359" w:name="_Toc30691535"/>
      <w:bookmarkStart w:id="360" w:name="_Toc30691915"/>
      <w:bookmarkStart w:id="361" w:name="_Toc30692674"/>
      <w:bookmarkStart w:id="362" w:name="_Toc30693053"/>
      <w:bookmarkStart w:id="363" w:name="_Toc30693431"/>
      <w:bookmarkStart w:id="364" w:name="_Toc30693810"/>
      <w:bookmarkStart w:id="365" w:name="_Toc30694191"/>
      <w:bookmarkStart w:id="366" w:name="_Toc30698780"/>
      <w:bookmarkStart w:id="367" w:name="_Toc30699158"/>
      <w:bookmarkStart w:id="368" w:name="_Toc30699543"/>
      <w:bookmarkStart w:id="369" w:name="_Toc30700698"/>
      <w:bookmarkStart w:id="370" w:name="_Toc30701085"/>
      <w:bookmarkStart w:id="371" w:name="_Toc30743694"/>
      <w:bookmarkStart w:id="372" w:name="_Toc30754516"/>
      <w:bookmarkStart w:id="373" w:name="_Toc30756956"/>
      <w:bookmarkStart w:id="374" w:name="_Toc30757505"/>
      <w:bookmarkStart w:id="375" w:name="_Toc30757905"/>
      <w:bookmarkStart w:id="376" w:name="_Toc30762666"/>
      <w:bookmarkStart w:id="377" w:name="_Toc30767320"/>
      <w:bookmarkStart w:id="378" w:name="_Toc34823336"/>
      <w:bookmarkEnd w:id="340"/>
      <w:bookmarkEnd w:id="341"/>
      <w:r>
        <w:rPr>
          <w:rFonts w:ascii="Arial" w:hAnsi="Arial" w:cs="Arial"/>
          <w:b/>
          <w:bCs/>
          <w:sz w:val="20"/>
        </w:rPr>
        <w:t>3.4.</w:t>
      </w:r>
      <w:r w:rsidR="009D29CA">
        <w:rPr>
          <w:rFonts w:ascii="Arial" w:hAnsi="Arial" w:cs="Arial"/>
          <w:b/>
          <w:bCs/>
          <w:sz w:val="20"/>
        </w:rPr>
        <w:t>4</w:t>
      </w:r>
      <w:r>
        <w:rPr>
          <w:rFonts w:ascii="Arial" w:hAnsi="Arial" w:cs="Arial"/>
          <w:b/>
          <w:bCs/>
          <w:sz w:val="20"/>
        </w:rPr>
        <w:tab/>
        <w:t>Interpreter</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586F6831" w14:textId="475D80DF" w:rsidR="006A0F25" w:rsidRDefault="00B21DA4" w:rsidP="006A0F25">
      <w:pPr>
        <w:jc w:val="both"/>
        <w:rPr>
          <w:rFonts w:ascii="Arial" w:hAnsi="Arial" w:cs="Arial"/>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p>
    <w:p w14:paraId="44FD0DA5" w14:textId="77777777" w:rsidR="006A0F25" w:rsidRDefault="006A0F25" w:rsidP="006A0F25">
      <w:pPr>
        <w:jc w:val="both"/>
        <w:rPr>
          <w:rFonts w:ascii="Arial" w:hAnsi="Arial" w:cs="Arial"/>
          <w:sz w:val="20"/>
        </w:rPr>
      </w:pPr>
    </w:p>
    <w:p w14:paraId="3B0157B8" w14:textId="77777777" w:rsidR="006A0F25" w:rsidRDefault="006A0F25" w:rsidP="006A0F25">
      <w:pPr>
        <w:jc w:val="both"/>
        <w:rPr>
          <w:rFonts w:ascii="Helvetica" w:hAnsi="Helvetica"/>
          <w:sz w:val="20"/>
        </w:rPr>
      </w:pPr>
      <w:r>
        <w:rPr>
          <w:rFonts w:ascii="Helvetica" w:hAnsi="Helvetica"/>
          <w:sz w:val="20"/>
        </w:rPr>
        <w:t xml:space="preserve">Speaking in the context of an appeal, Maxwell P, with whom Redlich JA &amp; </w:t>
      </w:r>
      <w:proofErr w:type="spellStart"/>
      <w:r>
        <w:rPr>
          <w:rFonts w:ascii="Helvetica" w:hAnsi="Helvetica"/>
          <w:sz w:val="20"/>
        </w:rPr>
        <w:t>Habersberger</w:t>
      </w:r>
      <w:proofErr w:type="spellEnd"/>
      <w:r>
        <w:rPr>
          <w:rFonts w:ascii="Helvetica" w:hAnsi="Helvetica"/>
          <w:sz w:val="20"/>
        </w:rPr>
        <w:t xml:space="preserve"> AJA agreed, said in </w:t>
      </w:r>
      <w:r w:rsidRPr="00CA0011">
        <w:rPr>
          <w:rFonts w:ascii="Helvetica" w:hAnsi="Helvetica"/>
          <w:i/>
          <w:sz w:val="20"/>
        </w:rPr>
        <w:t xml:space="preserve">R v </w:t>
      </w:r>
      <w:proofErr w:type="spellStart"/>
      <w:r w:rsidRPr="00CA0011">
        <w:rPr>
          <w:rFonts w:ascii="Helvetica" w:hAnsi="Helvetica"/>
          <w:i/>
          <w:sz w:val="20"/>
        </w:rPr>
        <w:t>Yasso</w:t>
      </w:r>
      <w:proofErr w:type="spellEnd"/>
      <w:r>
        <w:rPr>
          <w:rFonts w:ascii="Helvetica" w:hAnsi="Helvetica"/>
          <w:sz w:val="20"/>
        </w:rPr>
        <w:t xml:space="preserve"> [2007] VSCA 306 at [5]:</w:t>
      </w:r>
    </w:p>
    <w:p w14:paraId="3D8F1372" w14:textId="77777777" w:rsidR="006A0F25" w:rsidRDefault="006A0F25" w:rsidP="006A0F25">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 xml:space="preserve">R v Lee </w:t>
      </w:r>
      <w:proofErr w:type="spellStart"/>
      <w:r w:rsidRPr="00CA0011">
        <w:rPr>
          <w:rFonts w:ascii="Arial" w:hAnsi="Arial" w:cs="Arial"/>
          <w:i/>
          <w:sz w:val="20"/>
          <w:szCs w:val="20"/>
        </w:rPr>
        <w:t>Kun</w:t>
      </w:r>
      <w:proofErr w:type="spellEnd"/>
      <w:r w:rsidRPr="00CA0011">
        <w:rPr>
          <w:rFonts w:ascii="Arial" w:hAnsi="Arial" w:cs="Arial"/>
          <w:sz w:val="20"/>
          <w:szCs w:val="20"/>
        </w:rPr>
        <w:t xml:space="preserve"> [1916] 1 KB 337 (right of accused to an interpreter at trial); </w:t>
      </w:r>
      <w:proofErr w:type="spellStart"/>
      <w:r w:rsidRPr="00CA0011">
        <w:rPr>
          <w:rFonts w:ascii="Arial" w:hAnsi="Arial" w:cs="Arial"/>
          <w:i/>
          <w:iCs/>
          <w:sz w:val="20"/>
          <w:szCs w:val="20"/>
        </w:rPr>
        <w:t>Kunnath</w:t>
      </w:r>
      <w:proofErr w:type="spellEnd"/>
      <w:r w:rsidRPr="00CA0011">
        <w:rPr>
          <w:rFonts w:ascii="Arial" w:hAnsi="Arial" w:cs="Arial"/>
          <w:i/>
          <w:iCs/>
          <w:sz w:val="20"/>
          <w:szCs w:val="20"/>
        </w:rPr>
        <w:t xml:space="preserve"> v The State</w:t>
      </w:r>
      <w:r w:rsidRPr="00CA0011">
        <w:rPr>
          <w:rFonts w:ascii="Arial" w:hAnsi="Arial" w:cs="Arial"/>
          <w:sz w:val="20"/>
          <w:szCs w:val="20"/>
        </w:rPr>
        <w:t xml:space="preserve"> </w:t>
      </w:r>
      <w:hyperlink r:id="rId26"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 xml:space="preserve">R v </w:t>
      </w:r>
      <w:proofErr w:type="spellStart"/>
      <w:r w:rsidRPr="00CA0011">
        <w:rPr>
          <w:rFonts w:ascii="Arial" w:hAnsi="Arial" w:cs="Arial"/>
          <w:i/>
          <w:iCs/>
          <w:sz w:val="20"/>
          <w:szCs w:val="20"/>
        </w:rPr>
        <w:t>Saraya</w:t>
      </w:r>
      <w:proofErr w:type="spellEnd"/>
      <w:r w:rsidRPr="00CA0011">
        <w:rPr>
          <w:rFonts w:ascii="Arial" w:hAnsi="Arial" w:cs="Arial"/>
          <w:sz w:val="20"/>
          <w:szCs w:val="20"/>
        </w:rPr>
        <w:t xml:space="preserve"> (1993) 70 A Crim R 515 (deficient interpretation at criminal trial) </w:t>
      </w:r>
      <w:proofErr w:type="spellStart"/>
      <w:r w:rsidRPr="00CA0011">
        <w:rPr>
          <w:rFonts w:ascii="Arial" w:hAnsi="Arial" w:cs="Arial"/>
          <w:sz w:val="20"/>
          <w:szCs w:val="20"/>
        </w:rPr>
        <w:t>cf</w:t>
      </w:r>
      <w:proofErr w:type="spellEnd"/>
      <w:r w:rsidRPr="00CA0011">
        <w:rPr>
          <w:rFonts w:ascii="Arial" w:hAnsi="Arial" w:cs="Arial"/>
          <w:sz w:val="20"/>
          <w:szCs w:val="20"/>
        </w:rPr>
        <w:t xml:space="preserve"> </w:t>
      </w:r>
      <w:r w:rsidRPr="00CA0011">
        <w:rPr>
          <w:rFonts w:ascii="Arial" w:hAnsi="Arial" w:cs="Arial"/>
          <w:i/>
          <w:sz w:val="20"/>
          <w:szCs w:val="20"/>
        </w:rPr>
        <w:t xml:space="preserve">Fernando de la </w:t>
      </w:r>
      <w:proofErr w:type="spellStart"/>
      <w:r w:rsidRPr="00CA0011">
        <w:rPr>
          <w:rFonts w:ascii="Arial" w:hAnsi="Arial" w:cs="Arial"/>
          <w:i/>
          <w:sz w:val="20"/>
          <w:szCs w:val="20"/>
        </w:rPr>
        <w:t>Espriella</w:t>
      </w:r>
      <w:proofErr w:type="spellEnd"/>
      <w:r w:rsidRPr="00CA0011">
        <w:rPr>
          <w:rFonts w:ascii="Arial" w:hAnsi="Arial" w:cs="Arial"/>
          <w:i/>
          <w:sz w:val="20"/>
          <w:szCs w:val="20"/>
        </w:rPr>
        <w:t>-Velasco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34E9E1F1" w14:textId="77777777" w:rsidR="006A0F25" w:rsidRDefault="006A0F25" w:rsidP="006A0F25">
      <w:pPr>
        <w:jc w:val="both"/>
        <w:rPr>
          <w:rFonts w:ascii="Arial" w:hAnsi="Arial" w:cs="Arial"/>
          <w:sz w:val="20"/>
        </w:rPr>
      </w:pPr>
    </w:p>
    <w:p w14:paraId="78C83DD7" w14:textId="332CC110" w:rsidR="009659E4" w:rsidRDefault="004940A1">
      <w:pPr>
        <w:jc w:val="both"/>
        <w:rPr>
          <w:rFonts w:ascii="Arial" w:hAnsi="Arial" w:cs="Arial"/>
          <w:sz w:val="20"/>
        </w:rPr>
      </w:pPr>
      <w:r>
        <w:rPr>
          <w:rFonts w:ascii="Arial" w:hAnsi="Arial" w:cs="Arial"/>
          <w:sz w:val="20"/>
        </w:rPr>
        <w:t xml:space="preserve">See also </w:t>
      </w:r>
      <w:r w:rsidRPr="004940A1">
        <w:rPr>
          <w:rFonts w:ascii="Arial" w:hAnsi="Arial" w:cs="Arial"/>
          <w:i/>
          <w:iCs/>
          <w:sz w:val="20"/>
        </w:rPr>
        <w:t xml:space="preserve">Re East; ex </w:t>
      </w:r>
      <w:proofErr w:type="spellStart"/>
      <w:r w:rsidRPr="004940A1">
        <w:rPr>
          <w:rFonts w:ascii="Arial" w:hAnsi="Arial" w:cs="Arial"/>
          <w:i/>
          <w:iCs/>
          <w:sz w:val="20"/>
        </w:rPr>
        <w:t>parte</w:t>
      </w:r>
      <w:proofErr w:type="spellEnd"/>
      <w:r w:rsidRPr="004940A1">
        <w:rPr>
          <w:rFonts w:ascii="Arial" w:hAnsi="Arial" w:cs="Arial"/>
          <w:i/>
          <w:iCs/>
          <w:sz w:val="20"/>
        </w:rPr>
        <w:t xml:space="preserve"> Nguyen</w:t>
      </w:r>
      <w:r>
        <w:rPr>
          <w:rFonts w:ascii="Arial" w:hAnsi="Arial" w:cs="Arial"/>
          <w:sz w:val="20"/>
        </w:rPr>
        <w:t xml:space="preserve"> (1998) 196 CLR 354; [1998] HCA 73; </w:t>
      </w:r>
      <w:r w:rsidR="00A9329C" w:rsidRPr="00A9329C">
        <w:rPr>
          <w:rFonts w:ascii="Arial" w:hAnsi="Arial" w:cs="Arial"/>
          <w:i/>
          <w:iCs/>
          <w:sz w:val="20"/>
        </w:rPr>
        <w:t>Howard Nichols (a</w:t>
      </w:r>
      <w:r w:rsidR="00A9329C">
        <w:rPr>
          <w:rFonts w:ascii="Arial" w:hAnsi="Arial" w:cs="Arial"/>
          <w:i/>
          <w:iCs/>
          <w:sz w:val="20"/>
        </w:rPr>
        <w:t> </w:t>
      </w:r>
      <w:r w:rsidR="00A9329C" w:rsidRPr="00A9329C">
        <w:rPr>
          <w:rFonts w:ascii="Arial" w:hAnsi="Arial" w:cs="Arial"/>
          <w:i/>
          <w:iCs/>
          <w:sz w:val="20"/>
        </w:rPr>
        <w:t>pseudonym) v The Queen</w:t>
      </w:r>
      <w:r w:rsidR="00A9329C">
        <w:rPr>
          <w:rFonts w:ascii="Arial" w:hAnsi="Arial" w:cs="Arial"/>
          <w:sz w:val="20"/>
        </w:rPr>
        <w:t xml:space="preserve"> [2021] VSCA 273 at [47]-[60].</w:t>
      </w:r>
    </w:p>
    <w:p w14:paraId="59C97BAC" w14:textId="77777777" w:rsidR="009659E4" w:rsidRDefault="009659E4">
      <w:pPr>
        <w:jc w:val="both"/>
        <w:rPr>
          <w:rFonts w:ascii="Arial" w:hAnsi="Arial" w:cs="Arial"/>
          <w:sz w:val="20"/>
        </w:rPr>
      </w:pPr>
    </w:p>
    <w:p w14:paraId="04461DF9" w14:textId="7717AD15" w:rsidR="00BD3BA0" w:rsidRDefault="00BD3BA0">
      <w:pPr>
        <w:jc w:val="both"/>
        <w:rPr>
          <w:rFonts w:ascii="Arial" w:hAnsi="Arial" w:cs="Arial"/>
          <w:sz w:val="20"/>
        </w:rPr>
      </w:pPr>
      <w:r w:rsidRPr="001138E0">
        <w:rPr>
          <w:rFonts w:ascii="Arial" w:hAnsi="Arial" w:cs="Arial"/>
          <w:sz w:val="20"/>
          <w:szCs w:val="20"/>
        </w:rPr>
        <w:t xml:space="preserve">The role of a court interpreter </w:t>
      </w:r>
      <w:r>
        <w:rPr>
          <w:rFonts w:ascii="Arial" w:hAnsi="Arial" w:cs="Arial"/>
          <w:sz w:val="20"/>
          <w:szCs w:val="20"/>
        </w:rPr>
        <w:t>and the effect of an alleged mistranslation were</w:t>
      </w:r>
      <w:r w:rsidRPr="001138E0">
        <w:rPr>
          <w:rFonts w:ascii="Arial" w:hAnsi="Arial" w:cs="Arial"/>
          <w:sz w:val="20"/>
          <w:szCs w:val="20"/>
        </w:rPr>
        <w:t xml:space="preserve"> </w:t>
      </w:r>
      <w:r>
        <w:rPr>
          <w:rFonts w:ascii="Arial" w:hAnsi="Arial" w:cs="Arial"/>
          <w:sz w:val="20"/>
          <w:szCs w:val="20"/>
        </w:rPr>
        <w:t>explained</w:t>
      </w:r>
      <w:r w:rsidRPr="001138E0">
        <w:rPr>
          <w:rFonts w:ascii="Arial" w:hAnsi="Arial" w:cs="Arial"/>
          <w:sz w:val="20"/>
          <w:szCs w:val="20"/>
        </w:rPr>
        <w:t xml:space="preserve"> by the High Court in </w:t>
      </w:r>
      <w:r w:rsidRPr="001138E0">
        <w:rPr>
          <w:rFonts w:ascii="Arial" w:hAnsi="Arial" w:cs="Arial"/>
          <w:i/>
          <w:iCs/>
          <w:sz w:val="20"/>
          <w:szCs w:val="20"/>
        </w:rPr>
        <w:t>DVO16 v Minister for Immigration and Border Protection; BNB17 v Minister for Immigration and Border Protection</w:t>
      </w:r>
      <w:r w:rsidRPr="001138E0">
        <w:rPr>
          <w:rFonts w:ascii="Arial" w:hAnsi="Arial" w:cs="Arial"/>
          <w:sz w:val="20"/>
          <w:szCs w:val="20"/>
        </w:rPr>
        <w:t xml:space="preserve"> [2021] HCA 12 at [</w:t>
      </w:r>
      <w:r>
        <w:rPr>
          <w:rFonts w:ascii="Arial" w:hAnsi="Arial" w:cs="Arial"/>
          <w:sz w:val="20"/>
          <w:szCs w:val="20"/>
        </w:rPr>
        <w:t>4</w:t>
      </w:r>
      <w:r w:rsidRPr="001138E0">
        <w:rPr>
          <w:rFonts w:ascii="Arial" w:hAnsi="Arial" w:cs="Arial"/>
          <w:sz w:val="20"/>
          <w:szCs w:val="20"/>
        </w:rPr>
        <w:t>]</w:t>
      </w:r>
      <w:r>
        <w:rPr>
          <w:rFonts w:ascii="Arial" w:hAnsi="Arial" w:cs="Arial"/>
          <w:sz w:val="20"/>
          <w:szCs w:val="20"/>
        </w:rPr>
        <w:noBreakHyphen/>
      </w:r>
      <w:r w:rsidRPr="001138E0">
        <w:rPr>
          <w:rFonts w:ascii="Arial" w:hAnsi="Arial" w:cs="Arial"/>
          <w:sz w:val="20"/>
          <w:szCs w:val="20"/>
        </w:rPr>
        <w:t>[</w:t>
      </w:r>
      <w:r>
        <w:rPr>
          <w:rFonts w:ascii="Arial" w:hAnsi="Arial" w:cs="Arial"/>
          <w:sz w:val="20"/>
          <w:szCs w:val="20"/>
        </w:rPr>
        <w:t>8</w:t>
      </w:r>
      <w:r w:rsidRPr="001138E0">
        <w:rPr>
          <w:rFonts w:ascii="Arial" w:hAnsi="Arial" w:cs="Arial"/>
          <w:sz w:val="20"/>
          <w:szCs w:val="20"/>
        </w:rPr>
        <w:t>]</w:t>
      </w:r>
      <w:r>
        <w:rPr>
          <w:rFonts w:ascii="Arial" w:hAnsi="Arial" w:cs="Arial"/>
          <w:sz w:val="20"/>
          <w:szCs w:val="20"/>
        </w:rPr>
        <w:t xml:space="preserve"> as follows (</w:t>
      </w:r>
      <w:r w:rsidR="00FB31EB">
        <w:rPr>
          <w:rFonts w:ascii="Arial" w:hAnsi="Arial" w:cs="Arial"/>
          <w:sz w:val="20"/>
          <w:szCs w:val="20"/>
        </w:rPr>
        <w:t>some</w:t>
      </w:r>
      <w:r>
        <w:rPr>
          <w:rFonts w:ascii="Arial" w:hAnsi="Arial" w:cs="Arial"/>
          <w:sz w:val="20"/>
          <w:szCs w:val="20"/>
        </w:rPr>
        <w:t xml:space="preserve"> citations omitted):</w:t>
      </w:r>
    </w:p>
    <w:p w14:paraId="2336633A" w14:textId="302546C4" w:rsidR="00BD3BA0" w:rsidRDefault="00BD3BA0" w:rsidP="00201B53">
      <w:pPr>
        <w:spacing w:before="60"/>
        <w:ind w:left="454" w:right="454"/>
        <w:jc w:val="both"/>
        <w:rPr>
          <w:rFonts w:ascii="Arial" w:hAnsi="Arial" w:cs="Arial"/>
          <w:sz w:val="20"/>
          <w:szCs w:val="20"/>
        </w:rPr>
      </w:pPr>
      <w:r>
        <w:rPr>
          <w:rFonts w:ascii="Arial" w:hAnsi="Arial" w:cs="Arial"/>
          <w:iCs/>
          <w:sz w:val="20"/>
        </w:rPr>
        <w:t>[4] “</w:t>
      </w:r>
      <w:r w:rsidRPr="00BD3BA0">
        <w:rPr>
          <w:rFonts w:ascii="Arial" w:hAnsi="Arial" w:cs="Arial"/>
          <w:sz w:val="20"/>
          <w:szCs w:val="20"/>
        </w:rPr>
        <w:t>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 That, at least, is the ideal.</w:t>
      </w:r>
    </w:p>
    <w:p w14:paraId="1560947A" w14:textId="01E4299E" w:rsidR="002D645A" w:rsidRDefault="002D645A" w:rsidP="002D645A">
      <w:pPr>
        <w:spacing w:before="60"/>
        <w:ind w:left="454" w:right="454"/>
        <w:jc w:val="both"/>
        <w:rPr>
          <w:rFonts w:ascii="Arial" w:hAnsi="Arial" w:cs="Arial"/>
          <w:sz w:val="20"/>
          <w:szCs w:val="20"/>
        </w:rPr>
      </w:pPr>
      <w:r>
        <w:rPr>
          <w:rFonts w:ascii="Arial" w:hAnsi="Arial" w:cs="Arial"/>
          <w:iCs/>
          <w:sz w:val="20"/>
        </w:rPr>
        <w:t xml:space="preserve">[5] </w:t>
      </w:r>
      <w:r w:rsidRPr="002D645A">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2D645A">
        <w:rPr>
          <w:rFonts w:ascii="Arial" w:hAnsi="Arial" w:cs="Arial"/>
          <w:sz w:val="20"/>
          <w:szCs w:val="20"/>
        </w:rPr>
        <w:t>translating machine</w:t>
      </w:r>
      <w:r>
        <w:rPr>
          <w:rFonts w:ascii="Arial" w:hAnsi="Arial" w:cs="Arial"/>
          <w:sz w:val="20"/>
          <w:szCs w:val="20"/>
        </w:rPr>
        <w:t>’</w:t>
      </w:r>
      <w:r w:rsidRPr="002D645A">
        <w:rPr>
          <w:rFonts w:ascii="Arial" w:hAnsi="Arial" w:cs="Arial"/>
          <w:sz w:val="20"/>
          <w:szCs w:val="20"/>
        </w:rPr>
        <w:t xml:space="preserve"> or </w:t>
      </w:r>
      <w:r>
        <w:rPr>
          <w:rFonts w:ascii="Arial" w:hAnsi="Arial" w:cs="Arial"/>
          <w:sz w:val="20"/>
          <w:szCs w:val="20"/>
        </w:rPr>
        <w:t>‘</w:t>
      </w:r>
      <w:r w:rsidRPr="002D645A">
        <w:rPr>
          <w:rFonts w:ascii="Arial" w:hAnsi="Arial" w:cs="Arial"/>
          <w:sz w:val="20"/>
          <w:szCs w:val="20"/>
        </w:rPr>
        <w:t>bilingual transmitter</w:t>
      </w:r>
      <w:r>
        <w:rPr>
          <w:rFonts w:ascii="Arial" w:hAnsi="Arial" w:cs="Arial"/>
          <w:sz w:val="20"/>
          <w:szCs w:val="20"/>
        </w:rPr>
        <w:t>’</w:t>
      </w:r>
      <w:r w:rsidRPr="002D645A">
        <w:rPr>
          <w:rFonts w:ascii="Arial" w:hAnsi="Arial" w:cs="Arial"/>
          <w:sz w:val="20"/>
          <w:szCs w:val="20"/>
        </w:rPr>
        <w:t xml:space="preserve"> performing a function </w:t>
      </w:r>
      <w:r>
        <w:rPr>
          <w:rFonts w:ascii="Arial" w:hAnsi="Arial" w:cs="Arial"/>
          <w:sz w:val="20"/>
          <w:szCs w:val="20"/>
        </w:rPr>
        <w:t>‘</w:t>
      </w:r>
      <w:r w:rsidRPr="002D645A">
        <w:rPr>
          <w:rFonts w:ascii="Arial" w:hAnsi="Arial" w:cs="Arial"/>
          <w:sz w:val="20"/>
          <w:szCs w:val="20"/>
        </w:rPr>
        <w:t xml:space="preserve">not different in principle from that which in another case an electrical instrument might fulfil in overcoming the barrier of distance’: </w:t>
      </w:r>
      <w:proofErr w:type="spellStart"/>
      <w:r w:rsidRPr="002D645A">
        <w:rPr>
          <w:rFonts w:ascii="Arial" w:hAnsi="Arial" w:cs="Arial"/>
          <w:i/>
          <w:sz w:val="20"/>
          <w:szCs w:val="20"/>
        </w:rPr>
        <w:t>Gaio</w:t>
      </w:r>
      <w:proofErr w:type="spellEnd"/>
      <w:r w:rsidRPr="002D645A">
        <w:rPr>
          <w:rFonts w:ascii="Arial" w:hAnsi="Arial" w:cs="Arial"/>
          <w:i/>
          <w:sz w:val="20"/>
          <w:szCs w:val="20"/>
        </w:rPr>
        <w:t xml:space="preserve"> v The Queen</w:t>
      </w:r>
      <w:r w:rsidRPr="002D645A">
        <w:rPr>
          <w:rFonts w:ascii="Arial" w:hAnsi="Arial" w:cs="Arial"/>
          <w:sz w:val="20"/>
          <w:szCs w:val="20"/>
        </w:rPr>
        <w:t xml:space="preserve"> (1960) 104 CLR 419 at 430-431. See</w:t>
      </w:r>
      <w:r>
        <w:rPr>
          <w:rFonts w:ascii="Arial" w:hAnsi="Arial" w:cs="Arial"/>
          <w:sz w:val="20"/>
          <w:szCs w:val="20"/>
        </w:rPr>
        <w:t> </w:t>
      </w:r>
      <w:r w:rsidRPr="002D645A">
        <w:rPr>
          <w:rFonts w:ascii="Arial" w:hAnsi="Arial" w:cs="Arial"/>
          <w:sz w:val="20"/>
          <w:szCs w:val="20"/>
        </w:rPr>
        <w:t>also at 429, 432-433.</w:t>
      </w:r>
      <w:r>
        <w:rPr>
          <w:rFonts w:ascii="Arial" w:hAnsi="Arial" w:cs="Arial"/>
          <w:sz w:val="20"/>
          <w:szCs w:val="20"/>
        </w:rPr>
        <w:t xml:space="preserve">  </w:t>
      </w:r>
      <w:r w:rsidRPr="002D645A">
        <w:rPr>
          <w:rFonts w:ascii="Arial" w:hAnsi="Arial" w:cs="Arial"/>
          <w:sz w:val="20"/>
          <w:szCs w:val="20"/>
        </w:rPr>
        <w:t xml:space="preserve">More accurate is to conceive of an interpreter as a </w:t>
      </w:r>
      <w:r>
        <w:rPr>
          <w:rFonts w:ascii="Arial" w:hAnsi="Arial" w:cs="Arial"/>
          <w:sz w:val="20"/>
          <w:szCs w:val="20"/>
        </w:rPr>
        <w:t>‘</w:t>
      </w:r>
      <w:r w:rsidRPr="002D645A">
        <w:rPr>
          <w:rFonts w:ascii="Arial" w:hAnsi="Arial" w:cs="Arial"/>
          <w:sz w:val="20"/>
          <w:szCs w:val="20"/>
        </w:rPr>
        <w:t>bilingual mediating agent between monolingual communication participants in two different language communities</w:t>
      </w:r>
      <w:r>
        <w:rPr>
          <w:rFonts w:ascii="Arial" w:hAnsi="Arial" w:cs="Arial"/>
          <w:sz w:val="20"/>
          <w:szCs w:val="20"/>
        </w:rPr>
        <w:t>’</w:t>
      </w:r>
      <w:r w:rsidRPr="002D645A">
        <w:rPr>
          <w:rFonts w:ascii="Arial" w:hAnsi="Arial" w:cs="Arial"/>
          <w:sz w:val="20"/>
          <w:szCs w:val="20"/>
        </w:rPr>
        <w:t xml:space="preserve"> and to recognise that </w:t>
      </w:r>
      <w:r>
        <w:rPr>
          <w:rFonts w:ascii="Arial" w:hAnsi="Arial" w:cs="Arial"/>
          <w:sz w:val="20"/>
          <w:szCs w:val="20"/>
        </w:rPr>
        <w:t>‘</w:t>
      </w:r>
      <w:r w:rsidRPr="002D645A">
        <w:rPr>
          <w:rFonts w:ascii="Arial" w:hAnsi="Arial" w:cs="Arial"/>
          <w:sz w:val="20"/>
          <w:szCs w:val="20"/>
        </w:rPr>
        <w:t>total equivalence</w:t>
      </w:r>
      <w:r>
        <w:rPr>
          <w:rFonts w:ascii="Arial" w:hAnsi="Arial" w:cs="Arial"/>
          <w:sz w:val="20"/>
          <w:szCs w:val="20"/>
        </w:rPr>
        <w:t>’</w:t>
      </w:r>
      <w:r w:rsidRPr="002D645A">
        <w:rPr>
          <w:rFonts w:ascii="Arial" w:hAnsi="Arial" w:cs="Arial"/>
          <w:sz w:val="20"/>
          <w:szCs w:val="20"/>
        </w:rPr>
        <w:t xml:space="preserve"> between words spoken or written in a source language and words translated into a target language is a </w:t>
      </w:r>
      <w:r>
        <w:rPr>
          <w:rFonts w:ascii="Arial" w:hAnsi="Arial" w:cs="Arial"/>
          <w:sz w:val="20"/>
          <w:szCs w:val="20"/>
        </w:rPr>
        <w:t>‘</w:t>
      </w:r>
      <w:r w:rsidRPr="002D645A">
        <w:rPr>
          <w:rFonts w:ascii="Arial" w:hAnsi="Arial" w:cs="Arial"/>
          <w:sz w:val="20"/>
          <w:szCs w:val="20"/>
        </w:rPr>
        <w:t>chimera</w:t>
      </w:r>
      <w:r>
        <w:rPr>
          <w:rFonts w:ascii="Arial" w:hAnsi="Arial" w:cs="Arial"/>
          <w:sz w:val="20"/>
          <w:szCs w:val="20"/>
        </w:rPr>
        <w:t>’</w:t>
      </w:r>
      <w:r w:rsidRPr="002D645A">
        <w:rPr>
          <w:rFonts w:ascii="Arial" w:hAnsi="Arial" w:cs="Arial"/>
          <w:sz w:val="20"/>
          <w:szCs w:val="20"/>
        </w:rPr>
        <w:t xml:space="preserve">. Translation is not a </w:t>
      </w:r>
      <w:r>
        <w:rPr>
          <w:rFonts w:ascii="Arial" w:hAnsi="Arial" w:cs="Arial"/>
          <w:sz w:val="20"/>
          <w:szCs w:val="20"/>
        </w:rPr>
        <w:t>‘</w:t>
      </w:r>
      <w:r w:rsidRPr="002D645A">
        <w:rPr>
          <w:rFonts w:ascii="Arial" w:hAnsi="Arial" w:cs="Arial"/>
          <w:sz w:val="20"/>
          <w:szCs w:val="20"/>
        </w:rPr>
        <w:t>simple word-matching exercise</w:t>
      </w:r>
      <w:r>
        <w:rPr>
          <w:rFonts w:ascii="Arial" w:hAnsi="Arial" w:cs="Arial"/>
          <w:sz w:val="20"/>
          <w:szCs w:val="20"/>
        </w:rPr>
        <w:t>’</w:t>
      </w:r>
      <w:r w:rsidRPr="002D645A">
        <w:rPr>
          <w:rFonts w:ascii="Arial" w:hAnsi="Arial" w:cs="Arial"/>
          <w:sz w:val="20"/>
          <w:szCs w:val="20"/>
        </w:rPr>
        <w:t xml:space="preserve"> but </w:t>
      </w:r>
      <w:r>
        <w:rPr>
          <w:rFonts w:ascii="Arial" w:hAnsi="Arial" w:cs="Arial"/>
          <w:sz w:val="20"/>
          <w:szCs w:val="20"/>
        </w:rPr>
        <w:t>‘</w:t>
      </w:r>
      <w:r w:rsidRPr="002D645A">
        <w:rPr>
          <w:rFonts w:ascii="Arial" w:hAnsi="Arial" w:cs="Arial"/>
          <w:sz w:val="20"/>
          <w:szCs w:val="20"/>
        </w:rPr>
        <w:t>a difficult and sophisticated art</w:t>
      </w:r>
      <w:r>
        <w:rPr>
          <w:rFonts w:ascii="Arial" w:hAnsi="Arial" w:cs="Arial"/>
          <w:sz w:val="20"/>
          <w:szCs w:val="20"/>
        </w:rPr>
        <w:t>’</w:t>
      </w:r>
      <w:r w:rsidRPr="002D645A">
        <w:rPr>
          <w:rFonts w:ascii="Arial" w:hAnsi="Arial" w:cs="Arial"/>
          <w:sz w:val="20"/>
          <w:szCs w:val="20"/>
        </w:rPr>
        <w:t xml:space="preserve"> which, </w:t>
      </w:r>
      <w:r>
        <w:rPr>
          <w:rFonts w:ascii="Arial" w:hAnsi="Arial" w:cs="Arial"/>
          <w:sz w:val="20"/>
          <w:szCs w:val="20"/>
        </w:rPr>
        <w:t>‘</w:t>
      </w:r>
      <w:r w:rsidRPr="002D645A">
        <w:rPr>
          <w:rFonts w:ascii="Arial" w:hAnsi="Arial" w:cs="Arial"/>
          <w:sz w:val="20"/>
          <w:szCs w:val="20"/>
        </w:rPr>
        <w:t>[t]o be done well</w:t>
      </w:r>
      <w:r>
        <w:rPr>
          <w:rFonts w:ascii="Arial" w:hAnsi="Arial" w:cs="Arial"/>
          <w:sz w:val="20"/>
          <w:szCs w:val="20"/>
        </w:rPr>
        <w:t>’</w:t>
      </w:r>
      <w:r w:rsidRPr="002D645A">
        <w:rPr>
          <w:rFonts w:ascii="Arial" w:hAnsi="Arial" w:cs="Arial"/>
          <w:sz w:val="20"/>
          <w:szCs w:val="20"/>
        </w:rPr>
        <w:t xml:space="preserve">, </w:t>
      </w:r>
      <w:r>
        <w:rPr>
          <w:rFonts w:ascii="Arial" w:hAnsi="Arial" w:cs="Arial"/>
          <w:sz w:val="20"/>
          <w:szCs w:val="20"/>
        </w:rPr>
        <w:t>‘</w:t>
      </w:r>
      <w:r w:rsidRPr="002D645A">
        <w:rPr>
          <w:rFonts w:ascii="Arial" w:hAnsi="Arial" w:cs="Arial"/>
          <w:sz w:val="20"/>
          <w:szCs w:val="20"/>
        </w:rPr>
        <w:t>requires not only linguistic sophistication and sensitivity to 'minor' linguistic details (which may be correlated with vast differences in conceptualization), but also an intimate knowledge of the cultures associated with the language in question, of the social and political organization of the relevant countries, and of the world-views and life styles reflected in the linguistic structure</w:t>
      </w:r>
      <w:r>
        <w:rPr>
          <w:rFonts w:ascii="Arial" w:hAnsi="Arial" w:cs="Arial"/>
          <w:sz w:val="20"/>
          <w:szCs w:val="20"/>
        </w:rPr>
        <w:t>’</w:t>
      </w:r>
      <w:r w:rsidRPr="002D645A">
        <w:rPr>
          <w:rFonts w:ascii="Arial" w:hAnsi="Arial" w:cs="Arial"/>
          <w:sz w:val="20"/>
          <w:szCs w:val="20"/>
        </w:rPr>
        <w:t>.</w:t>
      </w:r>
    </w:p>
    <w:p w14:paraId="291D4115" w14:textId="3C5B2800"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[6] </w:t>
      </w:r>
      <w:r w:rsidRPr="002D645A">
        <w:rPr>
          <w:rFonts w:ascii="Arial" w:hAnsi="Arial" w:cs="Arial"/>
          <w:sz w:val="20"/>
          <w:szCs w:val="20"/>
        </w:rPr>
        <w:t xml:space="preserve">Professor </w:t>
      </w:r>
      <w:proofErr w:type="spellStart"/>
      <w:r w:rsidRPr="002D645A">
        <w:rPr>
          <w:rFonts w:ascii="Arial" w:hAnsi="Arial" w:cs="Arial"/>
          <w:sz w:val="20"/>
          <w:szCs w:val="20"/>
        </w:rPr>
        <w:t>Wigmore</w:t>
      </w:r>
      <w:proofErr w:type="spellEnd"/>
      <w:r w:rsidRPr="002D645A">
        <w:rPr>
          <w:rFonts w:ascii="Arial" w:hAnsi="Arial" w:cs="Arial"/>
          <w:sz w:val="20"/>
          <w:szCs w:val="20"/>
        </w:rPr>
        <w:t xml:space="preserve"> noted the </w:t>
      </w:r>
      <w:r>
        <w:rPr>
          <w:rFonts w:ascii="Arial" w:hAnsi="Arial" w:cs="Arial"/>
          <w:sz w:val="20"/>
          <w:szCs w:val="20"/>
        </w:rPr>
        <w:t>‘</w:t>
      </w:r>
      <w:r w:rsidRPr="002D645A">
        <w:rPr>
          <w:rFonts w:ascii="Arial" w:hAnsi="Arial" w:cs="Arial"/>
          <w:sz w:val="20"/>
          <w:szCs w:val="20"/>
        </w:rPr>
        <w:t>peculiarity</w:t>
      </w:r>
      <w:r>
        <w:rPr>
          <w:rFonts w:ascii="Arial" w:hAnsi="Arial" w:cs="Arial"/>
          <w:sz w:val="20"/>
          <w:szCs w:val="20"/>
        </w:rPr>
        <w:t>’</w:t>
      </w:r>
      <w:r w:rsidRPr="002D645A">
        <w:rPr>
          <w:rFonts w:ascii="Arial" w:hAnsi="Arial" w:cs="Arial"/>
          <w:sz w:val="20"/>
          <w:szCs w:val="20"/>
        </w:rPr>
        <w:t xml:space="preserve"> of language that </w:t>
      </w:r>
      <w:r>
        <w:rPr>
          <w:rFonts w:ascii="Arial" w:hAnsi="Arial" w:cs="Arial"/>
          <w:sz w:val="20"/>
          <w:szCs w:val="20"/>
        </w:rPr>
        <w:t>‘</w:t>
      </w:r>
      <w:r w:rsidRPr="002D645A">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Pr>
          <w:rFonts w:ascii="Arial" w:hAnsi="Arial" w:cs="Arial"/>
          <w:sz w:val="20"/>
          <w:szCs w:val="20"/>
        </w:rPr>
        <w:t>’</w:t>
      </w:r>
      <w:r w:rsidRPr="002D645A">
        <w:rPr>
          <w:rFonts w:ascii="Arial" w:hAnsi="Arial" w:cs="Arial"/>
          <w:sz w:val="20"/>
          <w:szCs w:val="20"/>
        </w:rPr>
        <w:t xml:space="preserve">. 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‘Perfect interpretations’ simply ‘do not exist’: see </w:t>
      </w:r>
      <w:proofErr w:type="spellStart"/>
      <w:r w:rsidRPr="002D645A">
        <w:rPr>
          <w:rFonts w:ascii="Arial" w:hAnsi="Arial" w:cs="Arial"/>
          <w:i/>
          <w:sz w:val="20"/>
          <w:szCs w:val="20"/>
        </w:rPr>
        <w:t>Perera</w:t>
      </w:r>
      <w:proofErr w:type="spellEnd"/>
      <w:r w:rsidRPr="002D645A">
        <w:rPr>
          <w:rFonts w:ascii="Arial" w:hAnsi="Arial" w:cs="Arial"/>
          <w:i/>
          <w:sz w:val="20"/>
          <w:szCs w:val="20"/>
        </w:rPr>
        <w:t xml:space="preserve"> v Minister for Immigration and Multicultural Affairs</w:t>
      </w:r>
      <w:r w:rsidRPr="002D645A">
        <w:rPr>
          <w:rFonts w:ascii="Arial" w:hAnsi="Arial" w:cs="Arial"/>
          <w:sz w:val="20"/>
          <w:szCs w:val="20"/>
        </w:rPr>
        <w:t xml:space="preserve"> (1999) 92 FCR 6 at 18 [26].</w:t>
      </w:r>
    </w:p>
    <w:p w14:paraId="3D1BDBB5" w14:textId="75E3C94C"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[7] </w:t>
      </w:r>
      <w:r w:rsidRPr="002D645A">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7E46750D" w14:textId="3B8C1ACE" w:rsidR="002D645A" w:rsidRPr="004C0561" w:rsidRDefault="002D645A" w:rsidP="002D645A">
      <w:pPr>
        <w:spacing w:before="60"/>
        <w:ind w:left="454" w:right="454"/>
        <w:jc w:val="both"/>
        <w:rPr>
          <w:rFonts w:ascii="Arial" w:hAnsi="Arial" w:cs="Arial"/>
          <w:sz w:val="20"/>
          <w:szCs w:val="20"/>
        </w:rPr>
      </w:pPr>
      <w:r>
        <w:rPr>
          <w:rFonts w:ascii="Arial" w:hAnsi="Arial" w:cs="Arial"/>
          <w:sz w:val="20"/>
          <w:szCs w:val="20"/>
        </w:rPr>
        <w:t xml:space="preserve">[8] </w:t>
      </w:r>
      <w:r w:rsidRPr="002D645A">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Pr>
          <w:rFonts w:ascii="Arial" w:hAnsi="Arial" w:cs="Arial"/>
          <w:sz w:val="20"/>
          <w:szCs w:val="20"/>
        </w:rPr>
        <w:t>-</w:t>
      </w:r>
      <w:r w:rsidRPr="002D645A">
        <w:rPr>
          <w:rFonts w:ascii="Arial" w:hAnsi="Arial" w:cs="Arial"/>
          <w:sz w:val="20"/>
          <w:szCs w:val="20"/>
        </w:rPr>
        <w:t xml:space="preserve">making process and sets the limits of decision-making authority: </w:t>
      </w:r>
      <w:r w:rsidRPr="002D645A">
        <w:rPr>
          <w:rFonts w:ascii="Arial" w:hAnsi="Arial" w:cs="Arial"/>
          <w:i/>
          <w:sz w:val="20"/>
          <w:szCs w:val="20"/>
        </w:rPr>
        <w:t>Hossain v Minister for Immigration and Border Protection</w:t>
      </w:r>
      <w:r w:rsidRPr="002D645A">
        <w:rPr>
          <w:rFonts w:ascii="Arial" w:hAnsi="Arial" w:cs="Arial"/>
          <w:sz w:val="20"/>
          <w:szCs w:val="20"/>
        </w:rPr>
        <w:t xml:space="preserve"> (2018) 264 CLR 123 at 132 [23], 145 [66]; </w:t>
      </w:r>
      <w:r w:rsidRPr="002D645A">
        <w:rPr>
          <w:rFonts w:ascii="Arial" w:hAnsi="Arial" w:cs="Arial"/>
          <w:i/>
          <w:sz w:val="20"/>
          <w:szCs w:val="20"/>
        </w:rPr>
        <w:t>Minister for Home Affairs v DUA16</w:t>
      </w:r>
      <w:r w:rsidRPr="002D645A">
        <w:rPr>
          <w:rFonts w:ascii="Arial" w:hAnsi="Arial" w:cs="Arial"/>
          <w:sz w:val="20"/>
          <w:szCs w:val="20"/>
        </w:rPr>
        <w:t xml:space="preserve"> (2020) 95 ALJR 54 at 59 [15]; 385 ALR 212 at 217. In a decision</w:t>
      </w:r>
      <w:r>
        <w:rPr>
          <w:rFonts w:ascii="Arial" w:hAnsi="Arial" w:cs="Arial"/>
          <w:sz w:val="20"/>
          <w:szCs w:val="20"/>
        </w:rPr>
        <w:t>-</w:t>
      </w:r>
      <w:r w:rsidRPr="002D645A">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sidR="004C0561">
        <w:rPr>
          <w:rFonts w:ascii="Arial" w:hAnsi="Arial" w:cs="Arial"/>
          <w:sz w:val="20"/>
          <w:szCs w:val="20"/>
        </w:rPr>
        <w:t>‘</w:t>
      </w:r>
      <w:r w:rsidRPr="002D645A">
        <w:rPr>
          <w:rFonts w:ascii="Arial" w:hAnsi="Arial" w:cs="Arial"/>
          <w:sz w:val="20"/>
          <w:szCs w:val="20"/>
        </w:rPr>
        <w:t>unfairness</w:t>
      </w:r>
      <w:r w:rsidR="004C0561">
        <w:rPr>
          <w:rFonts w:ascii="Arial" w:hAnsi="Arial" w:cs="Arial"/>
          <w:sz w:val="20"/>
          <w:szCs w:val="20"/>
        </w:rPr>
        <w:t>’</w:t>
      </w:r>
      <w:r w:rsidRPr="002D645A">
        <w:rPr>
          <w:rFonts w:ascii="Arial" w:hAnsi="Arial" w:cs="Arial"/>
          <w:sz w:val="20"/>
          <w:szCs w:val="20"/>
        </w:rPr>
        <w:t xml:space="preserve"> in the </w:t>
      </w:r>
      <w:r w:rsidRPr="004C0561">
        <w:rPr>
          <w:rFonts w:ascii="Arial" w:hAnsi="Arial" w:cs="Arial"/>
          <w:sz w:val="20"/>
          <w:szCs w:val="20"/>
        </w:rPr>
        <w:t>decision-making process (</w:t>
      </w:r>
      <w:r w:rsidRPr="004C0561">
        <w:rPr>
          <w:rFonts w:ascii="Arial" w:hAnsi="Arial" w:cs="Arial"/>
          <w:i/>
          <w:sz w:val="20"/>
          <w:szCs w:val="20"/>
        </w:rPr>
        <w:t>SZRMQ v Minister for Immigration and Border Protection</w:t>
      </w:r>
      <w:r w:rsidRPr="004C0561">
        <w:rPr>
          <w:rFonts w:ascii="Arial" w:hAnsi="Arial" w:cs="Arial"/>
          <w:sz w:val="20"/>
          <w:szCs w:val="20"/>
        </w:rPr>
        <w:t xml:space="preserve"> (2013) 219 FCR 212 at 215-216 [9]-[10], 219 [24], 224-225 [46]-[48], 229-230 [65]-[75]</w:t>
      </w:r>
      <w:r w:rsidR="004C0561">
        <w:rPr>
          <w:rFonts w:ascii="Arial" w:hAnsi="Arial" w:cs="Arial"/>
          <w:sz w:val="20"/>
          <w:szCs w:val="20"/>
        </w:rPr>
        <w:t xml:space="preserve">) </w:t>
      </w:r>
      <w:r w:rsidRPr="004C0561">
        <w:rPr>
          <w:rFonts w:ascii="Arial" w:hAnsi="Arial" w:cs="Arial"/>
          <w:sz w:val="20"/>
          <w:szCs w:val="20"/>
        </w:rPr>
        <w:t xml:space="preserve">amounting to </w:t>
      </w:r>
      <w:r w:rsidR="004C0561">
        <w:rPr>
          <w:rFonts w:ascii="Arial" w:hAnsi="Arial" w:cs="Arial"/>
          <w:sz w:val="20"/>
          <w:szCs w:val="20"/>
        </w:rPr>
        <w:t>‘</w:t>
      </w:r>
      <w:r w:rsidRPr="004C0561">
        <w:rPr>
          <w:rFonts w:ascii="Arial" w:hAnsi="Arial" w:cs="Arial"/>
          <w:sz w:val="20"/>
          <w:szCs w:val="20"/>
        </w:rPr>
        <w:t>practical injustice</w:t>
      </w:r>
      <w:r w:rsidR="004C0561">
        <w:rPr>
          <w:rFonts w:ascii="Arial" w:hAnsi="Arial" w:cs="Arial"/>
          <w:sz w:val="20"/>
          <w:szCs w:val="20"/>
        </w:rPr>
        <w:t xml:space="preserve">’: </w:t>
      </w:r>
      <w:r w:rsidR="004C0561" w:rsidRPr="004C0561">
        <w:rPr>
          <w:rFonts w:ascii="Arial" w:hAnsi="Arial" w:cs="Arial"/>
          <w:i/>
          <w:sz w:val="20"/>
          <w:szCs w:val="20"/>
        </w:rPr>
        <w:t>Re Minister for Immigration and Multicultural and Indigenous Affairs;</w:t>
      </w:r>
      <w:r w:rsidR="004C0561" w:rsidRPr="004C0561">
        <w:rPr>
          <w:rFonts w:ascii="Arial" w:hAnsi="Arial" w:cs="Arial"/>
          <w:sz w:val="20"/>
          <w:szCs w:val="20"/>
        </w:rPr>
        <w:t xml:space="preserve"> </w:t>
      </w:r>
      <w:r w:rsidR="004C0561" w:rsidRPr="004C0561">
        <w:rPr>
          <w:rFonts w:ascii="Arial" w:hAnsi="Arial" w:cs="Arial"/>
          <w:i/>
          <w:sz w:val="20"/>
          <w:szCs w:val="20"/>
        </w:rPr>
        <w:t xml:space="preserve">Ex </w:t>
      </w:r>
      <w:proofErr w:type="spellStart"/>
      <w:r w:rsidR="004C0561" w:rsidRPr="004C0561">
        <w:rPr>
          <w:rFonts w:ascii="Arial" w:hAnsi="Arial" w:cs="Arial"/>
          <w:i/>
          <w:sz w:val="20"/>
          <w:szCs w:val="20"/>
        </w:rPr>
        <w:t>parte</w:t>
      </w:r>
      <w:proofErr w:type="spellEnd"/>
      <w:r w:rsidR="004C0561" w:rsidRPr="004C0561">
        <w:rPr>
          <w:rFonts w:ascii="Arial" w:hAnsi="Arial" w:cs="Arial"/>
          <w:i/>
          <w:sz w:val="20"/>
          <w:szCs w:val="20"/>
        </w:rPr>
        <w:t xml:space="preserve"> Lam</w:t>
      </w:r>
      <w:r w:rsidR="004C0561" w:rsidRPr="004C0561">
        <w:rPr>
          <w:rFonts w:ascii="Arial" w:hAnsi="Arial" w:cs="Arial"/>
          <w:sz w:val="20"/>
          <w:szCs w:val="20"/>
        </w:rPr>
        <w:t xml:space="preserve"> (2003) 214 CLR 1 at 14 [37].</w:t>
      </w:r>
      <w:r w:rsidR="004C0561">
        <w:t xml:space="preserve"> </w:t>
      </w:r>
      <w:r w:rsidRPr="004C0561">
        <w:rPr>
          <w:rFonts w:ascii="Arial" w:hAnsi="Arial" w:cs="Arial"/>
          <w:sz w:val="20"/>
          <w:szCs w:val="20"/>
        </w:rPr>
        <w:t>In a decision-making process</w:t>
      </w:r>
      <w:r w:rsidRPr="002D645A">
        <w:rPr>
          <w:rFonts w:ascii="Arial" w:hAnsi="Arial" w:cs="Arial"/>
          <w:sz w:val="20"/>
          <w:szCs w:val="20"/>
        </w:rPr>
        <w:t xml:space="preserve"> in which procedural fairness is excluded or is sufficiently provided if specific statutory requirements are met, the </w:t>
      </w:r>
      <w:r w:rsidRPr="004C0561">
        <w:rPr>
          <w:rFonts w:ascii="Arial" w:hAnsi="Arial" w:cs="Arial"/>
          <w:sz w:val="20"/>
          <w:szCs w:val="20"/>
        </w:rPr>
        <w:t xml:space="preserve">effect of a mistranslation on the resultant decision will turn on the </w:t>
      </w:r>
      <w:r w:rsidR="004C0561" w:rsidRPr="004C0561">
        <w:rPr>
          <w:rFonts w:ascii="Arial" w:hAnsi="Arial" w:cs="Arial"/>
          <w:sz w:val="20"/>
          <w:szCs w:val="20"/>
        </w:rPr>
        <w:t>‘</w:t>
      </w:r>
      <w:r w:rsidRPr="004C0561">
        <w:rPr>
          <w:rFonts w:ascii="Arial" w:hAnsi="Arial" w:cs="Arial"/>
          <w:sz w:val="20"/>
          <w:szCs w:val="20"/>
        </w:rPr>
        <w:t>blunter question</w:t>
      </w:r>
      <w:r w:rsidR="004C0561" w:rsidRPr="004C0561">
        <w:rPr>
          <w:rFonts w:ascii="Arial" w:hAnsi="Arial" w:cs="Arial"/>
          <w:sz w:val="20"/>
          <w:szCs w:val="20"/>
        </w:rPr>
        <w:t>’</w:t>
      </w:r>
      <w:r w:rsidRPr="004C0561">
        <w:rPr>
          <w:rFonts w:ascii="Arial" w:hAnsi="Arial" w:cs="Arial"/>
          <w:sz w:val="20"/>
          <w:szCs w:val="20"/>
        </w:rPr>
        <w:t xml:space="preserve"> </w:t>
      </w:r>
      <w:r w:rsidR="004C0561" w:rsidRPr="004C0561">
        <w:rPr>
          <w:rFonts w:ascii="Arial" w:hAnsi="Arial" w:cs="Arial"/>
          <w:sz w:val="20"/>
          <w:szCs w:val="20"/>
        </w:rPr>
        <w:t>(</w:t>
      </w:r>
      <w:r w:rsidR="004C0561" w:rsidRPr="004C0561">
        <w:rPr>
          <w:rFonts w:ascii="Arial" w:hAnsi="Arial" w:cs="Arial"/>
          <w:i/>
          <w:sz w:val="20"/>
          <w:szCs w:val="20"/>
        </w:rPr>
        <w:t>SZRMQ v Minister for Immigration and Border Protection</w:t>
      </w:r>
      <w:r w:rsidR="004C0561" w:rsidRPr="004C0561">
        <w:rPr>
          <w:rFonts w:ascii="Arial" w:hAnsi="Arial" w:cs="Arial"/>
          <w:sz w:val="20"/>
          <w:szCs w:val="20"/>
        </w:rPr>
        <w:t xml:space="preserve"> (2013) 219 FCR 212 at 230 [74], citing </w:t>
      </w:r>
      <w:proofErr w:type="spellStart"/>
      <w:r w:rsidR="004C0561" w:rsidRPr="004C0561">
        <w:rPr>
          <w:rFonts w:ascii="Arial" w:hAnsi="Arial" w:cs="Arial"/>
          <w:i/>
          <w:sz w:val="20"/>
          <w:szCs w:val="20"/>
        </w:rPr>
        <w:t>Perera</w:t>
      </w:r>
      <w:proofErr w:type="spellEnd"/>
      <w:r w:rsidR="004C0561" w:rsidRPr="004C0561">
        <w:rPr>
          <w:rFonts w:ascii="Arial" w:hAnsi="Arial" w:cs="Arial"/>
          <w:i/>
          <w:sz w:val="20"/>
          <w:szCs w:val="20"/>
        </w:rPr>
        <w:t xml:space="preserve"> v Minister for Immigration and Multicultural Affairs</w:t>
      </w:r>
      <w:r w:rsidR="004C0561" w:rsidRPr="004C0561">
        <w:rPr>
          <w:rFonts w:ascii="Arial" w:hAnsi="Arial" w:cs="Arial"/>
          <w:sz w:val="20"/>
          <w:szCs w:val="20"/>
        </w:rPr>
        <w:t xml:space="preserve"> (1999) 92 FCR 6</w:t>
      </w:r>
      <w:r w:rsidR="004C0561">
        <w:rPr>
          <w:rFonts w:ascii="Arial" w:hAnsi="Arial" w:cs="Arial"/>
          <w:sz w:val="20"/>
          <w:szCs w:val="20"/>
        </w:rPr>
        <w:t>;</w:t>
      </w:r>
      <w:r w:rsidR="004C0561" w:rsidRPr="004C0561">
        <w:rPr>
          <w:rFonts w:ascii="Arial" w:hAnsi="Arial" w:cs="Arial"/>
          <w:sz w:val="20"/>
          <w:szCs w:val="20"/>
        </w:rPr>
        <w:t xml:space="preserve"> </w:t>
      </w:r>
      <w:r w:rsidR="004C0561">
        <w:rPr>
          <w:rFonts w:ascii="Arial" w:hAnsi="Arial" w:cs="Arial"/>
          <w:sz w:val="20"/>
          <w:szCs w:val="20"/>
        </w:rPr>
        <w:t>s</w:t>
      </w:r>
      <w:r w:rsidR="004C0561" w:rsidRPr="004C0561">
        <w:rPr>
          <w:rFonts w:ascii="Arial" w:hAnsi="Arial" w:cs="Arial"/>
          <w:sz w:val="20"/>
          <w:szCs w:val="20"/>
        </w:rPr>
        <w:t xml:space="preserve">ee also </w:t>
      </w:r>
      <w:r w:rsidR="004C0561" w:rsidRPr="004C0561">
        <w:rPr>
          <w:rFonts w:ascii="Arial" w:hAnsi="Arial" w:cs="Arial"/>
          <w:i/>
          <w:sz w:val="20"/>
          <w:szCs w:val="20"/>
        </w:rPr>
        <w:t>Singh v Minister for Immigration and Multicultural Affairs</w:t>
      </w:r>
      <w:r w:rsidR="004C0561" w:rsidRPr="004C0561">
        <w:rPr>
          <w:rFonts w:ascii="Arial" w:hAnsi="Arial" w:cs="Arial"/>
          <w:sz w:val="20"/>
          <w:szCs w:val="20"/>
        </w:rPr>
        <w:t xml:space="preserve"> (2001) 115 FCR 1 at 6 [26]-[28]</w:t>
      </w:r>
      <w:r w:rsidR="004C0561">
        <w:rPr>
          <w:rFonts w:ascii="Arial" w:hAnsi="Arial" w:cs="Arial"/>
          <w:sz w:val="20"/>
          <w:szCs w:val="20"/>
        </w:rPr>
        <w:t>)</w:t>
      </w:r>
      <w:r w:rsidR="004C0561" w:rsidRPr="004C0561">
        <w:rPr>
          <w:sz w:val="20"/>
          <w:szCs w:val="20"/>
        </w:rPr>
        <w:t xml:space="preserve"> </w:t>
      </w:r>
      <w:r w:rsidRPr="004C0561">
        <w:rPr>
          <w:rFonts w:ascii="Arial" w:hAnsi="Arial" w:cs="Arial"/>
          <w:sz w:val="20"/>
          <w:szCs w:val="20"/>
        </w:rPr>
        <w:t>of whether the mistranslation has resulted in one or more specific statutory requirements not being met.</w:t>
      </w:r>
      <w:r w:rsidR="004C0561">
        <w:rPr>
          <w:rFonts w:ascii="Arial" w:hAnsi="Arial" w:cs="Arial"/>
          <w:sz w:val="20"/>
          <w:szCs w:val="20"/>
        </w:rPr>
        <w:t>”</w:t>
      </w:r>
    </w:p>
    <w:p w14:paraId="2D2D6E98" w14:textId="77777777" w:rsidR="00BD3BA0" w:rsidRDefault="00BD3BA0">
      <w:pPr>
        <w:jc w:val="both"/>
        <w:rPr>
          <w:rFonts w:ascii="Arial" w:hAnsi="Arial" w:cs="Arial"/>
          <w:sz w:val="20"/>
        </w:rPr>
      </w:pPr>
    </w:p>
    <w:p w14:paraId="10DC6CDD" w14:textId="77777777" w:rsidR="0022246F" w:rsidRDefault="00904185" w:rsidP="0022246F">
      <w:pPr>
        <w:pStyle w:val="Heading3"/>
        <w:keepNext/>
        <w:keepLines/>
        <w:spacing w:after="100" w:line="240" w:lineRule="auto"/>
        <w:rPr>
          <w:rFonts w:ascii="Arial" w:hAnsi="Arial" w:cs="Arial"/>
          <w:b/>
          <w:bCs/>
          <w:sz w:val="20"/>
        </w:rPr>
      </w:pPr>
      <w:bookmarkStart w:id="379" w:name="_3.4.5_Representation_of"/>
      <w:bookmarkStart w:id="380" w:name="B345"/>
      <w:bookmarkEnd w:id="379"/>
      <w:bookmarkEnd w:id="380"/>
      <w:r w:rsidRPr="00904185">
        <w:rPr>
          <w:rFonts w:ascii="Arial" w:hAnsi="Arial" w:cs="Arial"/>
          <w:b/>
          <w:sz w:val="20"/>
        </w:rPr>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Pr>
          <w:rFonts w:ascii="Arial" w:hAnsi="Arial" w:cs="Arial"/>
          <w:sz w:val="20"/>
        </w:rPr>
        <w:t>C</w:t>
      </w:r>
      <w:r w:rsidR="00904185">
        <w:rPr>
          <w:rFonts w:ascii="Arial" w:hAnsi="Arial" w:cs="Arial"/>
          <w:sz w:val="20"/>
        </w:rPr>
        <w:t xml:space="preserve">hapter </w:t>
      </w:r>
      <w:r w:rsidR="008015BB">
        <w:rPr>
          <w:rFonts w:ascii="Arial" w:hAnsi="Arial" w:cs="Arial"/>
          <w:sz w:val="20"/>
        </w:rPr>
        <w:t xml:space="preserve">4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934D0F">
        <w:rPr>
          <w:rFonts w:ascii="Arial" w:hAnsi="Arial" w:cs="Arial"/>
          <w:i/>
          <w:iCs/>
          <w:sz w:val="20"/>
        </w:rPr>
        <w:t>Legal Pr</w:t>
      </w:r>
      <w:r w:rsidR="00D06F3B" w:rsidRPr="00934D0F">
        <w:rPr>
          <w:rFonts w:ascii="Arial" w:hAnsi="Arial" w:cs="Arial"/>
          <w:i/>
          <w:iCs/>
          <w:sz w:val="20"/>
        </w:rPr>
        <w:t>ofession</w:t>
      </w:r>
      <w:r w:rsidR="005C4AB8" w:rsidRPr="00934D0F">
        <w:rPr>
          <w:rFonts w:ascii="Arial" w:hAnsi="Arial" w:cs="Arial"/>
          <w:i/>
          <w:iCs/>
          <w:sz w:val="20"/>
        </w:rPr>
        <w:t xml:space="preserve"> Act </w:t>
      </w:r>
      <w:r w:rsidR="00D06F3B" w:rsidRPr="00934D0F">
        <w:rPr>
          <w:rFonts w:ascii="Arial" w:hAnsi="Arial" w:cs="Arial"/>
          <w:i/>
          <w:iCs/>
          <w:sz w:val="20"/>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lastRenderedPageBreak/>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 xml:space="preserve">Tomasevic v </w:t>
      </w:r>
      <w:proofErr w:type="spellStart"/>
      <w:r w:rsidR="00F263FB" w:rsidRPr="005E185B">
        <w:rPr>
          <w:rFonts w:ascii="Helvetica" w:hAnsi="Helvetica"/>
          <w:i/>
          <w:sz w:val="20"/>
        </w:rPr>
        <w:t>Travaglini</w:t>
      </w:r>
      <w:proofErr w:type="spellEnd"/>
      <w:r w:rsidR="00F263FB">
        <w:rPr>
          <w:rFonts w:ascii="Helvetica" w:hAnsi="Helvetica"/>
          <w:sz w:val="20"/>
        </w:rPr>
        <w:t xml:space="preserve"> [2007] VSC 337 at [84] Bell J said:</w:t>
      </w:r>
    </w:p>
    <w:p w14:paraId="4B51E81F" w14:textId="77777777" w:rsidR="00F263FB" w:rsidRDefault="00F263FB" w:rsidP="00201B53">
      <w:pPr>
        <w:spacing w:before="60"/>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City">
        <w:smartTag w:uri="urn:schemas-microsoft-com:office:smarttags" w:element="place">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 xml:space="preserve">R v </w:t>
      </w:r>
      <w:proofErr w:type="spellStart"/>
      <w:r w:rsidRPr="00F263FB">
        <w:rPr>
          <w:rFonts w:ascii="Arial" w:hAnsi="Arial" w:cs="Arial"/>
          <w:i/>
          <w:sz w:val="20"/>
        </w:rPr>
        <w:t>Zorad</w:t>
      </w:r>
      <w:proofErr w:type="spellEnd"/>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 xml:space="preserve">R v </w:t>
      </w:r>
      <w:proofErr w:type="spellStart"/>
      <w:r w:rsidRPr="00F263FB">
        <w:rPr>
          <w:rFonts w:ascii="Arial" w:hAnsi="Arial" w:cs="Arial"/>
          <w:i/>
          <w:sz w:val="20"/>
          <w:szCs w:val="20"/>
        </w:rPr>
        <w:t>Zorad</w:t>
      </w:r>
      <w:proofErr w:type="spellEnd"/>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w:t>
      </w:r>
      <w:proofErr w:type="spellStart"/>
      <w:r w:rsidRPr="00F263FB">
        <w:rPr>
          <w:rFonts w:ascii="Arial" w:hAnsi="Arial" w:cs="Arial"/>
          <w:i/>
          <w:sz w:val="20"/>
          <w:szCs w:val="20"/>
        </w:rPr>
        <w:t>Karounos</w:t>
      </w:r>
      <w:proofErr w:type="spellEnd"/>
      <w:r w:rsidRPr="00F263FB">
        <w:rPr>
          <w:rFonts w:ascii="Arial" w:hAnsi="Arial" w:cs="Arial"/>
          <w:i/>
          <w:sz w:val="20"/>
          <w:szCs w:val="20"/>
        </w:rPr>
        <w:t xml:space="preserve">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proofErr w:type="spellStart"/>
      <w:r w:rsidR="00F80F06" w:rsidRPr="0034739F">
        <w:rPr>
          <w:rFonts w:ascii="Arial" w:hAnsi="Arial" w:cs="Arial"/>
          <w:i/>
          <w:sz w:val="20"/>
        </w:rPr>
        <w:t>Skrijel</w:t>
      </w:r>
      <w:proofErr w:type="spellEnd"/>
      <w:r w:rsidR="00F80F06" w:rsidRPr="0034739F">
        <w:rPr>
          <w:rFonts w:ascii="Arial" w:hAnsi="Arial" w:cs="Arial"/>
          <w:i/>
          <w:sz w:val="20"/>
        </w:rPr>
        <w:t xml:space="preserve"> v </w:t>
      </w:r>
      <w:proofErr w:type="spellStart"/>
      <w:r w:rsidR="00F80F06" w:rsidRPr="0034739F">
        <w:rPr>
          <w:rFonts w:ascii="Arial" w:hAnsi="Arial" w:cs="Arial"/>
          <w:i/>
          <w:sz w:val="20"/>
        </w:rPr>
        <w:t>Mengler</w:t>
      </w:r>
      <w:proofErr w:type="spellEnd"/>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 xml:space="preserve">Mr </w:t>
      </w:r>
      <w:proofErr w:type="spellStart"/>
      <w:r w:rsidR="0000672E">
        <w:rPr>
          <w:rFonts w:ascii="Arial" w:hAnsi="Arial" w:cs="Arial"/>
          <w:sz w:val="20"/>
        </w:rPr>
        <w:t>Skrijel</w:t>
      </w:r>
      <w:r w:rsidR="00F80F06">
        <w:rPr>
          <w:rFonts w:ascii="Arial" w:hAnsi="Arial" w:cs="Arial"/>
          <w:sz w:val="20"/>
        </w:rPr>
        <w:t>’s</w:t>
      </w:r>
      <w:proofErr w:type="spellEnd"/>
      <w:r w:rsidR="00F80F06">
        <w:rPr>
          <w:rFonts w:ascii="Arial" w:hAnsi="Arial" w:cs="Arial"/>
          <w:sz w:val="20"/>
        </w:rPr>
        <w:t xml:space="preserve"> solicitor.</w:t>
      </w:r>
      <w:r w:rsidR="00FB1267">
        <w:rPr>
          <w:rFonts w:ascii="Arial" w:hAnsi="Arial" w:cs="Arial"/>
          <w:sz w:val="20"/>
        </w:rPr>
        <w:t xml:space="preserve">  </w:t>
      </w:r>
      <w:r w:rsidR="00E05CBC">
        <w:rPr>
          <w:rFonts w:ascii="Arial" w:hAnsi="Arial" w:cs="Arial"/>
          <w:sz w:val="20"/>
        </w:rPr>
        <w:t xml:space="preserve">Though </w:t>
      </w:r>
      <w:proofErr w:type="spellStart"/>
      <w:r w:rsidR="00FB1267" w:rsidRPr="00FB1267">
        <w:rPr>
          <w:rFonts w:ascii="Arial" w:hAnsi="Arial" w:cs="Arial"/>
          <w:i/>
          <w:sz w:val="20"/>
        </w:rPr>
        <w:t>Skrijel’s</w:t>
      </w:r>
      <w:proofErr w:type="spellEnd"/>
      <w:r w:rsidR="00FB1267" w:rsidRPr="00FB1267">
        <w:rPr>
          <w:rFonts w:ascii="Arial" w:hAnsi="Arial" w:cs="Arial"/>
          <w:i/>
          <w:sz w:val="20"/>
        </w:rPr>
        <w:t xml:space="preserve">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w:t>
      </w:r>
      <w:proofErr w:type="spellStart"/>
      <w:r w:rsidR="00E05CBC">
        <w:rPr>
          <w:rFonts w:ascii="Arial" w:hAnsi="Arial" w:cs="Arial"/>
          <w:sz w:val="20"/>
        </w:rPr>
        <w:t>Gummow</w:t>
      </w:r>
      <w:proofErr w:type="spellEnd"/>
      <w:r w:rsidR="00E05CBC">
        <w:rPr>
          <w:rFonts w:ascii="Arial" w:hAnsi="Arial" w:cs="Arial"/>
          <w:sz w:val="20"/>
        </w:rPr>
        <w:t xml:space="preserve">, Kirby, Hayne &amp; </w:t>
      </w:r>
      <w:proofErr w:type="spellStart"/>
      <w:r w:rsidR="00E05CBC">
        <w:rPr>
          <w:rFonts w:ascii="Arial" w:hAnsi="Arial" w:cs="Arial"/>
          <w:sz w:val="20"/>
        </w:rPr>
        <w:t>Crennan</w:t>
      </w:r>
      <w:proofErr w:type="spellEnd"/>
      <w:r w:rsidR="00E05CBC">
        <w:rPr>
          <w:rFonts w:ascii="Arial" w:hAnsi="Arial" w:cs="Arial"/>
          <w:sz w:val="20"/>
        </w:rPr>
        <w:t xml:space="preserve">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6A0F25">
      <w:pPr>
        <w:spacing w:before="60"/>
        <w:ind w:left="454" w:right="454"/>
        <w:jc w:val="both"/>
        <w:rPr>
          <w:rFonts w:ascii="Arial" w:hAnsi="Arial" w:cs="Arial"/>
          <w:iCs/>
          <w:sz w:val="20"/>
        </w:rPr>
      </w:pPr>
      <w:r>
        <w:rPr>
          <w:rFonts w:ascii="Arial" w:hAnsi="Arial" w:cs="Arial"/>
          <w:iCs/>
          <w:sz w:val="20"/>
        </w:rPr>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CC8411E" w14:textId="77777777" w:rsidR="000F0BE9" w:rsidRDefault="000F0BE9">
      <w:pPr>
        <w:jc w:val="both"/>
        <w:rPr>
          <w:rFonts w:ascii="Arial" w:hAnsi="Arial" w:cs="Arial"/>
          <w:sz w:val="20"/>
        </w:rPr>
      </w:pPr>
    </w:p>
    <w:p w14:paraId="3C8415C5" w14:textId="00552064"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 xml:space="preserve">R v </w:t>
      </w:r>
      <w:proofErr w:type="spellStart"/>
      <w:r w:rsidRPr="005E185B">
        <w:rPr>
          <w:rFonts w:ascii="Arial" w:hAnsi="Arial" w:cs="Arial"/>
          <w:i/>
          <w:sz w:val="20"/>
        </w:rPr>
        <w:t>Yasso</w:t>
      </w:r>
      <w:proofErr w:type="spellEnd"/>
      <w:r>
        <w:rPr>
          <w:rFonts w:ascii="Arial" w:hAnsi="Arial" w:cs="Arial"/>
          <w:sz w:val="20"/>
        </w:rPr>
        <w:t xml:space="preserve"> [2007] VSCA 306 the applicant was represented at each of his trials but was unrepresented on the hearing of the appeal Maxwell P (with whom Redlich JA &amp; </w:t>
      </w:r>
      <w:proofErr w:type="spellStart"/>
      <w:r>
        <w:rPr>
          <w:rFonts w:ascii="Arial" w:hAnsi="Arial" w:cs="Arial"/>
          <w:sz w:val="20"/>
        </w:rPr>
        <w:t>Habersberger</w:t>
      </w:r>
      <w:proofErr w:type="spellEnd"/>
      <w:r>
        <w:rPr>
          <w:rFonts w:ascii="Arial" w:hAnsi="Arial" w:cs="Arial"/>
          <w:sz w:val="20"/>
        </w:rPr>
        <w:t xml:space="preserve"> AJA agreed) said at [3]:</w:t>
      </w:r>
    </w:p>
    <w:p w14:paraId="3243F88A" w14:textId="77777777" w:rsidR="005E185B" w:rsidRDefault="005E185B" w:rsidP="006A0F25">
      <w:pPr>
        <w:spacing w:before="60"/>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589C25F9" w14:textId="77777777" w:rsidR="00E01B11" w:rsidRDefault="00E01B11" w:rsidP="00E01B11">
      <w:pPr>
        <w:jc w:val="both"/>
        <w:rPr>
          <w:rFonts w:ascii="Arial" w:hAnsi="Arial" w:cs="Arial"/>
          <w:sz w:val="20"/>
        </w:rPr>
      </w:pPr>
    </w:p>
    <w:p w14:paraId="7969B96A" w14:textId="686C705B" w:rsidR="00E01B11" w:rsidRDefault="00E01B11" w:rsidP="00E01B11">
      <w:pPr>
        <w:pStyle w:val="Heading3"/>
        <w:keepNext/>
        <w:keepLines/>
        <w:spacing w:after="100" w:line="240" w:lineRule="auto"/>
        <w:rPr>
          <w:rFonts w:ascii="Arial" w:hAnsi="Arial" w:cs="Arial"/>
          <w:b/>
          <w:bCs/>
          <w:sz w:val="20"/>
        </w:rPr>
      </w:pPr>
      <w:bookmarkStart w:id="381" w:name="_3.4.6_Duty_of"/>
      <w:bookmarkEnd w:id="381"/>
      <w:r w:rsidRPr="00904185">
        <w:rPr>
          <w:rFonts w:ascii="Arial" w:hAnsi="Arial" w:cs="Arial"/>
          <w:b/>
          <w:sz w:val="20"/>
        </w:rPr>
        <w:t>3.4.</w:t>
      </w:r>
      <w:r>
        <w:rPr>
          <w:rFonts w:ascii="Arial" w:hAnsi="Arial" w:cs="Arial"/>
          <w:b/>
          <w:sz w:val="20"/>
        </w:rPr>
        <w:t>6</w:t>
      </w:r>
      <w:r w:rsidRPr="00904185">
        <w:rPr>
          <w:rFonts w:ascii="Arial" w:hAnsi="Arial" w:cs="Arial"/>
          <w:b/>
          <w:sz w:val="20"/>
        </w:rPr>
        <w:tab/>
      </w:r>
      <w:r>
        <w:rPr>
          <w:rFonts w:ascii="Arial" w:hAnsi="Arial" w:cs="Arial"/>
          <w:b/>
          <w:sz w:val="20"/>
        </w:rPr>
        <w:t xml:space="preserve">Duty of judicial officer to assist a self-represented litigant </w:t>
      </w:r>
      <w:r w:rsidRPr="00904185">
        <w:rPr>
          <w:rFonts w:ascii="Arial" w:hAnsi="Arial" w:cs="Arial"/>
          <w:b/>
          <w:sz w:val="20"/>
        </w:rPr>
        <w:t>in the Family Division</w:t>
      </w: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 xml:space="preserve">Tomasevic v </w:t>
      </w:r>
      <w:proofErr w:type="spellStart"/>
      <w:r w:rsidRPr="005E185B">
        <w:rPr>
          <w:rFonts w:ascii="Helvetica" w:hAnsi="Helvetica"/>
          <w:i/>
          <w:sz w:val="20"/>
        </w:rPr>
        <w:t>Travaglini</w:t>
      </w:r>
      <w:proofErr w:type="spellEnd"/>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6A0F25">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proofErr w:type="spellStart"/>
      <w:r w:rsidR="00852729" w:rsidRPr="00852729">
        <w:rPr>
          <w:rFonts w:ascii="Arial" w:hAnsi="Arial" w:cs="Arial"/>
          <w:i/>
          <w:sz w:val="20"/>
          <w:szCs w:val="20"/>
        </w:rPr>
        <w:t>Gradidge</w:t>
      </w:r>
      <w:proofErr w:type="spellEnd"/>
      <w:r w:rsidR="00852729" w:rsidRPr="00852729">
        <w:rPr>
          <w:rFonts w:ascii="Arial" w:hAnsi="Arial" w:cs="Arial"/>
          <w:i/>
          <w:sz w:val="20"/>
          <w:szCs w:val="20"/>
        </w:rPr>
        <w:t xml:space="preserv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Kerbatieh</w:t>
      </w:r>
      <w:proofErr w:type="spellEnd"/>
      <w:r w:rsidR="00852729" w:rsidRPr="00852729">
        <w:rPr>
          <w:rFonts w:ascii="Arial" w:hAnsi="Arial" w:cs="Arial"/>
          <w:i/>
          <w:sz w:val="20"/>
          <w:szCs w:val="20"/>
        </w:rPr>
        <w:t xml:space="preserve">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w:t>
      </w:r>
      <w:proofErr w:type="spellStart"/>
      <w:r w:rsidR="00852729" w:rsidRPr="00852729">
        <w:rPr>
          <w:rFonts w:ascii="Arial" w:hAnsi="Arial" w:cs="Arial"/>
          <w:sz w:val="20"/>
          <w:szCs w:val="20"/>
        </w:rPr>
        <w:t>cf</w:t>
      </w:r>
      <w:proofErr w:type="spellEnd"/>
      <w:r w:rsidR="00852729" w:rsidRPr="00852729">
        <w:rPr>
          <w:rFonts w:ascii="Arial" w:hAnsi="Arial" w:cs="Arial"/>
          <w:sz w:val="20"/>
          <w:szCs w:val="20"/>
        </w:rPr>
        <w:t xml:space="preserve"> </w:t>
      </w:r>
      <w:r w:rsidR="00852729" w:rsidRPr="00852729">
        <w:rPr>
          <w:rFonts w:ascii="Arial" w:hAnsi="Arial" w:cs="Arial"/>
          <w:i/>
          <w:sz w:val="20"/>
          <w:szCs w:val="20"/>
        </w:rPr>
        <w:t xml:space="preserve">Re Minister for Immigration and Multicultural and Indigenous Affairs; Ex </w:t>
      </w:r>
      <w:proofErr w:type="spellStart"/>
      <w:r w:rsidR="00852729" w:rsidRPr="00852729">
        <w:rPr>
          <w:rFonts w:ascii="Arial" w:hAnsi="Arial" w:cs="Arial"/>
          <w:i/>
          <w:sz w:val="20"/>
          <w:szCs w:val="20"/>
        </w:rPr>
        <w:t>parte</w:t>
      </w:r>
      <w:proofErr w:type="spellEnd"/>
      <w:r w:rsidR="00852729" w:rsidRPr="00852729">
        <w:rPr>
          <w:rFonts w:ascii="Arial" w:hAnsi="Arial" w:cs="Arial"/>
          <w:i/>
          <w:sz w:val="20"/>
          <w:szCs w:val="20"/>
        </w:rPr>
        <w:t xml:space="preserv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proofErr w:type="spellStart"/>
      <w:r w:rsidR="00852729" w:rsidRPr="00852729">
        <w:rPr>
          <w:rFonts w:ascii="Arial" w:hAnsi="Arial" w:cs="Arial"/>
          <w:i/>
          <w:sz w:val="20"/>
          <w:szCs w:val="20"/>
        </w:rPr>
        <w:t>Jago</w:t>
      </w:r>
      <w:proofErr w:type="spellEnd"/>
      <w:r w:rsidR="00852729" w:rsidRPr="00852729">
        <w:rPr>
          <w:rFonts w:ascii="Arial" w:hAnsi="Arial" w:cs="Arial"/>
          <w:i/>
          <w:sz w:val="20"/>
          <w:szCs w:val="20"/>
        </w:rPr>
        <w:t xml:space="preserve"> v District Court of New </w:t>
      </w:r>
      <w:r w:rsidR="00852729" w:rsidRPr="00852729">
        <w:rPr>
          <w:rFonts w:ascii="Arial" w:hAnsi="Arial" w:cs="Arial"/>
          <w:i/>
          <w:sz w:val="20"/>
          <w:szCs w:val="20"/>
        </w:rPr>
        <w:lastRenderedPageBreak/>
        <w:t>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proofErr w:type="spellStart"/>
      <w:r w:rsidR="00852729" w:rsidRPr="00852729">
        <w:rPr>
          <w:rFonts w:ascii="Arial" w:hAnsi="Arial" w:cs="Arial"/>
          <w:i/>
          <w:sz w:val="20"/>
          <w:szCs w:val="20"/>
        </w:rPr>
        <w:t>Nulyarimma</w:t>
      </w:r>
      <w:proofErr w:type="spellEnd"/>
      <w:r w:rsidR="00852729" w:rsidRPr="00852729">
        <w:rPr>
          <w:rFonts w:ascii="Arial" w:hAnsi="Arial" w:cs="Arial"/>
          <w:i/>
          <w:sz w:val="20"/>
          <w:szCs w:val="20"/>
        </w:rPr>
        <w:t xml:space="preserve">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3557D7F3"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Nilson</w:t>
      </w:r>
      <w:proofErr w:type="spellEnd"/>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 xml:space="preserve">Commissioner of Taxation v </w:t>
      </w:r>
      <w:proofErr w:type="spellStart"/>
      <w:r w:rsidR="006B45E3" w:rsidRPr="006B45E3">
        <w:rPr>
          <w:rFonts w:ascii="Arial" w:hAnsi="Arial" w:cs="Arial"/>
          <w:i/>
          <w:sz w:val="20"/>
          <w:szCs w:val="20"/>
        </w:rPr>
        <w:t>Metaskills</w:t>
      </w:r>
      <w:proofErr w:type="spellEnd"/>
      <w:r w:rsidR="006B45E3" w:rsidRPr="006B45E3">
        <w:rPr>
          <w:rFonts w:ascii="Arial" w:hAnsi="Arial" w:cs="Arial"/>
          <w:i/>
          <w:sz w:val="20"/>
          <w:szCs w:val="20"/>
        </w:rPr>
        <w:t xml:space="preserve">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proofErr w:type="spellStart"/>
      <w:r w:rsidR="006B45E3" w:rsidRPr="006B45E3">
        <w:rPr>
          <w:rFonts w:ascii="Arial" w:hAnsi="Arial" w:cs="Arial"/>
          <w:i/>
          <w:sz w:val="20"/>
          <w:szCs w:val="20"/>
        </w:rPr>
        <w:t>Panagiotopoulos</w:t>
      </w:r>
      <w:proofErr w:type="spellEnd"/>
      <w:r w:rsidR="006B45E3" w:rsidRPr="006B45E3">
        <w:rPr>
          <w:rFonts w:ascii="Arial" w:hAnsi="Arial" w:cs="Arial"/>
          <w:i/>
          <w:sz w:val="20"/>
          <w:szCs w:val="20"/>
        </w:rPr>
        <w:t xml:space="preserve"> v </w:t>
      </w:r>
      <w:proofErr w:type="spellStart"/>
      <w:r w:rsidR="006B45E3" w:rsidRPr="006B45E3">
        <w:rPr>
          <w:rFonts w:ascii="Arial" w:hAnsi="Arial" w:cs="Arial"/>
          <w:i/>
          <w:sz w:val="20"/>
          <w:szCs w:val="20"/>
        </w:rPr>
        <w:t>Rajendram</w:t>
      </w:r>
      <w:proofErr w:type="spellEnd"/>
      <w:r w:rsidR="006B45E3" w:rsidRPr="006B45E3">
        <w:rPr>
          <w:rFonts w:ascii="Arial" w:hAnsi="Arial" w:cs="Arial"/>
          <w:i/>
          <w:sz w:val="20"/>
          <w:szCs w:val="20"/>
        </w:rPr>
        <w:t xml:space="preserve">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 xml:space="preserve">In the Marriage of </w:t>
      </w:r>
      <w:proofErr w:type="spellStart"/>
      <w:r w:rsidR="006B45E3" w:rsidRPr="006B45E3">
        <w:rPr>
          <w:rFonts w:ascii="Arial" w:hAnsi="Arial" w:cs="Arial"/>
          <w:i/>
          <w:sz w:val="20"/>
          <w:szCs w:val="20"/>
        </w:rPr>
        <w:t>Sajdak</w:t>
      </w:r>
      <w:proofErr w:type="spellEnd"/>
      <w:r w:rsidR="006B45E3" w:rsidRPr="006B45E3">
        <w:rPr>
          <w:rFonts w:ascii="Arial" w:hAnsi="Arial" w:cs="Arial"/>
          <w:sz w:val="20"/>
          <w:szCs w:val="20"/>
        </w:rPr>
        <w:t xml:space="preserve"> (1992) 16 </w:t>
      </w:r>
      <w:r w:rsidR="000F0BE9">
        <w:rPr>
          <w:rFonts w:ascii="Arial" w:hAnsi="Arial" w:cs="Arial"/>
          <w:sz w:val="20"/>
          <w:szCs w:val="20"/>
        </w:rPr>
        <w:t>I</w:t>
      </w:r>
      <w:r w:rsidR="006B45E3" w:rsidRPr="006B45E3">
        <w:rPr>
          <w:rFonts w:ascii="Arial" w:hAnsi="Arial" w:cs="Arial"/>
          <w:sz w:val="20"/>
          <w:szCs w:val="20"/>
        </w:rPr>
        <w:t xml:space="preserve">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proofErr w:type="spellStart"/>
      <w:r w:rsidR="000A0150" w:rsidRPr="000A0150">
        <w:rPr>
          <w:rFonts w:ascii="Arial" w:hAnsi="Arial" w:cs="Arial"/>
          <w:i/>
          <w:sz w:val="20"/>
          <w:szCs w:val="20"/>
        </w:rPr>
        <w:t>Jago</w:t>
      </w:r>
      <w:proofErr w:type="spellEnd"/>
      <w:r w:rsidR="000A0150" w:rsidRPr="000A0150">
        <w:rPr>
          <w:rFonts w:ascii="Arial" w:hAnsi="Arial" w:cs="Arial"/>
          <w:i/>
          <w:sz w:val="20"/>
          <w:szCs w:val="20"/>
        </w:rPr>
        <w:t xml:space="preserve">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Nilson</w:t>
      </w:r>
      <w:proofErr w:type="spellEnd"/>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Zorad</w:t>
      </w:r>
      <w:proofErr w:type="spellEnd"/>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Kerbatieh</w:t>
      </w:r>
      <w:proofErr w:type="spellEnd"/>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 xml:space="preserve">R v </w:t>
      </w:r>
      <w:proofErr w:type="spellStart"/>
      <w:r w:rsidR="00E60421" w:rsidRPr="00E60421">
        <w:rPr>
          <w:rFonts w:ascii="Arial" w:hAnsi="Arial" w:cs="Arial"/>
          <w:i/>
          <w:sz w:val="20"/>
        </w:rPr>
        <w:t>Zorad</w:t>
      </w:r>
      <w:proofErr w:type="spellEnd"/>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proofErr w:type="spellStart"/>
      <w:r w:rsidR="00BD3488" w:rsidRPr="00BD3488">
        <w:rPr>
          <w:rFonts w:ascii="Arial" w:hAnsi="Arial" w:cs="Arial"/>
          <w:i/>
          <w:sz w:val="20"/>
          <w:szCs w:val="20"/>
        </w:rPr>
        <w:t>Mentyn</w:t>
      </w:r>
      <w:proofErr w:type="spellEnd"/>
      <w:r w:rsidR="00BD3488" w:rsidRPr="00BD3488">
        <w:rPr>
          <w:rFonts w:ascii="Arial" w:hAnsi="Arial" w:cs="Arial"/>
          <w:i/>
          <w:sz w:val="20"/>
          <w:szCs w:val="20"/>
        </w:rPr>
        <w:t xml:space="preserve">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proofErr w:type="spellStart"/>
      <w:r w:rsidR="00BD3488" w:rsidRPr="00BD3488">
        <w:rPr>
          <w:rFonts w:ascii="Arial" w:hAnsi="Arial" w:cs="Arial"/>
          <w:i/>
          <w:sz w:val="20"/>
          <w:szCs w:val="20"/>
        </w:rPr>
        <w:t>Zegarac</w:t>
      </w:r>
      <w:proofErr w:type="spellEnd"/>
      <w:r w:rsidR="00BD3488" w:rsidRPr="00BD3488">
        <w:rPr>
          <w:rFonts w:ascii="Arial" w:hAnsi="Arial" w:cs="Arial"/>
          <w:i/>
          <w:sz w:val="20"/>
          <w:szCs w:val="20"/>
        </w:rPr>
        <w:t xml:space="preserve"> v Tomasevic </w:t>
      </w:r>
      <w:r w:rsidR="00BD3488" w:rsidRPr="00BD3488">
        <w:rPr>
          <w:rFonts w:ascii="Arial" w:hAnsi="Arial" w:cs="Arial"/>
          <w:sz w:val="20"/>
          <w:szCs w:val="20"/>
        </w:rPr>
        <w:t>[2003] VSC 150, [3].</w:t>
      </w:r>
    </w:p>
    <w:p w14:paraId="29348523" w14:textId="6CBCC1DE"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country-region">
        <w:smartTag w:uri="urn:schemas-microsoft-com:office:smarttags" w:element="place">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 xml:space="preserve">(2001) 27 </w:t>
      </w:r>
      <w:r w:rsidR="000F0BE9">
        <w:rPr>
          <w:rFonts w:ascii="Arial" w:hAnsi="Arial" w:cs="Arial"/>
          <w:sz w:val="20"/>
          <w:szCs w:val="20"/>
        </w:rPr>
        <w:t>I</w:t>
      </w:r>
      <w:r w:rsidR="00BD3488" w:rsidRPr="00BD3488">
        <w:rPr>
          <w:rFonts w:ascii="Arial" w:hAnsi="Arial" w:cs="Arial"/>
          <w:sz w:val="20"/>
          <w:szCs w:val="20"/>
        </w:rPr>
        <w:t xml:space="preserve">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6A0F25">
      <w:pPr>
        <w:ind w:left="454" w:right="454"/>
        <w:jc w:val="both"/>
        <w:rPr>
          <w:rFonts w:ascii="Arial" w:hAnsi="Arial" w:cs="Arial"/>
          <w:iCs/>
          <w:sz w:val="20"/>
        </w:rPr>
      </w:pPr>
      <w:r>
        <w:rPr>
          <w:rFonts w:ascii="Arial" w:hAnsi="Arial" w:cs="Arial"/>
          <w:iCs/>
          <w:sz w:val="20"/>
        </w:rPr>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International 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w:t>
      </w:r>
      <w:proofErr w:type="spellStart"/>
      <w:r w:rsidRPr="001A1BF2">
        <w:rPr>
          <w:rFonts w:ascii="Helvetica" w:hAnsi="Helvetica"/>
          <w:color w:val="000000"/>
          <w:sz w:val="20"/>
        </w:rPr>
        <w:t>Pagone</w:t>
      </w:r>
      <w:proofErr w:type="spellEnd"/>
      <w:r w:rsidRPr="001A1BF2">
        <w:rPr>
          <w:rFonts w:ascii="Helvetica" w:hAnsi="Helvetica"/>
          <w:color w:val="000000"/>
          <w:sz w:val="20"/>
        </w:rPr>
        <w:t xml:space="preserve"> J – citing dicta of the Court of Appeal in </w:t>
      </w:r>
      <w:proofErr w:type="spellStart"/>
      <w:r w:rsidRPr="001A1BF2">
        <w:rPr>
          <w:rFonts w:ascii="Helvetica" w:hAnsi="Helvetica"/>
          <w:i/>
          <w:color w:val="000000"/>
          <w:sz w:val="20"/>
        </w:rPr>
        <w:t>McWhinney</w:t>
      </w:r>
      <w:proofErr w:type="spellEnd"/>
      <w:r w:rsidRPr="001A1BF2">
        <w:rPr>
          <w:rFonts w:ascii="Helvetica" w:hAnsi="Helvetica"/>
          <w:i/>
          <w:color w:val="000000"/>
          <w:sz w:val="20"/>
        </w:rPr>
        <w:t xml:space="preserve">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proofErr w:type="spellStart"/>
      <w:r w:rsidR="004E3CDB" w:rsidRPr="001A1BF2">
        <w:rPr>
          <w:rFonts w:ascii="Helvetica" w:hAnsi="Helvetica"/>
          <w:i/>
          <w:color w:val="000000"/>
          <w:sz w:val="20"/>
        </w:rPr>
        <w:t>Rajski</w:t>
      </w:r>
      <w:proofErr w:type="spellEnd"/>
      <w:r w:rsidR="004E3CDB" w:rsidRPr="001A1BF2">
        <w:rPr>
          <w:rFonts w:ascii="Helvetica" w:hAnsi="Helvetica"/>
          <w:i/>
          <w:color w:val="000000"/>
          <w:sz w:val="20"/>
        </w:rPr>
        <w:t xml:space="preserve"> v </w:t>
      </w:r>
      <w:proofErr w:type="spellStart"/>
      <w:r w:rsidR="004E3CDB" w:rsidRPr="001A1BF2">
        <w:rPr>
          <w:rFonts w:ascii="Helvetica" w:hAnsi="Helvetica"/>
          <w:i/>
          <w:color w:val="000000"/>
          <w:sz w:val="20"/>
        </w:rPr>
        <w:t>Scitec</w:t>
      </w:r>
      <w:proofErr w:type="spellEnd"/>
      <w:r w:rsidR="004E3CDB" w:rsidRPr="001A1BF2">
        <w:rPr>
          <w:rFonts w:ascii="Helvetica" w:hAnsi="Helvetica"/>
          <w:i/>
          <w:color w:val="000000"/>
          <w:sz w:val="20"/>
        </w:rPr>
        <w:t xml:space="preserve">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w:t>
      </w:r>
      <w:proofErr w:type="spellStart"/>
      <w:r>
        <w:rPr>
          <w:rFonts w:ascii="Helvetica" w:hAnsi="Helvetica"/>
          <w:color w:val="000000"/>
          <w:sz w:val="20"/>
        </w:rPr>
        <w:t>Derham</w:t>
      </w:r>
      <w:proofErr w:type="spellEnd"/>
      <w:r>
        <w:rPr>
          <w:rFonts w:ascii="Helvetica" w:hAnsi="Helvetica"/>
          <w:color w:val="000000"/>
          <w:sz w:val="20"/>
        </w:rPr>
        <w:t xml:space="preserve"> </w:t>
      </w:r>
      <w:proofErr w:type="spellStart"/>
      <w:r>
        <w:rPr>
          <w:rFonts w:ascii="Helvetica" w:hAnsi="Helvetica"/>
          <w:color w:val="000000"/>
          <w:sz w:val="20"/>
        </w:rPr>
        <w:t>AsJ</w:t>
      </w:r>
      <w:proofErr w:type="spellEnd"/>
      <w:r>
        <w:rPr>
          <w:rFonts w:ascii="Helvetica" w:hAnsi="Helvetica"/>
          <w:color w:val="000000"/>
          <w:sz w:val="20"/>
        </w:rPr>
        <w:t xml:space="preserve">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proofErr w:type="spellStart"/>
      <w:r w:rsidRPr="00B62D24">
        <w:rPr>
          <w:rFonts w:ascii="Arial" w:hAnsi="Arial" w:cs="Arial"/>
          <w:i/>
          <w:color w:val="000000"/>
          <w:sz w:val="20"/>
        </w:rPr>
        <w:t>Werden</w:t>
      </w:r>
      <w:proofErr w:type="spellEnd"/>
      <w:r w:rsidRPr="00B62D24">
        <w:rPr>
          <w:rFonts w:ascii="Arial" w:hAnsi="Arial" w:cs="Arial"/>
          <w:i/>
          <w:color w:val="000000"/>
          <w:sz w:val="20"/>
        </w:rPr>
        <w:t xml:space="preserve">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 xml:space="preserve">Minogue v Human Rights </w:t>
      </w:r>
      <w:r w:rsidR="00CB2764" w:rsidRPr="00CB2764">
        <w:rPr>
          <w:rFonts w:ascii="Arial" w:hAnsi="Arial" w:cs="Arial"/>
          <w:i/>
          <w:color w:val="000000"/>
          <w:sz w:val="20"/>
        </w:rPr>
        <w:lastRenderedPageBreak/>
        <w:t>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proofErr w:type="spellStart"/>
      <w:r w:rsidR="00CB2764" w:rsidRPr="00CB2764">
        <w:rPr>
          <w:rFonts w:ascii="Arial" w:hAnsi="Arial" w:cs="Arial"/>
          <w:i/>
          <w:color w:val="000000"/>
          <w:sz w:val="20"/>
        </w:rPr>
        <w:t>Platcher</w:t>
      </w:r>
      <w:proofErr w:type="spellEnd"/>
      <w:r w:rsidR="00CB2764" w:rsidRPr="00CB2764">
        <w:rPr>
          <w:rFonts w:ascii="Arial" w:hAnsi="Arial" w:cs="Arial"/>
          <w:i/>
          <w:color w:val="000000"/>
          <w:sz w:val="20"/>
        </w:rPr>
        <w:t xml:space="preserve">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proofErr w:type="spellStart"/>
      <w:r w:rsidR="00CB2764" w:rsidRPr="00CB2764">
        <w:rPr>
          <w:rFonts w:ascii="Arial" w:eastAsia="Book Antiqua" w:hAnsi="Arial" w:cs="Arial"/>
          <w:i/>
          <w:sz w:val="20"/>
        </w:rPr>
        <w:t>Platcher</w:t>
      </w:r>
      <w:proofErr w:type="spellEnd"/>
      <w:r w:rsidR="00CB2764" w:rsidRPr="00CB2764">
        <w:rPr>
          <w:rFonts w:ascii="Arial" w:eastAsia="Book Antiqua" w:hAnsi="Arial" w:cs="Arial"/>
          <w:i/>
          <w:sz w:val="20"/>
        </w:rPr>
        <w:t xml:space="preserve">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w:t>
      </w:r>
      <w:proofErr w:type="spellStart"/>
      <w:r w:rsidR="00CB2764" w:rsidRPr="00CB2764">
        <w:rPr>
          <w:rFonts w:ascii="Arial" w:eastAsia="Book Antiqua" w:hAnsi="Arial" w:cs="Arial"/>
          <w:i/>
          <w:sz w:val="20"/>
        </w:rPr>
        <w:t>Travaglini</w:t>
      </w:r>
      <w:proofErr w:type="spellEnd"/>
      <w:r w:rsidR="00CB2764" w:rsidRPr="00CB2764">
        <w:rPr>
          <w:rFonts w:ascii="Arial" w:eastAsia="Book Antiqua" w:hAnsi="Arial" w:cs="Arial"/>
          <w:i/>
          <w:sz w:val="20"/>
        </w:rPr>
        <w:t xml:space="preserve">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w:t>
      </w:r>
      <w:proofErr w:type="spellStart"/>
      <w:r w:rsidR="00CB2764" w:rsidRPr="00CB2764">
        <w:rPr>
          <w:rFonts w:ascii="Arial" w:hAnsi="Arial" w:cs="Arial"/>
          <w:i/>
          <w:color w:val="000000"/>
          <w:sz w:val="20"/>
        </w:rPr>
        <w:t>Travaglini</w:t>
      </w:r>
      <w:proofErr w:type="spellEnd"/>
      <w:r w:rsidR="00CB2764" w:rsidRPr="00CB2764">
        <w:rPr>
          <w:rFonts w:ascii="Arial" w:hAnsi="Arial" w:cs="Arial"/>
          <w:i/>
          <w:color w:val="000000"/>
          <w:sz w:val="20"/>
        </w:rPr>
        <w:t xml:space="preserve">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proofErr w:type="spellStart"/>
      <w:r w:rsidR="002337CA" w:rsidRPr="002337CA">
        <w:rPr>
          <w:rFonts w:ascii="Arial" w:eastAsia="Book Antiqua" w:hAnsi="Arial" w:cs="Arial"/>
          <w:i/>
          <w:sz w:val="20"/>
        </w:rPr>
        <w:t>Rajski</w:t>
      </w:r>
      <w:proofErr w:type="spellEnd"/>
      <w:r w:rsidR="002337CA" w:rsidRPr="002337CA">
        <w:rPr>
          <w:rFonts w:ascii="Arial" w:eastAsia="Book Antiqua" w:hAnsi="Arial" w:cs="Arial"/>
          <w:i/>
          <w:sz w:val="20"/>
        </w:rPr>
        <w:t xml:space="preserve"> v </w:t>
      </w:r>
      <w:proofErr w:type="spellStart"/>
      <w:r w:rsidR="002337CA" w:rsidRPr="002337CA">
        <w:rPr>
          <w:rFonts w:ascii="Arial" w:eastAsia="Book Antiqua" w:hAnsi="Arial" w:cs="Arial"/>
          <w:i/>
          <w:sz w:val="20"/>
        </w:rPr>
        <w:t>Scitec</w:t>
      </w:r>
      <w:proofErr w:type="spellEnd"/>
      <w:r w:rsidR="002337CA" w:rsidRPr="002337CA">
        <w:rPr>
          <w:rFonts w:ascii="Arial" w:eastAsia="Book Antiqua" w:hAnsi="Arial" w:cs="Arial"/>
          <w:i/>
          <w:sz w:val="20"/>
        </w:rPr>
        <w:t xml:space="preserve">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 xml:space="preserve">Doughty-Cowell v </w:t>
      </w:r>
      <w:proofErr w:type="spellStart"/>
      <w:r w:rsidR="00B62D24" w:rsidRPr="002337CA">
        <w:rPr>
          <w:rFonts w:ascii="Helvetica" w:hAnsi="Helvetica"/>
          <w:i/>
          <w:color w:val="000000"/>
          <w:sz w:val="20"/>
        </w:rPr>
        <w:t>Kyriazis</w:t>
      </w:r>
      <w:proofErr w:type="spellEnd"/>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32435678" w:rsidR="00352003" w:rsidRPr="00292662" w:rsidRDefault="00292662" w:rsidP="00292662">
      <w:pPr>
        <w:pStyle w:val="Heading2"/>
        <w:widowControl/>
        <w:tabs>
          <w:tab w:val="left" w:pos="567"/>
        </w:tabs>
        <w:spacing w:line="240" w:lineRule="auto"/>
        <w:rPr>
          <w:rFonts w:ascii="Helvetica" w:hAnsi="Helvetica"/>
          <w:color w:val="000000"/>
          <w:sz w:val="20"/>
        </w:rPr>
      </w:pPr>
      <w:r>
        <w:rPr>
          <w:rFonts w:ascii="Helvetica" w:hAnsi="Helvetica"/>
          <w:color w:val="000000"/>
          <w:sz w:val="20"/>
        </w:rPr>
        <w:t xml:space="preserve">In </w:t>
      </w:r>
      <w:r w:rsidR="00352003" w:rsidRPr="00292662">
        <w:rPr>
          <w:rFonts w:ascii="Helvetica" w:hAnsi="Helvetica"/>
          <w:i/>
          <w:iCs/>
          <w:color w:val="000000"/>
          <w:sz w:val="20"/>
        </w:rPr>
        <w:t>She v RMIT University &amp; Anor</w:t>
      </w:r>
      <w:r w:rsidR="00352003" w:rsidRPr="00292662">
        <w:rPr>
          <w:rFonts w:ascii="Helvetica" w:hAnsi="Helvetica"/>
          <w:color w:val="000000"/>
          <w:sz w:val="20"/>
        </w:rPr>
        <w:t xml:space="preserve"> [2021] VSC 2 Incerti J discussed the cases of </w:t>
      </w:r>
      <w:r w:rsidR="00352003" w:rsidRPr="00292662">
        <w:rPr>
          <w:rFonts w:ascii="Helvetica" w:hAnsi="Helvetica"/>
          <w:i/>
          <w:iCs/>
          <w:color w:val="000000"/>
          <w:sz w:val="20"/>
        </w:rPr>
        <w:t>Roberts v Harkness</w:t>
      </w:r>
      <w:r w:rsidR="00352003" w:rsidRPr="00292662">
        <w:rPr>
          <w:rFonts w:ascii="Helvetica" w:hAnsi="Helvetica"/>
          <w:color w:val="000000"/>
          <w:sz w:val="20"/>
        </w:rPr>
        <w:t xml:space="preserve"> (2018) 57 VR 344, </w:t>
      </w:r>
      <w:r w:rsidR="00352003" w:rsidRPr="00292662">
        <w:rPr>
          <w:rFonts w:ascii="Arial" w:eastAsia="Book Antiqua" w:hAnsi="Arial" w:cs="Arial"/>
          <w:i/>
          <w:sz w:val="20"/>
        </w:rPr>
        <w:t xml:space="preserve">Tomasevic v </w:t>
      </w:r>
      <w:proofErr w:type="spellStart"/>
      <w:r w:rsidR="00352003" w:rsidRPr="00292662">
        <w:rPr>
          <w:rFonts w:ascii="Arial" w:eastAsia="Book Antiqua" w:hAnsi="Arial" w:cs="Arial"/>
          <w:i/>
          <w:sz w:val="20"/>
        </w:rPr>
        <w:t>Travaglini</w:t>
      </w:r>
      <w:proofErr w:type="spellEnd"/>
      <w:r w:rsidR="00352003" w:rsidRPr="00292662">
        <w:rPr>
          <w:rFonts w:ascii="Arial" w:eastAsia="Book Antiqua" w:hAnsi="Arial" w:cs="Arial"/>
          <w:i/>
          <w:sz w:val="20"/>
        </w:rPr>
        <w:t xml:space="preserve"> &amp; Anor</w:t>
      </w:r>
      <w:r w:rsidR="00352003" w:rsidRPr="00292662">
        <w:rPr>
          <w:rFonts w:ascii="Arial" w:hAnsi="Arial" w:cs="Arial"/>
          <w:sz w:val="20"/>
        </w:rPr>
        <w:t xml:space="preserve"> (2007) 17 VR 100 and </w:t>
      </w:r>
      <w:proofErr w:type="spellStart"/>
      <w:r w:rsidR="00352003" w:rsidRPr="00292662">
        <w:rPr>
          <w:rFonts w:ascii="Arial" w:eastAsia="Book Antiqua" w:hAnsi="Arial" w:cs="Arial"/>
          <w:i/>
          <w:sz w:val="20"/>
        </w:rPr>
        <w:t>Matsoukatidou</w:t>
      </w:r>
      <w:proofErr w:type="spellEnd"/>
      <w:r w:rsidR="00352003" w:rsidRPr="00292662">
        <w:rPr>
          <w:rFonts w:ascii="Arial" w:eastAsia="Book Antiqua" w:hAnsi="Arial" w:cs="Arial"/>
          <w:i/>
          <w:sz w:val="20"/>
        </w:rPr>
        <w:t xml:space="preserve"> v </w:t>
      </w:r>
      <w:proofErr w:type="spellStart"/>
      <w:r w:rsidR="00352003" w:rsidRPr="00292662">
        <w:rPr>
          <w:rFonts w:ascii="Arial" w:eastAsia="Book Antiqua" w:hAnsi="Arial" w:cs="Arial"/>
          <w:i/>
          <w:sz w:val="20"/>
        </w:rPr>
        <w:t>Yarra</w:t>
      </w:r>
      <w:proofErr w:type="spellEnd"/>
      <w:r w:rsidR="00352003" w:rsidRPr="00292662">
        <w:rPr>
          <w:rFonts w:ascii="Arial" w:eastAsia="Book Antiqua" w:hAnsi="Arial" w:cs="Arial"/>
          <w:i/>
          <w:sz w:val="20"/>
        </w:rPr>
        <w:t xml:space="preserve"> Ranges Council </w:t>
      </w:r>
      <w:r w:rsidR="00352003" w:rsidRPr="00292662">
        <w:rPr>
          <w:rFonts w:ascii="Arial" w:hAnsi="Arial" w:cs="Arial"/>
          <w:sz w:val="20"/>
        </w:rPr>
        <w:t xml:space="preserve">(2017) 51 VR 624 in the course of a judgment in which her Honour found that the self-represented plaintiff had not been given a reasonable opportunity by the presiding magistrate to respond to the first defendant’s application to strike the matter out and had failed to appropriately assist the plaintiff, and had thereby failed to comply with s.24 of the </w:t>
      </w:r>
      <w:r w:rsidR="00352003" w:rsidRPr="00292662">
        <w:rPr>
          <w:rFonts w:ascii="Arial" w:hAnsi="Arial" w:cs="Arial"/>
          <w:i/>
          <w:iCs/>
          <w:sz w:val="20"/>
        </w:rPr>
        <w:t xml:space="preserve">Charter of Human Rights and Responsibilities Act 2006 </w:t>
      </w:r>
      <w:r w:rsidR="00352003" w:rsidRPr="00292662">
        <w:rPr>
          <w:rFonts w:ascii="Arial" w:hAnsi="Arial" w:cs="Arial"/>
          <w:sz w:val="20"/>
        </w:rPr>
        <w:t>to afford her a fair hearing.</w:t>
      </w:r>
    </w:p>
    <w:p w14:paraId="17F6F191" w14:textId="5C590E09" w:rsidR="002337CA" w:rsidRDefault="002337CA" w:rsidP="00443E59">
      <w:pPr>
        <w:jc w:val="both"/>
        <w:rPr>
          <w:rFonts w:ascii="Helvetica" w:hAnsi="Helvetica"/>
          <w:color w:val="000000"/>
          <w:sz w:val="20"/>
        </w:rPr>
      </w:pPr>
    </w:p>
    <w:p w14:paraId="5F7C644E" w14:textId="417FEE79" w:rsidR="00292662" w:rsidRDefault="00292662" w:rsidP="00443E59">
      <w:pPr>
        <w:jc w:val="both"/>
        <w:rPr>
          <w:rFonts w:ascii="Helvetica" w:hAnsi="Helvetica"/>
          <w:color w:val="000000"/>
          <w:sz w:val="20"/>
        </w:rPr>
      </w:pPr>
      <w:r>
        <w:rPr>
          <w:rFonts w:ascii="Helvetica" w:hAnsi="Helvetica"/>
          <w:color w:val="000000"/>
          <w:sz w:val="20"/>
        </w:rPr>
        <w:t xml:space="preserve">See also </w:t>
      </w:r>
      <w:r w:rsidR="00943BBA" w:rsidRPr="00943BBA">
        <w:rPr>
          <w:rFonts w:ascii="Helvetica" w:hAnsi="Helvetica"/>
          <w:i/>
          <w:iCs/>
          <w:color w:val="000000"/>
          <w:sz w:val="20"/>
        </w:rPr>
        <w:t>Daher v Bell</w:t>
      </w:r>
      <w:r w:rsidR="00943BBA">
        <w:rPr>
          <w:rFonts w:ascii="Helvetica" w:hAnsi="Helvetica"/>
          <w:color w:val="000000"/>
          <w:sz w:val="20"/>
        </w:rPr>
        <w:t xml:space="preserve"> [2020] VSC 346 at [8]-[9] per </w:t>
      </w:r>
      <w:proofErr w:type="spellStart"/>
      <w:r w:rsidR="00943BBA">
        <w:rPr>
          <w:rFonts w:ascii="Helvetica" w:hAnsi="Helvetica"/>
          <w:color w:val="000000"/>
          <w:sz w:val="20"/>
        </w:rPr>
        <w:t>Derham</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 xml:space="preserve">; </w:t>
      </w:r>
      <w:r w:rsidR="00943BBA" w:rsidRPr="00943BBA">
        <w:rPr>
          <w:rFonts w:ascii="Helvetica" w:hAnsi="Helvetica"/>
          <w:i/>
          <w:iCs/>
          <w:color w:val="000000"/>
          <w:sz w:val="20"/>
        </w:rPr>
        <w:t xml:space="preserve">Re Rococo Group Pty Ltd (in </w:t>
      </w:r>
      <w:proofErr w:type="spellStart"/>
      <w:r w:rsidR="00943BBA" w:rsidRPr="00943BBA">
        <w:rPr>
          <w:rFonts w:ascii="Helvetica" w:hAnsi="Helvetica"/>
          <w:i/>
          <w:iCs/>
          <w:color w:val="000000"/>
          <w:sz w:val="20"/>
        </w:rPr>
        <w:t>liq</w:t>
      </w:r>
      <w:proofErr w:type="spellEnd"/>
      <w:r w:rsidR="00943BBA" w:rsidRPr="00943BBA">
        <w:rPr>
          <w:rFonts w:ascii="Helvetica" w:hAnsi="Helvetica"/>
          <w:i/>
          <w:iCs/>
          <w:color w:val="000000"/>
          <w:sz w:val="20"/>
        </w:rPr>
        <w:t>)</w:t>
      </w:r>
      <w:r w:rsidR="00943BBA">
        <w:rPr>
          <w:rFonts w:ascii="Helvetica" w:hAnsi="Helvetica"/>
          <w:color w:val="000000"/>
          <w:sz w:val="20"/>
        </w:rPr>
        <w:t xml:space="preserve"> [2022] VSC 167 at [7] per </w:t>
      </w:r>
      <w:proofErr w:type="spellStart"/>
      <w:r w:rsidR="00943BBA">
        <w:rPr>
          <w:rFonts w:ascii="Helvetica" w:hAnsi="Helvetica"/>
          <w:color w:val="000000"/>
          <w:sz w:val="20"/>
        </w:rPr>
        <w:t>Hetyey</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w:t>
      </w:r>
    </w:p>
    <w:p w14:paraId="061FC62C" w14:textId="4DC7A581" w:rsidR="00292662" w:rsidRDefault="00292662"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country-region">
        <w:smartTag w:uri="urn:schemas-microsoft-com:office:smarttags" w:element="place">
          <w:r w:rsidR="00212E60" w:rsidRPr="00E37520">
            <w:rPr>
              <w:rFonts w:ascii="Arial" w:hAnsi="Arial" w:cs="Arial"/>
              <w:i/>
              <w:color w:val="000000"/>
              <w:sz w:val="20"/>
            </w:rPr>
            <w:t>Australia</w:t>
          </w:r>
        </w:smartTag>
      </w:smartTag>
      <w:r w:rsidR="00212E60" w:rsidRPr="00E37520">
        <w:rPr>
          <w:rFonts w:ascii="Arial" w:hAnsi="Arial" w:cs="Arial"/>
          <w:i/>
          <w:color w:val="000000"/>
          <w:sz w:val="20"/>
        </w:rPr>
        <w:t xml:space="preserve">) Inc &amp; </w:t>
      </w:r>
      <w:proofErr w:type="spellStart"/>
      <w:r w:rsidR="00212E60" w:rsidRPr="00E37520">
        <w:rPr>
          <w:rFonts w:ascii="Arial" w:hAnsi="Arial" w:cs="Arial"/>
          <w:i/>
          <w:color w:val="000000"/>
          <w:sz w:val="20"/>
        </w:rPr>
        <w:t>Ors</w:t>
      </w:r>
      <w:proofErr w:type="spellEnd"/>
      <w:r w:rsidR="00212E60" w:rsidRPr="00E37520">
        <w:rPr>
          <w:rFonts w:ascii="Arial" w:hAnsi="Arial" w:cs="Arial"/>
          <w:i/>
          <w:color w:val="000000"/>
          <w:sz w:val="20"/>
        </w:rPr>
        <w:t xml:space="preserve">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w:t>
      </w:r>
      <w:proofErr w:type="spellStart"/>
      <w:r w:rsidR="004E3CDB" w:rsidRPr="00E37520">
        <w:rPr>
          <w:rFonts w:ascii="Helvetica" w:hAnsi="Helvetica"/>
          <w:color w:val="000000"/>
          <w:sz w:val="20"/>
        </w:rPr>
        <w:t>Pagone</w:t>
      </w:r>
      <w:proofErr w:type="spellEnd"/>
      <w:r w:rsidR="004E3CDB" w:rsidRPr="00E37520">
        <w:rPr>
          <w:rFonts w:ascii="Helvetica" w:hAnsi="Helvetica"/>
          <w:color w:val="000000"/>
          <w:sz w:val="20"/>
        </w:rPr>
        <w:t xml:space="preserv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 xml:space="preserve">Westpac Banking Corporation v Angela Barrett &amp; </w:t>
      </w:r>
      <w:proofErr w:type="spellStart"/>
      <w:r w:rsidR="00443E59" w:rsidRPr="00E37520">
        <w:rPr>
          <w:rFonts w:ascii="Arial" w:hAnsi="Arial" w:cs="Arial"/>
          <w:i/>
          <w:color w:val="000000"/>
          <w:sz w:val="20"/>
          <w:szCs w:val="20"/>
        </w:rPr>
        <w:t>Ors</w:t>
      </w:r>
      <w:proofErr w:type="spellEnd"/>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 xml:space="preserve">where </w:t>
      </w:r>
      <w:proofErr w:type="spellStart"/>
      <w:r w:rsidR="00443E59" w:rsidRPr="00E37520">
        <w:rPr>
          <w:rFonts w:ascii="Arial" w:hAnsi="Arial" w:cs="Arial"/>
          <w:color w:val="000000"/>
          <w:sz w:val="20"/>
          <w:szCs w:val="20"/>
        </w:rPr>
        <w:t>Pagone</w:t>
      </w:r>
      <w:proofErr w:type="spellEnd"/>
      <w:r w:rsidR="00443E59" w:rsidRPr="00E37520">
        <w:rPr>
          <w:rFonts w:ascii="Arial" w:hAnsi="Arial" w:cs="Arial"/>
          <w:color w:val="000000"/>
          <w:sz w:val="20"/>
          <w:szCs w:val="20"/>
        </w:rPr>
        <w:t xml:space="preserve"> J reiterated:</w:t>
      </w:r>
    </w:p>
    <w:p w14:paraId="04960360" w14:textId="77777777" w:rsidR="00443E59" w:rsidRPr="00E37520" w:rsidRDefault="00443E59" w:rsidP="00443E59">
      <w:pPr>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w:t>
      </w:r>
      <w:proofErr w:type="spellStart"/>
      <w:r w:rsidRPr="00E37520">
        <w:rPr>
          <w:rFonts w:ascii="Arial" w:hAnsi="Arial" w:cs="Arial"/>
          <w:color w:val="000000"/>
          <w:sz w:val="20"/>
          <w:szCs w:val="20"/>
        </w:rPr>
        <w:t>McGindle</w:t>
      </w:r>
      <w:proofErr w:type="spellEnd"/>
      <w:r w:rsidRPr="00E37520">
        <w:rPr>
          <w:rFonts w:ascii="Arial" w:hAnsi="Arial" w:cs="Arial"/>
          <w:color w:val="000000"/>
          <w:sz w:val="20"/>
          <w:szCs w:val="20"/>
        </w:rPr>
        <w:t xml:space="preserv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111A9D06" w14:textId="3703A47C" w:rsidR="00B21DA4" w:rsidRPr="001A1BF2" w:rsidRDefault="00B21DA4" w:rsidP="00F623AD">
      <w:pPr>
        <w:pStyle w:val="Heading2"/>
        <w:keepNext/>
        <w:keepLines/>
        <w:tabs>
          <w:tab w:val="left" w:pos="567"/>
        </w:tabs>
        <w:spacing w:line="240" w:lineRule="auto"/>
        <w:rPr>
          <w:rFonts w:ascii="Arial" w:hAnsi="Arial" w:cs="Arial"/>
          <w:b/>
          <w:bCs/>
          <w:color w:val="000000"/>
        </w:rPr>
      </w:pPr>
      <w:bookmarkStart w:id="382" w:name="_3.5_What_happens"/>
      <w:bookmarkStart w:id="383" w:name="B35"/>
      <w:bookmarkStart w:id="384" w:name="_Toc30608807"/>
      <w:bookmarkStart w:id="385" w:name="_Toc30610021"/>
      <w:bookmarkStart w:id="386" w:name="_Toc30610265"/>
      <w:bookmarkStart w:id="387" w:name="_Toc30638419"/>
      <w:bookmarkStart w:id="388" w:name="_Toc30644228"/>
      <w:bookmarkStart w:id="389" w:name="_Toc30644631"/>
      <w:bookmarkStart w:id="390" w:name="_Toc30645181"/>
      <w:bookmarkStart w:id="391" w:name="_Toc30646392"/>
      <w:bookmarkStart w:id="392" w:name="_Toc30646687"/>
      <w:bookmarkStart w:id="393" w:name="_Toc30646798"/>
      <w:bookmarkStart w:id="394" w:name="_Toc30648155"/>
      <w:bookmarkStart w:id="395" w:name="_Toc30649053"/>
      <w:bookmarkStart w:id="396" w:name="_Toc30649129"/>
      <w:bookmarkStart w:id="397" w:name="_Toc30649390"/>
      <w:bookmarkStart w:id="398" w:name="_Toc30649711"/>
      <w:bookmarkStart w:id="399" w:name="_Toc30651648"/>
      <w:bookmarkStart w:id="400" w:name="_Toc30652632"/>
      <w:bookmarkStart w:id="401" w:name="_Toc30652730"/>
      <w:bookmarkStart w:id="402" w:name="_Toc30654075"/>
      <w:bookmarkStart w:id="403" w:name="_Toc30654426"/>
      <w:bookmarkStart w:id="404" w:name="_Toc30655045"/>
      <w:bookmarkStart w:id="405" w:name="_Toc30655302"/>
      <w:bookmarkStart w:id="406" w:name="_Toc30656980"/>
      <w:bookmarkStart w:id="407" w:name="_Toc30661729"/>
      <w:bookmarkStart w:id="408" w:name="_Toc30666417"/>
      <w:bookmarkStart w:id="409" w:name="_Toc30666647"/>
      <w:bookmarkStart w:id="410" w:name="_Toc30667822"/>
      <w:bookmarkStart w:id="411" w:name="_Toc30669200"/>
      <w:bookmarkStart w:id="412" w:name="_Toc30671416"/>
      <w:bookmarkStart w:id="413" w:name="_Toc30673943"/>
      <w:bookmarkStart w:id="414" w:name="_Toc30691165"/>
      <w:bookmarkStart w:id="415" w:name="_Toc30691536"/>
      <w:bookmarkStart w:id="416" w:name="_Toc30691916"/>
      <w:bookmarkStart w:id="417" w:name="_Toc30692675"/>
      <w:bookmarkStart w:id="418" w:name="_Toc30693054"/>
      <w:bookmarkStart w:id="419" w:name="_Toc30693432"/>
      <w:bookmarkStart w:id="420" w:name="_Toc30693811"/>
      <w:bookmarkStart w:id="421" w:name="_Toc30694192"/>
      <w:bookmarkStart w:id="422" w:name="_Toc30698781"/>
      <w:bookmarkStart w:id="423" w:name="_Toc30699159"/>
      <w:bookmarkStart w:id="424" w:name="_Toc30699544"/>
      <w:bookmarkStart w:id="425" w:name="_Toc30700699"/>
      <w:bookmarkStart w:id="426" w:name="_Toc30701086"/>
      <w:bookmarkStart w:id="427" w:name="_Toc30743695"/>
      <w:bookmarkStart w:id="428" w:name="_Toc30754517"/>
      <w:bookmarkStart w:id="429" w:name="_Toc30756957"/>
      <w:bookmarkStart w:id="430" w:name="_Toc30757506"/>
      <w:bookmarkStart w:id="431" w:name="_Toc30757906"/>
      <w:bookmarkStart w:id="432" w:name="_Toc30762667"/>
      <w:bookmarkStart w:id="433" w:name="_Toc30767321"/>
      <w:bookmarkStart w:id="434" w:name="_Toc34823337"/>
      <w:bookmarkEnd w:id="382"/>
      <w:bookmarkEnd w:id="383"/>
      <w:r w:rsidRPr="001A1BF2">
        <w:rPr>
          <w:rFonts w:ascii="Arial" w:hAnsi="Arial" w:cs="Arial"/>
          <w:b/>
          <w:bCs/>
          <w:color w:val="000000"/>
        </w:rPr>
        <w:lastRenderedPageBreak/>
        <w:t>3.5</w:t>
      </w:r>
      <w:r w:rsidRPr="001A1BF2">
        <w:rPr>
          <w:rFonts w:ascii="Arial" w:hAnsi="Arial" w:cs="Arial"/>
          <w:b/>
          <w:bCs/>
          <w:color w:val="000000"/>
        </w:rPr>
        <w:tab/>
        <w:t>What happens in court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4506B1CA" w14:textId="77777777" w:rsidR="00B21DA4" w:rsidRPr="001A1BF2" w:rsidRDefault="00B21DA4">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35" w:name="_3.5.1_Preparation"/>
      <w:bookmarkStart w:id="436" w:name="B351"/>
      <w:bookmarkStart w:id="437" w:name="_Toc30649712"/>
      <w:bookmarkStart w:id="438" w:name="_Toc30651649"/>
      <w:bookmarkStart w:id="439" w:name="_Toc30652633"/>
      <w:bookmarkStart w:id="440" w:name="_Toc30652731"/>
      <w:bookmarkStart w:id="441" w:name="_Toc30654076"/>
      <w:bookmarkStart w:id="442" w:name="_Toc30654427"/>
      <w:bookmarkStart w:id="443" w:name="_Toc30655046"/>
      <w:bookmarkStart w:id="444" w:name="_Toc30655303"/>
      <w:bookmarkStart w:id="445" w:name="_Toc30656981"/>
      <w:bookmarkStart w:id="446" w:name="_Toc30661730"/>
      <w:bookmarkStart w:id="447" w:name="_Toc30666418"/>
      <w:bookmarkStart w:id="448" w:name="_Toc30666648"/>
      <w:bookmarkStart w:id="449" w:name="_Toc30667823"/>
      <w:bookmarkStart w:id="450" w:name="_Toc30669201"/>
      <w:bookmarkStart w:id="451" w:name="_Toc30671417"/>
      <w:bookmarkStart w:id="452" w:name="_Toc30673944"/>
      <w:bookmarkStart w:id="453" w:name="_Toc30691166"/>
      <w:bookmarkStart w:id="454" w:name="_Toc30691537"/>
      <w:bookmarkStart w:id="455" w:name="_Toc30691917"/>
      <w:bookmarkStart w:id="456" w:name="_Toc30692676"/>
      <w:bookmarkStart w:id="457" w:name="_Toc30693055"/>
      <w:bookmarkStart w:id="458" w:name="_Toc30693433"/>
      <w:bookmarkStart w:id="459" w:name="_Toc30693812"/>
      <w:bookmarkStart w:id="460" w:name="_Toc30694193"/>
      <w:bookmarkStart w:id="461" w:name="_Toc30698782"/>
      <w:bookmarkStart w:id="462" w:name="_Toc30699160"/>
      <w:bookmarkStart w:id="463" w:name="_Toc30699545"/>
      <w:bookmarkStart w:id="464" w:name="_Toc30700700"/>
      <w:bookmarkStart w:id="465" w:name="_Toc30701087"/>
      <w:bookmarkStart w:id="466" w:name="_Toc30743696"/>
      <w:bookmarkStart w:id="467" w:name="_Toc30754518"/>
      <w:bookmarkStart w:id="468" w:name="_Toc30756958"/>
      <w:bookmarkStart w:id="469" w:name="_Toc30757507"/>
      <w:bookmarkStart w:id="470" w:name="_Toc30757907"/>
      <w:bookmarkStart w:id="471" w:name="_Toc30762668"/>
      <w:bookmarkStart w:id="472" w:name="_Toc30767322"/>
      <w:bookmarkStart w:id="473" w:name="_Toc34823338"/>
      <w:bookmarkEnd w:id="435"/>
      <w:bookmarkEnd w:id="436"/>
      <w:r w:rsidRPr="001A1BF2">
        <w:rPr>
          <w:rFonts w:ascii="Arial" w:hAnsi="Arial" w:cs="Arial"/>
          <w:b/>
          <w:bCs/>
          <w:color w:val="000000"/>
          <w:sz w:val="20"/>
        </w:rPr>
        <w:t>3.5.1</w:t>
      </w:r>
      <w:r w:rsidRPr="001A1BF2">
        <w:rPr>
          <w:rFonts w:ascii="Arial" w:hAnsi="Arial" w:cs="Arial"/>
          <w:b/>
          <w:bCs/>
          <w:color w:val="000000"/>
          <w:sz w:val="20"/>
        </w:rPr>
        <w:tab/>
        <w:t>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1507D8B2" w14:textId="77777777"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underlying duty to ensure that orders made by it are in the best interests of the subject child.</w:t>
      </w:r>
    </w:p>
    <w:p w14:paraId="6910F1D7" w14:textId="77777777" w:rsidR="00B21DA4" w:rsidRPr="001A1BF2" w:rsidRDefault="00B21DA4">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74" w:name="_3.5.2_Mention"/>
      <w:bookmarkStart w:id="475" w:name="B352"/>
      <w:bookmarkStart w:id="476" w:name="_Toc30649714"/>
      <w:bookmarkStart w:id="477" w:name="_Toc30651651"/>
      <w:bookmarkStart w:id="478" w:name="_Toc30652635"/>
      <w:bookmarkStart w:id="479" w:name="_Toc30652733"/>
      <w:bookmarkStart w:id="480" w:name="_Toc30654078"/>
      <w:bookmarkStart w:id="481" w:name="_Toc30654429"/>
      <w:bookmarkStart w:id="482" w:name="_Toc30655048"/>
      <w:bookmarkStart w:id="483" w:name="_Toc30655305"/>
      <w:bookmarkStart w:id="484" w:name="_Toc30656983"/>
      <w:bookmarkStart w:id="485" w:name="_Toc30661732"/>
      <w:bookmarkStart w:id="486" w:name="_Toc30666420"/>
      <w:bookmarkStart w:id="487" w:name="_Toc30666650"/>
      <w:bookmarkStart w:id="488" w:name="_Toc30667825"/>
      <w:bookmarkStart w:id="489" w:name="_Toc30669203"/>
      <w:bookmarkStart w:id="490" w:name="_Toc30671419"/>
      <w:bookmarkStart w:id="491" w:name="_Toc30673946"/>
      <w:bookmarkStart w:id="492" w:name="_Toc30691168"/>
      <w:bookmarkStart w:id="493" w:name="_Toc30691539"/>
      <w:bookmarkStart w:id="494" w:name="_Toc30691919"/>
      <w:bookmarkStart w:id="495" w:name="_Toc30692678"/>
      <w:bookmarkStart w:id="496" w:name="_Toc30693057"/>
      <w:bookmarkStart w:id="497" w:name="_Toc30693435"/>
      <w:bookmarkStart w:id="498" w:name="_Toc30693814"/>
      <w:bookmarkStart w:id="499" w:name="_Toc30694195"/>
      <w:bookmarkStart w:id="500" w:name="_Toc30698784"/>
      <w:bookmarkStart w:id="501" w:name="_Toc30699162"/>
      <w:bookmarkStart w:id="502" w:name="_Toc30699547"/>
      <w:bookmarkStart w:id="503" w:name="_Toc30700702"/>
      <w:bookmarkStart w:id="504" w:name="_Toc30701089"/>
      <w:bookmarkStart w:id="505" w:name="_Toc30743698"/>
      <w:bookmarkStart w:id="506" w:name="_Toc30754520"/>
      <w:bookmarkStart w:id="507" w:name="_Toc30756960"/>
      <w:bookmarkStart w:id="508" w:name="_Toc30757509"/>
      <w:bookmarkStart w:id="509" w:name="_Toc30757909"/>
      <w:bookmarkStart w:id="510" w:name="_Toc30762670"/>
      <w:bookmarkStart w:id="511" w:name="_Toc30767324"/>
      <w:bookmarkStart w:id="512" w:name="_Toc34823340"/>
      <w:bookmarkEnd w:id="474"/>
      <w:bookmarkEnd w:id="475"/>
      <w:r>
        <w:rPr>
          <w:rFonts w:ascii="Arial" w:hAnsi="Arial" w:cs="Arial"/>
          <w:b/>
          <w:bCs/>
          <w:sz w:val="20"/>
        </w:rPr>
        <w:t>3.5.</w:t>
      </w:r>
      <w:r w:rsidR="00651711">
        <w:rPr>
          <w:rFonts w:ascii="Arial" w:hAnsi="Arial" w:cs="Arial"/>
          <w:b/>
          <w:bCs/>
          <w:sz w:val="20"/>
        </w:rPr>
        <w:t>2</w:t>
      </w:r>
      <w:r>
        <w:rPr>
          <w:rFonts w:ascii="Arial" w:hAnsi="Arial" w:cs="Arial"/>
          <w:b/>
          <w:bCs/>
          <w:sz w:val="20"/>
        </w:rPr>
        <w:tab/>
        <w:t>Mention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AD4B5A2" w14:textId="18EAE52A" w:rsidR="00B21DA4" w:rsidRDefault="00B21DA4" w:rsidP="00132D91">
      <w:pPr>
        <w:jc w:val="both"/>
        <w:rPr>
          <w:rFonts w:ascii="Arial" w:hAnsi="Arial" w:cs="Arial"/>
          <w:sz w:val="20"/>
        </w:rPr>
      </w:pPr>
      <w:r>
        <w:rPr>
          <w:rFonts w:ascii="Arial" w:hAnsi="Arial" w:cs="Arial"/>
          <w:sz w:val="20"/>
        </w:rPr>
        <w:t xml:space="preserve">All cases, in both Divisions of the Court, are initially listed for </w:t>
      </w:r>
      <w:r w:rsidR="000F0BE9">
        <w:rPr>
          <w:rFonts w:ascii="Arial" w:hAnsi="Arial" w:cs="Arial"/>
          <w:sz w:val="20"/>
        </w:rPr>
        <w:t>“</w:t>
      </w:r>
      <w:r>
        <w:rPr>
          <w:rFonts w:ascii="Arial" w:hAnsi="Arial" w:cs="Arial"/>
          <w:sz w:val="20"/>
        </w:rPr>
        <w:t>mention</w:t>
      </w:r>
      <w:r w:rsidR="000F0BE9">
        <w:rPr>
          <w:rFonts w:ascii="Arial" w:hAnsi="Arial" w:cs="Arial"/>
          <w:sz w:val="20"/>
        </w:rPr>
        <w:t>”</w:t>
      </w:r>
      <w:r>
        <w:rPr>
          <w:rFonts w:ascii="Arial" w:hAnsi="Arial" w:cs="Arial"/>
          <w:sz w:val="20"/>
        </w:rPr>
        <w:t>.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6BDF060D"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w:t>
      </w:r>
      <w:r w:rsidR="00AD093A">
        <w:rPr>
          <w:rFonts w:ascii="Arial" w:hAnsi="Arial" w:cs="Arial"/>
          <w:sz w:val="20"/>
        </w:rPr>
        <w:t>readiness</w:t>
      </w:r>
      <w:r>
        <w:rPr>
          <w:rFonts w:ascii="Arial" w:hAnsi="Arial" w:cs="Arial"/>
          <w:sz w:val="20"/>
        </w:rPr>
        <w:t xml:space="preserve"> hearing;</w:t>
      </w:r>
    </w:p>
    <w:p w14:paraId="060BCFBC" w14:textId="7777777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Criminal Division, for contest, the latter preceded by a contest mention.</w:t>
      </w:r>
    </w:p>
    <w:p w14:paraId="0378F432" w14:textId="77777777" w:rsidR="00024EBC" w:rsidRPr="00024EBC" w:rsidRDefault="00024EBC" w:rsidP="00024EBC">
      <w:pPr>
        <w:pStyle w:val="ListParagraph"/>
        <w:ind w:left="0"/>
        <w:jc w:val="both"/>
        <w:rPr>
          <w:rFonts w:ascii="Arial" w:hAnsi="Arial" w:cs="Arial"/>
          <w:sz w:val="20"/>
        </w:rPr>
      </w:pPr>
    </w:p>
    <w:p w14:paraId="6FDD42A1" w14:textId="32281E00" w:rsidR="00651711" w:rsidRDefault="00651711" w:rsidP="00C42902">
      <w:pPr>
        <w:pStyle w:val="Heading3"/>
        <w:keepNext/>
        <w:keepLines/>
        <w:widowControl/>
        <w:spacing w:line="240" w:lineRule="auto"/>
        <w:rPr>
          <w:rFonts w:ascii="Arial" w:hAnsi="Arial" w:cs="Arial"/>
          <w:b/>
          <w:bCs/>
          <w:color w:val="000000"/>
          <w:sz w:val="20"/>
        </w:rPr>
      </w:pPr>
      <w:bookmarkStart w:id="513" w:name="_Toc30649713"/>
      <w:bookmarkStart w:id="514" w:name="_Toc30651650"/>
      <w:bookmarkStart w:id="515" w:name="_Toc30652634"/>
      <w:bookmarkStart w:id="516" w:name="_Toc30652732"/>
      <w:bookmarkStart w:id="517" w:name="_Toc30654077"/>
      <w:bookmarkStart w:id="518" w:name="_Toc30654428"/>
      <w:bookmarkStart w:id="519" w:name="_Toc30655047"/>
      <w:bookmarkStart w:id="520" w:name="_Toc30655304"/>
      <w:bookmarkStart w:id="521" w:name="_Toc30656982"/>
      <w:bookmarkStart w:id="522" w:name="_Toc30661731"/>
      <w:bookmarkStart w:id="523" w:name="_Toc30666419"/>
      <w:bookmarkStart w:id="524" w:name="_Toc30666649"/>
      <w:bookmarkStart w:id="525" w:name="_Toc30667824"/>
      <w:bookmarkStart w:id="526" w:name="_Toc30669202"/>
      <w:bookmarkStart w:id="527" w:name="_Toc30671418"/>
      <w:bookmarkStart w:id="528" w:name="_Toc30673945"/>
      <w:bookmarkStart w:id="529" w:name="_Toc30691167"/>
      <w:bookmarkStart w:id="530" w:name="_Toc30691538"/>
      <w:bookmarkStart w:id="531" w:name="_Toc30691918"/>
      <w:bookmarkStart w:id="532" w:name="_Toc30692677"/>
      <w:bookmarkStart w:id="533" w:name="_Toc30693056"/>
      <w:bookmarkStart w:id="534" w:name="_Toc30693434"/>
      <w:bookmarkStart w:id="535" w:name="_Toc30693813"/>
      <w:bookmarkStart w:id="536" w:name="_Toc30694194"/>
      <w:bookmarkStart w:id="537" w:name="_Toc30698783"/>
      <w:bookmarkStart w:id="538" w:name="_Toc30699161"/>
      <w:bookmarkStart w:id="539" w:name="_Toc30699546"/>
      <w:bookmarkStart w:id="540" w:name="_Toc30700701"/>
      <w:bookmarkStart w:id="541" w:name="_Toc30701088"/>
      <w:bookmarkStart w:id="542" w:name="_Toc30743697"/>
      <w:bookmarkStart w:id="543" w:name="_Toc30754519"/>
      <w:bookmarkStart w:id="544" w:name="_Toc30756959"/>
      <w:bookmarkStart w:id="545" w:name="_Toc30757508"/>
      <w:bookmarkStart w:id="546" w:name="_Toc30757908"/>
      <w:bookmarkStart w:id="547" w:name="_Toc30762669"/>
      <w:bookmarkStart w:id="548" w:name="_Toc30767323"/>
      <w:bookmarkStart w:id="549" w:name="_Toc34823339"/>
      <w:r w:rsidRPr="001A1BF2">
        <w:rPr>
          <w:rFonts w:ascii="Arial" w:hAnsi="Arial" w:cs="Arial"/>
          <w:b/>
          <w:bCs/>
          <w:color w:val="000000"/>
          <w:sz w:val="20"/>
        </w:rPr>
        <w:t>3.5.</w:t>
      </w:r>
      <w:r>
        <w:rPr>
          <w:rFonts w:ascii="Arial" w:hAnsi="Arial" w:cs="Arial"/>
          <w:b/>
          <w:bCs/>
          <w:color w:val="000000"/>
          <w:sz w:val="20"/>
        </w:rPr>
        <w:t>3</w:t>
      </w:r>
      <w:r w:rsidRPr="001A1BF2">
        <w:rPr>
          <w:rFonts w:ascii="Arial" w:hAnsi="Arial" w:cs="Arial"/>
          <w:b/>
          <w:bCs/>
          <w:color w:val="000000"/>
          <w:sz w:val="20"/>
        </w:rPr>
        <w:tab/>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00C8544F">
        <w:rPr>
          <w:rFonts w:ascii="Arial" w:hAnsi="Arial" w:cs="Arial"/>
          <w:b/>
          <w:bCs/>
          <w:color w:val="000000"/>
          <w:sz w:val="20"/>
        </w:rPr>
        <w:t>Evidence</w:t>
      </w:r>
    </w:p>
    <w:p w14:paraId="16520530" w14:textId="7B694844"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934D0F">
        <w:rPr>
          <w:rFonts w:ascii="Arial" w:hAnsi="Arial" w:cs="Arial"/>
          <w:i/>
          <w:iCs/>
          <w:sz w:val="20"/>
        </w:rPr>
        <w:t>Evidence Act 2008</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0A978494" w:rsidR="00347A50" w:rsidRDefault="00320CD4" w:rsidP="00347A50">
      <w:pPr>
        <w:jc w:val="both"/>
        <w:rPr>
          <w:rFonts w:ascii="Arial" w:hAnsi="Arial" w:cs="Arial"/>
          <w:sz w:val="20"/>
        </w:rPr>
      </w:pPr>
      <w:r>
        <w:rPr>
          <w:rFonts w:ascii="Arial" w:hAnsi="Arial" w:cs="Arial"/>
          <w:sz w:val="20"/>
        </w:rPr>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934D0F">
        <w:rPr>
          <w:rFonts w:ascii="Arial" w:hAnsi="Arial" w:cs="Arial"/>
          <w:i/>
          <w:iCs/>
          <w:sz w:val="20"/>
        </w:rPr>
        <w:t xml:space="preserve">Evidence Act 2008 </w:t>
      </w:r>
      <w:r w:rsidR="00347A50">
        <w:rPr>
          <w:rFonts w:ascii="Arial" w:hAnsi="Arial" w:cs="Arial"/>
          <w:sz w:val="20"/>
        </w:rPr>
        <w:t xml:space="preserve">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6A0F25">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p>
    <w:p w14:paraId="3A67DD4D" w14:textId="77777777" w:rsidR="00347A50" w:rsidRDefault="00347A50" w:rsidP="006A0F25">
      <w:pPr>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6A0F25">
      <w:pPr>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50" w:name="_3.5.3.1_Admissibility_of"/>
      <w:bookmarkStart w:id="551" w:name="B3531"/>
      <w:bookmarkEnd w:id="550"/>
      <w:bookmarkEnd w:id="551"/>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77F5B30C" w14:textId="7CB6AEB5" w:rsidR="008A1522" w:rsidRDefault="008A1522" w:rsidP="00A4066A">
      <w:pPr>
        <w:spacing w:before="120"/>
        <w:jc w:val="both"/>
        <w:rPr>
          <w:rFonts w:ascii="Arial" w:hAnsi="Arial" w:cs="Arial"/>
          <w:color w:val="000000"/>
          <w:sz w:val="20"/>
        </w:rPr>
      </w:pPr>
      <w:r>
        <w:rPr>
          <w:rFonts w:ascii="Arial" w:hAnsi="Arial" w:cs="Arial"/>
          <w:color w:val="000000"/>
          <w:sz w:val="20"/>
        </w:rPr>
        <w:t xml:space="preserve">Section 142 of the </w:t>
      </w:r>
      <w:r w:rsidR="00A56CE4" w:rsidRPr="00934D0F">
        <w:rPr>
          <w:rFonts w:ascii="Arial" w:hAnsi="Arial" w:cs="Arial"/>
          <w:i/>
          <w:iCs/>
          <w:sz w:val="20"/>
        </w:rPr>
        <w:t>Evidence Act 2008</w:t>
      </w:r>
      <w:r w:rsidR="00A56CE4" w:rsidRPr="00934D0F">
        <w:rPr>
          <w:rFonts w:ascii="Arial" w:hAnsi="Arial" w:cs="Arial"/>
          <w:sz w:val="20"/>
        </w:rPr>
        <w:t>, headed “</w:t>
      </w:r>
      <w:r w:rsidR="00A56CE4" w:rsidRPr="00934D0F">
        <w:rPr>
          <w:rFonts w:ascii="Arial" w:hAnsi="Arial" w:cs="Arial"/>
          <w:b/>
          <w:bCs/>
          <w:sz w:val="20"/>
        </w:rPr>
        <w:t>Admissibility of evidence – standard of proof</w:t>
      </w:r>
      <w:r w:rsidR="00A56CE4" w:rsidRPr="00934D0F">
        <w:rPr>
          <w:rFonts w:ascii="Arial" w:hAnsi="Arial" w:cs="Arial"/>
          <w:sz w:val="20"/>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F37004">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06664B16" w:rsidR="00A56CE4" w:rsidRPr="000F0BE9" w:rsidRDefault="00A56CE4" w:rsidP="00D772F0">
      <w:pPr>
        <w:pStyle w:val="ListParagraph"/>
        <w:numPr>
          <w:ilvl w:val="0"/>
          <w:numId w:val="78"/>
        </w:numPr>
        <w:ind w:right="567"/>
        <w:jc w:val="both"/>
        <w:rPr>
          <w:rFonts w:ascii="Arial" w:hAnsi="Arial" w:cs="Arial"/>
          <w:bCs/>
          <w:sz w:val="20"/>
        </w:rPr>
      </w:pPr>
      <w:r w:rsidRPr="000F0BE9">
        <w:rPr>
          <w:rFonts w:ascii="Arial" w:hAnsi="Arial" w:cs="Arial"/>
          <w:bCs/>
          <w:sz w:val="20"/>
        </w:rPr>
        <w:t>In determining whether it is so satisfied, the matters that the court must take into account include-</w:t>
      </w:r>
    </w:p>
    <w:p w14:paraId="076F4766" w14:textId="77777777" w:rsidR="00A56CE4" w:rsidRDefault="00A56CE4" w:rsidP="00D772F0">
      <w:pPr>
        <w:numPr>
          <w:ilvl w:val="0"/>
          <w:numId w:val="48"/>
        </w:numPr>
        <w:ind w:right="56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D772F0">
      <w:pPr>
        <w:numPr>
          <w:ilvl w:val="0"/>
          <w:numId w:val="48"/>
        </w:numPr>
        <w:ind w:right="567"/>
        <w:jc w:val="both"/>
        <w:rPr>
          <w:rFonts w:ascii="Arial" w:hAnsi="Arial" w:cs="Arial"/>
          <w:color w:val="000000"/>
          <w:sz w:val="20"/>
        </w:rPr>
      </w:pPr>
      <w:r>
        <w:rPr>
          <w:rFonts w:ascii="Arial" w:hAnsi="Arial" w:cs="Arial"/>
          <w:color w:val="000000"/>
          <w:sz w:val="20"/>
        </w:rPr>
        <w:t>the gravity of the matters alleged in relation to the question.”</w:t>
      </w:r>
    </w:p>
    <w:p w14:paraId="11414C4F" w14:textId="77777777" w:rsidR="00C53FF5" w:rsidRPr="00F65EB1" w:rsidRDefault="00C53FF5" w:rsidP="00C53FF5">
      <w:pPr>
        <w:jc w:val="both"/>
        <w:rPr>
          <w:rFonts w:ascii="Arial" w:hAnsi="Arial" w:cs="Arial"/>
          <w:color w:val="000000"/>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52" w:name="_3.5.3.2_Admissibility_of"/>
      <w:bookmarkStart w:id="553" w:name="B3532"/>
      <w:bookmarkEnd w:id="552"/>
      <w:bookmarkEnd w:id="553"/>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0BBAEAF5" w14:textId="77777777" w:rsidR="00A4066A" w:rsidRPr="0047194B" w:rsidRDefault="00A4066A" w:rsidP="00C53FF5">
      <w:pPr>
        <w:spacing w:before="120"/>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lastRenderedPageBreak/>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54" w:name="_3.5.3.3_Admissibility_of"/>
      <w:bookmarkStart w:id="555" w:name="B3533"/>
      <w:bookmarkEnd w:id="554"/>
      <w:bookmarkEnd w:id="555"/>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41513605" w14:textId="40B1C625" w:rsidR="00EE245F" w:rsidRDefault="00EE245F" w:rsidP="00A4066A">
      <w:pPr>
        <w:spacing w:before="120"/>
        <w:jc w:val="both"/>
        <w:rPr>
          <w:rFonts w:ascii="Arial" w:hAnsi="Arial" w:cs="Arial"/>
          <w:sz w:val="20"/>
        </w:rPr>
      </w:pPr>
      <w:r>
        <w:rPr>
          <w:rFonts w:ascii="Arial" w:hAnsi="Arial" w:cs="Arial"/>
          <w:sz w:val="20"/>
        </w:rPr>
        <w:t xml:space="preserve">On its face s.142 of the </w:t>
      </w:r>
      <w:r w:rsidRPr="00934D0F">
        <w:rPr>
          <w:rFonts w:ascii="Arial" w:hAnsi="Arial" w:cs="Arial"/>
          <w:i/>
          <w:iCs/>
          <w:sz w:val="20"/>
        </w:rPr>
        <w:t>Evidence Act 2008</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p>
    <w:p w14:paraId="63924331" w14:textId="77777777" w:rsidR="00A10E05" w:rsidRDefault="00A10E05" w:rsidP="00A10E05">
      <w:pPr>
        <w:jc w:val="both"/>
        <w:rPr>
          <w:rFonts w:ascii="Arial" w:hAnsi="Arial" w:cs="Arial"/>
          <w:sz w:val="20"/>
        </w:rPr>
      </w:pPr>
    </w:p>
    <w:p w14:paraId="7D28A5C9" w14:textId="32407762" w:rsidR="00EE245F" w:rsidRDefault="00EE245F" w:rsidP="00A10E05">
      <w:pPr>
        <w:jc w:val="both"/>
        <w:rPr>
          <w:rFonts w:ascii="Arial" w:hAnsi="Arial" w:cs="Arial"/>
          <w:sz w:val="20"/>
        </w:rPr>
      </w:pPr>
      <w:r>
        <w:rPr>
          <w:rFonts w:ascii="Arial" w:hAnsi="Arial" w:cs="Arial"/>
          <w:sz w:val="20"/>
        </w:rPr>
        <w:t xml:space="preserve">Section 215(1)(d) of the CYFA </w:t>
      </w:r>
      <w:r w:rsidR="00320CD4">
        <w:rPr>
          <w:rFonts w:ascii="Arial" w:hAnsi="Arial" w:cs="Arial"/>
          <w:sz w:val="20"/>
        </w:rPr>
        <w:t>provides</w:t>
      </w:r>
      <w:r w:rsidR="00A10E05">
        <w:rPr>
          <w:rFonts w:ascii="Arial" w:hAnsi="Arial" w:cs="Arial"/>
          <w:sz w:val="20"/>
        </w:rPr>
        <w:t xml:space="preserve"> – </w:t>
      </w:r>
      <w:r w:rsidR="000D1B14">
        <w:rPr>
          <w:rFonts w:ascii="Arial" w:hAnsi="Arial" w:cs="Arial"/>
          <w:sz w:val="20"/>
        </w:rPr>
        <w:t xml:space="preserve">with similar effect </w:t>
      </w:r>
      <w:r w:rsidR="00A10E05">
        <w:rPr>
          <w:rFonts w:ascii="Arial" w:hAnsi="Arial" w:cs="Arial"/>
          <w:sz w:val="20"/>
        </w:rPr>
        <w:t xml:space="preserve">to s.65 of the </w:t>
      </w:r>
      <w:r w:rsidR="00A10E05" w:rsidRPr="00934D0F">
        <w:rPr>
          <w:rFonts w:ascii="Arial" w:hAnsi="Arial" w:cs="Arial"/>
          <w:i/>
          <w:iCs/>
          <w:sz w:val="20"/>
        </w:rPr>
        <w:t xml:space="preserve">Family Violence Protection Act 2008 </w:t>
      </w:r>
      <w:r w:rsidR="000D1B14" w:rsidRPr="000D1B14">
        <w:rPr>
          <w:rFonts w:ascii="Arial" w:hAnsi="Arial" w:cs="Arial"/>
          <w:sz w:val="20"/>
        </w:rPr>
        <w:t xml:space="preserve">and </w:t>
      </w:r>
      <w:r w:rsidR="000D1B14">
        <w:rPr>
          <w:rFonts w:ascii="Arial" w:hAnsi="Arial" w:cs="Arial"/>
          <w:bCs/>
          <w:sz w:val="20"/>
        </w:rPr>
        <w:t xml:space="preserve">s.47 of the </w:t>
      </w:r>
      <w:r w:rsidR="000D1B14" w:rsidRPr="00934D0F">
        <w:rPr>
          <w:rFonts w:ascii="Arial" w:hAnsi="Arial" w:cs="Arial"/>
          <w:bCs/>
          <w:i/>
          <w:iCs/>
          <w:sz w:val="20"/>
        </w:rPr>
        <w:t>Personal Safety Intervention Orders Act 2010</w:t>
      </w:r>
      <w:r w:rsidR="00A10E05" w:rsidRPr="00A10E05">
        <w:rPr>
          <w:rFonts w:ascii="Arial" w:hAnsi="Arial" w:cs="Arial"/>
          <w:sz w:val="20"/>
        </w:rPr>
        <w:t xml:space="preserve"> </w:t>
      </w:r>
      <w:r w:rsidR="00A10E05">
        <w:rPr>
          <w:rFonts w:ascii="Arial" w:hAnsi="Arial" w:cs="Arial"/>
          <w:sz w:val="20"/>
        </w:rPr>
        <w:t>–</w:t>
      </w:r>
      <w:r w:rsidR="00A10E05" w:rsidRPr="00A10E05">
        <w:rPr>
          <w:rFonts w:ascii="Arial" w:hAnsi="Arial" w:cs="Arial"/>
          <w:sz w:val="20"/>
        </w:rPr>
        <w:t xml:space="preserve"> that</w:t>
      </w:r>
      <w:r w:rsidR="00320CD4">
        <w:rPr>
          <w:rFonts w:ascii="Arial" w:hAnsi="Arial" w:cs="Arial"/>
          <w:sz w:val="20"/>
        </w:rPr>
        <w:t>:</w:t>
      </w:r>
    </w:p>
    <w:p w14:paraId="1B6CFAF2" w14:textId="77777777" w:rsidR="00320CD4" w:rsidRDefault="00320CD4" w:rsidP="00320CD4">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3EE3D12F" w14:textId="77777777" w:rsidR="00A10E05" w:rsidRDefault="00A10E05" w:rsidP="00A10E05">
      <w:pPr>
        <w:jc w:val="both"/>
        <w:rPr>
          <w:rFonts w:ascii="Arial" w:hAnsi="Arial" w:cs="Arial"/>
          <w:bCs/>
          <w:sz w:val="20"/>
        </w:rPr>
      </w:pPr>
    </w:p>
    <w:p w14:paraId="44DCC58D" w14:textId="1B0E3AC1" w:rsidR="00A4066A" w:rsidRDefault="00A4066A" w:rsidP="00A10E05">
      <w:pPr>
        <w:jc w:val="both"/>
        <w:rPr>
          <w:rFonts w:ascii="Arial" w:hAnsi="Arial" w:cs="Arial"/>
          <w:bCs/>
          <w:sz w:val="20"/>
        </w:rPr>
      </w:pPr>
      <w:r>
        <w:rPr>
          <w:rFonts w:ascii="Arial" w:hAnsi="Arial" w:cs="Arial"/>
          <w:bCs/>
          <w:sz w:val="20"/>
        </w:rPr>
        <w:t xml:space="preserve">The proper operation of such a provision was explained by Higgins J in the Supreme Court of the A.C.T. in </w:t>
      </w:r>
      <w:r>
        <w:rPr>
          <w:rFonts w:ascii="Arial" w:hAnsi="Arial" w:cs="Arial"/>
          <w:bCs/>
          <w:i/>
          <w:iCs/>
          <w:sz w:val="20"/>
        </w:rPr>
        <w:t xml:space="preserve">A &amp; B v Director of Family Services </w:t>
      </w:r>
      <w:r>
        <w:rPr>
          <w:rFonts w:ascii="Arial" w:hAnsi="Arial" w:cs="Arial"/>
          <w:sz w:val="20"/>
        </w:rPr>
        <w:t xml:space="preserve">(1996) 20 </w:t>
      </w:r>
      <w:r w:rsidR="000F0BE9">
        <w:rPr>
          <w:rFonts w:ascii="Arial" w:hAnsi="Arial" w:cs="Arial"/>
          <w:sz w:val="20"/>
        </w:rPr>
        <w:t>I</w:t>
      </w:r>
      <w:r>
        <w:rPr>
          <w:rFonts w:ascii="Arial" w:hAnsi="Arial" w:cs="Arial"/>
          <w:sz w:val="20"/>
        </w:rPr>
        <w:t xml:space="preserve">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t>‘…a judge should be slow to invoke it [a power to dispense with compliance with rules of evidence] where there is a real dispute about matters which go to the heart of the case.’”</w:t>
      </w:r>
    </w:p>
    <w:p w14:paraId="35150313" w14:textId="77777777" w:rsidR="00A4066A" w:rsidRDefault="00A4066A" w:rsidP="00A4066A">
      <w:pPr>
        <w:spacing w:before="120"/>
        <w:jc w:val="both"/>
        <w:rPr>
          <w:rFonts w:ascii="Arial" w:hAnsi="Arial" w:cs="Arial"/>
          <w:bCs/>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p>
    <w:p w14:paraId="0223CE9E" w14:textId="77777777" w:rsidR="00A4066A" w:rsidRDefault="00A4066A" w:rsidP="00A4066A">
      <w:pPr>
        <w:jc w:val="both"/>
        <w:rPr>
          <w:rFonts w:ascii="Arial" w:hAnsi="Arial" w:cs="Arial"/>
          <w:sz w:val="20"/>
        </w:rPr>
      </w:pPr>
    </w:p>
    <w:p w14:paraId="32BA274A" w14:textId="77777777" w:rsidR="00A10E05" w:rsidRDefault="00A10E05" w:rsidP="0019386A">
      <w:pPr>
        <w:jc w:val="both"/>
        <w:rPr>
          <w:rFonts w:ascii="Arial" w:hAnsi="Arial" w:cs="Arial"/>
          <w:sz w:val="20"/>
        </w:rPr>
      </w:pPr>
      <w:r>
        <w:rPr>
          <w:rFonts w:ascii="Arial" w:hAnsi="Arial" w:cs="Arial"/>
          <w:sz w:val="20"/>
        </w:rPr>
        <w:t xml:space="preserve">It follows that s.142 of the </w:t>
      </w:r>
      <w:r w:rsidRPr="00934D0F">
        <w:rPr>
          <w:rFonts w:ascii="Arial" w:hAnsi="Arial" w:cs="Arial"/>
          <w:i/>
          <w:iCs/>
          <w:sz w:val="20"/>
        </w:rPr>
        <w:t>Evidence Act 2008</w:t>
      </w:r>
      <w:r>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2A821BF3" w14:textId="77777777" w:rsidR="00A10E05" w:rsidRDefault="00A10E05" w:rsidP="00A4066A">
      <w:pPr>
        <w:jc w:val="both"/>
        <w:rPr>
          <w:rFonts w:ascii="Arial" w:hAnsi="Arial" w:cs="Arial"/>
          <w:sz w:val="20"/>
        </w:rPr>
      </w:pPr>
    </w:p>
    <w:p w14:paraId="5C77107E" w14:textId="37758267" w:rsidR="00A4066A" w:rsidRDefault="0019386A" w:rsidP="00A4066A">
      <w:pPr>
        <w:jc w:val="both"/>
        <w:rPr>
          <w:rFonts w:ascii="Arial" w:hAnsi="Arial" w:cs="Arial"/>
          <w:sz w:val="20"/>
        </w:rPr>
      </w:pPr>
      <w:r>
        <w:rPr>
          <w:rFonts w:ascii="Arial" w:hAnsi="Arial" w:cs="Arial"/>
          <w:sz w:val="20"/>
        </w:rPr>
        <w:t>However, notwithstanding the broad words “as it thinks fit”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w:t>
      </w:r>
      <w:r w:rsidR="00A4066A" w:rsidRPr="00934D0F">
        <w:rPr>
          <w:rFonts w:ascii="Arial" w:hAnsi="Arial" w:cs="Arial"/>
          <w:i/>
          <w:iCs/>
          <w:sz w:val="20"/>
        </w:rPr>
        <w:t>Medical Practice Act 1994</w:t>
      </w:r>
      <w:r w:rsidR="00A4066A">
        <w:rPr>
          <w:rFonts w:ascii="Arial" w:hAnsi="Arial" w:cs="Arial"/>
          <w:sz w:val="20"/>
        </w:rPr>
        <w:t>.  In rejecting a submission that the words “may inform itself in any way it thinks fit” should be regarded as redundant but holding that the words were subject to a requirement to accord procedural fairness, Maxwell P said at [28]-[29]-</w:t>
      </w:r>
    </w:p>
    <w:p w14:paraId="5EC09C18" w14:textId="77777777" w:rsidR="00A4066A" w:rsidRDefault="00A4066A" w:rsidP="006A0F25">
      <w:pPr>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City">
        <w:smartTag w:uri="urn:schemas-microsoft-com:office:smarttags" w:element="place">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w:t>
      </w:r>
      <w:proofErr w:type="spellStart"/>
      <w:r>
        <w:rPr>
          <w:rFonts w:ascii="Arial" w:hAnsi="Arial" w:cs="Arial"/>
          <w:sz w:val="20"/>
        </w:rPr>
        <w:t>Gummow</w:t>
      </w:r>
      <w:proofErr w:type="spellEnd"/>
      <w:r>
        <w:rPr>
          <w:rFonts w:ascii="Arial" w:hAnsi="Arial" w:cs="Arial"/>
          <w:sz w:val="20"/>
        </w:rPr>
        <w:t xml:space="preserve">,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w:t>
      </w:r>
      <w:proofErr w:type="spellStart"/>
      <w:r>
        <w:rPr>
          <w:rFonts w:ascii="Arial" w:hAnsi="Arial" w:cs="Arial"/>
          <w:sz w:val="20"/>
        </w:rPr>
        <w:t>McInerney</w:t>
      </w:r>
      <w:proofErr w:type="spellEnd"/>
      <w:r>
        <w:rPr>
          <w:rFonts w:ascii="Arial" w:hAnsi="Arial" w:cs="Arial"/>
          <w:sz w:val="20"/>
        </w:rPr>
        <w:t xml:space="preserve"> J when considering analogous provisions in </w:t>
      </w:r>
      <w:proofErr w:type="spellStart"/>
      <w:r w:rsidRPr="00544F20">
        <w:rPr>
          <w:rFonts w:ascii="Arial" w:hAnsi="Arial" w:cs="Arial"/>
          <w:i/>
          <w:sz w:val="20"/>
        </w:rPr>
        <w:t>Wajnberg</w:t>
      </w:r>
      <w:proofErr w:type="spellEnd"/>
      <w:r w:rsidRPr="00544F20">
        <w:rPr>
          <w:rFonts w:ascii="Arial" w:hAnsi="Arial" w:cs="Arial"/>
          <w:i/>
          <w:sz w:val="20"/>
        </w:rPr>
        <w:t xml:space="preserve"> v Raynor and </w:t>
      </w:r>
      <w:smartTag w:uri="urn:schemas-microsoft-com:office:smarttags" w:element="City">
        <w:smartTag w:uri="urn:schemas-microsoft-com:office:smarttags" w:element="place">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1E313B42" w14:textId="77777777" w:rsidR="00651711" w:rsidRDefault="00651711">
      <w:pPr>
        <w:jc w:val="both"/>
        <w:rPr>
          <w:rFonts w:ascii="Arial" w:hAnsi="Arial" w:cs="Arial"/>
          <w:sz w:val="20"/>
        </w:rPr>
      </w:pPr>
    </w:p>
    <w:p w14:paraId="61BB1416" w14:textId="77777777" w:rsidR="0022246F" w:rsidRPr="009F25D4" w:rsidRDefault="0019386A" w:rsidP="0022246F">
      <w:pPr>
        <w:pStyle w:val="Heading3"/>
        <w:keepNext/>
        <w:spacing w:line="240" w:lineRule="auto"/>
        <w:rPr>
          <w:rFonts w:ascii="Arial" w:hAnsi="Arial" w:cs="Arial"/>
          <w:b/>
          <w:bCs/>
          <w:color w:val="000000"/>
          <w:sz w:val="20"/>
        </w:rPr>
      </w:pPr>
      <w:bookmarkStart w:id="556" w:name="_3.5.3.4_The_hearsay"/>
      <w:bookmarkStart w:id="557" w:name="B3534"/>
      <w:bookmarkEnd w:id="556"/>
      <w:bookmarkEnd w:id="557"/>
      <w:r w:rsidRPr="008C3BC8">
        <w:rPr>
          <w:rFonts w:ascii="Arial" w:hAnsi="Arial" w:cs="Arial"/>
          <w:b/>
          <w:bCs/>
          <w:color w:val="000000"/>
          <w:sz w:val="20"/>
        </w:rPr>
        <w:t>3.5.</w:t>
      </w:r>
      <w:r>
        <w:rPr>
          <w:rFonts w:ascii="Arial" w:hAnsi="Arial" w:cs="Arial"/>
          <w:b/>
          <w:bCs/>
          <w:color w:val="000000"/>
          <w:sz w:val="20"/>
        </w:rPr>
        <w:t>3.4</w:t>
      </w:r>
      <w:r>
        <w:rPr>
          <w:rFonts w:ascii="Arial" w:hAnsi="Arial" w:cs="Arial"/>
          <w:b/>
          <w:bCs/>
          <w:color w:val="000000"/>
          <w:sz w:val="20"/>
        </w:rPr>
        <w:tab/>
      </w:r>
      <w:r w:rsidRPr="008C3BC8">
        <w:rPr>
          <w:rFonts w:ascii="Arial" w:hAnsi="Arial" w:cs="Arial"/>
          <w:b/>
          <w:color w:val="000000"/>
          <w:sz w:val="20"/>
        </w:rPr>
        <w:t>The hearsay rule and exceptions thereto</w:t>
      </w:r>
    </w:p>
    <w:p w14:paraId="60FE8A46" w14:textId="2CA757E7" w:rsidR="0019386A" w:rsidRPr="00164487" w:rsidRDefault="0019386A" w:rsidP="00DC56AA">
      <w:pPr>
        <w:spacing w:before="120"/>
        <w:jc w:val="both"/>
        <w:rPr>
          <w:rFonts w:ascii="Arial" w:hAnsi="Arial" w:cs="Arial"/>
          <w:color w:val="000000"/>
          <w:sz w:val="20"/>
        </w:rPr>
      </w:pPr>
      <w:r w:rsidRPr="00164487">
        <w:rPr>
          <w:rFonts w:ascii="Arial" w:hAnsi="Arial" w:cs="Arial"/>
          <w:color w:val="000000"/>
          <w:sz w:val="20"/>
        </w:rPr>
        <w:t xml:space="preserve">Section 59 of the </w:t>
      </w:r>
      <w:r w:rsidRPr="0058675C">
        <w:rPr>
          <w:rFonts w:ascii="Arial" w:hAnsi="Arial" w:cs="Arial"/>
          <w:i/>
          <w:iCs/>
          <w:color w:val="000000"/>
          <w:sz w:val="20"/>
        </w:rPr>
        <w:t>Evidence Act 2008</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68890D4F"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58675C">
        <w:rPr>
          <w:rFonts w:ascii="Arial" w:hAnsi="Arial" w:cs="Arial"/>
          <w:i/>
          <w:iCs/>
          <w:color w:val="000000"/>
          <w:sz w:val="20"/>
        </w:rPr>
        <w:t>Evidence Act 2008</w:t>
      </w:r>
      <w:r w:rsidR="0058675C" w:rsidRPr="0058675C">
        <w:rPr>
          <w:rFonts w:ascii="Arial" w:hAnsi="Arial" w:cs="Arial"/>
          <w:color w:val="000000"/>
          <w:sz w:val="20"/>
        </w:rPr>
        <w:t xml:space="preserve"> </w:t>
      </w:r>
      <w:r w:rsidRPr="00164487">
        <w:rPr>
          <w:rFonts w:ascii="Arial" w:hAnsi="Arial" w:cs="Arial"/>
          <w:color w:val="000000"/>
          <w:sz w:val="20"/>
        </w:rPr>
        <w:t>contains a large number of exceptions to the hearsay rule, including:</w:t>
      </w:r>
    </w:p>
    <w:p w14:paraId="48765C8F"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p>
    <w:p w14:paraId="775C658D"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p>
    <w:p w14:paraId="6928711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s.92(3): exceptions to the rule excluding evidence of judgments and convictions;</w:t>
      </w:r>
    </w:p>
    <w:p w14:paraId="576D70A5"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Section 65 applies in a criminal proceeding if a person who made a previous representation 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6A0F25">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Clause 4 of Part 2 of the Dictionary provides that a person is taken not to be available to give evidence about a fact if-</w:t>
      </w:r>
    </w:p>
    <w:p w14:paraId="62DBE016"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77777777"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 xml:space="preserve">[2011] VSCA 211 per </w:t>
      </w:r>
      <w:proofErr w:type="spellStart"/>
      <w:r w:rsidRPr="00164487">
        <w:rPr>
          <w:rFonts w:ascii="Arial" w:hAnsi="Arial" w:cs="Arial"/>
          <w:color w:val="000000"/>
          <w:sz w:val="20"/>
        </w:rPr>
        <w:t>Bongiorno</w:t>
      </w:r>
      <w:proofErr w:type="spellEnd"/>
      <w:r w:rsidRPr="00164487">
        <w:rPr>
          <w:rFonts w:ascii="Arial" w:hAnsi="Arial" w:cs="Arial"/>
          <w:color w:val="000000"/>
          <w:sz w:val="20"/>
        </w:rPr>
        <w:t xml:space="preserve"> JA (with whom Harper &amp; Hansen JJA agreed);</w:t>
      </w:r>
      <w:r w:rsidRPr="00164487">
        <w:rPr>
          <w:rFonts w:ascii="Arial" w:hAnsi="Arial" w:cs="Arial"/>
          <w:i/>
          <w:color w:val="000000"/>
          <w:sz w:val="20"/>
        </w:rPr>
        <w:t xml:space="preserve"> </w:t>
      </w:r>
      <w:proofErr w:type="spellStart"/>
      <w:r w:rsidRPr="00164487">
        <w:rPr>
          <w:rFonts w:ascii="Arial" w:hAnsi="Arial" w:cs="Arial"/>
          <w:i/>
          <w:color w:val="000000"/>
          <w:sz w:val="20"/>
        </w:rPr>
        <w:t>Sajanesh</w:t>
      </w:r>
      <w:proofErr w:type="spellEnd"/>
      <w:r w:rsidRPr="00164487">
        <w:rPr>
          <w:rFonts w:ascii="Arial" w:hAnsi="Arial" w:cs="Arial"/>
          <w:i/>
          <w:color w:val="000000"/>
          <w:sz w:val="20"/>
        </w:rPr>
        <w:t xml:space="preserve"> </w:t>
      </w:r>
      <w:proofErr w:type="spellStart"/>
      <w:r w:rsidRPr="00164487">
        <w:rPr>
          <w:rFonts w:ascii="Arial" w:hAnsi="Arial" w:cs="Arial"/>
          <w:i/>
          <w:color w:val="000000"/>
          <w:sz w:val="20"/>
        </w:rPr>
        <w:t>Easwaralingham</w:t>
      </w:r>
      <w:proofErr w:type="spellEnd"/>
      <w:r w:rsidRPr="00164487">
        <w:rPr>
          <w:rFonts w:ascii="Arial" w:hAnsi="Arial" w:cs="Arial"/>
          <w:i/>
          <w:color w:val="000000"/>
          <w:sz w:val="20"/>
        </w:rPr>
        <w:t xml:space="preserve">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w:t>
      </w:r>
      <w:proofErr w:type="spellStart"/>
      <w:r w:rsidRPr="00164487">
        <w:rPr>
          <w:rFonts w:ascii="Arial" w:hAnsi="Arial" w:cs="Arial"/>
          <w:color w:val="000000"/>
          <w:sz w:val="20"/>
        </w:rPr>
        <w:t>Pagone</w:t>
      </w:r>
      <w:proofErr w:type="spellEnd"/>
      <w:r w:rsidRPr="00164487">
        <w:rPr>
          <w:rFonts w:ascii="Arial" w:hAnsi="Arial" w:cs="Arial"/>
          <w:color w:val="000000"/>
          <w:sz w:val="20"/>
        </w:rPr>
        <w:t xml:space="preserv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w:t>
      </w:r>
      <w:proofErr w:type="spellStart"/>
      <w:r w:rsidRPr="00164487">
        <w:rPr>
          <w:rFonts w:ascii="Arial" w:hAnsi="Arial" w:cs="Arial"/>
          <w:color w:val="000000"/>
          <w:sz w:val="20"/>
        </w:rPr>
        <w:t>Lasry</w:t>
      </w:r>
      <w:proofErr w:type="spellEnd"/>
      <w:r w:rsidRPr="00164487">
        <w:rPr>
          <w:rFonts w:ascii="Arial" w:hAnsi="Arial" w:cs="Arial"/>
          <w:color w:val="000000"/>
          <w:sz w:val="20"/>
        </w:rPr>
        <w:t xml:space="preserve"> J.</w:t>
      </w:r>
    </w:p>
    <w:p w14:paraId="00F0E1A5" w14:textId="77777777" w:rsidR="00241128" w:rsidRDefault="00241128" w:rsidP="00241128">
      <w:pPr>
        <w:jc w:val="both"/>
        <w:rPr>
          <w:rFonts w:ascii="Arial" w:hAnsi="Arial" w:cs="Arial"/>
          <w:color w:val="000000"/>
          <w:sz w:val="20"/>
        </w:rPr>
      </w:pPr>
    </w:p>
    <w:p w14:paraId="340D2998" w14:textId="77777777"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77777777" w:rsidR="0019386A" w:rsidRDefault="0019386A" w:rsidP="0019386A">
      <w:pPr>
        <w:jc w:val="both"/>
        <w:rPr>
          <w:rFonts w:ascii="Arial" w:hAnsi="Arial" w:cs="Arial"/>
          <w:sz w:val="20"/>
        </w:rPr>
      </w:pPr>
    </w:p>
    <w:p w14:paraId="6C4A5896" w14:textId="77777777" w:rsidR="0022246F" w:rsidRPr="009F25D4" w:rsidRDefault="0019386A" w:rsidP="0022246F">
      <w:pPr>
        <w:pStyle w:val="Heading3"/>
        <w:keepNext/>
        <w:spacing w:line="240" w:lineRule="auto"/>
        <w:rPr>
          <w:rFonts w:ascii="Arial" w:hAnsi="Arial" w:cs="Arial"/>
          <w:b/>
          <w:bCs/>
          <w:color w:val="000000"/>
          <w:sz w:val="20"/>
        </w:rPr>
      </w:pPr>
      <w:bookmarkStart w:id="558" w:name="_3.5.3.5_Illegally_or"/>
      <w:bookmarkStart w:id="559" w:name="B3535"/>
      <w:bookmarkEnd w:id="558"/>
      <w:bookmarkEnd w:id="559"/>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5</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8675C">
        <w:rPr>
          <w:rFonts w:ascii="Arial" w:hAnsi="Arial" w:cs="Arial"/>
          <w:i/>
          <w:iCs/>
          <w:color w:val="000000"/>
          <w:sz w:val="20"/>
        </w:rPr>
        <w:t>Evidence Act 2008</w:t>
      </w:r>
      <w:r w:rsidRPr="00FD0640">
        <w:rPr>
          <w:rFonts w:ascii="Arial" w:hAnsi="Arial" w:cs="Arial"/>
          <w:color w:val="000000"/>
          <w:sz w:val="20"/>
        </w:rPr>
        <w:t xml:space="preserve"> which provides:</w:t>
      </w:r>
    </w:p>
    <w:p w14:paraId="4C55AA39"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7777777" w:rsidR="0086178A" w:rsidRPr="00FD0640" w:rsidRDefault="0086178A" w:rsidP="0086178A">
      <w:pPr>
        <w:ind w:left="1134" w:right="567"/>
        <w:jc w:val="both"/>
        <w:rPr>
          <w:rFonts w:ascii="Arial" w:hAnsi="Arial" w:cs="Arial"/>
          <w:color w:val="000000"/>
          <w:sz w:val="20"/>
        </w:rPr>
      </w:pPr>
      <w:r w:rsidRPr="00FD0640">
        <w:rPr>
          <w:rFonts w:ascii="Arial" w:hAnsi="Arial" w:cs="Arial"/>
          <w:color w:val="000000"/>
          <w:sz w:val="20"/>
        </w:rPr>
        <w:lastRenderedPageBreak/>
        <w:t>Is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recognized by the </w:t>
      </w:r>
      <w:proofErr w:type="spellStart"/>
      <w:r w:rsidRPr="00FD0640">
        <w:rPr>
          <w:rFonts w:ascii="Arial" w:hAnsi="Arial" w:cs="Arial"/>
          <w:color w:val="000000"/>
          <w:sz w:val="20"/>
        </w:rPr>
        <w:t>the</w:t>
      </w:r>
      <w:proofErr w:type="spellEnd"/>
      <w:r w:rsidRPr="00FD0640">
        <w:rPr>
          <w:rFonts w:ascii="Arial" w:hAnsi="Arial" w:cs="Arial"/>
          <w:color w:val="000000"/>
          <w:sz w:val="20"/>
        </w:rPr>
        <w:t xml:space="preserv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 xml:space="preserve">Kadir v The Queen; </w:t>
      </w:r>
      <w:proofErr w:type="spellStart"/>
      <w:r w:rsidRPr="00650181">
        <w:rPr>
          <w:rFonts w:ascii="Arial" w:hAnsi="Arial" w:cs="Arial"/>
          <w:i/>
          <w:iCs/>
          <w:color w:val="000000"/>
          <w:sz w:val="20"/>
        </w:rPr>
        <w:t>Grech</w:t>
      </w:r>
      <w:proofErr w:type="spellEnd"/>
      <w:r w:rsidRPr="00650181">
        <w:rPr>
          <w:rFonts w:ascii="Arial" w:hAnsi="Arial" w:cs="Arial"/>
          <w:i/>
          <w:iCs/>
          <w:color w:val="000000"/>
          <w:sz w:val="20"/>
        </w:rPr>
        <w:t xml:space="preserve">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Mr Kadir in which he is alleged to have made admissions.  On a </w:t>
      </w:r>
      <w:proofErr w:type="spellStart"/>
      <w:r w:rsidRPr="00063071">
        <w:rPr>
          <w:rFonts w:ascii="Arial" w:hAnsi="Arial" w:cs="Arial"/>
          <w:i/>
          <w:iCs/>
          <w:color w:val="000000"/>
          <w:sz w:val="20"/>
        </w:rPr>
        <w:t>voir</w:t>
      </w:r>
      <w:proofErr w:type="spellEnd"/>
      <w:r w:rsidRPr="00063071">
        <w:rPr>
          <w:rFonts w:ascii="Arial" w:hAnsi="Arial" w:cs="Arial"/>
          <w:i/>
          <w:iCs/>
          <w:color w:val="000000"/>
          <w:sz w:val="20"/>
        </w:rPr>
        <w:t xml:space="preserve"> dire</w:t>
      </w:r>
      <w:r>
        <w:rPr>
          <w:rFonts w:ascii="Arial" w:hAnsi="Arial" w:cs="Arial"/>
          <w:color w:val="000000"/>
          <w:sz w:val="20"/>
        </w:rPr>
        <w:t xml:space="preserve"> the trial judge found that (1) the surveillance evidence had been obtained improperly or in contravention of Australian law and that (2) the search 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w:t>
      </w:r>
      <w:r w:rsidRPr="0058675C">
        <w:rPr>
          <w:rFonts w:ascii="Arial" w:hAnsi="Arial" w:cs="Arial"/>
          <w:i/>
          <w:iCs/>
          <w:color w:val="000000"/>
          <w:sz w:val="20"/>
        </w:rPr>
        <w:t>Evidence Act 2008</w:t>
      </w:r>
      <w:r>
        <w:rPr>
          <w:rFonts w:ascii="Arial" w:hAnsi="Arial" w:cs="Arial"/>
          <w:color w:val="000000"/>
          <w:sz w:val="20"/>
        </w:rPr>
        <w:t>,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w:t>
      </w:r>
      <w:proofErr w:type="spellStart"/>
      <w:r>
        <w:rPr>
          <w:rFonts w:ascii="Arial" w:hAnsi="Arial" w:cs="Arial"/>
          <w:color w:val="000000"/>
          <w:sz w:val="20"/>
        </w:rPr>
        <w:t>Kiefel</w:t>
      </w:r>
      <w:proofErr w:type="spellEnd"/>
      <w:r>
        <w:rPr>
          <w:rFonts w:ascii="Arial" w:hAnsi="Arial" w:cs="Arial"/>
          <w:color w:val="000000"/>
          <w:sz w:val="20"/>
        </w:rPr>
        <w:t xml:space="preserve">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86178A">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w:t>
      </w:r>
      <w:r w:rsidRPr="002A06EA">
        <w:rPr>
          <w:rFonts w:ascii="Arial" w:hAnsi="Arial" w:cs="Arial"/>
          <w:sz w:val="20"/>
          <w:szCs w:val="20"/>
        </w:rPr>
        <w:lastRenderedPageBreak/>
        <w:t xml:space="preserve">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2E57E2D2"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ustralia</w:t>
      </w:r>
      <w:r w:rsidR="000F0BE9">
        <w:rPr>
          <w:rFonts w:ascii="Arial" w:hAnsi="Arial" w:cs="Arial"/>
          <w:sz w:val="20"/>
          <w:szCs w:val="20"/>
        </w:rPr>
        <w:t>’</w:t>
      </w:r>
      <w:r w:rsidRPr="007B42D6">
        <w:rPr>
          <w:rFonts w:ascii="Arial" w:hAnsi="Arial" w:cs="Arial"/>
          <w:sz w:val="20"/>
          <w:szCs w:val="20"/>
        </w:rPr>
        <w:t xml:space="preserve">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AD093A">
      <w:pPr>
        <w:spacing w:before="60"/>
        <w:ind w:left="567" w:right="567"/>
        <w:jc w:val="both"/>
        <w:rPr>
          <w:rFonts w:ascii="Arial" w:hAnsi="Arial" w:cs="Arial"/>
          <w:sz w:val="20"/>
        </w:rPr>
      </w:pPr>
      <w:r>
        <w:rPr>
          <w:rFonts w:ascii="Arial" w:hAnsi="Arial" w:cs="Arial"/>
          <w:sz w:val="20"/>
        </w:rPr>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ise the same concerns with respect 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77777777" w:rsidR="00523E9C" w:rsidRDefault="00523E9C" w:rsidP="00523E9C">
      <w:pPr>
        <w:jc w:val="both"/>
        <w:rPr>
          <w:rFonts w:ascii="Arial" w:hAnsi="Arial" w:cs="Arial"/>
          <w:sz w:val="20"/>
        </w:rPr>
      </w:pPr>
    </w:p>
    <w:p w14:paraId="25E885C6" w14:textId="7043058B"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sections </w:t>
      </w:r>
      <w:r w:rsidRPr="00523E9C">
        <w:rPr>
          <w:rFonts w:ascii="Arial" w:hAnsi="Arial" w:cs="Arial"/>
          <w:b/>
          <w:bCs/>
          <w:sz w:val="20"/>
        </w:rPr>
        <w:t>8.2.10</w:t>
      </w:r>
      <w:r>
        <w:rPr>
          <w:rFonts w:ascii="Arial" w:hAnsi="Arial" w:cs="Arial"/>
          <w:sz w:val="20"/>
        </w:rPr>
        <w:t xml:space="preserve"> &amp; </w:t>
      </w:r>
      <w:r w:rsidRPr="00523E9C">
        <w:rPr>
          <w:rFonts w:ascii="Arial" w:hAnsi="Arial" w:cs="Arial"/>
          <w:b/>
          <w:bCs/>
          <w:sz w:val="20"/>
        </w:rPr>
        <w:t>8.2.11</w:t>
      </w:r>
      <w:r>
        <w:rPr>
          <w:rFonts w:ascii="Arial" w:hAnsi="Arial" w:cs="Arial"/>
          <w:sz w:val="20"/>
        </w:rPr>
        <w:t xml:space="preserve"> which are primarily related to the admissibility of records of interview in which police have failed to comply with the statutory pre-requisites in ss.464A-H of the </w:t>
      </w:r>
      <w:r w:rsidRPr="0058675C">
        <w:rPr>
          <w:rFonts w:ascii="Arial" w:hAnsi="Arial" w:cs="Arial"/>
          <w:i/>
          <w:iCs/>
          <w:sz w:val="20"/>
        </w:rPr>
        <w:t>Crimes Act 1958</w:t>
      </w:r>
      <w:r>
        <w:rPr>
          <w:rFonts w:ascii="Arial" w:hAnsi="Arial" w:cs="Arial"/>
          <w:sz w:val="20"/>
        </w:rPr>
        <w:t>.</w:t>
      </w:r>
    </w:p>
    <w:p w14:paraId="6460C95B" w14:textId="77777777" w:rsidR="00523E9C" w:rsidRDefault="00523E9C" w:rsidP="0019386A">
      <w:pPr>
        <w:jc w:val="both"/>
        <w:rPr>
          <w:rFonts w:ascii="Arial" w:hAnsi="Arial" w:cs="Arial"/>
          <w:sz w:val="20"/>
        </w:rPr>
      </w:pPr>
    </w:p>
    <w:p w14:paraId="70198C63" w14:textId="77777777" w:rsidR="0022246F" w:rsidRPr="009F25D4" w:rsidRDefault="0019386A" w:rsidP="0022246F">
      <w:pPr>
        <w:pStyle w:val="Heading3"/>
        <w:keepNext/>
        <w:spacing w:line="240" w:lineRule="auto"/>
        <w:rPr>
          <w:rFonts w:ascii="Arial" w:hAnsi="Arial" w:cs="Arial"/>
          <w:b/>
          <w:bCs/>
          <w:color w:val="000000"/>
          <w:sz w:val="20"/>
        </w:rPr>
      </w:pPr>
      <w:bookmarkStart w:id="560" w:name="_3.5.3.6_Other_cases"/>
      <w:bookmarkStart w:id="561" w:name="B3536"/>
      <w:bookmarkEnd w:id="560"/>
      <w:bookmarkEnd w:id="561"/>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6</w:t>
      </w:r>
      <w:r>
        <w:rPr>
          <w:rFonts w:ascii="Arial" w:hAnsi="Arial" w:cs="Arial"/>
          <w:b/>
          <w:bCs/>
          <w:color w:val="000000"/>
          <w:sz w:val="20"/>
        </w:rPr>
        <w:tab/>
      </w:r>
      <w:r w:rsidR="00D6698D">
        <w:rPr>
          <w:rFonts w:ascii="Arial" w:hAnsi="Arial" w:cs="Arial"/>
          <w:b/>
          <w:bCs/>
          <w:color w:val="000000"/>
          <w:sz w:val="20"/>
        </w:rPr>
        <w:t xml:space="preserve">Other </w:t>
      </w:r>
      <w:r w:rsidR="00755563">
        <w:rPr>
          <w:rFonts w:ascii="Arial" w:hAnsi="Arial" w:cs="Arial"/>
          <w:b/>
          <w:bCs/>
          <w:color w:val="000000"/>
          <w:sz w:val="20"/>
        </w:rPr>
        <w:t xml:space="preserve">cases involving </w:t>
      </w:r>
      <w:r w:rsidR="00D6698D">
        <w:rPr>
          <w:rFonts w:ascii="Arial" w:hAnsi="Arial" w:cs="Arial"/>
          <w:b/>
          <w:bCs/>
          <w:color w:val="000000"/>
          <w:sz w:val="20"/>
        </w:rPr>
        <w:t xml:space="preserve">the </w:t>
      </w:r>
      <w:r w:rsidR="00D6698D">
        <w:rPr>
          <w:rFonts w:ascii="Arial" w:hAnsi="Arial" w:cs="Arial"/>
          <w:b/>
          <w:color w:val="000000"/>
          <w:sz w:val="20"/>
        </w:rPr>
        <w:t>a</w:t>
      </w:r>
      <w:r w:rsidR="00851AAB">
        <w:rPr>
          <w:rFonts w:ascii="Arial" w:hAnsi="Arial" w:cs="Arial"/>
          <w:b/>
          <w:color w:val="000000"/>
          <w:sz w:val="20"/>
        </w:rPr>
        <w:t>dmissibility of</w:t>
      </w:r>
      <w:r w:rsidR="00CF0C70">
        <w:rPr>
          <w:rFonts w:ascii="Arial" w:hAnsi="Arial" w:cs="Arial"/>
          <w:b/>
          <w:color w:val="000000"/>
          <w:sz w:val="20"/>
        </w:rPr>
        <w:t xml:space="preserve"> evidence</w:t>
      </w:r>
    </w:p>
    <w:p w14:paraId="1F2B9420" w14:textId="77777777" w:rsidR="00851AAB" w:rsidRPr="00851AAB" w:rsidRDefault="00851AAB" w:rsidP="00D772F0">
      <w:pPr>
        <w:numPr>
          <w:ilvl w:val="0"/>
          <w:numId w:val="49"/>
        </w:numPr>
        <w:spacing w:before="120"/>
        <w:ind w:left="357" w:hanging="357"/>
        <w:jc w:val="both"/>
        <w:rPr>
          <w:rFonts w:ascii="Arial" w:hAnsi="Arial" w:cs="Arial"/>
          <w:sz w:val="20"/>
        </w:rPr>
      </w:pPr>
      <w:r w:rsidRPr="00851AAB">
        <w:rPr>
          <w:rFonts w:ascii="Arial" w:hAnsi="Arial" w:cs="Arial"/>
          <w:b/>
          <w:bCs/>
          <w:sz w:val="20"/>
        </w:rPr>
        <w:t xml:space="preserve">Sections 137, 146 &amp; 161 </w:t>
      </w:r>
      <w:r w:rsidRPr="0058675C">
        <w:rPr>
          <w:rFonts w:ascii="Arial" w:hAnsi="Arial" w:cs="Arial"/>
          <w:b/>
          <w:bCs/>
          <w:i/>
          <w:iCs/>
          <w:sz w:val="20"/>
        </w:rPr>
        <w:t>Evidence Act 2008</w:t>
      </w:r>
      <w:r w:rsidRPr="00851AAB">
        <w:rPr>
          <w:rFonts w:ascii="Arial" w:hAnsi="Arial" w:cs="Arial"/>
          <w:sz w:val="20"/>
        </w:rPr>
        <w:t xml:space="preserve">:  </w:t>
      </w: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 xml:space="preserve">the applicant, aged 24, had been in a sexual relationship with a complainant, aged 14 to 15.  He had been charged with 9 counts of sexual penetration of a child under 16 and one of </w:t>
      </w:r>
      <w:r w:rsidR="00601F5F">
        <w:rPr>
          <w:rFonts w:ascii="Arial" w:hAnsi="Arial" w:cs="Arial"/>
          <w:color w:val="000000"/>
          <w:sz w:val="20"/>
        </w:rPr>
        <w:t xml:space="preserve">an </w:t>
      </w:r>
      <w:r>
        <w:rPr>
          <w:rFonts w:ascii="Arial" w:hAnsi="Arial" w:cs="Arial"/>
          <w:color w:val="000000"/>
          <w:sz w:val="20"/>
        </w:rPr>
        <w:t xml:space="preserve">indecent act with a child under 16.  He was acquitted of 8 charges but found guilty of the last two in the series.  The issue on appeal was whether the trial judge had erred in admitting evidence of </w:t>
      </w:r>
      <w:r>
        <w:rPr>
          <w:rFonts w:ascii="Arial" w:hAnsi="Arial" w:cs="Arial"/>
          <w:color w:val="000000"/>
          <w:sz w:val="20"/>
        </w:rPr>
        <w:lastRenderedPageBreak/>
        <w:t>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w:t>
      </w:r>
      <w:r w:rsidR="00755563">
        <w:rPr>
          <w:rFonts w:ascii="Arial" w:hAnsi="Arial" w:cs="Arial"/>
          <w:color w:val="000000"/>
          <w:sz w:val="20"/>
        </w:rPr>
        <w:t>s</w:t>
      </w:r>
      <w:r>
        <w:rPr>
          <w:rFonts w:ascii="Arial" w:hAnsi="Arial" w:cs="Arial"/>
          <w:color w:val="000000"/>
          <w:sz w:val="20"/>
        </w:rPr>
        <w:t>, the Court of Appeal held:</w:t>
      </w:r>
    </w:p>
    <w:p w14:paraId="65DE414D" w14:textId="77777777" w:rsidR="00851AAB" w:rsidRDefault="00601F5F" w:rsidP="00D772F0">
      <w:pPr>
        <w:numPr>
          <w:ilvl w:val="0"/>
          <w:numId w:val="50"/>
        </w:numPr>
        <w:jc w:val="both"/>
        <w:rPr>
          <w:rFonts w:ascii="Arial" w:hAnsi="Arial" w:cs="Arial"/>
          <w:sz w:val="20"/>
          <w:szCs w:val="20"/>
        </w:rPr>
      </w:pPr>
      <w:r w:rsidRPr="00601F5F">
        <w:rPr>
          <w:rFonts w:ascii="Arial" w:hAnsi="Arial" w:cs="Arial"/>
          <w:b/>
          <w:bCs/>
          <w:sz w:val="20"/>
          <w:szCs w:val="20"/>
        </w:rPr>
        <w:t>Section 1</w:t>
      </w:r>
      <w:r w:rsidR="00755563">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 xml:space="preserve">The </w:t>
      </w:r>
      <w:r w:rsidR="00755563">
        <w:rPr>
          <w:rFonts w:ascii="Arial" w:hAnsi="Arial" w:cs="Arial"/>
          <w:sz w:val="20"/>
          <w:szCs w:val="20"/>
        </w:rPr>
        <w:t>impugned evidence was admissible pursuant to s.146 relating to “</w:t>
      </w:r>
      <w:r w:rsidR="00755563" w:rsidRPr="00755563">
        <w:rPr>
          <w:rFonts w:ascii="Arial" w:hAnsi="Arial" w:cs="Arial"/>
          <w:b/>
          <w:bCs/>
          <w:sz w:val="20"/>
          <w:szCs w:val="20"/>
        </w:rPr>
        <w:t>Evidence produced by processes, machines and other devices</w:t>
      </w:r>
      <w:r w:rsidR="00755563">
        <w:rPr>
          <w:rFonts w:ascii="Arial" w:hAnsi="Arial" w:cs="Arial"/>
          <w:sz w:val="20"/>
          <w:szCs w:val="20"/>
        </w:rPr>
        <w:t>”: see [63] &amp; [71]-[73].</w:t>
      </w:r>
    </w:p>
    <w:p w14:paraId="1A7C1139" w14:textId="77777777" w:rsidR="00755563" w:rsidRDefault="00755563" w:rsidP="00D772F0">
      <w:pPr>
        <w:numPr>
          <w:ilvl w:val="0"/>
          <w:numId w:val="50"/>
        </w:numPr>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w:t>
      </w:r>
      <w:r w:rsidR="00A00D17">
        <w:rPr>
          <w:rFonts w:ascii="Arial" w:hAnsi="Arial" w:cs="Arial"/>
          <w:sz w:val="20"/>
          <w:szCs w:val="20"/>
        </w:rPr>
        <w:t>75</w:t>
      </w:r>
      <w:r>
        <w:rPr>
          <w:rFonts w:ascii="Arial" w:hAnsi="Arial" w:cs="Arial"/>
          <w:sz w:val="20"/>
          <w:szCs w:val="20"/>
        </w:rPr>
        <w:t>]-[</w:t>
      </w:r>
      <w:r w:rsidR="00A00D17">
        <w:rPr>
          <w:rFonts w:ascii="Arial" w:hAnsi="Arial" w:cs="Arial"/>
          <w:sz w:val="20"/>
          <w:szCs w:val="20"/>
        </w:rPr>
        <w:t>77</w:t>
      </w:r>
      <w:r>
        <w:rPr>
          <w:rFonts w:ascii="Arial" w:hAnsi="Arial" w:cs="Arial"/>
          <w:sz w:val="20"/>
          <w:szCs w:val="20"/>
        </w:rPr>
        <w:t>].</w:t>
      </w:r>
    </w:p>
    <w:p w14:paraId="24AD80EA" w14:textId="77777777" w:rsidR="00755563" w:rsidRPr="00601F5F" w:rsidRDefault="00755563" w:rsidP="00D772F0">
      <w:pPr>
        <w:numPr>
          <w:ilvl w:val="0"/>
          <w:numId w:val="50"/>
        </w:numPr>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xml:space="preserve">: </w:t>
      </w:r>
      <w:r w:rsidR="00A00D17">
        <w:rPr>
          <w:rFonts w:ascii="Arial" w:hAnsi="Arial" w:cs="Arial"/>
          <w:sz w:val="20"/>
          <w:szCs w:val="20"/>
        </w:rPr>
        <w:t>The probative value of the evidence of the Facebook posts was not outweighed by the danger of unfair prejudice to the applicant: see [82]-[86].</w:t>
      </w:r>
    </w:p>
    <w:p w14:paraId="4BD066CE" w14:textId="77777777" w:rsidR="00DC56AA" w:rsidRDefault="00DC56AA" w:rsidP="00DC56AA">
      <w:pPr>
        <w:jc w:val="both"/>
        <w:rPr>
          <w:rFonts w:ascii="Arial" w:hAnsi="Arial" w:cs="Arial"/>
          <w:sz w:val="20"/>
        </w:rPr>
      </w:pPr>
      <w:bookmarkStart w:id="562" w:name="_Hlk96415398"/>
    </w:p>
    <w:p w14:paraId="1504CBEC" w14:textId="00AD1807" w:rsidR="00DC56AA" w:rsidRPr="009F25D4" w:rsidRDefault="00DC56AA" w:rsidP="0066351D">
      <w:pPr>
        <w:pStyle w:val="Heading3"/>
        <w:keepNext/>
        <w:widowControl/>
        <w:spacing w:line="240" w:lineRule="auto"/>
        <w:ind w:left="737" w:hanging="737"/>
        <w:rPr>
          <w:rFonts w:ascii="Arial" w:hAnsi="Arial" w:cs="Arial"/>
          <w:b/>
          <w:bCs/>
          <w:color w:val="000000"/>
          <w:sz w:val="20"/>
        </w:rPr>
      </w:pPr>
      <w:bookmarkStart w:id="563" w:name="_3.5.3.7_A_judicial"/>
      <w:bookmarkStart w:id="564" w:name="_3.5.3.7_Choosing_between"/>
      <w:bookmarkEnd w:id="563"/>
      <w:bookmarkEnd w:id="564"/>
      <w:r w:rsidRPr="008C3BC8">
        <w:rPr>
          <w:rFonts w:ascii="Arial" w:hAnsi="Arial" w:cs="Arial"/>
          <w:b/>
          <w:bCs/>
          <w:color w:val="000000"/>
          <w:sz w:val="20"/>
        </w:rPr>
        <w:t>3.5.</w:t>
      </w:r>
      <w:r>
        <w:rPr>
          <w:rFonts w:ascii="Arial" w:hAnsi="Arial" w:cs="Arial"/>
          <w:b/>
          <w:bCs/>
          <w:color w:val="000000"/>
          <w:sz w:val="20"/>
        </w:rPr>
        <w:t>3.7</w:t>
      </w:r>
      <w:r>
        <w:rPr>
          <w:rFonts w:ascii="Arial" w:hAnsi="Arial" w:cs="Arial"/>
          <w:b/>
          <w:bCs/>
          <w:color w:val="000000"/>
          <w:sz w:val="20"/>
        </w:rPr>
        <w:tab/>
      </w:r>
      <w:r w:rsidR="00AC659F">
        <w:rPr>
          <w:rFonts w:ascii="Arial" w:hAnsi="Arial" w:cs="Arial"/>
          <w:b/>
          <w:bCs/>
          <w:color w:val="000000"/>
          <w:sz w:val="20"/>
        </w:rPr>
        <w:t xml:space="preserve">Conflicting evidence </w:t>
      </w:r>
      <w:r w:rsidR="0066351D">
        <w:rPr>
          <w:rFonts w:ascii="Arial" w:hAnsi="Arial" w:cs="Arial"/>
          <w:b/>
          <w:bCs/>
          <w:color w:val="000000"/>
          <w:sz w:val="20"/>
        </w:rPr>
        <w:t xml:space="preserve">– </w:t>
      </w:r>
      <w:r w:rsidR="00492ABD">
        <w:rPr>
          <w:rFonts w:ascii="Arial" w:hAnsi="Arial" w:cs="Arial"/>
          <w:b/>
          <w:bCs/>
          <w:color w:val="000000"/>
          <w:sz w:val="20"/>
        </w:rPr>
        <w:t>D</w:t>
      </w:r>
      <w:r w:rsidR="0066351D">
        <w:rPr>
          <w:rFonts w:ascii="Arial" w:hAnsi="Arial" w:cs="Arial"/>
          <w:b/>
          <w:bCs/>
          <w:color w:val="000000"/>
          <w:sz w:val="20"/>
        </w:rPr>
        <w:t xml:space="preserve">angers of </w:t>
      </w:r>
      <w:r w:rsidR="00735ADA">
        <w:rPr>
          <w:rFonts w:ascii="Arial" w:hAnsi="Arial" w:cs="Arial"/>
          <w:b/>
          <w:bCs/>
          <w:color w:val="000000"/>
          <w:sz w:val="20"/>
        </w:rPr>
        <w:t>d</w:t>
      </w:r>
      <w:r w:rsidR="0066351D">
        <w:rPr>
          <w:rFonts w:ascii="Arial" w:hAnsi="Arial" w:cs="Arial"/>
          <w:b/>
          <w:bCs/>
          <w:color w:val="000000"/>
          <w:sz w:val="20"/>
        </w:rPr>
        <w:t>emeanour</w:t>
      </w:r>
      <w:r w:rsidR="00B62342">
        <w:rPr>
          <w:rFonts w:ascii="Arial" w:hAnsi="Arial" w:cs="Arial"/>
          <w:b/>
          <w:bCs/>
          <w:color w:val="000000"/>
          <w:sz w:val="20"/>
        </w:rPr>
        <w:t xml:space="preserve"> – Fallibility of human memory</w:t>
      </w:r>
    </w:p>
    <w:p w14:paraId="3B5D8D82" w14:textId="316307DD" w:rsidR="00DC56AA" w:rsidRDefault="0066351D" w:rsidP="00DC56AA">
      <w:pPr>
        <w:spacing w:before="120"/>
        <w:jc w:val="both"/>
        <w:rPr>
          <w:rFonts w:ascii="Arial" w:hAnsi="Arial" w:cs="Arial"/>
          <w:sz w:val="20"/>
        </w:rPr>
      </w:pPr>
      <w:r>
        <w:rPr>
          <w:rFonts w:ascii="Arial" w:hAnsi="Arial" w:cs="Arial"/>
          <w:sz w:val="20"/>
        </w:rPr>
        <w:t>Resolution of m</w:t>
      </w:r>
      <w:r w:rsidR="00DC56AA">
        <w:rPr>
          <w:rFonts w:ascii="Arial" w:hAnsi="Arial" w:cs="Arial"/>
          <w:sz w:val="20"/>
        </w:rPr>
        <w:t>any cases require</w:t>
      </w:r>
      <w:r>
        <w:rPr>
          <w:rFonts w:ascii="Arial" w:hAnsi="Arial" w:cs="Arial"/>
          <w:sz w:val="20"/>
        </w:rPr>
        <w:t>s</w:t>
      </w:r>
      <w:r w:rsidR="00DC56AA">
        <w:rPr>
          <w:rFonts w:ascii="Arial" w:hAnsi="Arial" w:cs="Arial"/>
          <w:sz w:val="20"/>
        </w:rPr>
        <w:t xml:space="preserve"> a judicial officer to choose between two or more conflicting pieces of evidence.  </w:t>
      </w:r>
      <w:r w:rsidR="00FB1630">
        <w:rPr>
          <w:rFonts w:ascii="Arial" w:hAnsi="Arial" w:cs="Arial"/>
          <w:sz w:val="20"/>
        </w:rPr>
        <w:t>How does the judicial officer decide which version of the evidence to accept?  It used to be said that the primary method of resolving conflicts in evidence was to rely on the demeanour of witnesses in the witness-box.  But g</w:t>
      </w:r>
      <w:r w:rsidR="00DC56AA">
        <w:rPr>
          <w:rFonts w:ascii="Arial" w:hAnsi="Arial" w:cs="Arial"/>
          <w:sz w:val="20"/>
        </w:rPr>
        <w:t xml:space="preserve">enerally </w:t>
      </w:r>
      <w:r w:rsidR="00FB1630">
        <w:rPr>
          <w:rFonts w:ascii="Arial" w:hAnsi="Arial" w:cs="Arial"/>
          <w:sz w:val="20"/>
        </w:rPr>
        <w:t xml:space="preserve">speaking, </w:t>
      </w:r>
      <w:r w:rsidR="00DC56AA">
        <w:rPr>
          <w:rFonts w:ascii="Arial" w:hAnsi="Arial" w:cs="Arial"/>
          <w:sz w:val="20"/>
        </w:rPr>
        <w:t xml:space="preserve">a judicial officer is not a particularly efficient ‘lie detector’.  Sir Harry Gibbs, a former Chief Justice of the High Court, </w:t>
      </w:r>
      <w:r w:rsidR="00AD093A">
        <w:rPr>
          <w:rFonts w:ascii="Arial" w:hAnsi="Arial" w:cs="Arial"/>
          <w:sz w:val="20"/>
        </w:rPr>
        <w:t xml:space="preserve">acknowledged this when he </w:t>
      </w:r>
      <w:r w:rsidR="00D53D45">
        <w:rPr>
          <w:rFonts w:ascii="Arial" w:hAnsi="Arial" w:cs="Arial"/>
          <w:sz w:val="20"/>
        </w:rPr>
        <w:t>observ</w:t>
      </w:r>
      <w:r w:rsidR="00AD093A">
        <w:rPr>
          <w:rFonts w:ascii="Arial" w:hAnsi="Arial" w:cs="Arial"/>
          <w:sz w:val="20"/>
        </w:rPr>
        <w:t>ed:</w:t>
      </w:r>
    </w:p>
    <w:p w14:paraId="7E4807AC" w14:textId="23208C7C" w:rsidR="00AD093A" w:rsidRDefault="00AD093A" w:rsidP="00AD093A">
      <w:pPr>
        <w:spacing w:before="60"/>
        <w:ind w:left="567" w:right="567"/>
        <w:jc w:val="both"/>
        <w:rPr>
          <w:rFonts w:ascii="Arial" w:hAnsi="Arial" w:cs="Arial"/>
          <w:sz w:val="20"/>
        </w:rPr>
      </w:pPr>
      <w:r>
        <w:rPr>
          <w:rFonts w:ascii="Arial" w:hAnsi="Arial" w:cs="Arial"/>
          <w:sz w:val="20"/>
        </w:rPr>
        <w:t>“I sometimes think the power of a judge to divine the hidden truth simply by observing a witness is exaggerated and I am sure that where inferences can be drawn from established facts, one is on much stronger ground in reaching the truth than by reliance on the demeanour of witnesses.”</w:t>
      </w:r>
    </w:p>
    <w:p w14:paraId="6A0FD1E3" w14:textId="65F80EB7" w:rsidR="00DC56AA" w:rsidRDefault="00DC56AA">
      <w:pPr>
        <w:jc w:val="both"/>
        <w:rPr>
          <w:rFonts w:ascii="Arial" w:hAnsi="Arial" w:cs="Arial"/>
          <w:sz w:val="20"/>
        </w:rPr>
      </w:pPr>
    </w:p>
    <w:p w14:paraId="78597531" w14:textId="4BC3133B" w:rsidR="00AD093A" w:rsidRDefault="00AD093A">
      <w:pPr>
        <w:jc w:val="both"/>
        <w:rPr>
          <w:rFonts w:ascii="Arial" w:hAnsi="Arial" w:cs="Arial"/>
          <w:sz w:val="20"/>
        </w:rPr>
      </w:pPr>
      <w:r>
        <w:rPr>
          <w:rFonts w:ascii="Arial" w:hAnsi="Arial" w:cs="Arial"/>
          <w:sz w:val="20"/>
        </w:rPr>
        <w:t>In an article in 72 ALJ 21 the then editor Justice Peter Young issued a similar warning to judicial officers:</w:t>
      </w:r>
    </w:p>
    <w:p w14:paraId="4E7E983A" w14:textId="29B58A1B" w:rsidR="00AD093A" w:rsidRDefault="00AD093A" w:rsidP="0066351D">
      <w:pPr>
        <w:numPr>
          <w:ilvl w:val="0"/>
          <w:numId w:val="49"/>
        </w:numPr>
        <w:spacing w:before="60"/>
        <w:ind w:left="567" w:hanging="567"/>
        <w:jc w:val="both"/>
        <w:rPr>
          <w:rFonts w:ascii="Arial" w:hAnsi="Arial" w:cs="Arial"/>
          <w:sz w:val="20"/>
        </w:rPr>
      </w:pPr>
      <w:r>
        <w:rPr>
          <w:rFonts w:ascii="Arial" w:hAnsi="Arial" w:cs="Arial"/>
          <w:sz w:val="20"/>
        </w:rPr>
        <w:t>“Don’t think you have some innate ability to spot a fraud or a liar.”</w:t>
      </w:r>
    </w:p>
    <w:p w14:paraId="347FE99A" w14:textId="1020709A" w:rsidR="00AD093A" w:rsidRPr="00851AAB" w:rsidRDefault="00AD093A" w:rsidP="0066351D">
      <w:pPr>
        <w:numPr>
          <w:ilvl w:val="0"/>
          <w:numId w:val="49"/>
        </w:numPr>
        <w:ind w:left="567" w:hanging="567"/>
        <w:jc w:val="both"/>
        <w:rPr>
          <w:rFonts w:ascii="Arial" w:hAnsi="Arial" w:cs="Arial"/>
          <w:sz w:val="20"/>
        </w:rPr>
      </w:pPr>
      <w:r>
        <w:rPr>
          <w:rFonts w:ascii="Arial" w:hAnsi="Arial" w:cs="Arial"/>
          <w:sz w:val="20"/>
        </w:rPr>
        <w:t>“Try not to judge a case wholly on observation of demeanour.”</w:t>
      </w:r>
    </w:p>
    <w:p w14:paraId="71BBA4FF" w14:textId="77777777" w:rsidR="007C53E6" w:rsidRDefault="007C53E6" w:rsidP="007C53E6">
      <w:pPr>
        <w:jc w:val="both"/>
        <w:rPr>
          <w:rFonts w:ascii="Arial" w:hAnsi="Arial" w:cs="Arial"/>
          <w:sz w:val="20"/>
        </w:rPr>
      </w:pPr>
    </w:p>
    <w:p w14:paraId="46B5BA94" w14:textId="50E3831F" w:rsidR="007C53E6" w:rsidRDefault="007C53E6" w:rsidP="007C53E6">
      <w:pPr>
        <w:jc w:val="both"/>
        <w:rPr>
          <w:rFonts w:ascii="Arial" w:hAnsi="Arial" w:cs="Arial"/>
          <w:sz w:val="20"/>
        </w:rPr>
      </w:pPr>
      <w:r>
        <w:rPr>
          <w:rFonts w:ascii="Arial" w:hAnsi="Arial" w:cs="Arial"/>
          <w:sz w:val="20"/>
        </w:rPr>
        <w:t xml:space="preserve">In </w:t>
      </w:r>
      <w:r w:rsidRPr="00D14D69">
        <w:rPr>
          <w:rFonts w:ascii="Arial" w:hAnsi="Arial" w:cs="Arial"/>
          <w:i/>
          <w:iCs/>
          <w:sz w:val="20"/>
        </w:rPr>
        <w:t>“Guilt and the Consciousness of Guilt: The Use of Lies, Flight and other ‘Guilty Behaviour’ in the Investigation and Prosecution of Crime”</w:t>
      </w:r>
      <w:r>
        <w:rPr>
          <w:rFonts w:ascii="Arial" w:hAnsi="Arial" w:cs="Arial"/>
          <w:sz w:val="20"/>
        </w:rPr>
        <w:t xml:space="preserve"> (1997) 21 Melbourne University Law Review 95, Andrew Palmer explored the notion that an accused’s guilt can be determined by examining his or her behaviour and/or demeanour in the aftermath of a crime and during its investigation.  Although the primary focus of the article was on the investigative phase of the criminal process</w:t>
      </w:r>
      <w:r w:rsidR="00CA085E">
        <w:rPr>
          <w:rFonts w:ascii="Arial" w:hAnsi="Arial" w:cs="Arial"/>
          <w:sz w:val="20"/>
        </w:rPr>
        <w:t>,</w:t>
      </w:r>
      <w:r>
        <w:rPr>
          <w:rFonts w:ascii="Arial" w:hAnsi="Arial" w:cs="Arial"/>
          <w:sz w:val="20"/>
        </w:rPr>
        <w:t xml:space="preserve"> much of </w:t>
      </w:r>
      <w:r w:rsidR="00CA085E">
        <w:rPr>
          <w:rFonts w:ascii="Arial" w:hAnsi="Arial" w:cs="Arial"/>
          <w:sz w:val="20"/>
        </w:rPr>
        <w:t>the author’s</w:t>
      </w:r>
      <w:r>
        <w:rPr>
          <w:rFonts w:ascii="Arial" w:hAnsi="Arial" w:cs="Arial"/>
          <w:sz w:val="20"/>
        </w:rPr>
        <w:t xml:space="preserve"> analysis is </w:t>
      </w:r>
      <w:r w:rsidR="00413325">
        <w:rPr>
          <w:rFonts w:ascii="Arial" w:hAnsi="Arial" w:cs="Arial"/>
          <w:sz w:val="20"/>
        </w:rPr>
        <w:t>no less</w:t>
      </w:r>
      <w:r>
        <w:rPr>
          <w:rFonts w:ascii="Arial" w:hAnsi="Arial" w:cs="Arial"/>
          <w:sz w:val="20"/>
        </w:rPr>
        <w:t xml:space="preserve"> relevant to the adjudicative phase.  In particular, at 119-120, </w:t>
      </w:r>
      <w:r w:rsidR="00CA085E">
        <w:rPr>
          <w:rFonts w:ascii="Arial" w:hAnsi="Arial" w:cs="Arial"/>
          <w:sz w:val="20"/>
        </w:rPr>
        <w:t>he</w:t>
      </w:r>
      <w:r>
        <w:rPr>
          <w:rFonts w:ascii="Arial" w:hAnsi="Arial" w:cs="Arial"/>
          <w:sz w:val="20"/>
        </w:rPr>
        <w:t xml:space="preserve"> says:</w:t>
      </w:r>
    </w:p>
    <w:p w14:paraId="44C3A7FE" w14:textId="2A15AA21"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w:t>
      </w:r>
      <w:r w:rsidRPr="008266AA">
        <w:rPr>
          <w:rFonts w:ascii="Arial" w:hAnsi="Arial" w:cs="Arial"/>
          <w:sz w:val="20"/>
          <w:szCs w:val="20"/>
        </w:rPr>
        <w:t>Because an innocent person may find the experience of interrogation stressful they may display the same indicators of emotional arousal as the guilty person. Other emotions which may lead to the conclusion that a truthful suspect is lying include 'extreme emotional tension or nervousn</w:t>
      </w:r>
      <w:r w:rsidR="00FB1630">
        <w:rPr>
          <w:rFonts w:ascii="Arial" w:hAnsi="Arial" w:cs="Arial"/>
          <w:sz w:val="20"/>
          <w:szCs w:val="20"/>
        </w:rPr>
        <w:t>ess</w:t>
      </w:r>
      <w:r w:rsidRPr="008266AA">
        <w:rPr>
          <w:rFonts w:ascii="Arial" w:hAnsi="Arial" w:cs="Arial"/>
          <w:sz w:val="20"/>
          <w:szCs w:val="20"/>
        </w:rPr>
        <w:t>'; 'overanxiety'; anger or resentment at being the subject of an investigation; 'concern over neglect of duty or responsibility that made possible the commission of the offence by someone else'; and 'involvement in other similar acts or offenses'</w:t>
      </w:r>
      <w:r>
        <w:rPr>
          <w:rFonts w:ascii="Arial" w:hAnsi="Arial" w:cs="Arial"/>
          <w:sz w:val="20"/>
          <w:szCs w:val="20"/>
        </w:rPr>
        <w:t xml:space="preserve">: John Reid &amp; Fred </w:t>
      </w:r>
      <w:proofErr w:type="spellStart"/>
      <w:r>
        <w:rPr>
          <w:rFonts w:ascii="Arial" w:hAnsi="Arial" w:cs="Arial"/>
          <w:sz w:val="20"/>
          <w:szCs w:val="20"/>
        </w:rPr>
        <w:t>Inbau</w:t>
      </w:r>
      <w:proofErr w:type="spellEnd"/>
      <w:r>
        <w:rPr>
          <w:rFonts w:ascii="Arial" w:hAnsi="Arial" w:cs="Arial"/>
          <w:sz w:val="20"/>
          <w:szCs w:val="20"/>
        </w:rPr>
        <w:t xml:space="preserve">, </w:t>
      </w:r>
      <w:r w:rsidRPr="008266AA">
        <w:rPr>
          <w:rFonts w:ascii="Arial" w:hAnsi="Arial" w:cs="Arial"/>
          <w:i/>
          <w:iCs/>
          <w:sz w:val="20"/>
          <w:szCs w:val="20"/>
        </w:rPr>
        <w:t>Truth and Deception.  The Polygraph (“Lie Detector”) Technique</w:t>
      </w:r>
      <w:r>
        <w:rPr>
          <w:rFonts w:ascii="Arial" w:hAnsi="Arial" w:cs="Arial"/>
          <w:sz w:val="20"/>
          <w:szCs w:val="20"/>
        </w:rPr>
        <w:t xml:space="preserve"> (1966) 169-176).  </w:t>
      </w:r>
      <w:r w:rsidRPr="008266AA">
        <w:rPr>
          <w:rFonts w:ascii="Arial" w:hAnsi="Arial" w:cs="Arial"/>
          <w:sz w:val="20"/>
          <w:szCs w:val="20"/>
        </w:rPr>
        <w:t xml:space="preserve">The ambiguity of emotional arousal, and the possibility of concealing it through behaviour, means that any confidence that deception can be detected through a person's demeanour is probably misplaced. </w:t>
      </w:r>
      <w:r w:rsidR="00FB1630">
        <w:rPr>
          <w:rFonts w:ascii="Arial" w:hAnsi="Arial" w:cs="Arial"/>
          <w:sz w:val="20"/>
          <w:szCs w:val="20"/>
        </w:rPr>
        <w:t xml:space="preserve"> </w:t>
      </w:r>
      <w:r w:rsidRPr="008266AA">
        <w:rPr>
          <w:rFonts w:ascii="Arial" w:hAnsi="Arial" w:cs="Arial"/>
          <w:sz w:val="20"/>
          <w:szCs w:val="20"/>
        </w:rPr>
        <w:t xml:space="preserve">Ekman, for example, tested a range of professional groups whose jobs involved the detection of lies in order to assess their accuracy at this task. Of all the professional groups </w:t>
      </w:r>
      <w:r>
        <w:rPr>
          <w:rFonts w:ascii="Arial" w:hAnsi="Arial" w:cs="Arial"/>
          <w:sz w:val="20"/>
          <w:szCs w:val="20"/>
        </w:rPr>
        <w:t>–</w:t>
      </w:r>
      <w:r w:rsidRPr="008266AA">
        <w:rPr>
          <w:rFonts w:ascii="Arial" w:hAnsi="Arial" w:cs="Arial"/>
          <w:sz w:val="20"/>
          <w:szCs w:val="20"/>
        </w:rPr>
        <w:t xml:space="preserve"> which</w:t>
      </w:r>
      <w:r>
        <w:rPr>
          <w:rFonts w:ascii="Arial" w:hAnsi="Arial" w:cs="Arial"/>
          <w:sz w:val="20"/>
          <w:szCs w:val="20"/>
        </w:rPr>
        <w:t xml:space="preserve"> </w:t>
      </w:r>
      <w:r w:rsidRPr="008266AA">
        <w:rPr>
          <w:rFonts w:ascii="Arial" w:hAnsi="Arial" w:cs="Arial"/>
          <w:sz w:val="20"/>
          <w:szCs w:val="20"/>
        </w:rPr>
        <w:t xml:space="preserve">included judges, trial attorneys, police, polygraph operators, and agents of the CIA and FBI </w:t>
      </w:r>
      <w:r>
        <w:rPr>
          <w:rFonts w:ascii="Arial" w:hAnsi="Arial" w:cs="Arial"/>
          <w:sz w:val="20"/>
          <w:szCs w:val="20"/>
        </w:rPr>
        <w:t>–</w:t>
      </w:r>
      <w:r w:rsidRPr="008266AA">
        <w:rPr>
          <w:rFonts w:ascii="Arial" w:hAnsi="Arial" w:cs="Arial"/>
          <w:sz w:val="20"/>
          <w:szCs w:val="20"/>
        </w:rPr>
        <w:t xml:space="preserve"> only</w:t>
      </w:r>
      <w:r>
        <w:rPr>
          <w:rFonts w:ascii="Arial" w:hAnsi="Arial" w:cs="Arial"/>
          <w:sz w:val="20"/>
          <w:szCs w:val="20"/>
        </w:rPr>
        <w:t xml:space="preserve"> </w:t>
      </w:r>
      <w:r w:rsidRPr="008266AA">
        <w:rPr>
          <w:rFonts w:ascii="Arial" w:hAnsi="Arial" w:cs="Arial"/>
          <w:sz w:val="20"/>
          <w:szCs w:val="20"/>
        </w:rPr>
        <w:t>US Secret Service agents did better than they would have if they had simply tossed a coin</w:t>
      </w:r>
      <w:r>
        <w:rPr>
          <w:rFonts w:ascii="Arial" w:hAnsi="Arial" w:cs="Arial"/>
          <w:sz w:val="20"/>
          <w:szCs w:val="20"/>
        </w:rPr>
        <w:t xml:space="preserve">: Paul Ekman, </w:t>
      </w:r>
      <w:r w:rsidRPr="002837EB">
        <w:rPr>
          <w:rFonts w:ascii="Arial" w:hAnsi="Arial" w:cs="Arial"/>
          <w:i/>
          <w:iCs/>
          <w:sz w:val="20"/>
          <w:szCs w:val="20"/>
        </w:rPr>
        <w:t>Telling Lies: Clues to Deceit in the Marketplace, Politics, and Marriage</w:t>
      </w:r>
      <w:r w:rsidRPr="002837EB">
        <w:rPr>
          <w:rFonts w:ascii="Arial" w:hAnsi="Arial" w:cs="Arial"/>
          <w:sz w:val="20"/>
          <w:szCs w:val="20"/>
        </w:rPr>
        <w:t xml:space="preserve"> (1992) 45</w:t>
      </w:r>
      <w:r>
        <w:rPr>
          <w:rFonts w:ascii="Arial" w:hAnsi="Arial" w:cs="Arial"/>
          <w:sz w:val="20"/>
          <w:szCs w:val="20"/>
        </w:rPr>
        <w:t xml:space="preserve">. </w:t>
      </w:r>
      <w:r w:rsidRPr="008266AA">
        <w:rPr>
          <w:rFonts w:ascii="Arial" w:hAnsi="Arial" w:cs="Arial"/>
          <w:sz w:val="20"/>
          <w:szCs w:val="20"/>
        </w:rPr>
        <w:t>Given the extent to which criminal interrogators tend to assume the guilt of suspects, their errors are likely to be all in the same direction, with the interrogator invariably, and sometimes falsely, interpreting any symptoms of emotional arousal as indicating that the suspect is lying and hence guilty.</w:t>
      </w:r>
    </w:p>
    <w:p w14:paraId="21108827" w14:textId="663C3FC7"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sidRPr="008266AA">
        <w:rPr>
          <w:rFonts w:ascii="Arial" w:hAnsi="Arial" w:cs="Arial"/>
          <w:sz w:val="20"/>
          <w:szCs w:val="20"/>
        </w:rPr>
        <w:t>These clues to deception also play a role in the courtroom in terms of the decision the tribunal of fact must make about whether or not a witness is telling the truth. The importance of being able to observe a witness' demeanour is constantly put forward as a reason for an appellate court to refuse to overturn a jury verdict</w:t>
      </w:r>
      <w:r>
        <w:rPr>
          <w:rFonts w:ascii="Arial" w:hAnsi="Arial" w:cs="Arial"/>
          <w:sz w:val="20"/>
          <w:szCs w:val="20"/>
        </w:rPr>
        <w:t xml:space="preserve">: see e.g. </w:t>
      </w:r>
      <w:r w:rsidRPr="002837EB">
        <w:rPr>
          <w:rFonts w:ascii="Arial" w:hAnsi="Arial" w:cs="Arial"/>
          <w:i/>
          <w:iCs/>
          <w:sz w:val="20"/>
          <w:szCs w:val="20"/>
        </w:rPr>
        <w:t>M v R</w:t>
      </w:r>
      <w:r>
        <w:rPr>
          <w:rFonts w:ascii="Arial" w:hAnsi="Arial" w:cs="Arial"/>
          <w:sz w:val="20"/>
          <w:szCs w:val="20"/>
        </w:rPr>
        <w:t xml:space="preserve"> (1994) 181 CLR 487,531; </w:t>
      </w:r>
      <w:r w:rsidRPr="002837EB">
        <w:rPr>
          <w:rFonts w:ascii="Arial" w:hAnsi="Arial" w:cs="Arial"/>
          <w:i/>
          <w:iCs/>
          <w:sz w:val="20"/>
          <w:szCs w:val="20"/>
        </w:rPr>
        <w:t>Edwards</w:t>
      </w:r>
      <w:r>
        <w:rPr>
          <w:rFonts w:ascii="Arial" w:hAnsi="Arial" w:cs="Arial"/>
          <w:sz w:val="20"/>
          <w:szCs w:val="20"/>
        </w:rPr>
        <w:t xml:space="preserve"> (1993) 178 CLR 193, 213;</w:t>
      </w:r>
      <w:r w:rsidRPr="008266AA">
        <w:rPr>
          <w:rFonts w:ascii="Arial" w:hAnsi="Arial" w:cs="Arial"/>
          <w:sz w:val="20"/>
          <w:szCs w:val="20"/>
        </w:rPr>
        <w:t xml:space="preserve"> it is also one of the commonly-advanced justifications for the hearsay rule</w:t>
      </w:r>
      <w:r>
        <w:rPr>
          <w:rFonts w:ascii="Arial" w:hAnsi="Arial" w:cs="Arial"/>
          <w:sz w:val="20"/>
          <w:szCs w:val="20"/>
        </w:rPr>
        <w:t xml:space="preserve">: see e.g. </w:t>
      </w:r>
      <w:proofErr w:type="spellStart"/>
      <w:r w:rsidRPr="002837EB">
        <w:rPr>
          <w:rFonts w:ascii="Arial" w:hAnsi="Arial" w:cs="Arial"/>
          <w:i/>
          <w:iCs/>
          <w:sz w:val="20"/>
          <w:szCs w:val="20"/>
        </w:rPr>
        <w:t>Teper</w:t>
      </w:r>
      <w:proofErr w:type="spellEnd"/>
      <w:r w:rsidRPr="002837EB">
        <w:rPr>
          <w:rFonts w:ascii="Arial" w:hAnsi="Arial" w:cs="Arial"/>
          <w:i/>
          <w:iCs/>
          <w:sz w:val="20"/>
          <w:szCs w:val="20"/>
        </w:rPr>
        <w:t xml:space="preserve"> v R</w:t>
      </w:r>
      <w:r>
        <w:rPr>
          <w:rFonts w:ascii="Arial" w:hAnsi="Arial" w:cs="Arial"/>
          <w:sz w:val="20"/>
          <w:szCs w:val="20"/>
        </w:rPr>
        <w:t xml:space="preserve"> [1952] AC 480, 486.  </w:t>
      </w:r>
      <w:r w:rsidRPr="008266AA">
        <w:rPr>
          <w:rFonts w:ascii="Arial" w:hAnsi="Arial" w:cs="Arial"/>
          <w:sz w:val="20"/>
          <w:szCs w:val="20"/>
        </w:rPr>
        <w:t>In fact, as Ekman argues</w:t>
      </w:r>
      <w:r>
        <w:rPr>
          <w:rFonts w:ascii="Arial" w:hAnsi="Arial" w:cs="Arial"/>
          <w:sz w:val="20"/>
          <w:szCs w:val="20"/>
        </w:rPr>
        <w:t xml:space="preserve"> at 291-2</w:t>
      </w:r>
      <w:r w:rsidRPr="008266AA">
        <w:rPr>
          <w:rFonts w:ascii="Arial" w:hAnsi="Arial" w:cs="Arial"/>
          <w:sz w:val="20"/>
          <w:szCs w:val="20"/>
        </w:rPr>
        <w:t>, this belief in the ability of the judge or jury to successfully detect deceit from demeanour is largely unfounded</w:t>
      </w:r>
      <w:r w:rsidR="00FB1630">
        <w:rPr>
          <w:rFonts w:ascii="Arial" w:hAnsi="Arial" w:cs="Arial"/>
          <w:sz w:val="20"/>
          <w:szCs w:val="20"/>
        </w:rPr>
        <w:t>:</w:t>
      </w:r>
    </w:p>
    <w:p w14:paraId="12440195" w14:textId="77777777" w:rsidR="007C53E6" w:rsidRPr="002837EB" w:rsidRDefault="007C53E6" w:rsidP="00413325">
      <w:pPr>
        <w:pStyle w:val="NormalWeb"/>
        <w:shd w:val="clear" w:color="auto" w:fill="FFFFFF"/>
        <w:spacing w:before="80" w:beforeAutospacing="0" w:after="0" w:afterAutospacing="0"/>
        <w:ind w:left="851" w:right="851"/>
        <w:jc w:val="both"/>
        <w:rPr>
          <w:rFonts w:ascii="Arial" w:hAnsi="Arial" w:cs="Arial"/>
          <w:sz w:val="18"/>
          <w:szCs w:val="18"/>
        </w:rPr>
      </w:pPr>
      <w:r>
        <w:rPr>
          <w:rFonts w:ascii="Arial" w:hAnsi="Arial" w:cs="Arial"/>
          <w:sz w:val="18"/>
          <w:szCs w:val="18"/>
        </w:rPr>
        <w:lastRenderedPageBreak/>
        <w:t>‘</w:t>
      </w:r>
      <w:r w:rsidRPr="002837EB">
        <w:rPr>
          <w:rFonts w:ascii="Arial" w:hAnsi="Arial" w:cs="Arial"/>
          <w:sz w:val="18"/>
          <w:szCs w:val="18"/>
        </w:rPr>
        <w:t>The criminal justice system must have been designed by someone who wanted to make it impossible to detect deceit from demeanour. The guilty suspect is given many chances to prepare and rehearse her replies before her truthfulness is evaluated by jury or judge, thus increasing her confidence and decreasing her fear of being detected. Score one against the judge and jury. The direct exa</w:t>
      </w:r>
      <w:r>
        <w:rPr>
          <w:rFonts w:ascii="Arial" w:hAnsi="Arial" w:cs="Arial"/>
          <w:sz w:val="18"/>
          <w:szCs w:val="18"/>
        </w:rPr>
        <w:t>mi</w:t>
      </w:r>
      <w:r w:rsidRPr="002837EB">
        <w:rPr>
          <w:rFonts w:ascii="Arial" w:hAnsi="Arial" w:cs="Arial"/>
          <w:sz w:val="18"/>
          <w:szCs w:val="18"/>
        </w:rPr>
        <w:t xml:space="preserve">nation and cross-examination take place months, if not years, after the incident, thereby blunting emotions associated with the criminal event. Score two against the judge and jury. Because of the </w:t>
      </w:r>
      <w:proofErr w:type="spellStart"/>
      <w:r w:rsidRPr="002837EB">
        <w:rPr>
          <w:rFonts w:ascii="Arial" w:hAnsi="Arial" w:cs="Arial"/>
          <w:sz w:val="18"/>
          <w:szCs w:val="18"/>
        </w:rPr>
        <w:t>long time</w:t>
      </w:r>
      <w:proofErr w:type="spellEnd"/>
      <w:r w:rsidRPr="002837EB">
        <w:rPr>
          <w:rFonts w:ascii="Arial" w:hAnsi="Arial" w:cs="Arial"/>
          <w:sz w:val="18"/>
          <w:szCs w:val="18"/>
        </w:rPr>
        <w:t xml:space="preserve"> delay before the beginning of the trial, the suspect will have repeated her false account so often that she may start to believe her own story; when that happens she is, in a sense, not lying when she testifies. Score three against the judge and jury. When challenged in cross</w:t>
      </w:r>
      <w:r>
        <w:rPr>
          <w:rFonts w:ascii="Arial" w:hAnsi="Arial" w:cs="Arial"/>
          <w:sz w:val="18"/>
          <w:szCs w:val="18"/>
        </w:rPr>
        <w:t>-</w:t>
      </w:r>
      <w:r w:rsidRPr="002837EB">
        <w:rPr>
          <w:rFonts w:ascii="Arial" w:hAnsi="Arial" w:cs="Arial"/>
          <w:sz w:val="18"/>
          <w:szCs w:val="18"/>
        </w:rPr>
        <w:t xml:space="preserve">examination, the defendant typically has been prepared if not rehearsed by her own attorney, and the questions asked often allow a simple yes or no reply. Score four against the judge and jury. And then there is the innocent defendant who comes to trial terrified of being disbelieved. Why should the jury and judge believe her, if the police, prosecutor, and the judge, in pretrial moves for dismissal, did not? The signs of fear of being disbelieved can be misinterpreted as a </w:t>
      </w:r>
      <w:r>
        <w:rPr>
          <w:rFonts w:ascii="Arial" w:hAnsi="Arial" w:cs="Arial"/>
          <w:sz w:val="18"/>
          <w:szCs w:val="18"/>
        </w:rPr>
        <w:t>g</w:t>
      </w:r>
      <w:r w:rsidRPr="002837EB">
        <w:rPr>
          <w:rFonts w:ascii="Arial" w:hAnsi="Arial" w:cs="Arial"/>
          <w:sz w:val="18"/>
          <w:szCs w:val="18"/>
        </w:rPr>
        <w:t>uilty person's fear of being caught. Score five against the judge and jury.</w:t>
      </w:r>
      <w:r>
        <w:rPr>
          <w:rFonts w:ascii="Arial" w:hAnsi="Arial" w:cs="Arial"/>
          <w:sz w:val="18"/>
          <w:szCs w:val="18"/>
        </w:rPr>
        <w:t>’”</w:t>
      </w:r>
    </w:p>
    <w:p w14:paraId="026B0579" w14:textId="2FF29D5F" w:rsidR="00FB1630" w:rsidRDefault="00FB1630" w:rsidP="00FB1630">
      <w:pPr>
        <w:jc w:val="both"/>
        <w:rPr>
          <w:rFonts w:ascii="Arial" w:hAnsi="Arial" w:cs="Arial"/>
          <w:sz w:val="20"/>
        </w:rPr>
      </w:pPr>
    </w:p>
    <w:p w14:paraId="098C086D" w14:textId="75D4F89A" w:rsidR="00973CF1" w:rsidRPr="00413325" w:rsidRDefault="0003177E" w:rsidP="00FB1630">
      <w:pPr>
        <w:jc w:val="both"/>
        <w:rPr>
          <w:rFonts w:ascii="Arial" w:hAnsi="Arial" w:cs="Arial"/>
          <w:sz w:val="20"/>
          <w:szCs w:val="20"/>
        </w:rPr>
      </w:pPr>
      <w:r w:rsidRPr="00413325">
        <w:rPr>
          <w:rFonts w:ascii="Arial" w:hAnsi="Arial" w:cs="Arial"/>
          <w:sz w:val="20"/>
          <w:szCs w:val="20"/>
        </w:rPr>
        <w:t>Palmer</w:t>
      </w:r>
      <w:r w:rsidR="00973CF1" w:rsidRPr="00413325">
        <w:rPr>
          <w:rFonts w:ascii="Arial" w:hAnsi="Arial" w:cs="Arial"/>
          <w:sz w:val="20"/>
          <w:szCs w:val="20"/>
        </w:rPr>
        <w:t xml:space="preserve"> also </w:t>
      </w:r>
      <w:r w:rsidRPr="00413325">
        <w:rPr>
          <w:rFonts w:ascii="Arial" w:hAnsi="Arial" w:cs="Arial"/>
          <w:sz w:val="20"/>
          <w:szCs w:val="20"/>
        </w:rPr>
        <w:t>footnot</w:t>
      </w:r>
      <w:r w:rsidR="00973CF1" w:rsidRPr="00413325">
        <w:rPr>
          <w:rFonts w:ascii="Arial" w:hAnsi="Arial" w:cs="Arial"/>
          <w:sz w:val="20"/>
          <w:szCs w:val="20"/>
        </w:rPr>
        <w:t xml:space="preserve">ed at </w:t>
      </w:r>
      <w:r w:rsidR="00413325">
        <w:rPr>
          <w:rFonts w:ascii="Arial" w:hAnsi="Arial" w:cs="Arial"/>
          <w:sz w:val="20"/>
          <w:szCs w:val="20"/>
        </w:rPr>
        <w:t>n.69 on p.</w:t>
      </w:r>
      <w:r w:rsidRPr="00413325">
        <w:rPr>
          <w:rFonts w:ascii="Arial" w:hAnsi="Arial" w:cs="Arial"/>
          <w:sz w:val="20"/>
          <w:szCs w:val="20"/>
        </w:rPr>
        <w:t xml:space="preserve">117 a fascinating case of a police officer who believed that he could prevent a polygraph lie-detector from working by placing bullets under the </w:t>
      </w:r>
      <w:proofErr w:type="spellStart"/>
      <w:r w:rsidRPr="00413325">
        <w:rPr>
          <w:rFonts w:ascii="Arial" w:hAnsi="Arial" w:cs="Arial"/>
          <w:sz w:val="20"/>
          <w:szCs w:val="20"/>
        </w:rPr>
        <w:t>pneumograph</w:t>
      </w:r>
      <w:proofErr w:type="spellEnd"/>
      <w:r w:rsidRPr="00413325">
        <w:rPr>
          <w:rFonts w:ascii="Arial" w:hAnsi="Arial" w:cs="Arial"/>
          <w:sz w:val="20"/>
          <w:szCs w:val="20"/>
        </w:rPr>
        <w:t xml:space="preserve"> tube and the blood pressure-pulse cuff.  In fact, the bullet</w:t>
      </w:r>
      <w:r w:rsidR="00E019B8">
        <w:rPr>
          <w:rFonts w:ascii="Arial" w:hAnsi="Arial" w:cs="Arial"/>
          <w:sz w:val="20"/>
          <w:szCs w:val="20"/>
        </w:rPr>
        <w:t>s</w:t>
      </w:r>
      <w:r w:rsidRPr="00413325">
        <w:rPr>
          <w:rFonts w:ascii="Arial" w:hAnsi="Arial" w:cs="Arial"/>
          <w:sz w:val="20"/>
          <w:szCs w:val="20"/>
        </w:rPr>
        <w:t xml:space="preserve"> had no such effect but the fact that the police officer believed that </w:t>
      </w:r>
      <w:r w:rsidR="00E019B8">
        <w:rPr>
          <w:rFonts w:ascii="Arial" w:hAnsi="Arial" w:cs="Arial"/>
          <w:sz w:val="20"/>
          <w:szCs w:val="20"/>
        </w:rPr>
        <w:t>they</w:t>
      </w:r>
      <w:r w:rsidRPr="00413325">
        <w:rPr>
          <w:rFonts w:ascii="Arial" w:hAnsi="Arial" w:cs="Arial"/>
          <w:sz w:val="20"/>
          <w:szCs w:val="20"/>
        </w:rPr>
        <w:t xml:space="preserve"> did resulted in him giving no discernible indications of deception when he lied.</w:t>
      </w:r>
    </w:p>
    <w:p w14:paraId="1DFA09FF" w14:textId="12C59252" w:rsidR="00973CF1" w:rsidRDefault="00973CF1" w:rsidP="00FB1630">
      <w:pPr>
        <w:jc w:val="both"/>
        <w:rPr>
          <w:rFonts w:ascii="Arial" w:hAnsi="Arial" w:cs="Arial"/>
          <w:sz w:val="20"/>
        </w:rPr>
      </w:pPr>
    </w:p>
    <w:p w14:paraId="5EBD98DF" w14:textId="0A877472" w:rsidR="00FB1630" w:rsidRDefault="00FB1630" w:rsidP="00FB1630">
      <w:pPr>
        <w:jc w:val="both"/>
        <w:rPr>
          <w:rFonts w:ascii="Arial" w:hAnsi="Arial" w:cs="Arial"/>
          <w:sz w:val="20"/>
        </w:rPr>
      </w:pPr>
      <w:r>
        <w:rPr>
          <w:rFonts w:ascii="Arial" w:hAnsi="Arial" w:cs="Arial"/>
          <w:sz w:val="20"/>
        </w:rPr>
        <w:t>Nowadays less weight is given to demeanour and more weight to logic and objective fact-finding.  In </w:t>
      </w:r>
      <w:r w:rsidRPr="004F7367">
        <w:rPr>
          <w:rFonts w:ascii="Arial" w:hAnsi="Arial" w:cs="Arial"/>
          <w:i/>
          <w:sz w:val="20"/>
        </w:rPr>
        <w:t>Fox v Percy</w:t>
      </w:r>
      <w:r>
        <w:rPr>
          <w:rFonts w:ascii="Arial" w:hAnsi="Arial" w:cs="Arial"/>
          <w:sz w:val="20"/>
        </w:rPr>
        <w:t xml:space="preserve"> (2003) 214 CLR 118 at 128-9 Gleeson CJ and </w:t>
      </w:r>
      <w:proofErr w:type="spellStart"/>
      <w:r>
        <w:rPr>
          <w:rFonts w:ascii="Arial" w:hAnsi="Arial" w:cs="Arial"/>
          <w:sz w:val="20"/>
        </w:rPr>
        <w:t>Gummow</w:t>
      </w:r>
      <w:proofErr w:type="spellEnd"/>
      <w:r>
        <w:rPr>
          <w:rFonts w:ascii="Arial" w:hAnsi="Arial" w:cs="Arial"/>
          <w:sz w:val="20"/>
        </w:rPr>
        <w:t xml:space="preserve"> &amp; Kirby JJ said:</w:t>
      </w:r>
    </w:p>
    <w:p w14:paraId="2A9E7968" w14:textId="77777777" w:rsidR="00FB1630" w:rsidRDefault="00FB1630" w:rsidP="00735ADA">
      <w:pPr>
        <w:spacing w:before="80"/>
        <w:ind w:left="567" w:right="567"/>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1CA465D2" w14:textId="0A112EF9" w:rsidR="00FB1630" w:rsidRPr="004F7367" w:rsidRDefault="00FB1630" w:rsidP="00FB1630">
      <w:pPr>
        <w:spacing w:before="80"/>
        <w:jc w:val="both"/>
        <w:rPr>
          <w:rFonts w:ascii="Arial" w:hAnsi="Arial" w:cs="Arial"/>
          <w:sz w:val="20"/>
          <w:szCs w:val="20"/>
        </w:rPr>
      </w:pPr>
      <w:r w:rsidRPr="004F7367">
        <w:rPr>
          <w:rFonts w:ascii="Arial" w:hAnsi="Arial" w:cs="Arial"/>
          <w:sz w:val="20"/>
          <w:szCs w:val="20"/>
        </w:rPr>
        <w:t xml:space="preserve">See also </w:t>
      </w:r>
      <w:r w:rsidRPr="004F7367">
        <w:rPr>
          <w:rFonts w:ascii="Arial" w:hAnsi="Arial" w:cs="Arial"/>
          <w:i/>
          <w:sz w:val="20"/>
          <w:szCs w:val="20"/>
        </w:rPr>
        <w:t>Insurance Manufacturers of Australia v Villella</w:t>
      </w:r>
      <w:r w:rsidRPr="004F7367">
        <w:rPr>
          <w:rFonts w:ascii="Arial" w:hAnsi="Arial" w:cs="Arial"/>
          <w:sz w:val="20"/>
          <w:szCs w:val="20"/>
        </w:rPr>
        <w:t xml:space="preserve"> [2007] VSC 94 at [26] per King J</w:t>
      </w:r>
      <w:r w:rsidR="001C577A">
        <w:rPr>
          <w:rFonts w:ascii="Arial" w:hAnsi="Arial" w:cs="Arial"/>
          <w:sz w:val="20"/>
          <w:szCs w:val="20"/>
        </w:rPr>
        <w:t xml:space="preserve">; </w:t>
      </w:r>
      <w:r w:rsidR="001C577A" w:rsidRPr="001C577A">
        <w:rPr>
          <w:rFonts w:ascii="Arial" w:hAnsi="Arial" w:cs="Arial"/>
          <w:i/>
          <w:iCs/>
          <w:sz w:val="20"/>
          <w:szCs w:val="20"/>
        </w:rPr>
        <w:t xml:space="preserve">Re </w:t>
      </w:r>
      <w:proofErr w:type="spellStart"/>
      <w:r w:rsidR="001C577A" w:rsidRPr="001C577A">
        <w:rPr>
          <w:rFonts w:ascii="Arial" w:hAnsi="Arial" w:cs="Arial"/>
          <w:i/>
          <w:iCs/>
          <w:sz w:val="20"/>
          <w:szCs w:val="20"/>
        </w:rPr>
        <w:t>Cassar</w:t>
      </w:r>
      <w:proofErr w:type="spellEnd"/>
      <w:r w:rsidR="001C577A">
        <w:rPr>
          <w:rFonts w:ascii="Arial" w:hAnsi="Arial" w:cs="Arial"/>
          <w:sz w:val="20"/>
          <w:szCs w:val="20"/>
        </w:rPr>
        <w:t xml:space="preserve"> [2022] VSC 126 at [200] per Moore J</w:t>
      </w:r>
      <w:r w:rsidRPr="004F7367">
        <w:rPr>
          <w:rFonts w:ascii="Arial" w:hAnsi="Arial" w:cs="Arial"/>
          <w:sz w:val="20"/>
          <w:szCs w:val="20"/>
        </w:rPr>
        <w:t>.</w:t>
      </w:r>
    </w:p>
    <w:p w14:paraId="43388EF7" w14:textId="77777777" w:rsidR="00FB1630" w:rsidRDefault="00FB1630">
      <w:pPr>
        <w:jc w:val="both"/>
        <w:rPr>
          <w:rFonts w:ascii="Arial" w:hAnsi="Arial" w:cs="Arial"/>
          <w:sz w:val="20"/>
        </w:rPr>
      </w:pPr>
    </w:p>
    <w:p w14:paraId="358DB644" w14:textId="382C2186" w:rsidR="00DC56AA" w:rsidRDefault="00A13DCA">
      <w:pPr>
        <w:jc w:val="both"/>
        <w:rPr>
          <w:rFonts w:ascii="Arial" w:hAnsi="Arial" w:cs="Arial"/>
          <w:sz w:val="20"/>
          <w:szCs w:val="20"/>
        </w:rPr>
      </w:pPr>
      <w:r>
        <w:rPr>
          <w:rFonts w:ascii="Arial" w:hAnsi="Arial" w:cs="Arial"/>
          <w:sz w:val="20"/>
        </w:rPr>
        <w:t xml:space="preserve">A practical </w:t>
      </w:r>
      <w:r w:rsidR="004121E4">
        <w:rPr>
          <w:rFonts w:ascii="Arial" w:hAnsi="Arial" w:cs="Arial"/>
          <w:sz w:val="20"/>
        </w:rPr>
        <w:t>example</w:t>
      </w:r>
      <w:r>
        <w:rPr>
          <w:rFonts w:ascii="Arial" w:hAnsi="Arial" w:cs="Arial"/>
          <w:sz w:val="20"/>
        </w:rPr>
        <w:t xml:space="preserve"> of Sir Harry Gibbs’ </w:t>
      </w:r>
      <w:r w:rsidR="00885FB5">
        <w:rPr>
          <w:rFonts w:ascii="Arial" w:hAnsi="Arial" w:cs="Arial"/>
          <w:sz w:val="20"/>
        </w:rPr>
        <w:t>observation</w:t>
      </w:r>
      <w:r>
        <w:rPr>
          <w:rFonts w:ascii="Arial" w:hAnsi="Arial" w:cs="Arial"/>
          <w:sz w:val="20"/>
        </w:rPr>
        <w:t xml:space="preserve"> </w:t>
      </w:r>
      <w:r w:rsidR="00735ADA">
        <w:rPr>
          <w:rFonts w:ascii="Arial" w:hAnsi="Arial" w:cs="Arial"/>
          <w:sz w:val="20"/>
        </w:rPr>
        <w:t xml:space="preserve">and </w:t>
      </w:r>
      <w:r w:rsidR="0019628D">
        <w:rPr>
          <w:rFonts w:ascii="Arial" w:hAnsi="Arial" w:cs="Arial"/>
          <w:sz w:val="20"/>
        </w:rPr>
        <w:t xml:space="preserve">of </w:t>
      </w:r>
      <w:r w:rsidR="00735ADA">
        <w:rPr>
          <w:rFonts w:ascii="Arial" w:hAnsi="Arial" w:cs="Arial"/>
          <w:sz w:val="20"/>
        </w:rPr>
        <w:t xml:space="preserve">the dicta in </w:t>
      </w:r>
      <w:r w:rsidR="00735ADA" w:rsidRPr="00735ADA">
        <w:rPr>
          <w:rFonts w:ascii="Arial" w:hAnsi="Arial" w:cs="Arial"/>
          <w:i/>
          <w:iCs/>
          <w:sz w:val="20"/>
        </w:rPr>
        <w:t>Fox v Percy</w:t>
      </w:r>
      <w:r w:rsidR="00735ADA">
        <w:rPr>
          <w:rFonts w:ascii="Arial" w:hAnsi="Arial" w:cs="Arial"/>
          <w:sz w:val="20"/>
        </w:rPr>
        <w:t xml:space="preserve"> </w:t>
      </w:r>
      <w:r>
        <w:rPr>
          <w:rFonts w:ascii="Arial" w:hAnsi="Arial" w:cs="Arial"/>
          <w:sz w:val="20"/>
        </w:rPr>
        <w:t xml:space="preserve">is to be found in the judgment of M Osborne J in </w:t>
      </w:r>
      <w:proofErr w:type="spellStart"/>
      <w:r w:rsidRPr="00A13DCA">
        <w:rPr>
          <w:rFonts w:ascii="Arial" w:hAnsi="Arial" w:cs="Arial"/>
          <w:i/>
          <w:iCs/>
          <w:color w:val="000000"/>
          <w:sz w:val="20"/>
          <w:szCs w:val="20"/>
          <w:shd w:val="clear" w:color="auto" w:fill="FFFFFF"/>
        </w:rPr>
        <w:t>Pacreef</w:t>
      </w:r>
      <w:proofErr w:type="spellEnd"/>
      <w:r w:rsidRPr="00A13DCA">
        <w:rPr>
          <w:rFonts w:ascii="Arial" w:hAnsi="Arial" w:cs="Arial"/>
          <w:i/>
          <w:iCs/>
          <w:color w:val="000000"/>
          <w:sz w:val="20"/>
          <w:szCs w:val="20"/>
          <w:shd w:val="clear" w:color="auto" w:fill="FFFFFF"/>
        </w:rPr>
        <w:t xml:space="preserve"> Investments Pty Ltd v GTW Investments (Aust) Pty Ltd</w:t>
      </w:r>
      <w:r w:rsidRPr="00A13DCA">
        <w:rPr>
          <w:rFonts w:ascii="Arial" w:hAnsi="Arial" w:cs="Arial"/>
          <w:sz w:val="20"/>
          <w:szCs w:val="20"/>
        </w:rPr>
        <w:t xml:space="preserve"> [2022] VSC 56 at [15]:</w:t>
      </w:r>
    </w:p>
    <w:p w14:paraId="2F34AE21" w14:textId="5A53F421" w:rsidR="00A13DCA" w:rsidRDefault="00A13DCA" w:rsidP="00A13DCA">
      <w:pPr>
        <w:spacing w:before="60"/>
        <w:ind w:left="567" w:right="567"/>
        <w:jc w:val="both"/>
        <w:rPr>
          <w:rFonts w:ascii="Arial" w:hAnsi="Arial" w:cs="Arial"/>
          <w:sz w:val="20"/>
        </w:rPr>
      </w:pPr>
      <w:r>
        <w:rPr>
          <w:rFonts w:ascii="Arial" w:hAnsi="Arial" w:cs="Arial"/>
          <w:sz w:val="20"/>
        </w:rPr>
        <w:t>“</w:t>
      </w:r>
      <w:r w:rsidRPr="00A13DCA">
        <w:rPr>
          <w:rFonts w:ascii="Arial" w:hAnsi="Arial" w:cs="Arial"/>
          <w:color w:val="000000"/>
          <w:sz w:val="20"/>
          <w:szCs w:val="20"/>
          <w:lang w:eastAsia="en-AU"/>
        </w:rPr>
        <w:t>As is common in modern commercial disputes, a significant body of contemporaneous documentation, including a proliferation of emails, was produced.</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This established a reliable and near comprehensive account of the events necessary to resolve the dispute.</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In the fact-finding exercise which I have been required to undertake, I have found the contemporaneous documents of far greater assistance than the oral evidence, which was given by witnesses some years after the event.</w:t>
      </w:r>
      <w:r>
        <w:rPr>
          <w:rFonts w:ascii="Arial" w:hAnsi="Arial" w:cs="Arial"/>
          <w:color w:val="000000"/>
          <w:sz w:val="20"/>
          <w:szCs w:val="20"/>
          <w:lang w:eastAsia="en-AU"/>
        </w:rPr>
        <w:t>”</w:t>
      </w:r>
    </w:p>
    <w:p w14:paraId="7C143B52" w14:textId="77777777" w:rsidR="00A13DCA" w:rsidRPr="00A13DCA" w:rsidRDefault="00A13DCA">
      <w:pPr>
        <w:jc w:val="both"/>
        <w:rPr>
          <w:rFonts w:ascii="Arial" w:hAnsi="Arial" w:cs="Arial"/>
          <w:sz w:val="20"/>
          <w:szCs w:val="20"/>
        </w:rPr>
      </w:pPr>
    </w:p>
    <w:p w14:paraId="48EB97C1" w14:textId="1431CBE9" w:rsidR="00455D72" w:rsidRDefault="00A13DCA">
      <w:pPr>
        <w:jc w:val="both"/>
        <w:rPr>
          <w:rFonts w:ascii="Arial" w:hAnsi="Arial" w:cs="Arial"/>
          <w:sz w:val="20"/>
        </w:rPr>
      </w:pPr>
      <w:r>
        <w:rPr>
          <w:rFonts w:ascii="Arial" w:hAnsi="Arial" w:cs="Arial"/>
          <w:sz w:val="20"/>
        </w:rPr>
        <w:t xml:space="preserve">A very interesting illustration of Sir Harry Gibbs’ </w:t>
      </w:r>
      <w:r w:rsidR="00885FB5">
        <w:rPr>
          <w:rFonts w:ascii="Arial" w:hAnsi="Arial" w:cs="Arial"/>
          <w:sz w:val="20"/>
        </w:rPr>
        <w:t>observation</w:t>
      </w:r>
      <w:r>
        <w:rPr>
          <w:rFonts w:ascii="Arial" w:hAnsi="Arial" w:cs="Arial"/>
          <w:sz w:val="20"/>
        </w:rPr>
        <w:t xml:space="preserve"> </w:t>
      </w:r>
      <w:r w:rsidR="00D92FA4">
        <w:rPr>
          <w:rFonts w:ascii="Arial" w:hAnsi="Arial" w:cs="Arial"/>
          <w:sz w:val="20"/>
        </w:rPr>
        <w:t xml:space="preserve">– and an acknowledgement that </w:t>
      </w:r>
      <w:r w:rsidR="004C50DF">
        <w:rPr>
          <w:rFonts w:ascii="Arial" w:hAnsi="Arial" w:cs="Arial"/>
          <w:sz w:val="20"/>
        </w:rPr>
        <w:t xml:space="preserve">conflicting evidence does not necessarily mean that </w:t>
      </w:r>
      <w:r w:rsidR="00AC659F">
        <w:rPr>
          <w:rFonts w:ascii="Arial" w:hAnsi="Arial" w:cs="Arial"/>
          <w:sz w:val="20"/>
        </w:rPr>
        <w:t>a</w:t>
      </w:r>
      <w:r w:rsidR="004C50DF">
        <w:rPr>
          <w:rFonts w:ascii="Arial" w:hAnsi="Arial" w:cs="Arial"/>
          <w:sz w:val="20"/>
        </w:rPr>
        <w:t xml:space="preserve"> witness is lying – </w:t>
      </w:r>
      <w:r w:rsidR="00CA085E">
        <w:rPr>
          <w:rFonts w:ascii="Arial" w:hAnsi="Arial" w:cs="Arial"/>
          <w:sz w:val="20"/>
        </w:rPr>
        <w:t>is to be found in</w:t>
      </w:r>
      <w:r>
        <w:rPr>
          <w:rFonts w:ascii="Arial" w:hAnsi="Arial" w:cs="Arial"/>
          <w:sz w:val="20"/>
        </w:rPr>
        <w:t xml:space="preserve"> the judgment of Incerti J in </w:t>
      </w:r>
      <w:r w:rsidRPr="00455D72">
        <w:rPr>
          <w:rFonts w:ascii="Arial" w:hAnsi="Arial" w:cs="Arial"/>
          <w:i/>
          <w:iCs/>
          <w:sz w:val="20"/>
        </w:rPr>
        <w:t>Archer v Garcia</w:t>
      </w:r>
      <w:r>
        <w:rPr>
          <w:rFonts w:ascii="Arial" w:hAnsi="Arial" w:cs="Arial"/>
          <w:sz w:val="20"/>
        </w:rPr>
        <w:t xml:space="preserve"> [2022] VSC 57.  This was an action in negligence brought by a motocross rider against the event manager and promotor of a monster truck and freestyle motocross event in country Victoria.  </w:t>
      </w:r>
      <w:r w:rsidR="00455D72">
        <w:rPr>
          <w:rFonts w:ascii="Arial" w:hAnsi="Arial" w:cs="Arial"/>
          <w:sz w:val="20"/>
        </w:rPr>
        <w:t xml:space="preserve">The rider – held by Incerti J to be an independent contractor – had been injured when he overshot the down ramp while completing an FMX jump.  </w:t>
      </w:r>
      <w:r w:rsidR="00380C1F">
        <w:rPr>
          <w:rFonts w:ascii="Arial" w:hAnsi="Arial" w:cs="Arial"/>
          <w:sz w:val="20"/>
        </w:rPr>
        <w:t xml:space="preserve">The down ramp was supposed to be positioned at a distance of 75 feet from the up ramp.  In fact it was positioned at a distance of </w:t>
      </w:r>
      <w:r w:rsidR="00251510">
        <w:rPr>
          <w:rFonts w:ascii="Arial" w:hAnsi="Arial" w:cs="Arial"/>
          <w:sz w:val="20"/>
        </w:rPr>
        <w:t>less than 7</w:t>
      </w:r>
      <w:r w:rsidR="00380C1F">
        <w:rPr>
          <w:rFonts w:ascii="Arial" w:hAnsi="Arial" w:cs="Arial"/>
          <w:sz w:val="20"/>
        </w:rPr>
        <w:t>5 feet.  A</w:t>
      </w:r>
      <w:r w:rsidR="00251510">
        <w:rPr>
          <w:rFonts w:ascii="Arial" w:hAnsi="Arial" w:cs="Arial"/>
          <w:sz w:val="20"/>
        </w:rPr>
        <w:t> </w:t>
      </w:r>
      <w:r w:rsidR="00380C1F">
        <w:rPr>
          <w:rFonts w:ascii="Arial" w:hAnsi="Arial" w:cs="Arial"/>
          <w:sz w:val="20"/>
        </w:rPr>
        <w:t>major factual issue was whether the plaintiff was warned of the ramp misplacement by a ‘stunt clown’, Mr</w:t>
      </w:r>
      <w:r w:rsidR="00CA085E">
        <w:rPr>
          <w:rFonts w:ascii="Arial" w:hAnsi="Arial" w:cs="Arial"/>
          <w:sz w:val="20"/>
        </w:rPr>
        <w:t> </w:t>
      </w:r>
      <w:r w:rsidR="00380C1F">
        <w:rPr>
          <w:rFonts w:ascii="Arial" w:hAnsi="Arial" w:cs="Arial"/>
          <w:sz w:val="20"/>
        </w:rPr>
        <w:t xml:space="preserve">Bowen.  </w:t>
      </w:r>
      <w:bookmarkStart w:id="565" w:name="_Hlk96417904"/>
      <w:r w:rsidR="00A70980">
        <w:rPr>
          <w:rFonts w:ascii="Arial" w:hAnsi="Arial" w:cs="Arial"/>
          <w:sz w:val="20"/>
        </w:rPr>
        <w:t>Ultimately</w:t>
      </w:r>
      <w:r w:rsidR="00380C1F">
        <w:rPr>
          <w:rFonts w:ascii="Arial" w:hAnsi="Arial" w:cs="Arial"/>
          <w:sz w:val="20"/>
        </w:rPr>
        <w:t xml:space="preserve"> this case developed into something </w:t>
      </w:r>
      <w:r w:rsidR="00A70980">
        <w:rPr>
          <w:rFonts w:ascii="Arial" w:hAnsi="Arial" w:cs="Arial"/>
          <w:sz w:val="20"/>
        </w:rPr>
        <w:t>akin to</w:t>
      </w:r>
      <w:r w:rsidR="00380C1F">
        <w:rPr>
          <w:rFonts w:ascii="Arial" w:hAnsi="Arial" w:cs="Arial"/>
          <w:sz w:val="20"/>
        </w:rPr>
        <w:t xml:space="preserve"> an experiment into the functioning of the human brain.  </w:t>
      </w:r>
      <w:bookmarkEnd w:id="565"/>
      <w:r w:rsidR="00455D72">
        <w:rPr>
          <w:rFonts w:ascii="Arial" w:hAnsi="Arial" w:cs="Arial"/>
          <w:sz w:val="20"/>
        </w:rPr>
        <w:t xml:space="preserve">Nine witnesses gave </w:t>
      </w:r>
      <w:r w:rsidR="00455D72" w:rsidRPr="00E07077">
        <w:rPr>
          <w:rFonts w:ascii="Arial" w:hAnsi="Arial" w:cs="Arial"/>
          <w:i/>
          <w:iCs/>
          <w:sz w:val="20"/>
        </w:rPr>
        <w:t>viva voce</w:t>
      </w:r>
      <w:r w:rsidR="00455D72">
        <w:rPr>
          <w:rFonts w:ascii="Arial" w:hAnsi="Arial" w:cs="Arial"/>
          <w:sz w:val="20"/>
        </w:rPr>
        <w:t xml:space="preserve"> evidence, five for the plaintiff and four for the defendant.  </w:t>
      </w:r>
      <w:r w:rsidR="00E07077">
        <w:rPr>
          <w:rFonts w:ascii="Arial" w:hAnsi="Arial" w:cs="Arial"/>
          <w:sz w:val="20"/>
        </w:rPr>
        <w:t>At the time they gave evidence they were unaware of the existence of a one</w:t>
      </w:r>
      <w:r w:rsidR="004C50DF">
        <w:rPr>
          <w:rFonts w:ascii="Arial" w:hAnsi="Arial" w:cs="Arial"/>
          <w:sz w:val="20"/>
        </w:rPr>
        <w:t>-</w:t>
      </w:r>
      <w:r w:rsidR="00E07077">
        <w:rPr>
          <w:rFonts w:ascii="Arial" w:hAnsi="Arial" w:cs="Arial"/>
          <w:sz w:val="20"/>
        </w:rPr>
        <w:t>hour</w:t>
      </w:r>
      <w:r w:rsidR="004C50DF">
        <w:rPr>
          <w:rFonts w:ascii="Arial" w:hAnsi="Arial" w:cs="Arial"/>
          <w:sz w:val="20"/>
        </w:rPr>
        <w:t>-</w:t>
      </w:r>
      <w:r w:rsidR="00E07077">
        <w:rPr>
          <w:rFonts w:ascii="Arial" w:hAnsi="Arial" w:cs="Arial"/>
          <w:sz w:val="20"/>
        </w:rPr>
        <w:t xml:space="preserve">long video of the event.  Subsequently the defendant </w:t>
      </w:r>
      <w:r w:rsidR="00A70980">
        <w:rPr>
          <w:rFonts w:ascii="Arial" w:hAnsi="Arial" w:cs="Arial"/>
          <w:sz w:val="20"/>
        </w:rPr>
        <w:t xml:space="preserve">(who had no solicitor and was represented by a barrister </w:t>
      </w:r>
      <w:r w:rsidR="00A70980">
        <w:rPr>
          <w:rFonts w:ascii="Arial" w:hAnsi="Arial" w:cs="Arial"/>
          <w:sz w:val="20"/>
          <w:szCs w:val="20"/>
        </w:rPr>
        <w:t>briefed directly pursuant to Victorian Bar Pro Bono Scheme</w:t>
      </w:r>
      <w:r w:rsidR="00A70980">
        <w:rPr>
          <w:rFonts w:ascii="Arial" w:hAnsi="Arial" w:cs="Arial"/>
          <w:sz w:val="20"/>
        </w:rPr>
        <w:t xml:space="preserve">) </w:t>
      </w:r>
      <w:r w:rsidR="00E07077">
        <w:rPr>
          <w:rFonts w:ascii="Arial" w:hAnsi="Arial" w:cs="Arial"/>
          <w:sz w:val="20"/>
        </w:rPr>
        <w:t>became aware of this video and was granted leave to reopen his ca</w:t>
      </w:r>
      <w:r w:rsidR="00AC659F">
        <w:rPr>
          <w:rFonts w:ascii="Arial" w:hAnsi="Arial" w:cs="Arial"/>
          <w:sz w:val="20"/>
        </w:rPr>
        <w:t>s</w:t>
      </w:r>
      <w:r w:rsidR="00E07077">
        <w:rPr>
          <w:rFonts w:ascii="Arial" w:hAnsi="Arial" w:cs="Arial"/>
          <w:sz w:val="20"/>
        </w:rPr>
        <w:t xml:space="preserve">e for the purpose of adducing the video evidence.  The plaintiff, the defendant and </w:t>
      </w:r>
      <w:r w:rsidR="00D92FA4">
        <w:rPr>
          <w:rFonts w:ascii="Arial" w:hAnsi="Arial" w:cs="Arial"/>
          <w:sz w:val="20"/>
        </w:rPr>
        <w:t>the</w:t>
      </w:r>
      <w:r w:rsidR="00E07077">
        <w:rPr>
          <w:rFonts w:ascii="Arial" w:hAnsi="Arial" w:cs="Arial"/>
          <w:sz w:val="20"/>
        </w:rPr>
        <w:t xml:space="preserve"> clown – who was one of the defendant’s witnesses – were recalled</w:t>
      </w:r>
      <w:r w:rsidR="00D92FA4">
        <w:rPr>
          <w:rFonts w:ascii="Arial" w:hAnsi="Arial" w:cs="Arial"/>
          <w:sz w:val="20"/>
        </w:rPr>
        <w:t>.</w:t>
      </w:r>
      <w:r w:rsidR="00E07077">
        <w:rPr>
          <w:rFonts w:ascii="Arial" w:hAnsi="Arial" w:cs="Arial"/>
          <w:sz w:val="20"/>
        </w:rPr>
        <w:t xml:space="preserve"> </w:t>
      </w:r>
      <w:r w:rsidR="00D92FA4">
        <w:rPr>
          <w:rFonts w:ascii="Arial" w:hAnsi="Arial" w:cs="Arial"/>
          <w:sz w:val="20"/>
        </w:rPr>
        <w:t xml:space="preserve"> </w:t>
      </w:r>
      <w:r w:rsidR="00E07077">
        <w:rPr>
          <w:rFonts w:ascii="Arial" w:hAnsi="Arial" w:cs="Arial"/>
          <w:sz w:val="20"/>
        </w:rPr>
        <w:t xml:space="preserve">Ultimately </w:t>
      </w:r>
      <w:r w:rsidR="00455D72">
        <w:rPr>
          <w:rFonts w:ascii="Arial" w:hAnsi="Arial" w:cs="Arial"/>
          <w:sz w:val="20"/>
        </w:rPr>
        <w:t>Incerti</w:t>
      </w:r>
      <w:r w:rsidR="0019628D">
        <w:rPr>
          <w:rFonts w:ascii="Arial" w:hAnsi="Arial" w:cs="Arial"/>
          <w:sz w:val="20"/>
        </w:rPr>
        <w:t> </w:t>
      </w:r>
      <w:r w:rsidR="00455D72">
        <w:rPr>
          <w:rFonts w:ascii="Arial" w:hAnsi="Arial" w:cs="Arial"/>
          <w:sz w:val="20"/>
        </w:rPr>
        <w:t>J dismissed the plaintiff’s action.  At [</w:t>
      </w:r>
      <w:r w:rsidR="00D92FA4">
        <w:rPr>
          <w:rFonts w:ascii="Arial" w:hAnsi="Arial" w:cs="Arial"/>
          <w:sz w:val="20"/>
        </w:rPr>
        <w:t>127</w:t>
      </w:r>
      <w:r w:rsidR="00455D72">
        <w:rPr>
          <w:rFonts w:ascii="Arial" w:hAnsi="Arial" w:cs="Arial"/>
          <w:sz w:val="20"/>
        </w:rPr>
        <w:t>]</w:t>
      </w:r>
      <w:r w:rsidR="000E4F95">
        <w:rPr>
          <w:rFonts w:ascii="Arial" w:hAnsi="Arial" w:cs="Arial"/>
          <w:sz w:val="20"/>
        </w:rPr>
        <w:t>-</w:t>
      </w:r>
      <w:r w:rsidR="00455D72">
        <w:rPr>
          <w:rFonts w:ascii="Arial" w:hAnsi="Arial" w:cs="Arial"/>
          <w:sz w:val="20"/>
        </w:rPr>
        <w:t>[</w:t>
      </w:r>
      <w:r w:rsidR="00D92FA4">
        <w:rPr>
          <w:rFonts w:ascii="Arial" w:hAnsi="Arial" w:cs="Arial"/>
          <w:sz w:val="20"/>
        </w:rPr>
        <w:t>135</w:t>
      </w:r>
      <w:r w:rsidR="00455D72">
        <w:rPr>
          <w:rFonts w:ascii="Arial" w:hAnsi="Arial" w:cs="Arial"/>
          <w:sz w:val="20"/>
        </w:rPr>
        <w:t>] her Honour said:</w:t>
      </w:r>
    </w:p>
    <w:p w14:paraId="5B633C89" w14:textId="78CB6460" w:rsidR="00D92FA4" w:rsidRPr="00D92FA4" w:rsidRDefault="00D92FA4" w:rsidP="00D92FA4">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[127] “</w:t>
      </w:r>
      <w:r w:rsidRPr="00D92FA4">
        <w:rPr>
          <w:rFonts w:ascii="Arial" w:hAnsi="Arial" w:cs="Arial"/>
          <w:sz w:val="20"/>
          <w:szCs w:val="20"/>
        </w:rPr>
        <w:t>Relevantly, the footage is not entirely consistent with the</w:t>
      </w:r>
      <w:r w:rsidR="00A96B39">
        <w:rPr>
          <w:rFonts w:ascii="Arial" w:hAnsi="Arial" w:cs="Arial"/>
          <w:sz w:val="20"/>
          <w:szCs w:val="20"/>
        </w:rPr>
        <w:t xml:space="preserve"> </w:t>
      </w:r>
      <w:r w:rsidRPr="00D92FA4">
        <w:rPr>
          <w:rFonts w:ascii="Arial" w:hAnsi="Arial" w:cs="Arial"/>
          <w:i/>
          <w:iCs/>
          <w:sz w:val="20"/>
          <w:szCs w:val="20"/>
        </w:rPr>
        <w:t>viva voce</w:t>
      </w:r>
      <w:r w:rsidR="00A96B39">
        <w:rPr>
          <w:rFonts w:ascii="Arial" w:hAnsi="Arial" w:cs="Arial"/>
          <w:i/>
          <w:iCs/>
          <w:sz w:val="20"/>
          <w:szCs w:val="20"/>
        </w:rPr>
        <w:t xml:space="preserve"> </w:t>
      </w:r>
      <w:r w:rsidRPr="00D92FA4">
        <w:rPr>
          <w:rFonts w:ascii="Arial" w:hAnsi="Arial" w:cs="Arial"/>
          <w:sz w:val="20"/>
          <w:szCs w:val="20"/>
        </w:rPr>
        <w:t>evidence of any one witness.</w:t>
      </w:r>
      <w:r w:rsidR="004C50DF">
        <w:rPr>
          <w:rFonts w:ascii="Arial" w:hAnsi="Arial" w:cs="Arial"/>
          <w:sz w:val="20"/>
          <w:szCs w:val="20"/>
        </w:rPr>
        <w:t xml:space="preserve"> </w:t>
      </w:r>
      <w:r w:rsidRPr="00D92FA4">
        <w:rPr>
          <w:rFonts w:ascii="Arial" w:hAnsi="Arial" w:cs="Arial"/>
          <w:sz w:val="20"/>
          <w:szCs w:val="20"/>
        </w:rPr>
        <w:t xml:space="preserve"> Of course, this is not surprising — it is well established that memory formation </w:t>
      </w:r>
      <w:r w:rsidRPr="00D92FA4">
        <w:rPr>
          <w:rFonts w:ascii="Arial" w:hAnsi="Arial" w:cs="Arial"/>
          <w:sz w:val="20"/>
          <w:szCs w:val="20"/>
        </w:rPr>
        <w:lastRenderedPageBreak/>
        <w:t>is a complex phenomenon that does not operate in the manner of a mechanical recording device.</w:t>
      </w:r>
      <w:r>
        <w:rPr>
          <w:rFonts w:ascii="Arial" w:hAnsi="Arial" w:cs="Arial"/>
          <w:sz w:val="20"/>
          <w:szCs w:val="20"/>
        </w:rPr>
        <w:t xml:space="preserve"> </w:t>
      </w:r>
      <w:r w:rsidRPr="00D92FA4">
        <w:rPr>
          <w:rFonts w:ascii="Arial" w:hAnsi="Arial" w:cs="Arial"/>
          <w:sz w:val="20"/>
          <w:szCs w:val="20"/>
        </w:rPr>
        <w:t xml:space="preserve"> Honestly held memories can be unreliable and memories change with the passage of time.</w:t>
      </w:r>
      <w:r>
        <w:rPr>
          <w:rFonts w:ascii="Arial" w:hAnsi="Arial" w:cs="Arial"/>
          <w:sz w:val="20"/>
          <w:szCs w:val="20"/>
        </w:rPr>
        <w:t xml:space="preserve"> </w:t>
      </w:r>
      <w:r w:rsidRPr="00D92FA4">
        <w:rPr>
          <w:rFonts w:ascii="Arial" w:hAnsi="Arial" w:cs="Arial"/>
          <w:sz w:val="20"/>
          <w:szCs w:val="20"/>
        </w:rPr>
        <w:t xml:space="preserve"> In an oft-quoted passage from </w:t>
      </w:r>
      <w:r w:rsidRPr="00D92FA4">
        <w:rPr>
          <w:rFonts w:ascii="Arial" w:hAnsi="Arial" w:cs="Arial"/>
          <w:i/>
          <w:iCs/>
          <w:sz w:val="20"/>
          <w:szCs w:val="20"/>
        </w:rPr>
        <w:t>Watson v Foxman</w:t>
      </w:r>
      <w:r>
        <w:rPr>
          <w:rFonts w:ascii="Arial" w:hAnsi="Arial" w:cs="Arial"/>
          <w:i/>
          <w:iCs/>
          <w:sz w:val="20"/>
          <w:szCs w:val="20"/>
        </w:rPr>
        <w:t xml:space="preserve"> </w:t>
      </w:r>
      <w:r w:rsidRPr="00D92FA4">
        <w:rPr>
          <w:rFonts w:ascii="Arial" w:hAnsi="Arial" w:cs="Arial"/>
          <w:sz w:val="20"/>
          <w:szCs w:val="20"/>
        </w:rPr>
        <w:t>(1995) 49 NSWLR 315, 318-9</w:t>
      </w:r>
      <w:r w:rsidRPr="00D92FA4">
        <w:rPr>
          <w:rFonts w:ascii="Arial" w:hAnsi="Arial" w:cs="Arial"/>
          <w:i/>
          <w:iCs/>
          <w:sz w:val="20"/>
          <w:szCs w:val="20"/>
        </w:rPr>
        <w:t>,</w:t>
      </w:r>
      <w:r>
        <w:rPr>
          <w:rFonts w:ascii="Arial" w:hAnsi="Arial" w:cs="Arial"/>
          <w:i/>
          <w:iCs/>
          <w:sz w:val="20"/>
          <w:szCs w:val="20"/>
        </w:rPr>
        <w:t xml:space="preserve"> </w:t>
      </w:r>
      <w:r w:rsidRPr="00D92FA4">
        <w:rPr>
          <w:rFonts w:ascii="Arial" w:hAnsi="Arial" w:cs="Arial"/>
          <w:sz w:val="20"/>
          <w:szCs w:val="20"/>
        </w:rPr>
        <w:t>a case concerning allegedly misleading spoken words, McClelland CJ said:</w:t>
      </w:r>
    </w:p>
    <w:p w14:paraId="091645F7" w14:textId="592546FC" w:rsidR="00D92FA4" w:rsidRPr="00D92FA4" w:rsidRDefault="00D92FA4" w:rsidP="00292662">
      <w:pPr>
        <w:pStyle w:val="NormalWeb"/>
        <w:shd w:val="clear" w:color="auto" w:fill="FFFFFF"/>
        <w:spacing w:before="80" w:beforeAutospacing="0" w:after="0" w:afterAutospacing="0"/>
        <w:ind w:left="1134" w:right="1134"/>
        <w:jc w:val="both"/>
        <w:rPr>
          <w:rFonts w:ascii="Arial" w:hAnsi="Arial" w:cs="Arial"/>
          <w:sz w:val="20"/>
          <w:szCs w:val="20"/>
        </w:rPr>
      </w:pPr>
      <w:r>
        <w:rPr>
          <w:rFonts w:ascii="Arial" w:hAnsi="Arial" w:cs="Arial"/>
          <w:sz w:val="20"/>
          <w:szCs w:val="20"/>
        </w:rPr>
        <w:t>‘</w:t>
      </w:r>
      <w:r w:rsidRPr="00D92FA4">
        <w:rPr>
          <w:rFonts w:ascii="Arial" w:hAnsi="Arial" w:cs="Arial"/>
          <w:sz w:val="20"/>
          <w:szCs w:val="20"/>
        </w:rPr>
        <w:t>[H]</w:t>
      </w:r>
      <w:proofErr w:type="spellStart"/>
      <w:r w:rsidRPr="00D92FA4">
        <w:rPr>
          <w:rFonts w:ascii="Arial" w:hAnsi="Arial" w:cs="Arial"/>
          <w:sz w:val="20"/>
          <w:szCs w:val="20"/>
        </w:rPr>
        <w:t>uman</w:t>
      </w:r>
      <w:proofErr w:type="spellEnd"/>
      <w:r w:rsidRPr="00D92FA4">
        <w:rPr>
          <w:rFonts w:ascii="Arial" w:hAnsi="Arial" w:cs="Arial"/>
          <w:sz w:val="20"/>
          <w:szCs w:val="20"/>
        </w:rPr>
        <w:t xml:space="preserve"> memory of what was said in a conversation is fallible for a variety of reasons, and ordinarily the degree of fallibility increases with the passage of time, particularly where disputes or litigation intervene, and the processes of memory are overlaid, often subconsciously, by perceptions or self-interest as well as conscious consideration of what should have been said or could have been said. </w:t>
      </w:r>
      <w:r>
        <w:rPr>
          <w:rFonts w:ascii="Arial" w:hAnsi="Arial" w:cs="Arial"/>
          <w:sz w:val="20"/>
          <w:szCs w:val="20"/>
        </w:rPr>
        <w:t xml:space="preserve"> </w:t>
      </w:r>
      <w:r w:rsidRPr="00D92FA4">
        <w:rPr>
          <w:rFonts w:ascii="Arial" w:hAnsi="Arial" w:cs="Arial"/>
          <w:sz w:val="20"/>
          <w:szCs w:val="20"/>
        </w:rPr>
        <w:t>All too often what is actually remembered is little more than an impression from which plausible details are then, again often subconsciously, constructed. All this is a matter of ordinary human experience</w:t>
      </w:r>
      <w:r>
        <w:rPr>
          <w:rFonts w:ascii="Arial" w:hAnsi="Arial" w:cs="Arial"/>
          <w:sz w:val="20"/>
          <w:szCs w:val="20"/>
        </w:rPr>
        <w:t>.’</w:t>
      </w:r>
    </w:p>
    <w:p w14:paraId="00D712D2" w14:textId="2F31F79F" w:rsidR="00D92FA4" w:rsidRDefault="00D92FA4"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[128] </w:t>
      </w:r>
      <w:r w:rsidRPr="00D92FA4">
        <w:rPr>
          <w:rFonts w:ascii="Arial" w:hAnsi="Arial" w:cs="Arial"/>
          <w:sz w:val="20"/>
          <w:szCs w:val="20"/>
        </w:rPr>
        <w:t>In</w:t>
      </w:r>
      <w:r w:rsidR="004C50DF">
        <w:rPr>
          <w:rFonts w:ascii="Arial" w:hAnsi="Arial" w:cs="Arial"/>
          <w:sz w:val="20"/>
          <w:szCs w:val="20"/>
        </w:rPr>
        <w:t xml:space="preserve"> </w:t>
      </w:r>
      <w:r w:rsidRPr="00D92FA4">
        <w:rPr>
          <w:rFonts w:ascii="Arial" w:hAnsi="Arial" w:cs="Arial"/>
          <w:i/>
          <w:iCs/>
          <w:sz w:val="20"/>
          <w:szCs w:val="20"/>
        </w:rPr>
        <w:t>Graham v The Queen,</w:t>
      </w:r>
      <w:r>
        <w:rPr>
          <w:rFonts w:ascii="Arial" w:hAnsi="Arial" w:cs="Arial"/>
          <w:i/>
          <w:iCs/>
          <w:sz w:val="20"/>
          <w:szCs w:val="20"/>
        </w:rPr>
        <w:t xml:space="preserve"> </w:t>
      </w:r>
      <w:proofErr w:type="spellStart"/>
      <w:r w:rsidRPr="00D92FA4">
        <w:rPr>
          <w:rFonts w:ascii="Arial" w:hAnsi="Arial" w:cs="Arial"/>
          <w:sz w:val="20"/>
          <w:szCs w:val="20"/>
        </w:rPr>
        <w:t>Gaudron</w:t>
      </w:r>
      <w:proofErr w:type="spellEnd"/>
      <w:r w:rsidRPr="00D92FA4">
        <w:rPr>
          <w:rFonts w:ascii="Arial" w:hAnsi="Arial" w:cs="Arial"/>
          <w:sz w:val="20"/>
          <w:szCs w:val="20"/>
        </w:rPr>
        <w:t xml:space="preserve">, </w:t>
      </w:r>
      <w:proofErr w:type="spellStart"/>
      <w:r w:rsidRPr="00D92FA4">
        <w:rPr>
          <w:rFonts w:ascii="Arial" w:hAnsi="Arial" w:cs="Arial"/>
          <w:sz w:val="20"/>
          <w:szCs w:val="20"/>
        </w:rPr>
        <w:t>Gummow</w:t>
      </w:r>
      <w:proofErr w:type="spellEnd"/>
      <w:r w:rsidRPr="00D92FA4">
        <w:rPr>
          <w:rFonts w:ascii="Arial" w:hAnsi="Arial" w:cs="Arial"/>
          <w:sz w:val="20"/>
          <w:szCs w:val="20"/>
        </w:rPr>
        <w:t xml:space="preserve"> and Hayne JJ </w:t>
      </w:r>
      <w:r w:rsidR="00A96B39">
        <w:rPr>
          <w:rFonts w:ascii="Arial" w:hAnsi="Arial" w:cs="Arial"/>
          <w:sz w:val="20"/>
          <w:szCs w:val="20"/>
        </w:rPr>
        <w:t xml:space="preserve">(1998) 195 CLR 606, 608 [5] </w:t>
      </w:r>
      <w:r w:rsidRPr="00D92FA4">
        <w:rPr>
          <w:rFonts w:ascii="Arial" w:hAnsi="Arial" w:cs="Arial"/>
          <w:sz w:val="20"/>
          <w:szCs w:val="20"/>
        </w:rPr>
        <w:t xml:space="preserve">similarly noted that, ‘whatever a person may believe, and no matter how earnestly that person may try to be accurate, experience demonstrates that the memory of events does change as time passes.’ </w:t>
      </w:r>
      <w:r w:rsidR="00A96B39">
        <w:rPr>
          <w:rFonts w:ascii="Arial" w:hAnsi="Arial" w:cs="Arial"/>
          <w:sz w:val="20"/>
          <w:szCs w:val="20"/>
        </w:rPr>
        <w:t xml:space="preserve"> </w:t>
      </w:r>
      <w:r w:rsidRPr="00D92FA4">
        <w:rPr>
          <w:rFonts w:ascii="Arial" w:hAnsi="Arial" w:cs="Arial"/>
          <w:sz w:val="20"/>
          <w:szCs w:val="20"/>
        </w:rPr>
        <w:t>In the present case, almost six years had passed between the events in question and the witnesses giving evidence of those events.</w:t>
      </w:r>
    </w:p>
    <w:p w14:paraId="6B662250" w14:textId="3CDBF61C"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[129] </w:t>
      </w:r>
      <w:r w:rsidRPr="00A96B39">
        <w:rPr>
          <w:rFonts w:ascii="Arial" w:hAnsi="Arial" w:cs="Arial"/>
          <w:sz w:val="20"/>
          <w:szCs w:val="20"/>
        </w:rPr>
        <w:t>By chance of fate, this case included a rare opportunity to test the accuracy of witness</w:t>
      </w:r>
      <w:r w:rsidR="00885FB5">
        <w:rPr>
          <w:rFonts w:ascii="Arial" w:hAnsi="Arial" w:cs="Arial"/>
          <w:sz w:val="20"/>
          <w:szCs w:val="20"/>
        </w:rPr>
        <w:t xml:space="preserve"> </w:t>
      </w:r>
      <w:r w:rsidRPr="00A96B39">
        <w:rPr>
          <w:rFonts w:ascii="Arial" w:hAnsi="Arial" w:cs="Arial"/>
          <w:sz w:val="20"/>
          <w:szCs w:val="20"/>
        </w:rPr>
        <w:t>memories by comparing their</w:t>
      </w:r>
      <w:r>
        <w:rPr>
          <w:rFonts w:ascii="Arial" w:hAnsi="Arial" w:cs="Arial"/>
          <w:sz w:val="20"/>
          <w:szCs w:val="20"/>
        </w:rPr>
        <w:t xml:space="preserve"> </w:t>
      </w:r>
      <w:r w:rsidRPr="00A96B39">
        <w:rPr>
          <w:rFonts w:ascii="Arial" w:hAnsi="Arial" w:cs="Arial"/>
          <w:i/>
          <w:iCs/>
          <w:sz w:val="20"/>
          <w:szCs w:val="20"/>
        </w:rPr>
        <w:t>viva voce</w:t>
      </w:r>
      <w:r>
        <w:rPr>
          <w:rFonts w:ascii="Arial" w:hAnsi="Arial" w:cs="Arial"/>
          <w:i/>
          <w:iCs/>
          <w:sz w:val="20"/>
          <w:szCs w:val="20"/>
        </w:rPr>
        <w:t xml:space="preserve"> </w:t>
      </w:r>
      <w:r w:rsidRPr="00A96B39">
        <w:rPr>
          <w:rFonts w:ascii="Arial" w:hAnsi="Arial" w:cs="Arial"/>
          <w:sz w:val="20"/>
          <w:szCs w:val="20"/>
        </w:rPr>
        <w:t>evidence to a relevant</w:t>
      </w:r>
      <w:r w:rsidR="00885FB5">
        <w:rPr>
          <w:rFonts w:ascii="Arial" w:hAnsi="Arial" w:cs="Arial"/>
          <w:sz w:val="20"/>
          <w:szCs w:val="20"/>
        </w:rPr>
        <w:t xml:space="preserve"> video</w:t>
      </w:r>
      <w:r w:rsidRPr="00A96B39">
        <w:rPr>
          <w:rFonts w:ascii="Arial" w:hAnsi="Arial" w:cs="Arial"/>
          <w:sz w:val="20"/>
          <w:szCs w:val="20"/>
        </w:rPr>
        <w:t>recording, the existence of which was unknown to the witnesses when they gave their evidence.</w:t>
      </w:r>
    </w:p>
    <w:p w14:paraId="3C1B760A" w14:textId="6872148E"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[130] </w:t>
      </w:r>
      <w:r w:rsidRPr="00A96B39">
        <w:rPr>
          <w:rFonts w:ascii="Arial" w:hAnsi="Arial" w:cs="Arial"/>
          <w:sz w:val="20"/>
          <w:szCs w:val="20"/>
        </w:rPr>
        <w:t>Broadly, discrepancies between the</w:t>
      </w:r>
      <w:r>
        <w:rPr>
          <w:rFonts w:ascii="Arial" w:hAnsi="Arial" w:cs="Arial"/>
          <w:sz w:val="20"/>
          <w:szCs w:val="20"/>
        </w:rPr>
        <w:t xml:space="preserve"> </w:t>
      </w:r>
      <w:r w:rsidRPr="00A96B39">
        <w:rPr>
          <w:rFonts w:ascii="Arial" w:hAnsi="Arial" w:cs="Arial"/>
          <w:i/>
          <w:iCs/>
          <w:sz w:val="20"/>
          <w:szCs w:val="20"/>
        </w:rPr>
        <w:t xml:space="preserve">viva </w:t>
      </w:r>
      <w:proofErr w:type="spellStart"/>
      <w:r w:rsidRPr="00A96B39">
        <w:rPr>
          <w:rFonts w:ascii="Arial" w:hAnsi="Arial" w:cs="Arial"/>
          <w:i/>
          <w:iCs/>
          <w:sz w:val="20"/>
          <w:szCs w:val="20"/>
        </w:rPr>
        <w:t>voce</w:t>
      </w:r>
      <w:proofErr w:type="spellEnd"/>
      <w:r>
        <w:rPr>
          <w:rFonts w:ascii="Arial" w:hAnsi="Arial" w:cs="Arial"/>
          <w:i/>
          <w:iCs/>
          <w:sz w:val="20"/>
          <w:szCs w:val="20"/>
        </w:rPr>
        <w:t xml:space="preserve"> </w:t>
      </w:r>
      <w:r w:rsidRPr="00A96B39">
        <w:rPr>
          <w:rFonts w:ascii="Arial" w:hAnsi="Arial" w:cs="Arial"/>
          <w:sz w:val="20"/>
          <w:szCs w:val="20"/>
        </w:rPr>
        <w:t>and</w:t>
      </w:r>
      <w:r>
        <w:rPr>
          <w:rFonts w:ascii="Arial" w:hAnsi="Arial" w:cs="Arial"/>
          <w:sz w:val="20"/>
          <w:szCs w:val="20"/>
        </w:rPr>
        <w:t xml:space="preserve"> </w:t>
      </w:r>
      <w:r w:rsidR="00885FB5">
        <w:rPr>
          <w:rFonts w:ascii="Arial" w:hAnsi="Arial" w:cs="Arial"/>
          <w:sz w:val="20"/>
          <w:szCs w:val="20"/>
        </w:rPr>
        <w:t xml:space="preserve">video </w:t>
      </w:r>
      <w:r w:rsidRPr="00A96B39">
        <w:rPr>
          <w:rFonts w:ascii="Arial" w:hAnsi="Arial" w:cs="Arial"/>
          <w:sz w:val="20"/>
          <w:szCs w:val="20"/>
        </w:rPr>
        <w:t>evidence may go to either reliability or credit — either the witness was honestly mistaken about precisely what occurred (including for the reasons outlined in the extracts above), or the witness was deliberately dishonest in recalling the relevant events.</w:t>
      </w:r>
    </w:p>
    <w:p w14:paraId="13EAFB1B" w14:textId="6384E218"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[131] </w:t>
      </w:r>
      <w:r w:rsidRPr="00A96B39">
        <w:rPr>
          <w:rFonts w:ascii="Arial" w:hAnsi="Arial" w:cs="Arial"/>
          <w:sz w:val="20"/>
          <w:szCs w:val="20"/>
        </w:rPr>
        <w:t>In the present case, I consider that discrepancies between Mr Bowen’s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reliability, whereas the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credibility.</w:t>
      </w:r>
    </w:p>
    <w:p w14:paraId="55F9BB02" w14:textId="7EFBAA3E" w:rsidR="00D92FA4"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w:t>
      </w:r>
      <w:r w:rsidR="00A96B39">
        <w:rPr>
          <w:rFonts w:ascii="Arial" w:hAnsi="Arial" w:cs="Arial"/>
          <w:sz w:val="20"/>
          <w:szCs w:val="20"/>
        </w:rPr>
        <w:t>3</w:t>
      </w:r>
      <w:r>
        <w:rPr>
          <w:rFonts w:ascii="Arial" w:hAnsi="Arial" w:cs="Arial"/>
          <w:sz w:val="20"/>
          <w:szCs w:val="20"/>
        </w:rPr>
        <w:t xml:space="preserve">2] </w:t>
      </w:r>
      <w:r w:rsidR="00D92FA4" w:rsidRPr="00D92FA4">
        <w:rPr>
          <w:rFonts w:ascii="Arial" w:hAnsi="Arial" w:cs="Arial"/>
          <w:sz w:val="20"/>
          <w:szCs w:val="20"/>
        </w:rPr>
        <w:t>The main discrepancy between Mr Bowen’s evidence and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 xml:space="preserve">footage is the location of the plaintiff when Mr Bowen is conversing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w:t>
      </w:r>
      <w:r w:rsidR="00A70980">
        <w:rPr>
          <w:rFonts w:ascii="Arial" w:hAnsi="Arial" w:cs="Arial"/>
          <w:sz w:val="20"/>
          <w:szCs w:val="20"/>
        </w:rPr>
        <w:t xml:space="preserve">[another FMX rider] </w:t>
      </w:r>
      <w:r w:rsidR="00D92FA4" w:rsidRPr="00D92FA4">
        <w:rPr>
          <w:rFonts w:ascii="Arial" w:hAnsi="Arial" w:cs="Arial"/>
          <w:sz w:val="20"/>
          <w:szCs w:val="20"/>
        </w:rPr>
        <w:t xml:space="preserve">on the perimeter of the oval. Whereas Mr Bowen remembered speaking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alone when the plaintiff completed the jump that resulted in his injuries, the footage shows that the plaintiff was present during that conversation, and that it was not until the conversation concluded that the plaintiff rode away to complete his jump. The footage also indicates that Mr</w:t>
      </w:r>
      <w:r w:rsidR="00885FB5">
        <w:rPr>
          <w:rFonts w:ascii="Arial" w:hAnsi="Arial" w:cs="Arial"/>
          <w:sz w:val="20"/>
          <w:szCs w:val="20"/>
        </w:rPr>
        <w:t>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and not the plaintiff, rode away from Mr Bowen first.</w:t>
      </w:r>
    </w:p>
    <w:p w14:paraId="48A1E705" w14:textId="7BA1D23F"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3</w:t>
      </w:r>
      <w:r>
        <w:rPr>
          <w:rFonts w:ascii="Arial" w:hAnsi="Arial" w:cs="Arial"/>
          <w:sz w:val="20"/>
          <w:szCs w:val="20"/>
        </w:rPr>
        <w:t xml:space="preserve">] </w:t>
      </w:r>
      <w:r w:rsidR="00D92FA4" w:rsidRPr="00D92FA4">
        <w:rPr>
          <w:rFonts w:ascii="Arial" w:hAnsi="Arial" w:cs="Arial"/>
          <w:sz w:val="20"/>
          <w:szCs w:val="20"/>
        </w:rPr>
        <w:t xml:space="preserve">In my view, this discrepancy can be explained by the efflux of time and does not undermine the substance of Mr Bowen’s evidence — that he ran across the field and intercepted the plaintiff, that he warned the plaintiff that the ramps were too close, and that he went over to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after the plaintiff said that ‘</w:t>
      </w:r>
      <w:proofErr w:type="spellStart"/>
      <w:r w:rsidR="00D92FA4" w:rsidRPr="00D92FA4">
        <w:rPr>
          <w:rFonts w:ascii="Arial" w:hAnsi="Arial" w:cs="Arial"/>
          <w:sz w:val="20"/>
          <w:szCs w:val="20"/>
        </w:rPr>
        <w:t>Schuey</w:t>
      </w:r>
      <w:proofErr w:type="spellEnd"/>
      <w:r w:rsidR="00D92FA4" w:rsidRPr="00D92FA4">
        <w:rPr>
          <w:rFonts w:ascii="Arial" w:hAnsi="Arial" w:cs="Arial"/>
          <w:sz w:val="20"/>
          <w:szCs w:val="20"/>
        </w:rPr>
        <w:t xml:space="preserve"> measured it’. These key events are all consistent with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footage and I am satisfied that they occurred substantially as Mr Bowen described them.</w:t>
      </w:r>
    </w:p>
    <w:p w14:paraId="0F3557E6" w14:textId="031D23DD" w:rsidR="004C50DF"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4</w:t>
      </w:r>
      <w:r>
        <w:rPr>
          <w:rFonts w:ascii="Arial" w:hAnsi="Arial" w:cs="Arial"/>
          <w:sz w:val="20"/>
          <w:szCs w:val="20"/>
        </w:rPr>
        <w:t xml:space="preserve">] </w:t>
      </w:r>
      <w:r w:rsidR="00D92FA4" w:rsidRPr="00D92FA4">
        <w:rPr>
          <w:rFonts w:ascii="Arial" w:hAnsi="Arial" w:cs="Arial"/>
          <w:sz w:val="20"/>
          <w:szCs w:val="20"/>
        </w:rPr>
        <w:t>Mr Bowen’s recollection of the plaintiff coming to a stop on carpet is also inconsistent with the footage, which shows that the carpet was laid on the approach to the up ramp that was not ultimately used.</w:t>
      </w:r>
      <w:r>
        <w:rPr>
          <w:rFonts w:ascii="Arial" w:hAnsi="Arial" w:cs="Arial"/>
          <w:sz w:val="20"/>
          <w:szCs w:val="20"/>
        </w:rPr>
        <w:t xml:space="preserve">  </w:t>
      </w:r>
      <w:r w:rsidR="00D92FA4" w:rsidRPr="00D92FA4">
        <w:rPr>
          <w:rFonts w:ascii="Arial" w:hAnsi="Arial" w:cs="Arial"/>
          <w:sz w:val="20"/>
          <w:szCs w:val="20"/>
        </w:rPr>
        <w:t>However, again, this is not a discrepancy that I regard as undermining the substance of Mr Bowen’s evidence.</w:t>
      </w:r>
      <w:r>
        <w:rPr>
          <w:rFonts w:ascii="Arial" w:hAnsi="Arial" w:cs="Arial"/>
          <w:sz w:val="20"/>
          <w:szCs w:val="20"/>
        </w:rPr>
        <w:t xml:space="preserve"> </w:t>
      </w:r>
      <w:r w:rsidR="00D92FA4" w:rsidRPr="00D92FA4">
        <w:rPr>
          <w:rFonts w:ascii="Arial" w:hAnsi="Arial" w:cs="Arial"/>
          <w:sz w:val="20"/>
          <w:szCs w:val="20"/>
        </w:rPr>
        <w:t xml:space="preserve"> The footage clearly shows that carpet was laid, and it is therefore unsurprising that Mr Bowen recalled that it was used by the riders.</w:t>
      </w:r>
      <w:r>
        <w:rPr>
          <w:rFonts w:ascii="Arial" w:hAnsi="Arial" w:cs="Arial"/>
          <w:sz w:val="20"/>
          <w:szCs w:val="20"/>
        </w:rPr>
        <w:t xml:space="preserve"> </w:t>
      </w:r>
      <w:r w:rsidR="00D92FA4" w:rsidRPr="00D92FA4">
        <w:rPr>
          <w:rFonts w:ascii="Arial" w:hAnsi="Arial" w:cs="Arial"/>
          <w:sz w:val="20"/>
          <w:szCs w:val="20"/>
        </w:rPr>
        <w:t xml:space="preserve"> Notably, the plaintiff’s original evidence was consistent with Mr Bowen’s in this respect.</w:t>
      </w:r>
    </w:p>
    <w:p w14:paraId="35586526" w14:textId="16D667A4"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5</w:t>
      </w:r>
      <w:r>
        <w:rPr>
          <w:rFonts w:ascii="Arial" w:hAnsi="Arial" w:cs="Arial"/>
          <w:sz w:val="20"/>
          <w:szCs w:val="20"/>
        </w:rPr>
        <w:t xml:space="preserve">] </w:t>
      </w:r>
      <w:r w:rsidRPr="00D92FA4">
        <w:rPr>
          <w:rFonts w:ascii="Arial" w:hAnsi="Arial" w:cs="Arial"/>
          <w:sz w:val="20"/>
          <w:szCs w:val="20"/>
        </w:rPr>
        <w:t>On the other hand, the major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D92FA4">
        <w:rPr>
          <w:rFonts w:ascii="Arial" w:hAnsi="Arial" w:cs="Arial"/>
          <w:sz w:val="20"/>
          <w:szCs w:val="20"/>
        </w:rPr>
        <w:t>footage cannot be explained by the fallibility of memory. During his original evidence, the plaintiff categorically denied having any interaction with Mr Bowen at the base of the up ramp, or of being warned that the ramps were too close. He repeated this denial when told that four witnesses would attest to this version of events. The footage demonstrates that the plaintiff’s denial was untrue. The plaintiff’s attempts at explaining away his interaction with Mr Bowen when shown the footage — including that he was just ‘cruising around’</w:t>
      </w:r>
      <w:r>
        <w:rPr>
          <w:rFonts w:ascii="Arial" w:hAnsi="Arial" w:cs="Arial"/>
          <w:sz w:val="20"/>
          <w:szCs w:val="20"/>
        </w:rPr>
        <w:t xml:space="preserve"> </w:t>
      </w:r>
      <w:r w:rsidRPr="00D92FA4">
        <w:rPr>
          <w:rFonts w:ascii="Arial" w:hAnsi="Arial" w:cs="Arial"/>
          <w:sz w:val="20"/>
          <w:szCs w:val="20"/>
        </w:rPr>
        <w:t>at the base of the up ramp and that the footage shows ‘contact’ but no ‘conversation’ between the plaintiff and Mr</w:t>
      </w:r>
      <w:r w:rsidR="0063616B">
        <w:rPr>
          <w:rFonts w:ascii="Arial" w:hAnsi="Arial" w:cs="Arial"/>
          <w:sz w:val="20"/>
          <w:szCs w:val="20"/>
        </w:rPr>
        <w:t xml:space="preserve"> </w:t>
      </w:r>
      <w:r w:rsidRPr="00D92FA4">
        <w:rPr>
          <w:rFonts w:ascii="Arial" w:hAnsi="Arial" w:cs="Arial"/>
          <w:sz w:val="20"/>
          <w:szCs w:val="20"/>
        </w:rPr>
        <w:t>Bowen</w:t>
      </w:r>
      <w:r>
        <w:rPr>
          <w:rFonts w:ascii="Arial" w:hAnsi="Arial" w:cs="Arial"/>
          <w:sz w:val="20"/>
          <w:szCs w:val="20"/>
        </w:rPr>
        <w:t xml:space="preserve"> </w:t>
      </w:r>
      <w:r w:rsidRPr="00D92FA4">
        <w:rPr>
          <w:rFonts w:ascii="Arial" w:hAnsi="Arial" w:cs="Arial"/>
          <w:sz w:val="20"/>
          <w:szCs w:val="20"/>
        </w:rPr>
        <w:t>— were wholly unconvincing.</w:t>
      </w:r>
      <w:r>
        <w:rPr>
          <w:rFonts w:ascii="Arial" w:hAnsi="Arial" w:cs="Arial"/>
          <w:sz w:val="20"/>
          <w:szCs w:val="20"/>
        </w:rPr>
        <w:t xml:space="preserve"> </w:t>
      </w:r>
      <w:r w:rsidRPr="00D92FA4">
        <w:rPr>
          <w:rFonts w:ascii="Arial" w:hAnsi="Arial" w:cs="Arial"/>
          <w:sz w:val="20"/>
          <w:szCs w:val="20"/>
        </w:rPr>
        <w:t xml:space="preserve"> His insistence that Mr Bowen, the defendant, Mr Brunner and Mr O’Neill were all mistaken about his being stopped, in face of footage to the contrary,</w:t>
      </w:r>
      <w:r>
        <w:rPr>
          <w:rFonts w:ascii="Arial" w:hAnsi="Arial" w:cs="Arial"/>
          <w:sz w:val="20"/>
          <w:szCs w:val="20"/>
        </w:rPr>
        <w:t xml:space="preserve"> </w:t>
      </w:r>
      <w:r w:rsidRPr="00D92FA4">
        <w:rPr>
          <w:rFonts w:ascii="Arial" w:hAnsi="Arial" w:cs="Arial"/>
          <w:sz w:val="20"/>
          <w:szCs w:val="20"/>
        </w:rPr>
        <w:t>was nothing short of remarkable.</w:t>
      </w:r>
      <w:r>
        <w:rPr>
          <w:rFonts w:ascii="Arial" w:hAnsi="Arial" w:cs="Arial"/>
          <w:sz w:val="20"/>
          <w:szCs w:val="20"/>
        </w:rPr>
        <w:t>”</w:t>
      </w:r>
    </w:p>
    <w:p w14:paraId="31F378B8" w14:textId="12FE1371" w:rsidR="008266AA" w:rsidRDefault="008266AA">
      <w:pPr>
        <w:jc w:val="both"/>
        <w:rPr>
          <w:rFonts w:ascii="Arial" w:hAnsi="Arial" w:cs="Arial"/>
          <w:sz w:val="20"/>
        </w:rPr>
      </w:pPr>
    </w:p>
    <w:p w14:paraId="383C94EB" w14:textId="37052FF8" w:rsidR="004D0577" w:rsidRDefault="004D0577">
      <w:pPr>
        <w:jc w:val="both"/>
        <w:rPr>
          <w:rFonts w:ascii="Arial" w:hAnsi="Arial" w:cs="Arial"/>
          <w:sz w:val="20"/>
        </w:rPr>
      </w:pPr>
      <w:r>
        <w:rPr>
          <w:rFonts w:ascii="Arial" w:hAnsi="Arial" w:cs="Arial"/>
          <w:sz w:val="20"/>
        </w:rPr>
        <w:lastRenderedPageBreak/>
        <w:t xml:space="preserve">In </w:t>
      </w:r>
      <w:r w:rsidRPr="004D0577">
        <w:rPr>
          <w:rFonts w:ascii="Arial" w:hAnsi="Arial" w:cs="Arial"/>
          <w:i/>
          <w:iCs/>
          <w:sz w:val="20"/>
        </w:rPr>
        <w:t>Singh v Ward</w:t>
      </w:r>
      <w:r>
        <w:rPr>
          <w:rFonts w:ascii="Arial" w:hAnsi="Arial" w:cs="Arial"/>
          <w:sz w:val="20"/>
        </w:rPr>
        <w:t xml:space="preserve"> [2022] VSC 155 the plaintiff had stopped his car in an emergency lane because his two year old daughter was crying and could not be settled.  He opened the door, got out, closed his door and was walking towards the front of his car </w:t>
      </w:r>
      <w:r w:rsidR="007A379E">
        <w:rPr>
          <w:rFonts w:ascii="Arial" w:hAnsi="Arial" w:cs="Arial"/>
          <w:sz w:val="20"/>
        </w:rPr>
        <w:t xml:space="preserve">intending to change drivers </w:t>
      </w:r>
      <w:r>
        <w:rPr>
          <w:rFonts w:ascii="Arial" w:hAnsi="Arial" w:cs="Arial"/>
          <w:sz w:val="20"/>
        </w:rPr>
        <w:t>when he was struck from behind by a car being driven at approximately 100kph by the defendant</w:t>
      </w:r>
      <w:r w:rsidR="006D3686">
        <w:rPr>
          <w:rFonts w:ascii="Arial" w:hAnsi="Arial" w:cs="Arial"/>
          <w:sz w:val="20"/>
        </w:rPr>
        <w:t xml:space="preserve"> and sustained </w:t>
      </w:r>
      <w:r w:rsidR="007A379E">
        <w:rPr>
          <w:rFonts w:ascii="Arial" w:hAnsi="Arial" w:cs="Arial"/>
          <w:sz w:val="20"/>
        </w:rPr>
        <w:t xml:space="preserve">a broken leg.  </w:t>
      </w:r>
      <w:r w:rsidR="004756F5">
        <w:rPr>
          <w:rFonts w:ascii="Arial" w:hAnsi="Arial" w:cs="Arial"/>
          <w:sz w:val="20"/>
        </w:rPr>
        <w:t xml:space="preserve">Evidence </w:t>
      </w:r>
      <w:r w:rsidR="006D3686">
        <w:rPr>
          <w:rFonts w:ascii="Arial" w:hAnsi="Arial" w:cs="Arial"/>
          <w:sz w:val="20"/>
        </w:rPr>
        <w:t>was given by both drivers and their p</w:t>
      </w:r>
      <w:r w:rsidR="007A379E">
        <w:rPr>
          <w:rFonts w:ascii="Arial" w:hAnsi="Arial" w:cs="Arial"/>
          <w:sz w:val="20"/>
        </w:rPr>
        <w:t>assenger</w:t>
      </w:r>
      <w:r w:rsidR="006D3686">
        <w:rPr>
          <w:rFonts w:ascii="Arial" w:hAnsi="Arial" w:cs="Arial"/>
          <w:sz w:val="20"/>
        </w:rPr>
        <w:t>s and by an independent couple who had been in a car driving behind the defendant.</w:t>
      </w:r>
      <w:r w:rsidR="007A379E">
        <w:rPr>
          <w:rFonts w:ascii="Arial" w:hAnsi="Arial" w:cs="Arial"/>
          <w:sz w:val="20"/>
        </w:rPr>
        <w:t xml:space="preserve">  At [8]-[9] Gorton J set the scene as follows:</w:t>
      </w:r>
    </w:p>
    <w:p w14:paraId="46D88550" w14:textId="5FD6A11F" w:rsidR="007A379E" w:rsidRDefault="007A379E" w:rsidP="00205820">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“None of these people had made a statement at the time of or shortly after the accident, and so each was giving evidence in March 2022 as to what had happened in December 2014 unassisted by any contemporaneous record of events.  Some of the witnesses had in more recent years been interviewed for the purposes of this case, </w:t>
      </w:r>
      <w:r w:rsidR="00135FEB">
        <w:rPr>
          <w:rFonts w:ascii="Arial" w:hAnsi="Arial" w:cs="Arial"/>
          <w:sz w:val="20"/>
          <w:szCs w:val="20"/>
        </w:rPr>
        <w:t>and the persons interviewing had typed up their versions of what the witnesses had said.  On two occasions, those versions were signed by the person interviewed.  There were many inconsistencies, or tensions, in the evidence.</w:t>
      </w:r>
    </w:p>
    <w:p w14:paraId="47F0144D" w14:textId="04217577" w:rsidR="00135FEB" w:rsidRPr="00D92FA4" w:rsidRDefault="00135FEB" w:rsidP="007A379E">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There are starkly diverging views on how and where the accident occurred.  I am required to form a view having regard to the whole of the evidence, but I am not required either to accept or reject the entirety of any particular witness’s evidence, and am able to accept some parts of it and to reject other parts of it: see e.g. </w:t>
      </w:r>
      <w:proofErr w:type="spellStart"/>
      <w:r w:rsidRPr="00135FEB">
        <w:rPr>
          <w:rFonts w:ascii="Arial" w:hAnsi="Arial" w:cs="Arial"/>
          <w:i/>
          <w:iCs/>
          <w:sz w:val="20"/>
          <w:szCs w:val="20"/>
        </w:rPr>
        <w:t>Cubillo</w:t>
      </w:r>
      <w:proofErr w:type="spellEnd"/>
      <w:r w:rsidRPr="00135FEB">
        <w:rPr>
          <w:rFonts w:ascii="Arial" w:hAnsi="Arial" w:cs="Arial"/>
          <w:i/>
          <w:iCs/>
          <w:sz w:val="20"/>
          <w:szCs w:val="20"/>
        </w:rPr>
        <w:t xml:space="preserve"> v Commonwealth</w:t>
      </w:r>
      <w:r>
        <w:rPr>
          <w:rFonts w:ascii="Arial" w:hAnsi="Arial" w:cs="Arial"/>
          <w:sz w:val="20"/>
          <w:szCs w:val="20"/>
        </w:rPr>
        <w:t xml:space="preserve"> (2000) 103 FCR 1, 45 [118]-[125] (</w:t>
      </w:r>
      <w:proofErr w:type="spellStart"/>
      <w:r>
        <w:rPr>
          <w:rFonts w:ascii="Arial" w:hAnsi="Arial" w:cs="Arial"/>
          <w:sz w:val="20"/>
          <w:szCs w:val="20"/>
        </w:rPr>
        <w:t>O’LoughlinJ</w:t>
      </w:r>
      <w:proofErr w:type="spellEnd"/>
      <w:r>
        <w:rPr>
          <w:rFonts w:ascii="Arial" w:hAnsi="Arial" w:cs="Arial"/>
          <w:sz w:val="20"/>
          <w:szCs w:val="20"/>
        </w:rPr>
        <w:t xml:space="preserve">).  I can use the impressions I formed of the way in which the witnesses gave </w:t>
      </w:r>
      <w:r w:rsidR="006E045C">
        <w:rPr>
          <w:rFonts w:ascii="Arial" w:hAnsi="Arial" w:cs="Arial"/>
          <w:sz w:val="20"/>
          <w:szCs w:val="20"/>
        </w:rPr>
        <w:t xml:space="preserve">their </w:t>
      </w:r>
      <w:r>
        <w:rPr>
          <w:rFonts w:ascii="Arial" w:hAnsi="Arial" w:cs="Arial"/>
          <w:sz w:val="20"/>
          <w:szCs w:val="20"/>
        </w:rPr>
        <w:t>evidence</w:t>
      </w:r>
      <w:r w:rsidR="006E045C">
        <w:rPr>
          <w:rFonts w:ascii="Arial" w:hAnsi="Arial" w:cs="Arial"/>
          <w:sz w:val="20"/>
          <w:szCs w:val="20"/>
        </w:rPr>
        <w:t xml:space="preserve">, and the extent to which their evidence accords with what I consider to have been likely behaviour </w:t>
      </w:r>
      <w:r w:rsidR="00286FE5">
        <w:rPr>
          <w:rFonts w:ascii="Arial" w:hAnsi="Arial" w:cs="Arial"/>
          <w:sz w:val="20"/>
          <w:szCs w:val="20"/>
        </w:rPr>
        <w:t xml:space="preserve">in the circumstances having regard to human experience and commonsense.  Also, as Mr Ward pointed out, I must bear in mind that recollections with the passage of time may, with the best will in the world, become distorted by unconscious bias </w:t>
      </w:r>
      <w:r w:rsidR="001866AC">
        <w:rPr>
          <w:rFonts w:ascii="Arial" w:hAnsi="Arial" w:cs="Arial"/>
          <w:sz w:val="20"/>
          <w:szCs w:val="20"/>
        </w:rPr>
        <w:t>{</w:t>
      </w:r>
      <w:r w:rsidR="00286FE5">
        <w:rPr>
          <w:rFonts w:ascii="Arial" w:hAnsi="Arial" w:cs="Arial"/>
          <w:sz w:val="20"/>
          <w:szCs w:val="20"/>
        </w:rPr>
        <w:t xml:space="preserve">see </w:t>
      </w:r>
      <w:r w:rsidR="00286FE5" w:rsidRPr="001866AC">
        <w:rPr>
          <w:rFonts w:ascii="Arial" w:hAnsi="Arial" w:cs="Arial"/>
          <w:i/>
          <w:iCs/>
          <w:sz w:val="20"/>
          <w:szCs w:val="20"/>
        </w:rPr>
        <w:t xml:space="preserve">Onassis and </w:t>
      </w:r>
      <w:proofErr w:type="spellStart"/>
      <w:r w:rsidR="00286FE5" w:rsidRPr="001866AC">
        <w:rPr>
          <w:rFonts w:ascii="Arial" w:hAnsi="Arial" w:cs="Arial"/>
          <w:i/>
          <w:iCs/>
          <w:sz w:val="20"/>
          <w:szCs w:val="20"/>
        </w:rPr>
        <w:t>Calogeropoulos</w:t>
      </w:r>
      <w:proofErr w:type="spellEnd"/>
      <w:r w:rsidR="00286FE5" w:rsidRPr="001866AC">
        <w:rPr>
          <w:rFonts w:ascii="Arial" w:hAnsi="Arial" w:cs="Arial"/>
          <w:i/>
          <w:iCs/>
          <w:sz w:val="20"/>
          <w:szCs w:val="20"/>
        </w:rPr>
        <w:t xml:space="preserve"> v </w:t>
      </w:r>
      <w:proofErr w:type="spellStart"/>
      <w:r w:rsidR="00286FE5" w:rsidRPr="001866AC">
        <w:rPr>
          <w:rFonts w:ascii="Arial" w:hAnsi="Arial" w:cs="Arial"/>
          <w:i/>
          <w:iCs/>
          <w:sz w:val="20"/>
          <w:szCs w:val="20"/>
        </w:rPr>
        <w:t>Vergotis</w:t>
      </w:r>
      <w:proofErr w:type="spellEnd"/>
      <w:r w:rsidR="00286FE5">
        <w:rPr>
          <w:rFonts w:ascii="Arial" w:hAnsi="Arial" w:cs="Arial"/>
          <w:sz w:val="20"/>
          <w:szCs w:val="20"/>
        </w:rPr>
        <w:t xml:space="preserve"> [1968] 2 Lloyd’s LR 403, 431 (Lord Pearce)</w:t>
      </w:r>
      <w:r w:rsidR="001866AC">
        <w:rPr>
          <w:rFonts w:ascii="Arial" w:hAnsi="Arial" w:cs="Arial"/>
          <w:sz w:val="20"/>
          <w:szCs w:val="20"/>
        </w:rPr>
        <w:t>}</w:t>
      </w:r>
      <w:r>
        <w:rPr>
          <w:rFonts w:ascii="Arial" w:hAnsi="Arial" w:cs="Arial"/>
          <w:sz w:val="20"/>
          <w:szCs w:val="20"/>
        </w:rPr>
        <w:t xml:space="preserve"> </w:t>
      </w:r>
      <w:r w:rsidR="001866AC">
        <w:rPr>
          <w:rFonts w:ascii="Arial" w:hAnsi="Arial" w:cs="Arial"/>
          <w:sz w:val="20"/>
          <w:szCs w:val="20"/>
        </w:rPr>
        <w:t xml:space="preserve">and even through the process of coming to court to give evidence for one side, rather than the other side, in a dispute: </w:t>
      </w:r>
      <w:r w:rsidR="001866AC" w:rsidRPr="001866AC">
        <w:rPr>
          <w:rFonts w:ascii="Arial" w:hAnsi="Arial" w:cs="Arial"/>
          <w:i/>
          <w:iCs/>
          <w:sz w:val="20"/>
          <w:szCs w:val="20"/>
        </w:rPr>
        <w:t xml:space="preserve">Nominal Defendant v </w:t>
      </w:r>
      <w:proofErr w:type="spellStart"/>
      <w:r w:rsidR="001866AC" w:rsidRPr="001866AC">
        <w:rPr>
          <w:rFonts w:ascii="Arial" w:hAnsi="Arial" w:cs="Arial"/>
          <w:i/>
          <w:iCs/>
          <w:sz w:val="20"/>
          <w:szCs w:val="20"/>
        </w:rPr>
        <w:t>Cordin</w:t>
      </w:r>
      <w:proofErr w:type="spellEnd"/>
      <w:r w:rsidR="001866AC">
        <w:rPr>
          <w:rFonts w:ascii="Arial" w:hAnsi="Arial" w:cs="Arial"/>
          <w:sz w:val="20"/>
          <w:szCs w:val="20"/>
        </w:rPr>
        <w:t xml:space="preserve"> (2017) 79 MRV 210, 240-46 [165]-[166] (Davies J).  Ultimately, my decision is to be on the balance of probabilities, doing the best I can on the evidence led, with the onus remaining on Mr Singh to establish any negligence on the part of Mr Ward, and the onus on Mr Ward to establish any contributory negligence on the part of Mr Singh.”</w:t>
      </w:r>
    </w:p>
    <w:p w14:paraId="70F5C6FF" w14:textId="7B4F7EC8" w:rsidR="004D0577" w:rsidRDefault="00205820" w:rsidP="00205820">
      <w:pPr>
        <w:spacing w:before="80"/>
        <w:jc w:val="both"/>
        <w:rPr>
          <w:rFonts w:ascii="Arial" w:hAnsi="Arial" w:cs="Arial"/>
          <w:sz w:val="20"/>
        </w:rPr>
      </w:pPr>
      <w:r>
        <w:rPr>
          <w:rFonts w:ascii="Arial" w:hAnsi="Arial" w:cs="Arial"/>
          <w:sz w:val="20"/>
        </w:rPr>
        <w:t xml:space="preserve">Gorton J </w:t>
      </w:r>
      <w:r w:rsidR="004675A0">
        <w:rPr>
          <w:rFonts w:ascii="Arial" w:hAnsi="Arial" w:cs="Arial"/>
          <w:sz w:val="20"/>
        </w:rPr>
        <w:t xml:space="preserve">ultimately </w:t>
      </w:r>
      <w:r>
        <w:rPr>
          <w:rFonts w:ascii="Arial" w:hAnsi="Arial" w:cs="Arial"/>
          <w:sz w:val="20"/>
        </w:rPr>
        <w:t>found that the accident happened because Mr Ward momentarily lost concentration and drifted from the northbound left lane into the emergency lane as he passed Mr Singh and that Mr Singh was 10% contributorily negligent by not stopping further to the left in the emergency lane.</w:t>
      </w:r>
    </w:p>
    <w:p w14:paraId="2EC975D7" w14:textId="77777777" w:rsidR="007A379E" w:rsidRDefault="007A379E">
      <w:pPr>
        <w:jc w:val="both"/>
        <w:rPr>
          <w:rFonts w:ascii="Arial" w:hAnsi="Arial" w:cs="Arial"/>
          <w:sz w:val="20"/>
        </w:rPr>
      </w:pPr>
    </w:p>
    <w:p w14:paraId="78F45C11" w14:textId="77777777" w:rsidR="00B21DA4" w:rsidRDefault="00B21DA4" w:rsidP="001C1A58">
      <w:pPr>
        <w:pStyle w:val="Heading3"/>
        <w:keepNext/>
        <w:keepLines/>
        <w:spacing w:after="120" w:line="240" w:lineRule="auto"/>
        <w:rPr>
          <w:rFonts w:ascii="Arial" w:hAnsi="Arial" w:cs="Arial"/>
          <w:b/>
          <w:bCs/>
          <w:sz w:val="20"/>
        </w:rPr>
      </w:pPr>
      <w:bookmarkStart w:id="566" w:name="_3.5.4_Contested_Criminal"/>
      <w:bookmarkStart w:id="567" w:name="B354"/>
      <w:bookmarkStart w:id="568" w:name="_Toc30649715"/>
      <w:bookmarkStart w:id="569" w:name="_Toc30651652"/>
      <w:bookmarkStart w:id="570" w:name="_Toc30652636"/>
      <w:bookmarkStart w:id="571" w:name="_Toc30652734"/>
      <w:bookmarkStart w:id="572" w:name="_Toc30654079"/>
      <w:bookmarkStart w:id="573" w:name="_Toc30654430"/>
      <w:bookmarkStart w:id="574" w:name="_Toc30655049"/>
      <w:bookmarkStart w:id="575" w:name="_Toc30655306"/>
      <w:bookmarkStart w:id="576" w:name="_Toc30656984"/>
      <w:bookmarkStart w:id="577" w:name="_Toc30661733"/>
      <w:bookmarkStart w:id="578" w:name="_Toc30666421"/>
      <w:bookmarkStart w:id="579" w:name="_Toc30666651"/>
      <w:bookmarkStart w:id="580" w:name="_Toc30667826"/>
      <w:bookmarkStart w:id="581" w:name="_Toc30669204"/>
      <w:bookmarkStart w:id="582" w:name="_Toc30671420"/>
      <w:bookmarkStart w:id="583" w:name="_Toc30673947"/>
      <w:bookmarkStart w:id="584" w:name="_Toc30691169"/>
      <w:bookmarkStart w:id="585" w:name="_Toc30691540"/>
      <w:bookmarkStart w:id="586" w:name="_Toc30691920"/>
      <w:bookmarkStart w:id="587" w:name="_Toc30692679"/>
      <w:bookmarkStart w:id="588" w:name="_Toc30693058"/>
      <w:bookmarkStart w:id="589" w:name="_Toc30693436"/>
      <w:bookmarkStart w:id="590" w:name="_Toc30693815"/>
      <w:bookmarkStart w:id="591" w:name="_Toc30694196"/>
      <w:bookmarkStart w:id="592" w:name="_Toc30698785"/>
      <w:bookmarkStart w:id="593" w:name="_Toc30699163"/>
      <w:bookmarkStart w:id="594" w:name="_Toc30699548"/>
      <w:bookmarkStart w:id="595" w:name="_Toc30700703"/>
      <w:bookmarkStart w:id="596" w:name="_Toc30701090"/>
      <w:bookmarkStart w:id="597" w:name="_Toc30743699"/>
      <w:bookmarkStart w:id="598" w:name="_Toc30754521"/>
      <w:bookmarkStart w:id="599" w:name="_Toc30756961"/>
      <w:bookmarkStart w:id="600" w:name="_Toc30757510"/>
      <w:bookmarkStart w:id="601" w:name="_Toc30757910"/>
      <w:bookmarkStart w:id="602" w:name="_Toc30762671"/>
      <w:bookmarkStart w:id="603" w:name="_Toc30767325"/>
      <w:bookmarkStart w:id="604" w:name="_Toc34823341"/>
      <w:bookmarkEnd w:id="562"/>
      <w:bookmarkEnd w:id="566"/>
      <w:bookmarkEnd w:id="567"/>
      <w:r>
        <w:rPr>
          <w:rFonts w:ascii="Arial" w:hAnsi="Arial" w:cs="Arial"/>
          <w:b/>
          <w:bCs/>
          <w:sz w:val="20"/>
        </w:rPr>
        <w:t>3.5.4</w:t>
      </w:r>
      <w:r>
        <w:rPr>
          <w:rFonts w:ascii="Arial" w:hAnsi="Arial" w:cs="Arial"/>
          <w:b/>
          <w:bCs/>
          <w:sz w:val="20"/>
        </w:rPr>
        <w:tab/>
        <w:t>Contested Criminal Division case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517CE652" w14:textId="01F106D9" w:rsidR="00B21DA4" w:rsidRDefault="00B21DA4">
      <w:pPr>
        <w:jc w:val="both"/>
        <w:rPr>
          <w:rFonts w:ascii="Arial" w:hAnsi="Arial" w:cs="Arial"/>
          <w:sz w:val="20"/>
        </w:rPr>
      </w:pPr>
      <w:r>
        <w:rPr>
          <w:rFonts w:ascii="Arial" w:hAnsi="Arial" w:cs="Arial"/>
          <w:sz w:val="20"/>
        </w:rPr>
        <w:t>The conduct of a contested summary hearing is the same as in the Magistrates</w:t>
      </w:r>
      <w:r w:rsidR="000F0BE9">
        <w:rPr>
          <w:rFonts w:ascii="Arial" w:hAnsi="Arial" w:cs="Arial"/>
          <w:sz w:val="20"/>
        </w:rPr>
        <w:t>’</w:t>
      </w:r>
      <w:r>
        <w:rPr>
          <w:rFonts w:ascii="Arial" w:hAnsi="Arial" w:cs="Arial"/>
          <w:sz w:val="20"/>
        </w:rPr>
        <w:t xml:space="preserve">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w:t>
      </w:r>
      <w:r w:rsidR="000F0BE9">
        <w:rPr>
          <w:rFonts w:ascii="Arial" w:hAnsi="Arial" w:cs="Arial"/>
          <w:sz w:val="20"/>
        </w:rPr>
        <w:t>’</w:t>
      </w:r>
      <w:r>
        <w:rPr>
          <w:rFonts w:ascii="Arial" w:hAnsi="Arial" w:cs="Arial"/>
          <w:sz w:val="20"/>
        </w:rPr>
        <w: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 xml:space="preserve">R v </w:t>
      </w:r>
      <w:proofErr w:type="spellStart"/>
      <w:r w:rsidR="00C15156" w:rsidRPr="00C15156">
        <w:rPr>
          <w:rFonts w:ascii="Arial" w:hAnsi="Arial" w:cs="Arial"/>
          <w:i/>
          <w:sz w:val="20"/>
        </w:rPr>
        <w:t>Calway</w:t>
      </w:r>
      <w:proofErr w:type="spellEnd"/>
      <w:r w:rsidR="00C15156">
        <w:rPr>
          <w:rFonts w:ascii="Arial" w:hAnsi="Arial" w:cs="Arial"/>
          <w:sz w:val="20"/>
        </w:rPr>
        <w:t xml:space="preserve"> [2005] VSCA 266 at [37]:</w:t>
      </w:r>
    </w:p>
    <w:p w14:paraId="230A827C" w14:textId="77777777" w:rsidR="00C15156" w:rsidRDefault="00C15156" w:rsidP="0066351D">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w:t>
      </w:r>
      <w:proofErr w:type="spellStart"/>
      <w:r>
        <w:rPr>
          <w:rFonts w:ascii="Arial" w:hAnsi="Arial" w:cs="Arial"/>
          <w:sz w:val="20"/>
        </w:rPr>
        <w:t>Gaudron</w:t>
      </w:r>
      <w:proofErr w:type="spellEnd"/>
      <w:r>
        <w:rPr>
          <w:rFonts w:ascii="Arial" w:hAnsi="Arial" w:cs="Arial"/>
          <w:sz w:val="20"/>
        </w:rPr>
        <w:t xml:space="preserve">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C65F9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3E338FDC" w:rsidR="00C65F9B" w:rsidRDefault="000F0BE9" w:rsidP="00C65F9B">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The Crown</w:t>
      </w:r>
      <w:r>
        <w:rPr>
          <w:rFonts w:ascii="Arial" w:hAnsi="Arial" w:cs="Arial"/>
          <w:iCs/>
          <w:sz w:val="20"/>
        </w:rPr>
        <w:t>’</w:t>
      </w:r>
      <w:r w:rsidR="00C65F9B">
        <w:rPr>
          <w:rFonts w:ascii="Arial" w:hAnsi="Arial" w:cs="Arial"/>
          <w:iCs/>
          <w:sz w:val="20"/>
        </w:rPr>
        <w:t>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w:t>
      </w:r>
      <w:proofErr w:type="spellStart"/>
      <w:r w:rsidR="00C65F9B">
        <w:rPr>
          <w:rFonts w:ascii="Arial" w:hAnsi="Arial" w:cs="Arial"/>
          <w:iCs/>
          <w:sz w:val="20"/>
        </w:rPr>
        <w:t>ll</w:t>
      </w:r>
      <w:proofErr w:type="spellEnd"/>
      <w:r w:rsidR="00C65F9B">
        <w:rPr>
          <w:rFonts w:ascii="Arial" w:hAnsi="Arial" w:cs="Arial"/>
          <w:iCs/>
          <w:sz w:val="20"/>
        </w:rPr>
        <w:t xml:space="preserve">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r>
        <w:rPr>
          <w:rFonts w:ascii="Arial" w:hAnsi="Arial" w:cs="Arial"/>
          <w:iCs/>
          <w:sz w:val="20"/>
        </w:rPr>
        <w:t>”</w:t>
      </w:r>
      <w:r w:rsidR="00C65F9B">
        <w:rPr>
          <w:rFonts w:ascii="Arial" w:hAnsi="Arial" w:cs="Arial"/>
          <w:iCs/>
          <w:sz w:val="20"/>
        </w:rPr>
        <w:t>.</w:t>
      </w:r>
    </w:p>
    <w:p w14:paraId="4A674536" w14:textId="77777777" w:rsidR="00C65F9B" w:rsidRDefault="00C65F9B" w:rsidP="00C65F9B">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30CE935" w:rsidR="00C65F9B" w:rsidRDefault="000F0BE9" w:rsidP="00023C2C">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w:t>
      </w:r>
      <w:r>
        <w:rPr>
          <w:rFonts w:ascii="Arial" w:hAnsi="Arial" w:cs="Arial"/>
          <w:iCs/>
          <w:sz w:val="20"/>
        </w:rPr>
        <w:t>’</w:t>
      </w:r>
      <w:r w:rsidR="00C65F9B">
        <w:rPr>
          <w:rFonts w:ascii="Arial" w:hAnsi="Arial" w:cs="Arial"/>
          <w:iCs/>
          <w:sz w:val="20"/>
        </w:rPr>
        <w:t>s case.  We may add that these obligations which attach to prosecuting counsel apply, in our opinion, to officers in the service of the Crown, whose function it is to prepare the Crown case in criminal proceedings.</w:t>
      </w:r>
      <w:r>
        <w:rPr>
          <w:rFonts w:ascii="Arial" w:hAnsi="Arial" w:cs="Arial"/>
          <w:iCs/>
          <w:sz w:val="20"/>
        </w:rPr>
        <w:t>”</w:t>
      </w:r>
    </w:p>
    <w:p w14:paraId="346E92AE" w14:textId="77777777" w:rsidR="00C65F9B" w:rsidRDefault="00C65F9B" w:rsidP="00C65F9B">
      <w:pPr>
        <w:jc w:val="both"/>
        <w:rPr>
          <w:rFonts w:ascii="Arial" w:hAnsi="Arial" w:cs="Arial"/>
          <w:sz w:val="20"/>
        </w:rPr>
      </w:pPr>
    </w:p>
    <w:p w14:paraId="10FDFD7F" w14:textId="50B64247"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w:t>
      </w:r>
      <w:r w:rsidR="000F0BE9">
        <w:rPr>
          <w:rFonts w:ascii="Arial" w:hAnsi="Arial" w:cs="Arial"/>
          <w:sz w:val="20"/>
        </w:rPr>
        <w:t>“</w:t>
      </w:r>
      <w:r>
        <w:rPr>
          <w:rFonts w:ascii="Arial" w:hAnsi="Arial" w:cs="Arial"/>
          <w:sz w:val="20"/>
        </w:rPr>
        <w:t xml:space="preserve">I suggest…that the best way for prosecuting counsel to present the Crown case fairly is to conduct it strictly according to the rules and not to conduct it according to what is sometimes referred to as the </w:t>
      </w:r>
      <w:r w:rsidR="000F0BE9">
        <w:rPr>
          <w:rFonts w:ascii="Arial" w:hAnsi="Arial" w:cs="Arial"/>
          <w:sz w:val="20"/>
        </w:rPr>
        <w:t>‘</w:t>
      </w:r>
      <w:r>
        <w:rPr>
          <w:rFonts w:ascii="Arial" w:hAnsi="Arial" w:cs="Arial"/>
          <w:sz w:val="20"/>
        </w:rPr>
        <w:t>rule in Dyer</w:t>
      </w:r>
      <w:r w:rsidR="000F0BE9">
        <w:rPr>
          <w:rFonts w:ascii="Arial" w:hAnsi="Arial" w:cs="Arial"/>
          <w:sz w:val="20"/>
        </w:rPr>
        <w:t>’</w:t>
      </w:r>
      <w:r>
        <w:rPr>
          <w:rFonts w:ascii="Arial" w:hAnsi="Arial" w:cs="Arial"/>
          <w:sz w:val="20"/>
        </w:rPr>
        <w:t>s case: Don</w:t>
      </w:r>
      <w:r w:rsidR="000F0BE9">
        <w:rPr>
          <w:rFonts w:ascii="Arial" w:hAnsi="Arial" w:cs="Arial"/>
          <w:sz w:val="20"/>
        </w:rPr>
        <w:t>’</w:t>
      </w:r>
      <w:r>
        <w:rPr>
          <w:rFonts w:ascii="Arial" w:hAnsi="Arial" w:cs="Arial"/>
          <w:sz w:val="20"/>
        </w:rPr>
        <w:t>t worry about the rules.  Just keep going until the umpire blows the whistle</w:t>
      </w:r>
      <w:r w:rsidR="000F0BE9">
        <w:rPr>
          <w:rFonts w:ascii="Arial" w:hAnsi="Arial" w:cs="Arial"/>
          <w:sz w:val="20"/>
        </w:rPr>
        <w:t>’</w:t>
      </w:r>
      <w:r>
        <w:rPr>
          <w:rFonts w:ascii="Arial" w:hAnsi="Arial" w:cs="Arial"/>
          <w:sz w:val="20"/>
        </w:rPr>
        <w:t>.</w:t>
      </w:r>
      <w:r w:rsidR="000F0BE9">
        <w:rPr>
          <w:rFonts w:ascii="Arial" w:hAnsi="Arial" w:cs="Arial"/>
          <w:sz w:val="20"/>
        </w:rPr>
        <w:t>”</w:t>
      </w:r>
      <w:r>
        <w:rPr>
          <w:rFonts w:ascii="Arial" w:hAnsi="Arial" w:cs="Arial"/>
          <w:sz w:val="20"/>
        </w:rPr>
        <w:t xml:space="preserve">  See also </w:t>
      </w:r>
      <w:r>
        <w:rPr>
          <w:rFonts w:ascii="Arial" w:hAnsi="Arial" w:cs="Arial"/>
          <w:i/>
          <w:iCs/>
          <w:sz w:val="20"/>
        </w:rPr>
        <w:t xml:space="preserve">R v </w:t>
      </w:r>
      <w:proofErr w:type="spellStart"/>
      <w:r>
        <w:rPr>
          <w:rFonts w:ascii="Arial" w:hAnsi="Arial" w:cs="Arial"/>
          <w:i/>
          <w:iCs/>
          <w:sz w:val="20"/>
        </w:rPr>
        <w:t>Apostilidis</w:t>
      </w:r>
      <w:proofErr w:type="spellEnd"/>
      <w:r w:rsidR="007D0245">
        <w:rPr>
          <w:rFonts w:ascii="Arial" w:hAnsi="Arial" w:cs="Arial"/>
          <w:sz w:val="20"/>
        </w:rPr>
        <w:t xml:space="preserve"> (1984) 154 CLR 563; </w:t>
      </w:r>
      <w:r w:rsidR="007D0245" w:rsidRPr="007D0245">
        <w:rPr>
          <w:rFonts w:ascii="Arial" w:hAnsi="Arial" w:cs="Arial"/>
          <w:i/>
          <w:sz w:val="20"/>
        </w:rPr>
        <w:t xml:space="preserve">R v </w:t>
      </w:r>
      <w:proofErr w:type="spellStart"/>
      <w:r w:rsidR="007D0245" w:rsidRPr="007D0245">
        <w:rPr>
          <w:rFonts w:ascii="Arial" w:hAnsi="Arial" w:cs="Arial"/>
          <w:i/>
          <w:sz w:val="20"/>
        </w:rPr>
        <w:t>Libke</w:t>
      </w:r>
      <w:proofErr w:type="spellEnd"/>
      <w:r w:rsidR="007D0245">
        <w:rPr>
          <w:rFonts w:ascii="Arial" w:hAnsi="Arial" w:cs="Arial"/>
          <w:sz w:val="20"/>
        </w:rPr>
        <w:t xml:space="preserve"> [2007] HCA</w:t>
      </w:r>
      <w:r w:rsidR="008F4302">
        <w:rPr>
          <w:rFonts w:ascii="Arial" w:hAnsi="Arial" w:cs="Arial"/>
          <w:sz w:val="20"/>
        </w:rPr>
        <w:t xml:space="preserve"> 30 at [117]-[131] per </w:t>
      </w:r>
      <w:proofErr w:type="spellStart"/>
      <w:r w:rsidR="008F4302">
        <w:rPr>
          <w:rFonts w:ascii="Arial" w:hAnsi="Arial" w:cs="Arial"/>
          <w:sz w:val="20"/>
        </w:rPr>
        <w:t>Heydon</w:t>
      </w:r>
      <w:proofErr w:type="spellEnd"/>
      <w:r w:rsidR="008F4302">
        <w:rPr>
          <w:rFonts w:ascii="Arial" w:hAnsi="Arial" w:cs="Arial"/>
          <w:sz w:val="20"/>
        </w:rPr>
        <w:t xml:space="preserve">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 xml:space="preserve">R v </w:t>
      </w:r>
      <w:proofErr w:type="spellStart"/>
      <w:r w:rsidR="008E56A1" w:rsidRPr="008E56A1">
        <w:rPr>
          <w:rFonts w:ascii="Arial" w:hAnsi="Arial" w:cs="Arial"/>
          <w:i/>
          <w:sz w:val="20"/>
          <w:szCs w:val="20"/>
        </w:rPr>
        <w:t>Chimirri</w:t>
      </w:r>
      <w:proofErr w:type="spellEnd"/>
      <w:r w:rsidR="008E56A1" w:rsidRPr="008E56A1">
        <w:rPr>
          <w:rFonts w:ascii="Arial" w:hAnsi="Arial" w:cs="Arial"/>
          <w:sz w:val="20"/>
          <w:szCs w:val="20"/>
        </w:rPr>
        <w:t xml:space="preserve"> [2010] VSCA 57 at [59]-[76].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1E93184E"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proofErr w:type="spellStart"/>
      <w:r w:rsidRPr="006D4E83">
        <w:rPr>
          <w:rFonts w:ascii="Arial" w:eastAsia="Book Antiqua" w:hAnsi="Arial" w:cs="Arial"/>
          <w:i/>
          <w:sz w:val="20"/>
          <w:szCs w:val="20"/>
        </w:rPr>
        <w:t>Jago</w:t>
      </w:r>
      <w:proofErr w:type="spellEnd"/>
      <w:r w:rsidRPr="006D4E83">
        <w:rPr>
          <w:rFonts w:ascii="Arial" w:eastAsia="Book Antiqua" w:hAnsi="Arial" w:cs="Arial"/>
          <w:i/>
          <w:sz w:val="20"/>
          <w:szCs w:val="20"/>
        </w:rPr>
        <w:t xml:space="preserve"> v District Court of NSW</w:t>
      </w:r>
      <w:r w:rsidRPr="006D4E83">
        <w:rPr>
          <w:rFonts w:ascii="Arial" w:hAnsi="Arial" w:cs="Arial"/>
          <w:sz w:val="20"/>
          <w:szCs w:val="20"/>
        </w:rPr>
        <w:t xml:space="preserve"> (1989) 168 CLR 23, 56–7 (Deane J) </w:t>
      </w:r>
      <w:r w:rsidR="004D3E5D">
        <w:rPr>
          <w:rFonts w:ascii="Arial" w:hAnsi="Arial" w:cs="Arial"/>
          <w:sz w:val="20"/>
          <w:szCs w:val="20"/>
        </w:rPr>
        <w:t>[</w:t>
      </w:r>
      <w:r w:rsidRPr="006D4E83">
        <w:rPr>
          <w:rFonts w:ascii="Arial" w:hAnsi="Arial" w:cs="Arial"/>
          <w:sz w:val="20"/>
          <w:szCs w:val="20"/>
        </w:rPr>
        <w:t>‘</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w:t>
      </w:r>
      <w:r w:rsidR="004D3E5D">
        <w:rPr>
          <w:rFonts w:ascii="Arial" w:hAnsi="Arial" w:cs="Arial"/>
          <w:sz w:val="20"/>
          <w:szCs w:val="20"/>
        </w:rPr>
        <w:t>]</w:t>
      </w:r>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 xml:space="preserve">US v </w:t>
      </w:r>
      <w:proofErr w:type="spellStart"/>
      <w:r w:rsidRPr="006D4E83">
        <w:rPr>
          <w:rFonts w:ascii="Arial" w:eastAsia="Book Antiqua" w:hAnsi="Arial" w:cs="Arial"/>
          <w:i/>
          <w:sz w:val="20"/>
          <w:szCs w:val="20"/>
        </w:rPr>
        <w:t>Lutwak</w:t>
      </w:r>
      <w:proofErr w:type="spellEnd"/>
      <w:r w:rsidRPr="006D4E83">
        <w:rPr>
          <w:rFonts w:ascii="Arial" w:hAnsi="Arial" w:cs="Arial"/>
          <w:sz w:val="20"/>
          <w:szCs w:val="20"/>
        </w:rPr>
        <w:t xml:space="preserve">, 344 US 604, 619 (1953).  See also </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w:t>
      </w:r>
      <w:proofErr w:type="spellStart"/>
      <w:r w:rsidRPr="006D4E83">
        <w:rPr>
          <w:rFonts w:ascii="Arial" w:hAnsi="Arial" w:cs="Arial"/>
          <w:sz w:val="20"/>
          <w:szCs w:val="20"/>
        </w:rPr>
        <w:t>Gaudron</w:t>
      </w:r>
      <w:proofErr w:type="spellEnd"/>
      <w:r w:rsidRPr="006D4E83">
        <w:rPr>
          <w:rFonts w:ascii="Arial" w:hAnsi="Arial" w:cs="Arial"/>
          <w:sz w:val="20"/>
          <w:szCs w:val="20"/>
        </w:rPr>
        <w:t xml:space="preserve"> J); </w:t>
      </w:r>
      <w:r w:rsidRPr="006D4E83">
        <w:rPr>
          <w:rFonts w:ascii="Arial" w:eastAsia="Book Antiqua" w:hAnsi="Arial" w:cs="Arial"/>
          <w:i/>
          <w:sz w:val="20"/>
          <w:szCs w:val="20"/>
        </w:rPr>
        <w:t xml:space="preserve">R v </w:t>
      </w:r>
      <w:proofErr w:type="spellStart"/>
      <w:r w:rsidRPr="006D4E83">
        <w:rPr>
          <w:rFonts w:ascii="Arial" w:eastAsia="Book Antiqua" w:hAnsi="Arial" w:cs="Arial"/>
          <w:i/>
          <w:sz w:val="20"/>
          <w:szCs w:val="20"/>
        </w:rPr>
        <w:t>Dupas</w:t>
      </w:r>
      <w:proofErr w:type="spellEnd"/>
      <w:r w:rsidRPr="006D4E83">
        <w:rPr>
          <w:rFonts w:ascii="Arial" w:eastAsia="Book Antiqua" w:hAnsi="Arial" w:cs="Arial"/>
          <w:i/>
          <w:sz w:val="20"/>
          <w:szCs w:val="20"/>
        </w:rPr>
        <w:t xml:space="preserve"> (No 3)</w:t>
      </w:r>
      <w:r w:rsidRPr="006D4E83">
        <w:rPr>
          <w:rFonts w:ascii="Arial" w:hAnsi="Arial" w:cs="Arial"/>
          <w:sz w:val="20"/>
          <w:szCs w:val="20"/>
        </w:rPr>
        <w:t xml:space="preserve"> (2009) 28 VR 380, 422 [158] (</w:t>
      </w:r>
      <w:proofErr w:type="spellStart"/>
      <w:r w:rsidRPr="006D4E83">
        <w:rPr>
          <w:rFonts w:ascii="Arial" w:hAnsi="Arial" w:cs="Arial"/>
          <w:sz w:val="20"/>
          <w:szCs w:val="20"/>
        </w:rPr>
        <w:t>fn</w:t>
      </w:r>
      <w:proofErr w:type="spellEnd"/>
      <w:r w:rsidRPr="006D4E83">
        <w:rPr>
          <w:rFonts w:ascii="Arial" w:hAnsi="Arial" w:cs="Arial"/>
          <w:sz w:val="20"/>
          <w:szCs w:val="20"/>
        </w:rPr>
        <w:t xml:space="preserve"> 93) (Ashley JA), 430–31 [188] (Weinberg JA); </w:t>
      </w:r>
      <w:proofErr w:type="spellStart"/>
      <w:r w:rsidRPr="006D4E83">
        <w:rPr>
          <w:rFonts w:ascii="Arial" w:eastAsia="Book Antiqua" w:hAnsi="Arial" w:cs="Arial"/>
          <w:i/>
          <w:sz w:val="20"/>
          <w:szCs w:val="20"/>
        </w:rPr>
        <w:t>Romolo</w:t>
      </w:r>
      <w:proofErr w:type="spellEnd"/>
      <w:r w:rsidRPr="006D4E83">
        <w:rPr>
          <w:rFonts w:ascii="Arial" w:eastAsia="Book Antiqua" w:hAnsi="Arial" w:cs="Arial"/>
          <w:i/>
          <w:sz w:val="20"/>
          <w:szCs w:val="20"/>
        </w:rPr>
        <w:t xml:space="preserve">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Packard (a 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 xml:space="preserve">Cannon v </w:t>
      </w:r>
      <w:proofErr w:type="spellStart"/>
      <w:r w:rsidRPr="006D4E83">
        <w:rPr>
          <w:rFonts w:ascii="Arial" w:eastAsia="Book Antiqua" w:hAnsi="Arial" w:cs="Arial"/>
          <w:i/>
          <w:sz w:val="20"/>
          <w:szCs w:val="20"/>
        </w:rPr>
        <w:t>Tahche</w:t>
      </w:r>
      <w:proofErr w:type="spellEnd"/>
      <w:r w:rsidRPr="006D4E83">
        <w:rPr>
          <w:rFonts w:ascii="Arial" w:hAnsi="Arial" w:cs="Arial"/>
          <w:sz w:val="20"/>
          <w:szCs w:val="20"/>
        </w:rPr>
        <w:t xml:space="preserve"> (2002) 5 VR 317, 340;</w:t>
      </w:r>
    </w:p>
    <w:p w14:paraId="53F43702"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lastRenderedPageBreak/>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D772F0">
      <w:pPr>
        <w:numPr>
          <w:ilvl w:val="1"/>
          <w:numId w:val="46"/>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2FB526A5" w:rsidR="006D4E83" w:rsidRDefault="00C267FB" w:rsidP="00C267FB">
      <w:pPr>
        <w:spacing w:before="80"/>
        <w:ind w:right="782"/>
        <w:jc w:val="both"/>
        <w:rPr>
          <w:rFonts w:ascii="Arial" w:hAnsi="Arial" w:cs="Arial"/>
          <w:sz w:val="20"/>
        </w:rPr>
      </w:pPr>
      <w:r>
        <w:rPr>
          <w:rFonts w:ascii="Arial" w:hAnsi="Arial" w:cs="Arial"/>
          <w:sz w:val="20"/>
        </w:rPr>
        <w:t>At [149]</w:t>
      </w:r>
      <w:r w:rsidR="00B62342">
        <w:rPr>
          <w:rFonts w:ascii="Arial" w:hAnsi="Arial" w:cs="Arial"/>
          <w:sz w:val="20"/>
        </w:rPr>
        <w:t>-</w:t>
      </w:r>
      <w:r>
        <w:rPr>
          <w:rFonts w:ascii="Arial" w:hAnsi="Arial" w:cs="Arial"/>
          <w:sz w:val="20"/>
        </w:rPr>
        <w:t xml:space="preserve">[152]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It is important in the interests of justice that cross-examination be conducted within reasonable limits.  For example, previous convictions are ordinarily only likely to bear upon credibility where they are capable of showing a propensity to be untruthful</w:t>
      </w:r>
      <w:r w:rsidR="00C37348">
        <w:rPr>
          <w:rFonts w:ascii="Arial" w:hAnsi="Arial" w:cs="Arial"/>
          <w:sz w:val="20"/>
          <w:szCs w:val="18"/>
        </w:rPr>
        <w:t>: R v Hanson [2005]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t xml:space="preserve">[152] </w:t>
      </w:r>
      <w:r w:rsidRPr="00C90BA2">
        <w:rPr>
          <w:rFonts w:ascii="Arial" w:hAnsi="Arial" w:cs="Arial"/>
          <w:sz w:val="20"/>
          <w:szCs w:val="20"/>
        </w:rPr>
        <w:t>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1B1DB2E1" w:rsidR="00C65F9B" w:rsidRDefault="00C65F9B" w:rsidP="00735ADA">
      <w:pPr>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 xml:space="preserve">R v </w:t>
      </w:r>
      <w:proofErr w:type="spellStart"/>
      <w:r w:rsidRPr="00C22B69">
        <w:rPr>
          <w:rFonts w:ascii="Arial" w:hAnsi="Arial" w:cs="Arial"/>
          <w:i/>
          <w:sz w:val="20"/>
        </w:rPr>
        <w:t>Kerbaitch</w:t>
      </w:r>
      <w:proofErr w:type="spellEnd"/>
      <w:r>
        <w:rPr>
          <w:rFonts w:ascii="Arial" w:hAnsi="Arial" w:cs="Arial"/>
          <w:sz w:val="20"/>
        </w:rPr>
        <w:t xml:space="preserve"> [2005] VSCA 194 at [52]-[53] </w:t>
      </w:r>
      <w:proofErr w:type="spellStart"/>
      <w:r>
        <w:rPr>
          <w:rFonts w:ascii="Arial" w:hAnsi="Arial" w:cs="Arial"/>
          <w:sz w:val="20"/>
        </w:rPr>
        <w:t>Chernov</w:t>
      </w:r>
      <w:proofErr w:type="spellEnd"/>
      <w:r>
        <w:rPr>
          <w:rFonts w:ascii="Arial" w:hAnsi="Arial" w:cs="Arial"/>
          <w:sz w:val="20"/>
        </w:rPr>
        <w:t xml:space="preserve"> &amp; Nettle JJA </w:t>
      </w:r>
      <w:r w:rsidR="000F0BE9">
        <w:rPr>
          <w:rFonts w:ascii="Arial" w:hAnsi="Arial" w:cs="Arial"/>
          <w:sz w:val="20"/>
        </w:rPr>
        <w:t>–</w:t>
      </w:r>
      <w:r>
        <w:rPr>
          <w:rFonts w:ascii="Arial" w:hAnsi="Arial" w:cs="Arial"/>
          <w:sz w:val="20"/>
        </w:rPr>
        <w:t xml:space="preserve"> with whom Byrne AJA agreed on this point – said of the Court’s duty to an unrepresented accused in a criminal case:</w:t>
      </w:r>
    </w:p>
    <w:p w14:paraId="26E79E5D" w14:textId="77777777" w:rsidR="00C65F9B" w:rsidRDefault="00C65F9B" w:rsidP="00AB5230">
      <w:pPr>
        <w:spacing w:before="60"/>
        <w:ind w:left="454" w:right="454"/>
        <w:jc w:val="both"/>
        <w:rPr>
          <w:rFonts w:ascii="Arial" w:hAnsi="Arial" w:cs="Arial"/>
          <w:sz w:val="20"/>
        </w:rPr>
      </w:pPr>
      <w:r>
        <w:rPr>
          <w:rFonts w:ascii="Arial" w:hAnsi="Arial" w:cs="Arial"/>
          <w:iCs/>
          <w:sz w:val="20"/>
        </w:rPr>
        <w:lastRenderedPageBreak/>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proofErr w:type="spellStart"/>
      <w:r w:rsidRPr="001D728B">
        <w:rPr>
          <w:rFonts w:ascii="Arial" w:hAnsi="Arial" w:cs="Arial"/>
          <w:i/>
          <w:iCs/>
          <w:sz w:val="20"/>
        </w:rPr>
        <w:t>Jago</w:t>
      </w:r>
      <w:proofErr w:type="spellEnd"/>
      <w:r w:rsidRPr="001D728B">
        <w:rPr>
          <w:rFonts w:ascii="Arial" w:hAnsi="Arial" w:cs="Arial"/>
          <w:i/>
          <w:iCs/>
          <w:sz w:val="20"/>
        </w:rPr>
        <w:t xml:space="preserve">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 xml:space="preserve">Victoria Legal Aid v </w:t>
      </w:r>
      <w:proofErr w:type="spellStart"/>
      <w:r w:rsidRPr="001D728B">
        <w:rPr>
          <w:rFonts w:ascii="Arial" w:hAnsi="Arial" w:cs="Arial"/>
          <w:i/>
          <w:iCs/>
          <w:sz w:val="20"/>
        </w:rPr>
        <w:t>Beljajev</w:t>
      </w:r>
      <w:proofErr w:type="spellEnd"/>
      <w:r>
        <w:rPr>
          <w:rFonts w:ascii="Arial" w:hAnsi="Arial" w:cs="Arial"/>
          <w:iCs/>
          <w:sz w:val="20"/>
        </w:rPr>
        <w:t xml:space="preserve"> [1999] 3 VR 764 at 772 per </w:t>
      </w:r>
      <w:proofErr w:type="spellStart"/>
      <w:r>
        <w:rPr>
          <w:rFonts w:ascii="Arial" w:hAnsi="Arial" w:cs="Arial"/>
          <w:iCs/>
          <w:sz w:val="20"/>
        </w:rPr>
        <w:t>Winneke</w:t>
      </w:r>
      <w:proofErr w:type="spellEnd"/>
      <w:r>
        <w:rPr>
          <w:rFonts w:ascii="Arial" w:hAnsi="Arial" w:cs="Arial"/>
          <w:iCs/>
          <w:sz w:val="20"/>
        </w:rPr>
        <w:t xml:space="preserve"> P.; </w:t>
      </w:r>
      <w:r w:rsidRPr="001D728B">
        <w:rPr>
          <w:rFonts w:ascii="Arial" w:hAnsi="Arial" w:cs="Arial"/>
          <w:i/>
          <w:iCs/>
          <w:sz w:val="20"/>
        </w:rPr>
        <w:t>A-G (NSW) v X</w:t>
      </w:r>
      <w:r>
        <w:rPr>
          <w:rFonts w:ascii="Arial" w:hAnsi="Arial" w:cs="Arial"/>
          <w:iCs/>
          <w:sz w:val="20"/>
        </w:rPr>
        <w:t xml:space="preserve"> (2000) 49 NSWLR 653 at 688 per Mason P and </w:t>
      </w:r>
      <w:proofErr w:type="spellStart"/>
      <w:r w:rsidRPr="001D728B">
        <w:rPr>
          <w:rFonts w:ascii="Arial" w:hAnsi="Arial" w:cs="Arial"/>
          <w:i/>
          <w:iCs/>
          <w:sz w:val="20"/>
        </w:rPr>
        <w:t>Bayeh</w:t>
      </w:r>
      <w:proofErr w:type="spellEnd"/>
      <w:r w:rsidRPr="001D728B">
        <w:rPr>
          <w:rFonts w:ascii="Arial" w:hAnsi="Arial" w:cs="Arial"/>
          <w:i/>
          <w:iCs/>
          <w:sz w:val="20"/>
        </w:rPr>
        <w:t xml:space="preserve">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w:t>
      </w:r>
      <w:proofErr w:type="spellStart"/>
      <w:r>
        <w:rPr>
          <w:rFonts w:ascii="Arial" w:hAnsi="Arial" w:cs="Arial"/>
          <w:sz w:val="20"/>
        </w:rPr>
        <w:t>Chernov</w:t>
      </w:r>
      <w:proofErr w:type="spellEnd"/>
      <w:r>
        <w:rPr>
          <w:rFonts w:ascii="Arial" w:hAnsi="Arial" w:cs="Arial"/>
          <w:sz w:val="20"/>
        </w:rPr>
        <w:t xml:space="preserve">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24A36D73" w14:textId="77777777" w:rsidR="00A17CD3" w:rsidRDefault="00A17CD3" w:rsidP="00A17CD3">
      <w:pPr>
        <w:jc w:val="both"/>
        <w:rPr>
          <w:rFonts w:ascii="Arial" w:hAnsi="Arial" w:cs="Arial"/>
          <w:sz w:val="20"/>
        </w:rPr>
      </w:pPr>
      <w:bookmarkStart w:id="605" w:name="_Toc30651653"/>
      <w:bookmarkStart w:id="606" w:name="_Toc30652637"/>
      <w:bookmarkStart w:id="607" w:name="_Toc30652735"/>
      <w:bookmarkStart w:id="608" w:name="_Toc30654080"/>
      <w:bookmarkStart w:id="609" w:name="_Toc30654431"/>
      <w:bookmarkStart w:id="610" w:name="_Toc30655050"/>
      <w:bookmarkStart w:id="611" w:name="_Toc30655307"/>
      <w:bookmarkStart w:id="612" w:name="_Toc30656985"/>
      <w:bookmarkStart w:id="613" w:name="_Toc30661734"/>
      <w:bookmarkStart w:id="614" w:name="_Toc30666422"/>
      <w:bookmarkStart w:id="615" w:name="_Toc30666652"/>
      <w:bookmarkStart w:id="616" w:name="_Toc30667827"/>
      <w:bookmarkStart w:id="617" w:name="_Toc30669205"/>
      <w:bookmarkStart w:id="618" w:name="_Toc30671421"/>
      <w:bookmarkStart w:id="619" w:name="_Toc30673948"/>
      <w:bookmarkStart w:id="620" w:name="_Toc30691170"/>
      <w:bookmarkStart w:id="621" w:name="_Toc30691541"/>
      <w:bookmarkStart w:id="622" w:name="_Toc30691921"/>
      <w:bookmarkStart w:id="623" w:name="_Toc30692680"/>
      <w:bookmarkStart w:id="624" w:name="_Toc30693059"/>
      <w:bookmarkStart w:id="625" w:name="_Toc30693437"/>
      <w:bookmarkStart w:id="626" w:name="_Toc30693816"/>
      <w:bookmarkStart w:id="627" w:name="_Toc30694197"/>
      <w:bookmarkStart w:id="628" w:name="_Toc30698786"/>
      <w:bookmarkStart w:id="629" w:name="_Toc30699164"/>
      <w:bookmarkStart w:id="630" w:name="_Toc30699549"/>
      <w:bookmarkStart w:id="631" w:name="_Toc30700704"/>
      <w:bookmarkStart w:id="632" w:name="_Toc30701091"/>
      <w:bookmarkStart w:id="633" w:name="_Toc30743700"/>
      <w:bookmarkStart w:id="634" w:name="_Toc30754522"/>
      <w:bookmarkStart w:id="635" w:name="_Toc30756962"/>
      <w:bookmarkStart w:id="636" w:name="_Toc30757511"/>
      <w:bookmarkStart w:id="637" w:name="_Toc30757911"/>
      <w:bookmarkStart w:id="638" w:name="_Toc30762672"/>
      <w:bookmarkStart w:id="639" w:name="_Toc30767326"/>
      <w:bookmarkStart w:id="640" w:name="_Toc34823342"/>
    </w:p>
    <w:p w14:paraId="2CAA9165" w14:textId="77777777" w:rsidR="00A17CD3" w:rsidRPr="00BD3BA0" w:rsidRDefault="00A17CD3" w:rsidP="00A17CD3">
      <w:pPr>
        <w:jc w:val="center"/>
        <w:rPr>
          <w:rFonts w:ascii="Arial" w:hAnsi="Arial" w:cs="Arial"/>
          <w:b/>
          <w:bCs/>
          <w:sz w:val="22"/>
          <w:szCs w:val="28"/>
        </w:rPr>
      </w:pPr>
      <w:r w:rsidRPr="00BD3BA0">
        <w:rPr>
          <w:rFonts w:ascii="Arial" w:hAnsi="Arial" w:cs="Arial"/>
          <w:b/>
          <w:bCs/>
          <w:sz w:val="22"/>
          <w:szCs w:val="28"/>
        </w:rPr>
        <w:t>THE REST OF THIS PAGE IS BLANK</w:t>
      </w:r>
    </w:p>
    <w:p w14:paraId="2698A782" w14:textId="77777777" w:rsidR="00A17CD3" w:rsidRDefault="00A17CD3" w:rsidP="00A17CD3">
      <w:pPr>
        <w:rPr>
          <w:rFonts w:ascii="Arial" w:hAnsi="Arial" w:cs="Arial"/>
          <w:color w:val="000000"/>
          <w:sz w:val="20"/>
        </w:rPr>
      </w:pPr>
    </w:p>
    <w:p w14:paraId="2E2090E1" w14:textId="18289CB9" w:rsidR="00DC56AA" w:rsidRDefault="00DC56AA">
      <w:pPr>
        <w:rPr>
          <w:rFonts w:ascii="Arial" w:hAnsi="Arial" w:cs="Arial"/>
          <w:b/>
          <w:bCs/>
          <w:kern w:val="28"/>
          <w:sz w:val="20"/>
          <w:szCs w:val="20"/>
          <w:lang w:val="en-GB"/>
        </w:rPr>
      </w:pPr>
      <w:r>
        <w:rPr>
          <w:rFonts w:ascii="Arial" w:hAnsi="Arial" w:cs="Arial"/>
          <w:b/>
          <w:bCs/>
          <w:sz w:val="20"/>
        </w:rPr>
        <w:br w:type="page"/>
      </w:r>
    </w:p>
    <w:p w14:paraId="1958109A" w14:textId="4BA25841" w:rsidR="00B21DA4" w:rsidRDefault="00EE5B6C" w:rsidP="00212E60">
      <w:pPr>
        <w:pStyle w:val="Heading3"/>
        <w:keepNext/>
        <w:spacing w:after="120" w:line="240" w:lineRule="auto"/>
        <w:rPr>
          <w:rFonts w:ascii="Arial" w:hAnsi="Arial" w:cs="Arial"/>
          <w:b/>
          <w:bCs/>
          <w:sz w:val="20"/>
        </w:rPr>
      </w:pPr>
      <w:r>
        <w:rPr>
          <w:rFonts w:ascii="Arial" w:hAnsi="Arial" w:cs="Arial"/>
          <w:b/>
          <w:bCs/>
          <w:sz w:val="20"/>
        </w:rPr>
        <w:lastRenderedPageBreak/>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00122115">
        <w:rPr>
          <w:rFonts w:ascii="Arial" w:hAnsi="Arial" w:cs="Arial"/>
          <w:b/>
          <w:bCs/>
          <w:sz w:val="20"/>
        </w:rPr>
        <w:t>cases</w:t>
      </w:r>
    </w:p>
    <w:p w14:paraId="6281B4B8" w14:textId="6B4C82A4" w:rsidR="00122115" w:rsidRDefault="00122115" w:rsidP="00122115">
      <w:pPr>
        <w:jc w:val="both"/>
        <w:rPr>
          <w:rFonts w:ascii="Arial" w:hAnsi="Arial" w:cs="Arial"/>
          <w:sz w:val="20"/>
        </w:rPr>
      </w:pPr>
      <w:r>
        <w:rPr>
          <w:rFonts w:ascii="Arial" w:hAnsi="Arial" w:cs="Arial"/>
          <w:sz w:val="20"/>
        </w:rPr>
        <w:t xml:space="preserve">The </w:t>
      </w:r>
      <w:r w:rsidRPr="0058675C">
        <w:rPr>
          <w:rFonts w:ascii="Arial" w:hAnsi="Arial" w:cs="Arial"/>
          <w:i/>
          <w:iCs/>
          <w:sz w:val="20"/>
        </w:rPr>
        <w:t xml:space="preserve">Criminal Procedure Act 2009 </w:t>
      </w:r>
      <w:r>
        <w:rPr>
          <w:rFonts w:ascii="Arial" w:hAnsi="Arial" w:cs="Arial"/>
          <w:sz w:val="20"/>
        </w:rPr>
        <w:t xml:space="preserve">makes provision for the use of recorded evidence in </w:t>
      </w:r>
      <w:r w:rsidR="00FE10D4">
        <w:rPr>
          <w:rFonts w:ascii="Arial" w:hAnsi="Arial" w:cs="Arial"/>
          <w:sz w:val="20"/>
        </w:rPr>
        <w:t>certain criminal cases</w:t>
      </w:r>
      <w:r w:rsidR="00481276">
        <w:rPr>
          <w:rFonts w:ascii="Arial" w:hAnsi="Arial" w:cs="Arial"/>
          <w:sz w:val="20"/>
        </w:rPr>
        <w:t>, some of which</w:t>
      </w:r>
      <w:r w:rsidR="00FE10D4">
        <w:rPr>
          <w:rFonts w:ascii="Arial" w:hAnsi="Arial" w:cs="Arial"/>
          <w:sz w:val="20"/>
        </w:rPr>
        <w:t xml:space="preserve"> involv</w:t>
      </w:r>
      <w:r w:rsidR="00481276">
        <w:rPr>
          <w:rFonts w:ascii="Arial" w:hAnsi="Arial" w:cs="Arial"/>
          <w:sz w:val="20"/>
        </w:rPr>
        <w:t>e</w:t>
      </w:r>
      <w:r w:rsidR="00FE10D4">
        <w:rPr>
          <w:rFonts w:ascii="Arial" w:hAnsi="Arial" w:cs="Arial"/>
          <w:sz w:val="20"/>
        </w:rPr>
        <w:t xml:space="preserve"> witnesses who are children or have a cognitive impairment or both.</w:t>
      </w:r>
      <w:r w:rsidR="00066CC5">
        <w:rPr>
          <w:rFonts w:ascii="Arial" w:hAnsi="Arial" w:cs="Arial"/>
          <w:sz w:val="20"/>
        </w:rPr>
        <w:t xml:space="preserve">  For the purposes of the following </w:t>
      </w:r>
      <w:r w:rsidR="00BA5B6D">
        <w:rPr>
          <w:rFonts w:ascii="Arial" w:hAnsi="Arial" w:cs="Arial"/>
          <w:sz w:val="20"/>
        </w:rPr>
        <w:t>sub-sections</w:t>
      </w:r>
      <w:r w:rsidR="00066CC5">
        <w:rPr>
          <w:rFonts w:ascii="Arial" w:hAnsi="Arial" w:cs="Arial"/>
          <w:sz w:val="20"/>
        </w:rPr>
        <w:t>, “sexual offence” is defined in s.</w:t>
      </w:r>
      <w:r w:rsidR="00EE2F17">
        <w:rPr>
          <w:rFonts w:ascii="Arial" w:hAnsi="Arial" w:cs="Arial"/>
          <w:sz w:val="20"/>
        </w:rPr>
        <w:t>4(1)</w:t>
      </w:r>
      <w:r w:rsidR="00066CC5">
        <w:rPr>
          <w:rFonts w:ascii="Arial" w:hAnsi="Arial" w:cs="Arial"/>
          <w:sz w:val="20"/>
        </w:rPr>
        <w:t xml:space="preserve"> of that Act as-</w:t>
      </w:r>
    </w:p>
    <w:p w14:paraId="20D2CF28" w14:textId="77777777" w:rsidR="00F21B68"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offence </w:t>
      </w:r>
      <w:r w:rsidR="00F21B68">
        <w:rPr>
          <w:rFonts w:ascii="Arial" w:hAnsi="Arial" w:cs="Arial"/>
          <w:sz w:val="20"/>
        </w:rPr>
        <w:t>against-</w:t>
      </w:r>
    </w:p>
    <w:p w14:paraId="107E90B2" w14:textId="7671DDE8"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a provision of </w:t>
      </w:r>
      <w:r w:rsidRPr="00066CC5">
        <w:rPr>
          <w:rFonts w:ascii="Arial" w:hAnsi="Arial" w:cs="Arial"/>
          <w:sz w:val="20"/>
        </w:rPr>
        <w:t>Subdivision (8A), (8B), (8C), (8D), (8E)</w:t>
      </w:r>
      <w:r>
        <w:rPr>
          <w:rFonts w:ascii="Arial" w:hAnsi="Arial" w:cs="Arial"/>
          <w:sz w:val="20"/>
        </w:rPr>
        <w:t>, (8F)</w:t>
      </w:r>
      <w:r w:rsidRPr="00066CC5">
        <w:rPr>
          <w:rFonts w:ascii="Arial" w:hAnsi="Arial" w:cs="Arial"/>
          <w:sz w:val="20"/>
        </w:rPr>
        <w:t xml:space="preserve"> or (8</w:t>
      </w:r>
      <w:r>
        <w:rPr>
          <w:rFonts w:ascii="Arial" w:hAnsi="Arial" w:cs="Arial"/>
          <w:sz w:val="20"/>
        </w:rPr>
        <w:t>F</w:t>
      </w:r>
      <w:r w:rsidRPr="00066CC5">
        <w:rPr>
          <w:rFonts w:ascii="Arial" w:hAnsi="Arial" w:cs="Arial"/>
          <w:sz w:val="20"/>
        </w:rPr>
        <w:t xml:space="preserve">A) of Division 1 of Part I of the </w:t>
      </w:r>
      <w:r w:rsidRPr="0058675C">
        <w:rPr>
          <w:rFonts w:ascii="Arial" w:hAnsi="Arial" w:cs="Arial"/>
          <w:i/>
          <w:iCs/>
          <w:sz w:val="20"/>
        </w:rPr>
        <w:t>Crimes Act 1958</w:t>
      </w:r>
      <w:r w:rsidRPr="00F21B68">
        <w:rPr>
          <w:rFonts w:ascii="Arial" w:hAnsi="Arial" w:cs="Arial"/>
          <w:sz w:val="20"/>
        </w:rPr>
        <w:t>; or</w:t>
      </w:r>
    </w:p>
    <w:p w14:paraId="095B126F" w14:textId="4AA5D17A"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s.327(2) (failure to disclose a sexual offence committed against a child under the age of 16 years) </w:t>
      </w:r>
      <w:r w:rsidRPr="00066CC5">
        <w:rPr>
          <w:rFonts w:ascii="Arial" w:hAnsi="Arial" w:cs="Arial"/>
          <w:sz w:val="20"/>
        </w:rPr>
        <w:t xml:space="preserve">of the </w:t>
      </w:r>
      <w:r w:rsidRPr="0058675C">
        <w:rPr>
          <w:rFonts w:ascii="Arial" w:hAnsi="Arial" w:cs="Arial"/>
          <w:i/>
          <w:iCs/>
          <w:sz w:val="20"/>
        </w:rPr>
        <w:t>Crimes Act 1958</w:t>
      </w:r>
      <w:r w:rsidRPr="00F21B68">
        <w:rPr>
          <w:rFonts w:ascii="Arial" w:hAnsi="Arial" w:cs="Arial"/>
          <w:sz w:val="20"/>
        </w:rPr>
        <w:t>; or</w:t>
      </w:r>
    </w:p>
    <w:p w14:paraId="5662220A" w14:textId="4683845A" w:rsidR="00F21B68" w:rsidRP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ss.5(1), 6(1), 7(1), 8(1), 9(1) or 11(1) of the </w:t>
      </w:r>
      <w:r w:rsidRPr="0058675C">
        <w:rPr>
          <w:rFonts w:ascii="Arial" w:hAnsi="Arial" w:cs="Arial"/>
          <w:i/>
          <w:iCs/>
          <w:sz w:val="20"/>
        </w:rPr>
        <w:t>Sex Work Act 1994</w:t>
      </w:r>
      <w:r w:rsidRPr="00F21B68">
        <w:rPr>
          <w:rFonts w:ascii="Arial" w:hAnsi="Arial" w:cs="Arial"/>
          <w:sz w:val="20"/>
        </w:rPr>
        <w:t>;</w:t>
      </w:r>
      <w:r>
        <w:rPr>
          <w:rFonts w:ascii="Arial" w:hAnsi="Arial" w:cs="Arial"/>
          <w:sz w:val="20"/>
        </w:rPr>
        <w:t xml:space="preserve"> </w:t>
      </w:r>
    </w:p>
    <w:p w14:paraId="24FED4D8" w14:textId="78F012EB" w:rsidR="00122115" w:rsidRDefault="00F21B68"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w:t>
      </w:r>
    </w:p>
    <w:p w14:paraId="20C86CD6" w14:textId="633C2B19"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engaging in sexual activity; or</w:t>
      </w:r>
    </w:p>
    <w:p w14:paraId="164E543F" w14:textId="0A7C2C61"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taking part in a sexual act; or</w:t>
      </w:r>
    </w:p>
    <w:p w14:paraId="58BF4D2B" w14:textId="6CC2E6A5"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commercial sexual services; or</w:t>
      </w:r>
    </w:p>
    <w:p w14:paraId="0C17485F" w14:textId="2B42C4D4"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 sexual performance involving a child;</w:t>
      </w:r>
    </w:p>
    <w:p w14:paraId="5F38241B" w14:textId="3CEDDFEB"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F21B68">
        <w:rPr>
          <w:rFonts w:ascii="Arial" w:hAnsi="Arial" w:cs="Arial"/>
          <w:sz w:val="20"/>
        </w:rPr>
        <w:t>offence an element of which involves-</w:t>
      </w:r>
    </w:p>
    <w:p w14:paraId="32C90B81" w14:textId="1AEAAC7E" w:rsidR="00F21B68" w:rsidRDefault="00F21B68" w:rsidP="00D772F0">
      <w:pPr>
        <w:pStyle w:val="ListParagraph"/>
        <w:numPr>
          <w:ilvl w:val="0"/>
          <w:numId w:val="69"/>
        </w:numPr>
        <w:ind w:left="811" w:hanging="454"/>
        <w:jc w:val="both"/>
        <w:rPr>
          <w:rFonts w:ascii="Arial" w:hAnsi="Arial" w:cs="Arial"/>
          <w:sz w:val="20"/>
        </w:rPr>
      </w:pPr>
      <w:r>
        <w:rPr>
          <w:rFonts w:ascii="Arial" w:hAnsi="Arial" w:cs="Arial"/>
          <w:sz w:val="20"/>
        </w:rPr>
        <w:t>an</w:t>
      </w:r>
      <w:r w:rsidR="0065371A">
        <w:rPr>
          <w:rFonts w:ascii="Arial" w:hAnsi="Arial" w:cs="Arial"/>
          <w:sz w:val="20"/>
        </w:rPr>
        <w:t xml:space="preserve"> intention that any of the conduct referred to </w:t>
      </w:r>
      <w:r w:rsidR="004078C3">
        <w:rPr>
          <w:rFonts w:ascii="Arial" w:hAnsi="Arial" w:cs="Arial"/>
          <w:sz w:val="20"/>
        </w:rPr>
        <w:t>in paragraph (b) is to occur</w:t>
      </w:r>
      <w:r>
        <w:rPr>
          <w:rFonts w:ascii="Arial" w:hAnsi="Arial" w:cs="Arial"/>
          <w:sz w:val="20"/>
        </w:rPr>
        <w:t>; or</w:t>
      </w:r>
    </w:p>
    <w:p w14:paraId="65CB1101" w14:textId="454C4E70"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soliciting, procuring, enabling or threatening any of the conduct referred to in paragraph (b)</w:t>
      </w:r>
      <w:r w:rsidR="00F21B68">
        <w:rPr>
          <w:rFonts w:ascii="Arial" w:hAnsi="Arial" w:cs="Arial"/>
          <w:sz w:val="20"/>
        </w:rPr>
        <w:t>; or</w:t>
      </w:r>
    </w:p>
    <w:p w14:paraId="3A583598" w14:textId="16202C93"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inducing or knowingly allowing a child to enter or remain on premises so that any of the conduct referred to in paragraph (b) may occur;</w:t>
      </w:r>
    </w:p>
    <w:p w14:paraId="07CDFE26" w14:textId="2AEA3CD4"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4078C3">
        <w:rPr>
          <w:rFonts w:ascii="Arial" w:hAnsi="Arial" w:cs="Arial"/>
          <w:sz w:val="20"/>
        </w:rPr>
        <w:t>offence an element of which involves child abuse material; or</w:t>
      </w:r>
    </w:p>
    <w:p w14:paraId="772C59C5" w14:textId="089B9042"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 indecency; or</w:t>
      </w:r>
    </w:p>
    <w:p w14:paraId="52F9DDB6" w14:textId="38AF17D8"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of attempting to commit, or of incitement or conspiracy to commit, an offence referred to in paragraphs (a), (b), (c), (d) or (e); or</w:t>
      </w:r>
    </w:p>
    <w:p w14:paraId="6F14584B" w14:textId="567DB7CF" w:rsidR="004078C3" w:rsidRPr="00066CC5"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 xml:space="preserve">an offence against s.49C(2) (failure by a person in authority to protect child from sexual offence) of the </w:t>
      </w:r>
      <w:r w:rsidRPr="0058675C">
        <w:rPr>
          <w:rFonts w:ascii="Arial" w:hAnsi="Arial" w:cs="Arial"/>
          <w:i/>
          <w:iCs/>
          <w:sz w:val="20"/>
        </w:rPr>
        <w:t>Crimes Act 1958</w:t>
      </w:r>
      <w:r>
        <w:rPr>
          <w:rFonts w:ascii="Arial" w:hAnsi="Arial" w:cs="Arial"/>
          <w:sz w:val="20"/>
        </w:rPr>
        <w:t xml:space="preserve"> as in force before the commencement of s.16 of the </w:t>
      </w:r>
      <w:r w:rsidRPr="0058675C">
        <w:rPr>
          <w:rFonts w:ascii="Arial" w:hAnsi="Arial" w:cs="Arial"/>
          <w:i/>
          <w:iCs/>
          <w:sz w:val="20"/>
        </w:rPr>
        <w:t>Crimes Amendment (Sexual Offences) Act 2016</w:t>
      </w:r>
      <w:r>
        <w:rPr>
          <w:rFonts w:ascii="Arial" w:hAnsi="Arial" w:cs="Arial"/>
          <w:sz w:val="20"/>
        </w:rPr>
        <w:t>.</w:t>
      </w:r>
    </w:p>
    <w:p w14:paraId="049B9F39" w14:textId="017AC2BB" w:rsidR="00066CC5" w:rsidRDefault="00066CC5" w:rsidP="00122115">
      <w:pPr>
        <w:jc w:val="both"/>
        <w:rPr>
          <w:rFonts w:ascii="Arial" w:hAnsi="Arial" w:cs="Arial"/>
          <w:color w:val="000000"/>
          <w:sz w:val="20"/>
        </w:rPr>
      </w:pPr>
    </w:p>
    <w:p w14:paraId="5D8D3522" w14:textId="0C057C20" w:rsidR="0090535E" w:rsidRDefault="0090535E" w:rsidP="00122115">
      <w:pPr>
        <w:jc w:val="both"/>
        <w:rPr>
          <w:rFonts w:ascii="Arial" w:hAnsi="Arial" w:cs="Arial"/>
          <w:color w:val="000000"/>
          <w:sz w:val="20"/>
        </w:rPr>
      </w:pPr>
      <w:r>
        <w:rPr>
          <w:rFonts w:ascii="Arial" w:hAnsi="Arial" w:cs="Arial"/>
          <w:color w:val="000000"/>
          <w:sz w:val="20"/>
        </w:rPr>
        <w:t xml:space="preserve">See also s.368A </w:t>
      </w:r>
      <w:r w:rsidR="009B2C8B">
        <w:rPr>
          <w:rFonts w:ascii="Arial" w:hAnsi="Arial" w:cs="Arial"/>
          <w:color w:val="000000"/>
          <w:sz w:val="20"/>
        </w:rPr>
        <w:t xml:space="preserve">&amp; </w:t>
      </w:r>
      <w:r w:rsidR="00036D92">
        <w:rPr>
          <w:rFonts w:ascii="Arial" w:hAnsi="Arial" w:cs="Arial"/>
          <w:color w:val="000000"/>
          <w:sz w:val="20"/>
        </w:rPr>
        <w:t>ss.</w:t>
      </w:r>
      <w:r w:rsidR="009B2C8B">
        <w:rPr>
          <w:rFonts w:ascii="Arial" w:hAnsi="Arial" w:cs="Arial"/>
          <w:color w:val="000000"/>
          <w:sz w:val="20"/>
        </w:rPr>
        <w:t xml:space="preserve">387J-387K </w:t>
      </w:r>
      <w:r>
        <w:rPr>
          <w:rFonts w:ascii="Arial" w:hAnsi="Arial" w:cs="Arial"/>
          <w:color w:val="000000"/>
          <w:sz w:val="20"/>
        </w:rPr>
        <w:t xml:space="preserve">of the </w:t>
      </w:r>
      <w:r w:rsidRPr="0058675C">
        <w:rPr>
          <w:rFonts w:ascii="Arial" w:hAnsi="Arial" w:cs="Arial"/>
          <w:i/>
          <w:iCs/>
          <w:color w:val="000000"/>
          <w:sz w:val="20"/>
        </w:rPr>
        <w:t>Criminal Procedure Act 2009</w:t>
      </w:r>
      <w:r>
        <w:rPr>
          <w:rFonts w:ascii="Arial" w:hAnsi="Arial" w:cs="Arial"/>
          <w:color w:val="000000"/>
          <w:sz w:val="20"/>
        </w:rPr>
        <w:t xml:space="preserve"> and sub-section 3.5.8 below for a discussion of the use of recorded evidence in cases in the Family Division of the Children’s Court.</w:t>
      </w:r>
    </w:p>
    <w:p w14:paraId="1ECCDB0D" w14:textId="77777777" w:rsidR="0090535E" w:rsidRPr="00F65EB1" w:rsidRDefault="0090535E"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1C253288" w:rsidR="00FD5828" w:rsidRPr="009F25D4" w:rsidRDefault="00520380" w:rsidP="00120AA9">
      <w:pPr>
        <w:pStyle w:val="Heading3"/>
        <w:widowControl/>
        <w:spacing w:line="240" w:lineRule="auto"/>
        <w:rPr>
          <w:rFonts w:ascii="Arial" w:hAnsi="Arial" w:cs="Arial"/>
          <w:b/>
          <w:bCs/>
          <w:color w:val="000000"/>
          <w:sz w:val="20"/>
        </w:rPr>
      </w:pPr>
      <w:bookmarkStart w:id="641" w:name="_3.5.5.1_Evidence-in-chief_in"/>
      <w:bookmarkStart w:id="642" w:name="B3551"/>
      <w:bookmarkStart w:id="643" w:name="_3.5.5.1_Use_of"/>
      <w:bookmarkEnd w:id="641"/>
      <w:bookmarkEnd w:id="642"/>
      <w:bookmarkEnd w:id="643"/>
      <w:r w:rsidRPr="00520380">
        <w:rPr>
          <w:rFonts w:ascii="Arial" w:hAnsi="Arial" w:cs="Arial"/>
          <w:b/>
          <w:sz w:val="20"/>
        </w:rPr>
        <w:t>3.5.5.1</w:t>
      </w:r>
      <w:r w:rsidRPr="00520380">
        <w:rPr>
          <w:rFonts w:ascii="Arial" w:hAnsi="Arial" w:cs="Arial"/>
          <w:b/>
          <w:sz w:val="20"/>
        </w:rPr>
        <w:tab/>
      </w:r>
      <w:r w:rsidR="00120AA9">
        <w:rPr>
          <w:rFonts w:ascii="Arial" w:hAnsi="Arial" w:cs="Arial"/>
          <w:b/>
          <w:sz w:val="20"/>
        </w:rPr>
        <w:t>Use of recorded evidence-in-chief of a child or cognitively impaired witness</w:t>
      </w:r>
    </w:p>
    <w:p w14:paraId="272DAA13" w14:textId="72B656B3" w:rsidR="00E15762" w:rsidRDefault="00120AA9" w:rsidP="00120AA9">
      <w:pPr>
        <w:spacing w:before="120"/>
        <w:jc w:val="both"/>
        <w:rPr>
          <w:rFonts w:ascii="Arial" w:hAnsi="Arial" w:cs="Arial"/>
          <w:sz w:val="20"/>
        </w:rPr>
      </w:pPr>
      <w:r w:rsidRPr="008A1AD2">
        <w:rPr>
          <w:rFonts w:ascii="Arial" w:hAnsi="Arial" w:cs="Arial"/>
          <w:b/>
          <w:bCs/>
          <w:color w:val="000000" w:themeColor="text1"/>
          <w:sz w:val="20"/>
          <w:shd w:val="clear" w:color="auto" w:fill="DDDDDD"/>
        </w:rPr>
        <w:t xml:space="preserve">Division 5 (ss.366-368) of </w:t>
      </w:r>
      <w:r w:rsidR="00481276" w:rsidRPr="008A1AD2">
        <w:rPr>
          <w:rFonts w:ascii="Arial" w:hAnsi="Arial" w:cs="Arial"/>
          <w:b/>
          <w:bCs/>
          <w:color w:val="000000" w:themeColor="text1"/>
          <w:sz w:val="20"/>
          <w:shd w:val="clear" w:color="auto" w:fill="DDDDDD"/>
        </w:rPr>
        <w:t>Part 8.2</w:t>
      </w:r>
      <w:r w:rsidR="00481276">
        <w:rPr>
          <w:rFonts w:ascii="Arial" w:hAnsi="Arial" w:cs="Arial"/>
          <w:sz w:val="20"/>
        </w:rPr>
        <w:t xml:space="preserve"> of </w:t>
      </w:r>
      <w:r w:rsidR="00E15762">
        <w:rPr>
          <w:rFonts w:ascii="Arial" w:hAnsi="Arial" w:cs="Arial"/>
          <w:sz w:val="20"/>
        </w:rPr>
        <w:t xml:space="preserve">the </w:t>
      </w:r>
      <w:r w:rsidR="00E15762" w:rsidRPr="0058675C">
        <w:rPr>
          <w:rFonts w:ascii="Arial" w:hAnsi="Arial" w:cs="Arial"/>
          <w:i/>
          <w:iCs/>
          <w:sz w:val="20"/>
        </w:rPr>
        <w:t>Criminal Procedure Act 2009</w:t>
      </w:r>
      <w:r w:rsidR="0058675C" w:rsidRPr="0058675C">
        <w:rPr>
          <w:rFonts w:ascii="Arial" w:hAnsi="Arial" w:cs="Arial"/>
          <w:sz w:val="20"/>
        </w:rPr>
        <w:t xml:space="preserve"> </w:t>
      </w:r>
      <w:r w:rsidR="00481276">
        <w:rPr>
          <w:rFonts w:ascii="Arial" w:hAnsi="Arial" w:cs="Arial"/>
          <w:sz w:val="20"/>
        </w:rPr>
        <w:t>applies</w:t>
      </w:r>
      <w:r w:rsidR="00E15762">
        <w:rPr>
          <w:rFonts w:ascii="Arial" w:hAnsi="Arial" w:cs="Arial"/>
          <w:sz w:val="20"/>
        </w:rPr>
        <w:t xml:space="preserve"> to a criminal proceeding (other than a committal hearing) that relates (wholly or partly) to a charge for-</w:t>
      </w:r>
    </w:p>
    <w:p w14:paraId="1DE252BA" w14:textId="684B362C" w:rsidR="00E15762"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 sexual offence; or</w:t>
      </w:r>
    </w:p>
    <w:p w14:paraId="4185D203" w14:textId="23E80ECF" w:rsidR="004078C3" w:rsidRDefault="004078C3" w:rsidP="00120AA9">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2428D760" w14:textId="4DDB4EF2" w:rsidR="004078C3"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an indictable offence which involves an assault on, or injury or a threat of injury to, a person</w:t>
      </w:r>
      <w:r w:rsidR="004078C3" w:rsidRPr="004078C3">
        <w:rPr>
          <w:rFonts w:ascii="Arial" w:hAnsi="Arial" w:cs="Arial"/>
          <w:sz w:val="20"/>
        </w:rPr>
        <w:t>; or</w:t>
      </w:r>
    </w:p>
    <w:p w14:paraId="0E8C696A" w14:textId="4E299AD8" w:rsidR="00E15762" w:rsidRPr="004078C3" w:rsidRDefault="004078C3" w:rsidP="00D772F0">
      <w:pPr>
        <w:pStyle w:val="ListParagraph"/>
        <w:numPr>
          <w:ilvl w:val="0"/>
          <w:numId w:val="71"/>
        </w:numPr>
        <w:ind w:left="448" w:hanging="448"/>
        <w:jc w:val="both"/>
        <w:rPr>
          <w:rFonts w:ascii="Arial" w:hAnsi="Arial" w:cs="Arial"/>
          <w:sz w:val="20"/>
        </w:rPr>
      </w:pPr>
      <w:r>
        <w:rPr>
          <w:rFonts w:ascii="Arial" w:hAnsi="Arial" w:cs="Arial"/>
          <w:sz w:val="20"/>
        </w:rPr>
        <w:t xml:space="preserve">any offences against ss.23 or 24 of the </w:t>
      </w:r>
      <w:r w:rsidRPr="0058675C">
        <w:rPr>
          <w:rFonts w:ascii="Arial" w:hAnsi="Arial" w:cs="Arial"/>
          <w:i/>
          <w:iCs/>
          <w:sz w:val="20"/>
        </w:rPr>
        <w:t>Summary Offences Act 1966</w:t>
      </w:r>
      <w:r>
        <w:rPr>
          <w:rFonts w:ascii="Arial" w:hAnsi="Arial" w:cs="Arial"/>
          <w:sz w:val="20"/>
        </w:rPr>
        <w:t xml:space="preserve"> </w:t>
      </w:r>
      <w:r w:rsidR="00114B38">
        <w:rPr>
          <w:rFonts w:ascii="Arial" w:hAnsi="Arial" w:cs="Arial"/>
          <w:sz w:val="20"/>
        </w:rPr>
        <w:t>if those offences are related offences to an offence specified in paragraph (a), (ab) or (b), despite whether any such related offences are withdrawn or dismissed before an offence against ss.23 or 24 is heard and determined</w:t>
      </w:r>
      <w:r w:rsidR="00E15762" w:rsidRPr="004078C3">
        <w:rPr>
          <w:rFonts w:ascii="Arial" w:hAnsi="Arial" w:cs="Arial"/>
          <w:sz w:val="20"/>
        </w:rPr>
        <w:t>.</w:t>
      </w:r>
    </w:p>
    <w:p w14:paraId="3BB4B1B1" w14:textId="77777777" w:rsidR="00066CC5" w:rsidRDefault="00066CC5" w:rsidP="00066CC5">
      <w:pPr>
        <w:jc w:val="both"/>
        <w:rPr>
          <w:rFonts w:ascii="Arial" w:hAnsi="Arial" w:cs="Arial"/>
          <w:sz w:val="20"/>
        </w:rPr>
      </w:pPr>
    </w:p>
    <w:p w14:paraId="1E11B742" w14:textId="77777777" w:rsidR="00834407" w:rsidRDefault="00B21DA4" w:rsidP="00066CC5">
      <w:pPr>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16FA0BC1" w:rsidR="00834407" w:rsidRDefault="00B21DA4" w:rsidP="00D772F0">
      <w:pPr>
        <w:pStyle w:val="ListParagraph"/>
        <w:numPr>
          <w:ilvl w:val="0"/>
          <w:numId w:val="49"/>
        </w:numPr>
        <w:ind w:left="357" w:hanging="357"/>
        <w:jc w:val="both"/>
        <w:rPr>
          <w:rFonts w:ascii="Arial" w:hAnsi="Arial" w:cs="Arial"/>
          <w:sz w:val="20"/>
        </w:rPr>
      </w:pPr>
      <w:r w:rsidRPr="007C4486">
        <w:rPr>
          <w:rFonts w:ascii="Arial" w:hAnsi="Arial" w:cs="Arial"/>
          <w:sz w:val="20"/>
        </w:rPr>
        <w:t>is under the age of 18 years</w:t>
      </w:r>
      <w:r w:rsidR="00834407" w:rsidRPr="007C4486">
        <w:rPr>
          <w:rFonts w:ascii="Arial" w:hAnsi="Arial" w:cs="Arial"/>
          <w:sz w:val="20"/>
        </w:rPr>
        <w:t>;</w:t>
      </w:r>
      <w:r w:rsidRPr="007C4486">
        <w:rPr>
          <w:rFonts w:ascii="Arial" w:hAnsi="Arial" w:cs="Arial"/>
          <w:sz w:val="20"/>
        </w:rPr>
        <w:t xml:space="preserve"> </w:t>
      </w:r>
      <w:r w:rsidR="00834407" w:rsidRPr="007C4486">
        <w:rPr>
          <w:rFonts w:ascii="Arial" w:hAnsi="Arial" w:cs="Arial"/>
          <w:sz w:val="20"/>
        </w:rPr>
        <w:t>or</w:t>
      </w:r>
    </w:p>
    <w:p w14:paraId="11A1A70F" w14:textId="3F74A549" w:rsidR="007C4486" w:rsidRP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114B38">
        <w:rPr>
          <w:rFonts w:ascii="Arial" w:hAnsi="Arial" w:cs="Arial"/>
          <w:color w:val="000000" w:themeColor="text1"/>
          <w:sz w:val="20"/>
        </w:rPr>
        <w:t xml:space="preserve"> </w:t>
      </w:r>
      <w:r w:rsidR="003E184D" w:rsidRPr="00114B38">
        <w:rPr>
          <w:rFonts w:ascii="Arial" w:hAnsi="Arial" w:cs="Arial"/>
          <w:color w:val="000000" w:themeColor="text1"/>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2EBA8A81" w:rsidR="009E733E" w:rsidRDefault="00B21DA4">
      <w:pPr>
        <w:jc w:val="both"/>
        <w:rPr>
          <w:rFonts w:ascii="Arial" w:hAnsi="Arial" w:cs="Arial"/>
          <w:sz w:val="20"/>
        </w:rPr>
      </w:pPr>
      <w:r>
        <w:rPr>
          <w:rFonts w:ascii="Arial" w:hAnsi="Arial" w:cs="Arial"/>
          <w:sz w:val="20"/>
        </w:rPr>
        <w:t xml:space="preserve">Provisions regulating the </w:t>
      </w:r>
      <w:r w:rsidR="00114B38">
        <w:rPr>
          <w:rFonts w:ascii="Arial" w:hAnsi="Arial" w:cs="Arial"/>
          <w:sz w:val="20"/>
        </w:rPr>
        <w:t>admissibility</w:t>
      </w:r>
      <w:r>
        <w:rPr>
          <w:rFonts w:ascii="Arial" w:hAnsi="Arial" w:cs="Arial"/>
          <w:sz w:val="20"/>
        </w:rPr>
        <w:t xml:space="preserv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58675C">
        <w:rPr>
          <w:rFonts w:ascii="Arial" w:hAnsi="Arial" w:cs="Arial"/>
          <w:i/>
          <w:iCs/>
          <w:sz w:val="20"/>
        </w:rPr>
        <w:t>Criminal Procedure Act 2009</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t>
      </w:r>
      <w:proofErr w:type="spellStart"/>
      <w:r>
        <w:rPr>
          <w:rFonts w:ascii="Arial" w:hAnsi="Arial" w:cs="Arial"/>
          <w:sz w:val="20"/>
        </w:rPr>
        <w:t>Winneke</w:t>
      </w:r>
      <w:proofErr w:type="spellEnd"/>
      <w:r>
        <w:rPr>
          <w:rFonts w:ascii="Arial" w:hAnsi="Arial" w:cs="Arial"/>
          <w:sz w:val="20"/>
        </w:rPr>
        <w:t xml:space="preserv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r w:rsidR="00114B38">
        <w:rPr>
          <w:rFonts w:ascii="Arial" w:hAnsi="Arial" w:cs="Arial"/>
          <w:sz w:val="20"/>
        </w:rPr>
        <w:t>.</w:t>
      </w:r>
    </w:p>
    <w:p w14:paraId="0BEACC46" w14:textId="77777777" w:rsidR="00C65E7C" w:rsidRDefault="00C65E7C">
      <w:pPr>
        <w:jc w:val="both"/>
        <w:rPr>
          <w:rFonts w:ascii="Arial" w:hAnsi="Arial" w:cs="Arial"/>
          <w:sz w:val="20"/>
        </w:rPr>
      </w:pPr>
    </w:p>
    <w:p w14:paraId="27C036C6" w14:textId="354DD6A6" w:rsidR="00066CC5" w:rsidRDefault="00481276" w:rsidP="00C65E7C">
      <w:pPr>
        <w:jc w:val="both"/>
        <w:rPr>
          <w:rFonts w:ascii="Arial" w:hAnsi="Arial" w:cs="Arial"/>
          <w:sz w:val="20"/>
        </w:rPr>
      </w:pPr>
      <w:r w:rsidRPr="008A1AD2">
        <w:rPr>
          <w:rFonts w:ascii="Arial" w:hAnsi="Arial" w:cs="Arial"/>
          <w:b/>
          <w:bCs/>
          <w:color w:val="000000" w:themeColor="text1"/>
          <w:sz w:val="20"/>
          <w:shd w:val="clear" w:color="auto" w:fill="DDDDDD"/>
        </w:rPr>
        <w:t>Division 6 (ss.369-376) of Part 8.2</w:t>
      </w:r>
      <w:r>
        <w:rPr>
          <w:rFonts w:ascii="Arial" w:hAnsi="Arial" w:cs="Arial"/>
          <w:sz w:val="20"/>
        </w:rPr>
        <w:t xml:space="preserve"> of the </w:t>
      </w:r>
      <w:r w:rsidRPr="0058675C">
        <w:rPr>
          <w:rFonts w:ascii="Arial" w:hAnsi="Arial" w:cs="Arial"/>
          <w:i/>
          <w:iCs/>
          <w:sz w:val="20"/>
        </w:rPr>
        <w:t>Criminal Procedure Act 2009</w:t>
      </w:r>
      <w:r>
        <w:rPr>
          <w:rFonts w:ascii="Arial" w:hAnsi="Arial" w:cs="Arial"/>
          <w:sz w:val="20"/>
        </w:rPr>
        <w:t xml:space="preserve"> applies</w:t>
      </w:r>
      <w:r w:rsidR="005A2D16">
        <w:rPr>
          <w:rFonts w:ascii="Arial" w:hAnsi="Arial" w:cs="Arial"/>
          <w:sz w:val="20"/>
        </w:rPr>
        <w:t xml:space="preserve"> to </w:t>
      </w:r>
      <w:r w:rsidR="00AA7D97">
        <w:rPr>
          <w:rFonts w:ascii="Arial" w:hAnsi="Arial" w:cs="Arial"/>
          <w:sz w:val="20"/>
        </w:rPr>
        <w:t>a special hearing and</w:t>
      </w:r>
      <w:r>
        <w:rPr>
          <w:rFonts w:ascii="Arial" w:hAnsi="Arial" w:cs="Arial"/>
          <w:sz w:val="20"/>
        </w:rPr>
        <w:t>/or</w:t>
      </w:r>
      <w:r w:rsidR="00AA7D97">
        <w:rPr>
          <w:rFonts w:ascii="Arial" w:hAnsi="Arial" w:cs="Arial"/>
          <w:sz w:val="20"/>
        </w:rPr>
        <w:t xml:space="preserve"> </w:t>
      </w:r>
      <w:r w:rsidR="005A2D16">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w:t>
      </w:r>
      <w:r>
        <w:rPr>
          <w:rFonts w:ascii="Arial" w:hAnsi="Arial" w:cs="Arial"/>
          <w:sz w:val="20"/>
        </w:rPr>
        <w:t xml:space="preserve">ese provisions </w:t>
      </w:r>
      <w:r w:rsidR="00E74C2D">
        <w:rPr>
          <w:rFonts w:ascii="Arial" w:hAnsi="Arial" w:cs="Arial"/>
          <w:sz w:val="20"/>
        </w:rPr>
        <w:t xml:space="preserve">have no application </w:t>
      </w:r>
      <w:r w:rsidR="00AA7D97">
        <w:rPr>
          <w:rFonts w:ascii="Arial" w:hAnsi="Arial" w:cs="Arial"/>
          <w:sz w:val="20"/>
        </w:rPr>
        <w:t>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t>Under ss.369-370 the whole of the evidence (including cross-examination and re-examination) of a complainant who-</w:t>
      </w:r>
    </w:p>
    <w:p w14:paraId="115371C7"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 xml:space="preserve">was </w:t>
      </w:r>
      <w:r w:rsidR="004434DB" w:rsidRPr="007C4486">
        <w:rPr>
          <w:rFonts w:ascii="Arial" w:hAnsi="Arial" w:cs="Arial"/>
          <w:sz w:val="20"/>
        </w:rPr>
        <w:t>under the age of 18 years</w:t>
      </w:r>
      <w:r w:rsidRPr="007C4486">
        <w:rPr>
          <w:rFonts w:ascii="Arial" w:hAnsi="Arial" w:cs="Arial"/>
          <w:sz w:val="20"/>
        </w:rPr>
        <w:t>; or</w:t>
      </w:r>
    </w:p>
    <w:p w14:paraId="4C822A4A"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7C4486">
      <w:pPr>
        <w:ind w:left="357" w:hanging="357"/>
        <w:jc w:val="both"/>
        <w:rPr>
          <w:rFonts w:ascii="Arial" w:hAnsi="Arial" w:cs="Arial"/>
          <w:sz w:val="20"/>
        </w:rPr>
      </w:pPr>
      <w:r>
        <w:rPr>
          <w:rFonts w:ascii="Arial" w:hAnsi="Arial" w:cs="Arial"/>
          <w:sz w:val="20"/>
        </w:rPr>
        <w:t>(a)</w:t>
      </w:r>
      <w:r>
        <w:rPr>
          <w:rFonts w:ascii="Arial" w:hAnsi="Arial" w:cs="Arial"/>
          <w:sz w:val="20"/>
        </w:rPr>
        <w:tab/>
        <w:t xml:space="preserve">is aware of the right to have his or her evidence taken at a special hearing under Division 6 of Part 8.2 and </w:t>
      </w:r>
      <w:proofErr w:type="spellStart"/>
      <w:r>
        <w:rPr>
          <w:rFonts w:ascii="Arial" w:hAnsi="Arial" w:cs="Arial"/>
          <w:sz w:val="20"/>
        </w:rPr>
        <w:t>audiovisually</w:t>
      </w:r>
      <w:proofErr w:type="spellEnd"/>
      <w:r>
        <w:rPr>
          <w:rFonts w:ascii="Arial" w:hAnsi="Arial" w:cs="Arial"/>
          <w:sz w:val="20"/>
        </w:rPr>
        <w:t xml:space="preserve"> recorded; and</w:t>
      </w:r>
    </w:p>
    <w:p w14:paraId="01F84164" w14:textId="77777777" w:rsidR="00BE1886" w:rsidRDefault="00BE1886" w:rsidP="007C4486">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rsidP="007C4486">
      <w:pPr>
        <w:jc w:val="both"/>
        <w:rPr>
          <w:rFonts w:ascii="Arial" w:hAnsi="Arial" w:cs="Arial"/>
          <w:sz w:val="16"/>
        </w:rPr>
      </w:pPr>
    </w:p>
    <w:p w14:paraId="61789F64" w14:textId="0832A104" w:rsidR="00E74C2D" w:rsidRDefault="00BE1886" w:rsidP="007C4486">
      <w:pPr>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are set out in ss.371</w:t>
      </w:r>
      <w:r w:rsidR="00114B38">
        <w:rPr>
          <w:rFonts w:ascii="Arial" w:hAnsi="Arial" w:cs="Arial"/>
          <w:sz w:val="20"/>
        </w:rPr>
        <w:t xml:space="preserve">, 371A &amp; </w:t>
      </w:r>
      <w:r w:rsidR="00AA7D97">
        <w:rPr>
          <w:rFonts w:ascii="Arial" w:hAnsi="Arial" w:cs="Arial"/>
          <w:sz w:val="20"/>
        </w:rPr>
        <w:t xml:space="preserve">372 of the </w:t>
      </w:r>
      <w:r w:rsidR="00AA7D97" w:rsidRPr="0058675C">
        <w:rPr>
          <w:rFonts w:ascii="Arial" w:hAnsi="Arial" w:cs="Arial"/>
          <w:i/>
          <w:iCs/>
          <w:sz w:val="20"/>
        </w:rPr>
        <w:t>Criminal Procedure Act 2009</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w:t>
      </w:r>
      <w:r w:rsidR="00481276">
        <w:rPr>
          <w:rFonts w:ascii="Arial" w:hAnsi="Arial" w:cs="Arial"/>
          <w:sz w:val="20"/>
        </w:rPr>
        <w:t>5</w:t>
      </w:r>
      <w:r w:rsidR="00E74C2D">
        <w:rPr>
          <w:rFonts w:ascii="Arial" w:hAnsi="Arial" w:cs="Arial"/>
          <w:sz w:val="20"/>
        </w:rPr>
        <w:t>.  Section 376 prohibits cross-examination or re-examination at trial without leave of a complainant whose evidence is recorded under s.370.</w:t>
      </w:r>
    </w:p>
    <w:p w14:paraId="7452307A" w14:textId="77777777" w:rsidR="00DE379A" w:rsidRDefault="00DE379A" w:rsidP="00DE379A">
      <w:pPr>
        <w:jc w:val="both"/>
        <w:rPr>
          <w:rFonts w:ascii="Arial" w:hAnsi="Arial" w:cs="Arial"/>
          <w:sz w:val="20"/>
        </w:rPr>
      </w:pPr>
    </w:p>
    <w:p w14:paraId="101A9D41" w14:textId="6BFFBBF2" w:rsidR="00DE379A" w:rsidRPr="009F25D4" w:rsidRDefault="00DE379A" w:rsidP="00DE379A">
      <w:pPr>
        <w:pStyle w:val="Heading3"/>
        <w:keepNext/>
        <w:spacing w:line="240" w:lineRule="auto"/>
        <w:rPr>
          <w:rFonts w:ascii="Arial" w:hAnsi="Arial" w:cs="Arial"/>
          <w:b/>
          <w:bCs/>
          <w:color w:val="000000"/>
          <w:sz w:val="20"/>
        </w:rPr>
      </w:pPr>
      <w:bookmarkStart w:id="644" w:name="_3.5.5.2_Evidence_in"/>
      <w:bookmarkStart w:id="645" w:name="B3552"/>
      <w:bookmarkStart w:id="646" w:name="_3.5.5.2_Use_of"/>
      <w:bookmarkEnd w:id="644"/>
      <w:bookmarkEnd w:id="645"/>
      <w:bookmarkEnd w:id="646"/>
      <w:r w:rsidRPr="00520380">
        <w:rPr>
          <w:rFonts w:ascii="Arial" w:hAnsi="Arial" w:cs="Arial"/>
          <w:b/>
          <w:sz w:val="20"/>
        </w:rPr>
        <w:t>3.5.5.</w:t>
      </w:r>
      <w:r>
        <w:rPr>
          <w:rFonts w:ascii="Arial" w:hAnsi="Arial" w:cs="Arial"/>
          <w:b/>
          <w:sz w:val="20"/>
        </w:rPr>
        <w:t>2</w:t>
      </w:r>
      <w:r w:rsidRPr="00520380">
        <w:rPr>
          <w:rFonts w:ascii="Arial" w:hAnsi="Arial" w:cs="Arial"/>
          <w:b/>
          <w:sz w:val="20"/>
        </w:rPr>
        <w:tab/>
      </w:r>
      <w:r>
        <w:rPr>
          <w:rFonts w:ascii="Arial" w:hAnsi="Arial" w:cs="Arial"/>
          <w:b/>
          <w:sz w:val="20"/>
        </w:rPr>
        <w:t>Use of recorded evidence</w:t>
      </w:r>
      <w:r w:rsidR="00E825F9">
        <w:rPr>
          <w:rFonts w:ascii="Arial" w:hAnsi="Arial" w:cs="Arial"/>
          <w:b/>
          <w:sz w:val="20"/>
        </w:rPr>
        <w:t xml:space="preserve"> </w:t>
      </w:r>
      <w:r w:rsidR="0056008F">
        <w:rPr>
          <w:rFonts w:ascii="Arial" w:hAnsi="Arial" w:cs="Arial"/>
          <w:b/>
          <w:sz w:val="20"/>
        </w:rPr>
        <w:t xml:space="preserve">of complainants </w:t>
      </w:r>
      <w:r>
        <w:rPr>
          <w:rFonts w:ascii="Arial" w:hAnsi="Arial" w:cs="Arial"/>
          <w:b/>
          <w:sz w:val="20"/>
        </w:rPr>
        <w:t>generally</w:t>
      </w:r>
    </w:p>
    <w:p w14:paraId="16FD943C" w14:textId="72643F4F" w:rsidR="00BB62AF" w:rsidRDefault="00D13481" w:rsidP="008A1AD2">
      <w:pPr>
        <w:spacing w:before="120"/>
        <w:jc w:val="both"/>
        <w:rPr>
          <w:rFonts w:ascii="Arial" w:hAnsi="Arial" w:cs="Arial"/>
          <w:sz w:val="20"/>
        </w:rPr>
      </w:pPr>
      <w:r>
        <w:rPr>
          <w:rFonts w:ascii="Arial" w:hAnsi="Arial" w:cs="Arial"/>
          <w:b/>
          <w:bCs/>
          <w:color w:val="FFFFFF" w:themeColor="background1"/>
          <w:sz w:val="20"/>
          <w:shd w:val="clear" w:color="auto" w:fill="000000" w:themeFill="text1"/>
        </w:rPr>
        <w:t>Special hearing and/or trial:</w:t>
      </w:r>
      <w:r w:rsidRPr="00D13481">
        <w:rPr>
          <w:rFonts w:ascii="Arial" w:hAnsi="Arial" w:cs="Arial"/>
          <w:color w:val="000000" w:themeColor="text1"/>
          <w:sz w:val="20"/>
        </w:rPr>
        <w:t xml:space="preserve"> </w:t>
      </w:r>
      <w:r w:rsidR="008A1AD2">
        <w:rPr>
          <w:rFonts w:ascii="Arial" w:hAnsi="Arial" w:cs="Arial"/>
          <w:color w:val="000000" w:themeColor="text1"/>
          <w:sz w:val="20"/>
        </w:rPr>
        <w:t xml:space="preserve"> </w:t>
      </w:r>
      <w:r w:rsidR="00481276" w:rsidRPr="008A1AD2">
        <w:rPr>
          <w:rFonts w:ascii="Arial" w:hAnsi="Arial" w:cs="Arial"/>
          <w:b/>
          <w:bCs/>
          <w:color w:val="000000" w:themeColor="text1"/>
          <w:sz w:val="20"/>
          <w:shd w:val="clear" w:color="auto" w:fill="DDDDDD"/>
        </w:rPr>
        <w:t>Division 7 (ss.378-38</w:t>
      </w:r>
      <w:r w:rsidR="00BB62AF" w:rsidRPr="008A1AD2">
        <w:rPr>
          <w:rFonts w:ascii="Arial" w:hAnsi="Arial" w:cs="Arial"/>
          <w:b/>
          <w:bCs/>
          <w:color w:val="000000" w:themeColor="text1"/>
          <w:sz w:val="20"/>
          <w:shd w:val="clear" w:color="auto" w:fill="DDDDDD"/>
        </w:rPr>
        <w:t>7</w:t>
      </w:r>
      <w:r w:rsidR="00481276" w:rsidRPr="008A1AD2">
        <w:rPr>
          <w:rFonts w:ascii="Arial" w:hAnsi="Arial" w:cs="Arial"/>
          <w:b/>
          <w:bCs/>
          <w:color w:val="000000" w:themeColor="text1"/>
          <w:sz w:val="20"/>
          <w:shd w:val="clear" w:color="auto" w:fill="DDDDDD"/>
        </w:rPr>
        <w:t>) of Part 8.2</w:t>
      </w:r>
      <w:r w:rsidR="00481276">
        <w:rPr>
          <w:rFonts w:ascii="Arial" w:hAnsi="Arial" w:cs="Arial"/>
          <w:sz w:val="20"/>
        </w:rPr>
        <w:t xml:space="preserve"> of the </w:t>
      </w:r>
      <w:r w:rsidR="00481276" w:rsidRPr="0058675C">
        <w:rPr>
          <w:rFonts w:ascii="Arial" w:hAnsi="Arial" w:cs="Arial"/>
          <w:i/>
          <w:iCs/>
          <w:sz w:val="20"/>
        </w:rPr>
        <w:t>Criminal Procedure Act 2009</w:t>
      </w:r>
      <w:r w:rsidR="00481276" w:rsidRPr="00C067B4">
        <w:rPr>
          <w:rFonts w:ascii="Arial" w:hAnsi="Arial" w:cs="Arial"/>
          <w:sz w:val="20"/>
          <w:u w:val="single"/>
        </w:rPr>
        <w:t xml:space="preserve"> </w:t>
      </w:r>
      <w:r w:rsidR="00481276">
        <w:rPr>
          <w:rFonts w:ascii="Arial" w:hAnsi="Arial" w:cs="Arial"/>
          <w:sz w:val="20"/>
        </w:rPr>
        <w:t>applies</w:t>
      </w:r>
      <w:r w:rsidR="00BB62AF">
        <w:rPr>
          <w:rFonts w:ascii="Arial" w:hAnsi="Arial" w:cs="Arial"/>
          <w:sz w:val="20"/>
        </w:rPr>
        <w:t>-</w:t>
      </w:r>
    </w:p>
    <w:p w14:paraId="50EBBB15" w14:textId="5B3ACF72" w:rsidR="00BB62AF"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w:t>
      </w:r>
      <w:r w:rsidR="009B4F19" w:rsidRPr="007C4486">
        <w:rPr>
          <w:rFonts w:ascii="Arial" w:hAnsi="Arial" w:cs="Arial"/>
          <w:sz w:val="20"/>
        </w:rPr>
        <w:t xml:space="preserve">a </w:t>
      </w:r>
      <w:r w:rsidR="002D1BA6" w:rsidRPr="007C4486">
        <w:rPr>
          <w:rFonts w:ascii="Arial" w:hAnsi="Arial" w:cs="Arial"/>
          <w:sz w:val="20"/>
        </w:rPr>
        <w:t xml:space="preserve">special hearing and/or a trial in a </w:t>
      </w:r>
      <w:r w:rsidRPr="007C4486">
        <w:rPr>
          <w:rFonts w:ascii="Arial" w:hAnsi="Arial" w:cs="Arial"/>
          <w:sz w:val="20"/>
        </w:rPr>
        <w:t>criminal proceeding that relates (wholly or partly) to a charge for a sexual offence; and</w:t>
      </w:r>
    </w:p>
    <w:p w14:paraId="5F361352" w14:textId="7A351D4E" w:rsidR="009B4F19"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a </w:t>
      </w:r>
      <w:r w:rsidR="009B4F19" w:rsidRPr="007C4486">
        <w:rPr>
          <w:rFonts w:ascii="Arial" w:hAnsi="Arial" w:cs="Arial"/>
          <w:sz w:val="20"/>
        </w:rPr>
        <w:t>recording of the evidence (including cross-examination and re-examination) of a complainant (other than one whose evidence has been taken at a special hearing under Division 6).</w:t>
      </w:r>
    </w:p>
    <w:p w14:paraId="5DDA5F37" w14:textId="3E8DF0DB" w:rsidR="00BB62AF" w:rsidRDefault="002D1BA6" w:rsidP="00BB62AF">
      <w:pPr>
        <w:jc w:val="both"/>
        <w:rPr>
          <w:rFonts w:ascii="Arial" w:hAnsi="Arial" w:cs="Arial"/>
          <w:sz w:val="20"/>
        </w:rPr>
      </w:pPr>
      <w:r>
        <w:rPr>
          <w:rFonts w:ascii="Arial" w:hAnsi="Arial" w:cs="Arial"/>
          <w:sz w:val="20"/>
        </w:rPr>
        <w:t>These provisions have no application to summary hearings.</w:t>
      </w:r>
    </w:p>
    <w:p w14:paraId="24B37951" w14:textId="77777777" w:rsidR="003B1399" w:rsidRDefault="003B1399" w:rsidP="003B1399">
      <w:pPr>
        <w:jc w:val="both"/>
        <w:rPr>
          <w:rFonts w:ascii="Arial" w:hAnsi="Arial" w:cs="Arial"/>
          <w:sz w:val="20"/>
        </w:rPr>
      </w:pPr>
    </w:p>
    <w:p w14:paraId="1441E215" w14:textId="77777777" w:rsidR="003B1399" w:rsidRDefault="003B1399" w:rsidP="003B1399">
      <w:pPr>
        <w:jc w:val="both"/>
        <w:rPr>
          <w:rFonts w:ascii="Arial" w:hAnsi="Arial" w:cs="Arial"/>
          <w:sz w:val="20"/>
        </w:rPr>
      </w:pPr>
      <w:r>
        <w:rPr>
          <w:rFonts w:ascii="Arial" w:hAnsi="Arial" w:cs="Arial"/>
          <w:sz w:val="20"/>
        </w:rPr>
        <w:t>Under s.379 a recording is admissible in evidence as if its contents were the direct testimony of the complainant-</w:t>
      </w:r>
    </w:p>
    <w:p w14:paraId="3E8B084F"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76CA9FE1" w14:textId="77777777"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p>
    <w:p w14:paraId="56646B21" w14:textId="75DBFB44" w:rsidR="003B1399" w:rsidRDefault="003B1399" w:rsidP="003B1399">
      <w:pPr>
        <w:ind w:left="811" w:hanging="454"/>
        <w:jc w:val="both"/>
        <w:rPr>
          <w:rFonts w:ascii="Arial" w:hAnsi="Arial" w:cs="Arial"/>
          <w:sz w:val="20"/>
        </w:rPr>
      </w:pPr>
      <w:r>
        <w:rPr>
          <w:rFonts w:ascii="Arial" w:hAnsi="Arial" w:cs="Arial"/>
          <w:sz w:val="20"/>
        </w:rPr>
        <w:t>(i)</w:t>
      </w:r>
      <w:r>
        <w:rPr>
          <w:rFonts w:ascii="Arial" w:hAnsi="Arial" w:cs="Arial"/>
          <w:sz w:val="20"/>
        </w:rPr>
        <w:tab/>
        <w:t>in any new trial of, or appeal from, the proceeding; or</w:t>
      </w:r>
    </w:p>
    <w:p w14:paraId="656EBC82" w14:textId="3C18B655" w:rsidR="003B1399" w:rsidRDefault="003B1399" w:rsidP="00C42902">
      <w:pPr>
        <w:ind w:left="811" w:hanging="454"/>
        <w:jc w:val="both"/>
        <w:rPr>
          <w:rFonts w:ascii="Arial" w:hAnsi="Arial" w:cs="Arial"/>
          <w:sz w:val="20"/>
        </w:rPr>
      </w:pPr>
      <w:r>
        <w:rPr>
          <w:rFonts w:ascii="Arial" w:hAnsi="Arial" w:cs="Arial"/>
          <w:sz w:val="20"/>
        </w:rPr>
        <w:t>(ii)</w:t>
      </w:r>
      <w:r>
        <w:rPr>
          <w:rFonts w:ascii="Arial" w:hAnsi="Arial" w:cs="Arial"/>
          <w:sz w:val="20"/>
        </w:rPr>
        <w:tab/>
        <w:t>another proceeding in the same court for the charge for a sexual offence or a related offence; or</w:t>
      </w:r>
    </w:p>
    <w:p w14:paraId="4CA39EA3" w14:textId="760E216F" w:rsidR="00C42902" w:rsidRPr="00C42902" w:rsidRDefault="00C42902" w:rsidP="00D772F0">
      <w:pPr>
        <w:pStyle w:val="ListParagraph"/>
        <w:numPr>
          <w:ilvl w:val="0"/>
          <w:numId w:val="79"/>
        </w:numPr>
        <w:ind w:left="811" w:hanging="454"/>
        <w:jc w:val="both"/>
        <w:rPr>
          <w:rFonts w:ascii="Arial" w:hAnsi="Arial" w:cs="Arial"/>
          <w:sz w:val="20"/>
        </w:rPr>
      </w:pPr>
      <w:r w:rsidRPr="000F0BE9">
        <w:rPr>
          <w:rFonts w:ascii="Arial" w:hAnsi="Arial" w:cs="Arial"/>
          <w:sz w:val="20"/>
        </w:rPr>
        <w:t>a civil proceeding arising from the same facts as those for which the charge for a sexual offence is founded.</w:t>
      </w:r>
    </w:p>
    <w:p w14:paraId="0DE22199" w14:textId="77777777" w:rsidR="003B1399" w:rsidRDefault="003B1399" w:rsidP="00BB62AF">
      <w:pPr>
        <w:jc w:val="both"/>
        <w:rPr>
          <w:rFonts w:ascii="Arial" w:hAnsi="Arial" w:cs="Arial"/>
          <w:sz w:val="20"/>
        </w:rPr>
      </w:pPr>
    </w:p>
    <w:p w14:paraId="5F0AA29D" w14:textId="6EECCF85" w:rsidR="00BB62AF" w:rsidRDefault="00BB62AF" w:rsidP="00BB62AF">
      <w:pPr>
        <w:jc w:val="both"/>
        <w:rPr>
          <w:rFonts w:ascii="Arial" w:hAnsi="Arial" w:cs="Arial"/>
          <w:sz w:val="20"/>
        </w:rPr>
      </w:pPr>
      <w:r>
        <w:rPr>
          <w:rFonts w:ascii="Arial" w:hAnsi="Arial" w:cs="Arial"/>
          <w:sz w:val="20"/>
        </w:rPr>
        <w:t xml:space="preserve">Under s.381(2) the court may admit the whole </w:t>
      </w:r>
      <w:r w:rsidR="0056008F">
        <w:rPr>
          <w:rFonts w:ascii="Arial" w:hAnsi="Arial" w:cs="Arial"/>
          <w:sz w:val="20"/>
        </w:rPr>
        <w:t xml:space="preserve">or any part of the contents of a recording and may direct that the recording be edited or altered to delete any part of it that is inadmissible.  Under ss.381(1AB) &amp; 381(1) there is a </w:t>
      </w:r>
      <w:r>
        <w:rPr>
          <w:rFonts w:ascii="Arial" w:hAnsi="Arial" w:cs="Arial"/>
          <w:sz w:val="20"/>
        </w:rPr>
        <w:t xml:space="preserve">presumption in favour of admitting </w:t>
      </w:r>
      <w:r w:rsidR="0056008F">
        <w:rPr>
          <w:rFonts w:ascii="Arial" w:hAnsi="Arial" w:cs="Arial"/>
          <w:sz w:val="20"/>
        </w:rPr>
        <w:t>a</w:t>
      </w:r>
      <w:r>
        <w:rPr>
          <w:rFonts w:ascii="Arial" w:hAnsi="Arial" w:cs="Arial"/>
          <w:sz w:val="20"/>
        </w:rPr>
        <w:t xml:space="preserve"> recording of the evidence </w:t>
      </w:r>
      <w:r w:rsidR="0056008F">
        <w:rPr>
          <w:rFonts w:ascii="Arial" w:hAnsi="Arial" w:cs="Arial"/>
          <w:sz w:val="20"/>
        </w:rPr>
        <w:t>of a complainant to a charge for a sexual offence</w:t>
      </w:r>
      <w:r w:rsidR="002D1BA6">
        <w:rPr>
          <w:rFonts w:ascii="Arial" w:hAnsi="Arial" w:cs="Arial"/>
          <w:sz w:val="20"/>
        </w:rPr>
        <w:t>, a presumption</w:t>
      </w:r>
      <w:r>
        <w:rPr>
          <w:rFonts w:ascii="Arial" w:hAnsi="Arial" w:cs="Arial"/>
          <w:sz w:val="20"/>
        </w:rPr>
        <w:t xml:space="preserve"> which is rebutted only if the court considers it is in the interests of justice that the recording not be admitted.</w:t>
      </w:r>
      <w:r w:rsidR="002D1BA6">
        <w:rPr>
          <w:rFonts w:ascii="Arial" w:hAnsi="Arial" w:cs="Arial"/>
          <w:sz w:val="20"/>
        </w:rPr>
        <w:t xml:space="preserve">  Under s.384(1), on the application of the prosecution, the court may direct that the complainant is to give direct testimony additional to a recording if the court is satisfied that-</w:t>
      </w:r>
    </w:p>
    <w:p w14:paraId="7716450A" w14:textId="0C7B92CA"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the complainant is able and wishes to give direct testimony; and</w:t>
      </w:r>
    </w:p>
    <w:p w14:paraId="7BBB149D" w14:textId="62491EE6" w:rsidR="009B4F19" w:rsidRDefault="009B4F19" w:rsidP="009B4F19">
      <w:pPr>
        <w:ind w:left="357" w:hanging="357"/>
        <w:jc w:val="both"/>
        <w:rPr>
          <w:rFonts w:ascii="Arial" w:hAnsi="Arial" w:cs="Arial"/>
          <w:sz w:val="20"/>
        </w:rPr>
      </w:pPr>
      <w:r>
        <w:rPr>
          <w:rFonts w:ascii="Arial" w:hAnsi="Arial" w:cs="Arial"/>
          <w:sz w:val="20"/>
        </w:rPr>
        <w:t>(b)</w:t>
      </w:r>
      <w:r>
        <w:rPr>
          <w:rFonts w:ascii="Arial" w:hAnsi="Arial" w:cs="Arial"/>
          <w:sz w:val="20"/>
        </w:rPr>
        <w:tab/>
        <w:t>it is in the interests of justice to do so.</w:t>
      </w:r>
    </w:p>
    <w:p w14:paraId="363609CC" w14:textId="338C565A" w:rsidR="002E4AE1" w:rsidRPr="008A1AD2" w:rsidRDefault="00D13481" w:rsidP="008A1AD2">
      <w:pPr>
        <w:spacing w:before="120"/>
        <w:jc w:val="both"/>
        <w:rPr>
          <w:rFonts w:ascii="Arial" w:hAnsi="Arial" w:cs="Arial"/>
          <w:b/>
          <w:bCs/>
          <w:color w:val="FFFFFF" w:themeColor="background1"/>
          <w:sz w:val="20"/>
          <w:shd w:val="clear" w:color="auto" w:fill="000000" w:themeFill="text1"/>
        </w:rPr>
      </w:pPr>
      <w:r>
        <w:rPr>
          <w:rFonts w:ascii="Arial" w:hAnsi="Arial" w:cs="Arial"/>
          <w:b/>
          <w:bCs/>
          <w:color w:val="FFFFFF" w:themeColor="background1"/>
          <w:sz w:val="20"/>
          <w:shd w:val="clear" w:color="auto" w:fill="000000" w:themeFill="text1"/>
        </w:rPr>
        <w:t xml:space="preserve">Summary hearing </w:t>
      </w:r>
      <w:r w:rsidR="008A1AD2">
        <w:rPr>
          <w:rFonts w:ascii="Arial" w:hAnsi="Arial" w:cs="Arial"/>
          <w:b/>
          <w:bCs/>
          <w:color w:val="FFFFFF" w:themeColor="background1"/>
          <w:sz w:val="20"/>
          <w:shd w:val="clear" w:color="auto" w:fill="000000" w:themeFill="text1"/>
        </w:rPr>
        <w:t xml:space="preserve">of sexual offence </w:t>
      </w:r>
      <w:r>
        <w:rPr>
          <w:rFonts w:ascii="Arial" w:hAnsi="Arial" w:cs="Arial"/>
          <w:b/>
          <w:bCs/>
          <w:color w:val="FFFFFF" w:themeColor="background1"/>
          <w:sz w:val="20"/>
          <w:shd w:val="clear" w:color="auto" w:fill="000000" w:themeFill="text1"/>
        </w:rPr>
        <w:t>in Children’s Court:</w:t>
      </w:r>
      <w:r w:rsidR="008A1AD2"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7A (ss.387A</w:t>
      </w:r>
      <w:r w:rsidR="00CF21A2">
        <w:rPr>
          <w:rFonts w:ascii="Arial" w:hAnsi="Arial" w:cs="Arial"/>
          <w:b/>
          <w:bCs/>
          <w:color w:val="000000" w:themeColor="text1"/>
          <w:sz w:val="20"/>
          <w:shd w:val="clear" w:color="auto" w:fill="DDDDDD"/>
        </w:rPr>
        <w:t xml:space="preserve"> &amp; </w:t>
      </w:r>
      <w:r w:rsidR="009B4F19" w:rsidRPr="008A1AD2">
        <w:rPr>
          <w:rFonts w:ascii="Arial" w:hAnsi="Arial" w:cs="Arial"/>
          <w:b/>
          <w:bCs/>
          <w:color w:val="000000" w:themeColor="text1"/>
          <w:sz w:val="20"/>
          <w:shd w:val="clear" w:color="auto" w:fill="DDDDDD"/>
        </w:rPr>
        <w:t>B</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w:t>
      </w:r>
      <w:r w:rsidR="00CF21A2">
        <w:rPr>
          <w:rFonts w:ascii="Arial" w:hAnsi="Arial" w:cs="Arial"/>
          <w:sz w:val="20"/>
        </w:rPr>
        <w:t> </w:t>
      </w:r>
      <w:r w:rsidR="002E4AE1">
        <w:rPr>
          <w:rFonts w:ascii="Arial" w:hAnsi="Arial" w:cs="Arial"/>
          <w:sz w:val="20"/>
        </w:rPr>
        <w:t xml:space="preserve">the </w:t>
      </w:r>
      <w:r w:rsidR="002E4AE1" w:rsidRPr="0058675C">
        <w:rPr>
          <w:rFonts w:ascii="Arial" w:hAnsi="Arial" w:cs="Arial"/>
          <w:i/>
          <w:iCs/>
          <w:sz w:val="20"/>
        </w:rPr>
        <w:t>Criminal Procedure Act 2009</w:t>
      </w:r>
      <w:r w:rsidR="0058675C" w:rsidRPr="0058675C">
        <w:rPr>
          <w:rFonts w:ascii="Arial" w:hAnsi="Arial" w:cs="Arial"/>
          <w:sz w:val="20"/>
        </w:rPr>
        <w:t xml:space="preserve"> </w:t>
      </w:r>
      <w:r w:rsidR="002E4AE1">
        <w:rPr>
          <w:rFonts w:ascii="Arial" w:hAnsi="Arial" w:cs="Arial"/>
          <w:sz w:val="20"/>
        </w:rPr>
        <w:t>applies</w:t>
      </w:r>
      <w:r w:rsidR="009B4F19">
        <w:rPr>
          <w:rFonts w:ascii="Arial" w:hAnsi="Arial" w:cs="Arial"/>
          <w:sz w:val="20"/>
        </w:rPr>
        <w:t xml:space="preserve"> to a </w:t>
      </w:r>
      <w:r w:rsidR="00B1605A">
        <w:rPr>
          <w:rFonts w:ascii="Arial" w:hAnsi="Arial" w:cs="Arial"/>
          <w:sz w:val="20"/>
        </w:rPr>
        <w:t xml:space="preserve">summary hearing by the Children’s Court of a </w:t>
      </w:r>
      <w:r w:rsidR="009B4F19">
        <w:rPr>
          <w:rFonts w:ascii="Arial" w:hAnsi="Arial" w:cs="Arial"/>
          <w:sz w:val="20"/>
        </w:rPr>
        <w:t>criminal proceeding that relates (wholly or partly) to a charge for</w:t>
      </w:r>
      <w:r w:rsidR="002E4AE1">
        <w:rPr>
          <w:rFonts w:ascii="Arial" w:hAnsi="Arial" w:cs="Arial"/>
          <w:sz w:val="20"/>
        </w:rPr>
        <w:t>-</w:t>
      </w:r>
    </w:p>
    <w:p w14:paraId="68F16BEC" w14:textId="46EED786"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any of the following provisions of the </w:t>
      </w:r>
      <w:r w:rsidRPr="0058675C">
        <w:rPr>
          <w:rFonts w:ascii="Arial" w:hAnsi="Arial" w:cs="Arial"/>
          <w:i/>
          <w:iCs/>
          <w:sz w:val="20"/>
        </w:rPr>
        <w:t>Crimes Act 1958</w:t>
      </w:r>
      <w:r>
        <w:rPr>
          <w:rFonts w:ascii="Arial" w:hAnsi="Arial" w:cs="Arial"/>
          <w:sz w:val="20"/>
        </w:rPr>
        <w:t>-</w:t>
      </w:r>
    </w:p>
    <w:p w14:paraId="1FB51984" w14:textId="24C1403E" w:rsidR="009B4F19" w:rsidRDefault="009B4F19" w:rsidP="009B4F19">
      <w:pPr>
        <w:ind w:left="811" w:hanging="454"/>
        <w:jc w:val="both"/>
        <w:rPr>
          <w:rFonts w:ascii="Arial" w:hAnsi="Arial" w:cs="Arial"/>
          <w:sz w:val="20"/>
        </w:rPr>
      </w:pPr>
      <w:r>
        <w:rPr>
          <w:rFonts w:ascii="Arial" w:hAnsi="Arial" w:cs="Arial"/>
          <w:sz w:val="20"/>
        </w:rPr>
        <w:t>(i)</w:t>
      </w:r>
      <w:r>
        <w:rPr>
          <w:rFonts w:ascii="Arial" w:hAnsi="Arial" w:cs="Arial"/>
          <w:sz w:val="20"/>
        </w:rPr>
        <w:tab/>
        <w:t>s.38 (rape);</w:t>
      </w:r>
    </w:p>
    <w:p w14:paraId="01A0B140" w14:textId="7B27DD38" w:rsidR="009B4F19" w:rsidRDefault="009B4F19" w:rsidP="009B4F19">
      <w:pPr>
        <w:ind w:left="811" w:hanging="454"/>
        <w:jc w:val="both"/>
        <w:rPr>
          <w:rFonts w:ascii="Arial" w:hAnsi="Arial" w:cs="Arial"/>
          <w:sz w:val="20"/>
        </w:rPr>
      </w:pPr>
      <w:r>
        <w:rPr>
          <w:rFonts w:ascii="Arial" w:hAnsi="Arial" w:cs="Arial"/>
          <w:sz w:val="20"/>
        </w:rPr>
        <w:t>(ii)</w:t>
      </w:r>
      <w:r>
        <w:rPr>
          <w:rFonts w:ascii="Arial" w:hAnsi="Arial" w:cs="Arial"/>
          <w:sz w:val="20"/>
        </w:rPr>
        <w:tab/>
        <w:t>s.39 (rape by compelling sexual penetration);</w:t>
      </w:r>
    </w:p>
    <w:p w14:paraId="0CBCA4FE" w14:textId="368B8820" w:rsidR="009B4F19" w:rsidRPr="00C42902" w:rsidRDefault="00C42902" w:rsidP="00C42902">
      <w:pPr>
        <w:ind w:left="811" w:hanging="454"/>
        <w:jc w:val="both"/>
        <w:rPr>
          <w:rFonts w:ascii="Arial" w:hAnsi="Arial" w:cs="Arial"/>
          <w:sz w:val="20"/>
        </w:rPr>
      </w:pPr>
      <w:r>
        <w:rPr>
          <w:rFonts w:ascii="Arial" w:hAnsi="Arial" w:cs="Arial"/>
          <w:sz w:val="20"/>
        </w:rPr>
        <w:t>(iii)</w:t>
      </w:r>
      <w:r>
        <w:rPr>
          <w:rFonts w:ascii="Arial" w:hAnsi="Arial" w:cs="Arial"/>
          <w:sz w:val="20"/>
        </w:rPr>
        <w:tab/>
      </w:r>
      <w:r w:rsidRPr="000F0BE9">
        <w:rPr>
          <w:rFonts w:ascii="Arial" w:hAnsi="Arial" w:cs="Arial"/>
          <w:sz w:val="20"/>
        </w:rPr>
        <w:t>s.49A (sexual penetration of a child &lt; 12);</w:t>
      </w:r>
    </w:p>
    <w:p w14:paraId="7BF7CF7D" w14:textId="1F8A7F30"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s.49B (sexual penetration of a child &lt; 16);</w:t>
      </w:r>
    </w:p>
    <w:p w14:paraId="3602D850" w14:textId="2F2FFF66"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 xml:space="preserve">s.49C (sexual penetration of a child aged 16 or 17 </w:t>
      </w:r>
      <w:r w:rsidR="00B1605A">
        <w:rPr>
          <w:rFonts w:ascii="Arial" w:hAnsi="Arial" w:cs="Arial"/>
          <w:sz w:val="20"/>
        </w:rPr>
        <w:t>under care, supervision or authority);</w:t>
      </w:r>
    </w:p>
    <w:p w14:paraId="52B38A9E"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lastRenderedPageBreak/>
        <w:t>s.49D (sexual assault of a child &lt; 1</w:t>
      </w:r>
      <w:r w:rsidR="00FA7DB6" w:rsidRPr="000F0BE9">
        <w:rPr>
          <w:rFonts w:ascii="Arial" w:hAnsi="Arial" w:cs="Arial"/>
          <w:sz w:val="20"/>
        </w:rPr>
        <w:t>6</w:t>
      </w:r>
      <w:r w:rsidRPr="000F0BE9">
        <w:rPr>
          <w:rFonts w:ascii="Arial" w:hAnsi="Arial" w:cs="Arial"/>
          <w:sz w:val="20"/>
        </w:rPr>
        <w:t>);</w:t>
      </w:r>
    </w:p>
    <w:p w14:paraId="014D7469"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t>s.49E (</w:t>
      </w:r>
      <w:r w:rsidR="00FA7DB6" w:rsidRPr="000F0BE9">
        <w:rPr>
          <w:rFonts w:ascii="Arial" w:hAnsi="Arial" w:cs="Arial"/>
          <w:sz w:val="20"/>
        </w:rPr>
        <w:t>sexual assault of a child aged 16 or 17 under care, supervision or authority</w:t>
      </w:r>
      <w:r w:rsidRPr="000F0BE9">
        <w:rPr>
          <w:rFonts w:ascii="Arial" w:hAnsi="Arial" w:cs="Arial"/>
          <w:sz w:val="20"/>
        </w:rPr>
        <w:t>);</w:t>
      </w:r>
    </w:p>
    <w:p w14:paraId="65C6E08E" w14:textId="7B145CA7" w:rsidR="00B1605A" w:rsidRDefault="00B1605A" w:rsidP="00B1605A">
      <w:pPr>
        <w:ind w:left="811" w:hanging="454"/>
        <w:jc w:val="both"/>
        <w:rPr>
          <w:rFonts w:ascii="Arial" w:hAnsi="Arial" w:cs="Arial"/>
          <w:sz w:val="20"/>
        </w:rPr>
      </w:pPr>
      <w:r>
        <w:rPr>
          <w:rFonts w:ascii="Arial" w:hAnsi="Arial" w:cs="Arial"/>
          <w:sz w:val="20"/>
        </w:rPr>
        <w:t>(viii)</w:t>
      </w:r>
      <w:r>
        <w:rPr>
          <w:rFonts w:ascii="Arial" w:hAnsi="Arial" w:cs="Arial"/>
          <w:sz w:val="20"/>
        </w:rPr>
        <w:tab/>
        <w:t>s.49</w:t>
      </w:r>
      <w:r w:rsidR="00FA7DB6">
        <w:rPr>
          <w:rFonts w:ascii="Arial" w:hAnsi="Arial" w:cs="Arial"/>
          <w:sz w:val="20"/>
        </w:rPr>
        <w:t>F</w:t>
      </w:r>
      <w:r>
        <w:rPr>
          <w:rFonts w:ascii="Arial" w:hAnsi="Arial" w:cs="Arial"/>
          <w:sz w:val="20"/>
        </w:rPr>
        <w:t xml:space="preserve"> (</w:t>
      </w:r>
      <w:r w:rsidR="00FA7DB6">
        <w:rPr>
          <w:rFonts w:ascii="Arial" w:hAnsi="Arial" w:cs="Arial"/>
          <w:sz w:val="20"/>
        </w:rPr>
        <w:t>sexual activity in presence of a child &lt; 16</w:t>
      </w:r>
      <w:r>
        <w:rPr>
          <w:rFonts w:ascii="Arial" w:hAnsi="Arial" w:cs="Arial"/>
          <w:sz w:val="20"/>
        </w:rPr>
        <w:t>);</w:t>
      </w:r>
    </w:p>
    <w:p w14:paraId="5208A928" w14:textId="06F94A57" w:rsidR="00B1605A" w:rsidRDefault="00B1605A" w:rsidP="00B1605A">
      <w:pPr>
        <w:ind w:left="811" w:hanging="454"/>
        <w:jc w:val="both"/>
        <w:rPr>
          <w:rFonts w:ascii="Arial" w:hAnsi="Arial" w:cs="Arial"/>
          <w:sz w:val="20"/>
        </w:rPr>
      </w:pPr>
      <w:r>
        <w:rPr>
          <w:rFonts w:ascii="Arial" w:hAnsi="Arial" w:cs="Arial"/>
          <w:sz w:val="20"/>
        </w:rPr>
        <w:t>(ix)</w:t>
      </w:r>
      <w:r>
        <w:rPr>
          <w:rFonts w:ascii="Arial" w:hAnsi="Arial" w:cs="Arial"/>
          <w:sz w:val="20"/>
        </w:rPr>
        <w:tab/>
        <w:t>s.</w:t>
      </w:r>
      <w:r w:rsidR="00FA7DB6">
        <w:rPr>
          <w:rFonts w:ascii="Arial" w:hAnsi="Arial" w:cs="Arial"/>
          <w:sz w:val="20"/>
        </w:rPr>
        <w:t>49G (sexual activity in presence of a child aged 16 or 17 under care, supervision or authority);</w:t>
      </w:r>
    </w:p>
    <w:p w14:paraId="6AC657F0" w14:textId="4F41CD00" w:rsidR="00B1605A" w:rsidRDefault="00B1605A" w:rsidP="00B1605A">
      <w:pPr>
        <w:ind w:left="811" w:hanging="454"/>
        <w:jc w:val="both"/>
        <w:rPr>
          <w:rFonts w:ascii="Arial" w:hAnsi="Arial" w:cs="Arial"/>
          <w:sz w:val="20"/>
        </w:rPr>
      </w:pPr>
      <w:r>
        <w:rPr>
          <w:rFonts w:ascii="Arial" w:hAnsi="Arial" w:cs="Arial"/>
          <w:sz w:val="20"/>
        </w:rPr>
        <w:t>(x)</w:t>
      </w:r>
      <w:r>
        <w:rPr>
          <w:rFonts w:ascii="Arial" w:hAnsi="Arial" w:cs="Arial"/>
          <w:sz w:val="20"/>
        </w:rPr>
        <w:tab/>
        <w:t>s.</w:t>
      </w:r>
      <w:r w:rsidR="00FA7DB6">
        <w:rPr>
          <w:rFonts w:ascii="Arial" w:hAnsi="Arial" w:cs="Arial"/>
          <w:sz w:val="20"/>
        </w:rPr>
        <w:t>49H (causing a child &lt; 16 to be present during sexual activity);</w:t>
      </w:r>
    </w:p>
    <w:p w14:paraId="0AD16EBE" w14:textId="4E2ADEA4" w:rsidR="00B1605A" w:rsidRDefault="00B1605A" w:rsidP="00B1605A">
      <w:pPr>
        <w:ind w:left="811" w:hanging="454"/>
        <w:jc w:val="both"/>
        <w:rPr>
          <w:rFonts w:ascii="Arial" w:hAnsi="Arial" w:cs="Arial"/>
          <w:sz w:val="20"/>
        </w:rPr>
      </w:pPr>
      <w:r>
        <w:rPr>
          <w:rFonts w:ascii="Arial" w:hAnsi="Arial" w:cs="Arial"/>
          <w:sz w:val="20"/>
        </w:rPr>
        <w:t>(xi)</w:t>
      </w:r>
      <w:r>
        <w:rPr>
          <w:rFonts w:ascii="Arial" w:hAnsi="Arial" w:cs="Arial"/>
          <w:sz w:val="20"/>
        </w:rPr>
        <w:tab/>
        <w:t>s.</w:t>
      </w:r>
      <w:r w:rsidR="00FA7DB6">
        <w:rPr>
          <w:rFonts w:ascii="Arial" w:hAnsi="Arial" w:cs="Arial"/>
          <w:sz w:val="20"/>
        </w:rPr>
        <w:t>49I (causing a child aged 16 or 17 under care etc to be present during sexual activity);</w:t>
      </w:r>
    </w:p>
    <w:p w14:paraId="2CEB5CB9" w14:textId="1BC8D5C9" w:rsidR="00B1605A" w:rsidRDefault="00B1605A" w:rsidP="00B1605A">
      <w:pPr>
        <w:ind w:left="811" w:hanging="454"/>
        <w:jc w:val="both"/>
        <w:rPr>
          <w:rFonts w:ascii="Arial" w:hAnsi="Arial" w:cs="Arial"/>
          <w:sz w:val="20"/>
        </w:rPr>
      </w:pPr>
      <w:r>
        <w:rPr>
          <w:rFonts w:ascii="Arial" w:hAnsi="Arial" w:cs="Arial"/>
          <w:sz w:val="20"/>
        </w:rPr>
        <w:t>(xii)</w:t>
      </w:r>
      <w:r>
        <w:rPr>
          <w:rFonts w:ascii="Arial" w:hAnsi="Arial" w:cs="Arial"/>
          <w:sz w:val="20"/>
        </w:rPr>
        <w:tab/>
        <w:t>s.</w:t>
      </w:r>
      <w:r w:rsidR="00FA7DB6">
        <w:rPr>
          <w:rFonts w:ascii="Arial" w:hAnsi="Arial" w:cs="Arial"/>
          <w:sz w:val="20"/>
        </w:rPr>
        <w:t>49J (persistent sexual abuse of a child &lt; 16);</w:t>
      </w:r>
    </w:p>
    <w:p w14:paraId="2DCC7B4F" w14:textId="2148968A" w:rsidR="00B1605A" w:rsidRDefault="00B1605A" w:rsidP="00B1605A">
      <w:pPr>
        <w:ind w:left="811" w:hanging="454"/>
        <w:jc w:val="both"/>
        <w:rPr>
          <w:rFonts w:ascii="Arial" w:hAnsi="Arial" w:cs="Arial"/>
          <w:sz w:val="20"/>
        </w:rPr>
      </w:pPr>
      <w:r>
        <w:rPr>
          <w:rFonts w:ascii="Arial" w:hAnsi="Arial" w:cs="Arial"/>
          <w:sz w:val="20"/>
        </w:rPr>
        <w:t>(xiii)</w:t>
      </w:r>
      <w:r>
        <w:rPr>
          <w:rFonts w:ascii="Arial" w:hAnsi="Arial" w:cs="Arial"/>
          <w:sz w:val="20"/>
        </w:rPr>
        <w:tab/>
        <w:t>s.</w:t>
      </w:r>
      <w:r w:rsidR="00FA7DB6">
        <w:rPr>
          <w:rFonts w:ascii="Arial" w:hAnsi="Arial" w:cs="Arial"/>
          <w:sz w:val="20"/>
        </w:rPr>
        <w:t>50C (sexual penetration of a child or lineal descendent);</w:t>
      </w:r>
    </w:p>
    <w:p w14:paraId="78C402D2" w14:textId="039ED335" w:rsidR="00FA7DB6" w:rsidRDefault="00FA7DB6" w:rsidP="00B1605A">
      <w:pPr>
        <w:ind w:left="811" w:hanging="454"/>
        <w:jc w:val="both"/>
        <w:rPr>
          <w:rFonts w:ascii="Arial" w:hAnsi="Arial" w:cs="Arial"/>
          <w:sz w:val="20"/>
        </w:rPr>
      </w:pPr>
      <w:r>
        <w:rPr>
          <w:rFonts w:ascii="Arial" w:hAnsi="Arial" w:cs="Arial"/>
          <w:sz w:val="20"/>
        </w:rPr>
        <w:t>(xiv)</w:t>
      </w:r>
      <w:r>
        <w:rPr>
          <w:rFonts w:ascii="Arial" w:hAnsi="Arial" w:cs="Arial"/>
          <w:sz w:val="20"/>
        </w:rPr>
        <w:tab/>
        <w:t>s.50D (sexual penetration of a step-child);</w:t>
      </w:r>
    </w:p>
    <w:p w14:paraId="7F193D6A" w14:textId="1702B5F6" w:rsidR="00FA7DB6" w:rsidRDefault="00FA7DB6" w:rsidP="00B1605A">
      <w:pPr>
        <w:ind w:left="811" w:hanging="454"/>
        <w:jc w:val="both"/>
        <w:rPr>
          <w:rFonts w:ascii="Arial" w:hAnsi="Arial" w:cs="Arial"/>
          <w:sz w:val="20"/>
        </w:rPr>
      </w:pPr>
      <w:r>
        <w:rPr>
          <w:rFonts w:ascii="Arial" w:hAnsi="Arial" w:cs="Arial"/>
          <w:sz w:val="20"/>
        </w:rPr>
        <w:t>(xv)</w:t>
      </w:r>
      <w:r>
        <w:rPr>
          <w:rFonts w:ascii="Arial" w:hAnsi="Arial" w:cs="Arial"/>
          <w:sz w:val="20"/>
        </w:rPr>
        <w:tab/>
        <w:t>s.50E (sexual penetration of a parent, lineal ancestor or step-parent);</w:t>
      </w:r>
    </w:p>
    <w:p w14:paraId="5E0B6194" w14:textId="2E067F39" w:rsidR="00FA7DB6" w:rsidRDefault="00FA7DB6" w:rsidP="00B1605A">
      <w:pPr>
        <w:ind w:left="811" w:hanging="454"/>
        <w:jc w:val="both"/>
        <w:rPr>
          <w:rFonts w:ascii="Arial" w:hAnsi="Arial" w:cs="Arial"/>
          <w:sz w:val="20"/>
        </w:rPr>
      </w:pPr>
      <w:r>
        <w:rPr>
          <w:rFonts w:ascii="Arial" w:hAnsi="Arial" w:cs="Arial"/>
          <w:sz w:val="20"/>
        </w:rPr>
        <w:t>(xvi)</w:t>
      </w:r>
      <w:r>
        <w:rPr>
          <w:rFonts w:ascii="Arial" w:hAnsi="Arial" w:cs="Arial"/>
          <w:sz w:val="20"/>
        </w:rPr>
        <w:tab/>
        <w:t>s.50F (sexual penetration of a sibling or half-sibling).</w:t>
      </w:r>
    </w:p>
    <w:p w14:paraId="6DFF6594" w14:textId="77777777" w:rsidR="00C42902" w:rsidRPr="009B4F19" w:rsidRDefault="00FA7DB6" w:rsidP="00D772F0">
      <w:pPr>
        <w:pStyle w:val="ListParagraph"/>
        <w:numPr>
          <w:ilvl w:val="0"/>
          <w:numId w:val="69"/>
        </w:numPr>
        <w:ind w:left="811" w:hanging="454"/>
        <w:jc w:val="both"/>
        <w:rPr>
          <w:rFonts w:ascii="Arial" w:hAnsi="Arial" w:cs="Arial"/>
          <w:sz w:val="20"/>
        </w:rPr>
      </w:pPr>
      <w:r w:rsidRPr="000F0BE9">
        <w:rPr>
          <w:rFonts w:ascii="Arial" w:hAnsi="Arial" w:cs="Arial"/>
          <w:sz w:val="20"/>
        </w:rPr>
        <w:t>an offence of attempting to commit, or of incitement or conspiracy to commit, an offence referred to in paragraph (a).</w:t>
      </w:r>
    </w:p>
    <w:p w14:paraId="4C8D2703" w14:textId="77777777" w:rsidR="009B4F19" w:rsidRDefault="009B4F19">
      <w:pPr>
        <w:jc w:val="both"/>
        <w:rPr>
          <w:rFonts w:ascii="Arial" w:hAnsi="Arial" w:cs="Arial"/>
          <w:sz w:val="20"/>
        </w:rPr>
      </w:pPr>
    </w:p>
    <w:p w14:paraId="2A78EEC1" w14:textId="657015D0" w:rsidR="002E4AE1" w:rsidRDefault="00FA7DB6" w:rsidP="002E4AE1">
      <w:pPr>
        <w:jc w:val="both"/>
        <w:rPr>
          <w:rFonts w:ascii="Arial" w:hAnsi="Arial" w:cs="Arial"/>
          <w:sz w:val="20"/>
        </w:rPr>
      </w:pPr>
      <w:r>
        <w:rPr>
          <w:rFonts w:ascii="Arial" w:hAnsi="Arial" w:cs="Arial"/>
          <w:sz w:val="20"/>
        </w:rPr>
        <w:t>Division 7 (other than s.378) applies with relevant modifications to the admissibility of a recording of the complainant’s evidence in a summary hearing in the Children’s Court.</w:t>
      </w:r>
    </w:p>
    <w:p w14:paraId="7C6C2792" w14:textId="41385305" w:rsidR="002E4AE1" w:rsidRDefault="008A1AD2" w:rsidP="002E4AE1">
      <w:pPr>
        <w:spacing w:before="120"/>
        <w:jc w:val="both"/>
        <w:rPr>
          <w:rFonts w:ascii="Arial" w:hAnsi="Arial" w:cs="Arial"/>
          <w:sz w:val="20"/>
        </w:rPr>
      </w:pPr>
      <w:r>
        <w:rPr>
          <w:rFonts w:ascii="Arial" w:hAnsi="Arial" w:cs="Arial"/>
          <w:b/>
          <w:bCs/>
          <w:color w:val="FFFFFF" w:themeColor="background1"/>
          <w:sz w:val="20"/>
          <w:shd w:val="clear" w:color="auto" w:fill="000000" w:themeFill="text1"/>
        </w:rPr>
        <w:t>Hearing of family violence offence:</w:t>
      </w:r>
      <w:r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7B (ss.387</w:t>
      </w:r>
      <w:r w:rsidR="00775924" w:rsidRPr="008A1AD2">
        <w:rPr>
          <w:rFonts w:ascii="Arial" w:hAnsi="Arial" w:cs="Arial"/>
          <w:b/>
          <w:bCs/>
          <w:color w:val="000000" w:themeColor="text1"/>
          <w:sz w:val="20"/>
          <w:shd w:val="clear" w:color="auto" w:fill="DDDDDD"/>
        </w:rPr>
        <w:t>C-387P</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 the </w:t>
      </w:r>
      <w:r w:rsidR="002E4AE1" w:rsidRPr="0058675C">
        <w:rPr>
          <w:rFonts w:ascii="Arial" w:hAnsi="Arial" w:cs="Arial"/>
          <w:i/>
          <w:iCs/>
          <w:sz w:val="20"/>
        </w:rPr>
        <w:t>Criminal Procedure Act 2009</w:t>
      </w:r>
      <w:r w:rsidR="002E4AE1">
        <w:rPr>
          <w:rFonts w:ascii="Arial" w:hAnsi="Arial" w:cs="Arial"/>
          <w:sz w:val="20"/>
        </w:rPr>
        <w:t xml:space="preserve"> applies</w:t>
      </w:r>
      <w:r w:rsidR="00775924">
        <w:rPr>
          <w:rFonts w:ascii="Arial" w:hAnsi="Arial" w:cs="Arial"/>
          <w:sz w:val="20"/>
        </w:rPr>
        <w:t xml:space="preserve"> to a criminal proceeding (including a summary hearing, a committal proceeding and a trial) that relates (wholly or partly) to a charge for a family violence offence but does not apply if the accused was under 18 years of age at the time the family violence offence is alleged to have been committed.  A ‘family violence offence’ is defined as-</w:t>
      </w:r>
    </w:p>
    <w:p w14:paraId="0A1B3B1A" w14:textId="713DDD91" w:rsidR="00775924" w:rsidRDefault="00775924" w:rsidP="00775924">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s.37(2), 37A(2), 123(2), 123A(2) or 125A(1) of the </w:t>
      </w:r>
      <w:r w:rsidRPr="0058675C">
        <w:rPr>
          <w:rFonts w:ascii="Arial" w:hAnsi="Arial" w:cs="Arial"/>
          <w:i/>
          <w:iCs/>
          <w:sz w:val="20"/>
        </w:rPr>
        <w:t>Family Violence Protection Act 2008</w:t>
      </w:r>
      <w:r>
        <w:rPr>
          <w:rFonts w:ascii="Arial" w:hAnsi="Arial" w:cs="Arial"/>
          <w:sz w:val="20"/>
        </w:rPr>
        <w:t>; or</w:t>
      </w:r>
    </w:p>
    <w:p w14:paraId="6D69FD6F" w14:textId="39E467FA" w:rsidR="00775924" w:rsidRDefault="00775924" w:rsidP="00775924">
      <w:pPr>
        <w:ind w:left="357" w:hanging="357"/>
        <w:jc w:val="both"/>
        <w:rPr>
          <w:rFonts w:ascii="Arial" w:hAnsi="Arial" w:cs="Arial"/>
          <w:sz w:val="20"/>
        </w:rPr>
      </w:pPr>
      <w:r>
        <w:rPr>
          <w:rFonts w:ascii="Arial" w:hAnsi="Arial" w:cs="Arial"/>
          <w:sz w:val="20"/>
        </w:rPr>
        <w:t>(b)</w:t>
      </w:r>
      <w:r>
        <w:rPr>
          <w:rFonts w:ascii="Arial" w:hAnsi="Arial" w:cs="Arial"/>
          <w:sz w:val="20"/>
        </w:rPr>
        <w:tab/>
        <w:t>an offence where the conduct of the accused is family violence within the meaning of that Act.</w:t>
      </w:r>
    </w:p>
    <w:p w14:paraId="3B665432" w14:textId="77777777" w:rsidR="003B1399" w:rsidRDefault="003B1399" w:rsidP="003B1399">
      <w:pPr>
        <w:jc w:val="both"/>
        <w:rPr>
          <w:rFonts w:ascii="Arial" w:hAnsi="Arial" w:cs="Arial"/>
          <w:sz w:val="20"/>
        </w:rPr>
      </w:pPr>
    </w:p>
    <w:p w14:paraId="0FD001C0" w14:textId="61E6D876" w:rsidR="003B1399" w:rsidRDefault="003B1399" w:rsidP="003B1399">
      <w:pPr>
        <w:jc w:val="both"/>
        <w:rPr>
          <w:rFonts w:ascii="Arial" w:hAnsi="Arial" w:cs="Arial"/>
          <w:sz w:val="20"/>
        </w:rPr>
      </w:pPr>
      <w:r>
        <w:rPr>
          <w:rFonts w:ascii="Arial" w:hAnsi="Arial" w:cs="Arial"/>
          <w:sz w:val="20"/>
        </w:rPr>
        <w:t xml:space="preserve">Under s.387E a complainant </w:t>
      </w:r>
      <w:r w:rsidR="008A1AD2">
        <w:rPr>
          <w:rFonts w:ascii="Arial" w:hAnsi="Arial" w:cs="Arial"/>
          <w:sz w:val="20"/>
        </w:rPr>
        <w:t>m</w:t>
      </w:r>
      <w:r>
        <w:rPr>
          <w:rFonts w:ascii="Arial" w:hAnsi="Arial" w:cs="Arial"/>
          <w:sz w:val="20"/>
        </w:rPr>
        <w:t xml:space="preserve">ay give evidence-in-chief (wholly or partly) in the form of a recorded statement.  In determining whether or not to have a complainant </w:t>
      </w:r>
      <w:r w:rsidR="00CF21A2">
        <w:rPr>
          <w:rFonts w:ascii="Arial" w:hAnsi="Arial" w:cs="Arial"/>
          <w:sz w:val="20"/>
        </w:rPr>
        <w:t xml:space="preserve">give evidence-in-chief </w:t>
      </w:r>
      <w:r w:rsidR="008A1AD2">
        <w:rPr>
          <w:rFonts w:ascii="Arial" w:hAnsi="Arial" w:cs="Arial"/>
          <w:sz w:val="20"/>
        </w:rPr>
        <w:t>in this way</w:t>
      </w:r>
      <w:r>
        <w:rPr>
          <w:rFonts w:ascii="Arial" w:hAnsi="Arial" w:cs="Arial"/>
          <w:sz w:val="20"/>
        </w:rPr>
        <w:t>, the prosecution must take into account-</w:t>
      </w:r>
    </w:p>
    <w:p w14:paraId="091B359C" w14:textId="43A382E1"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the wishes of the complainant; and</w:t>
      </w:r>
    </w:p>
    <w:p w14:paraId="72E0CF79" w14:textId="7A242034"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any evidence of intimidation of the complainant by the accused; and</w:t>
      </w:r>
    </w:p>
    <w:p w14:paraId="56F452BD" w14:textId="1661F48B" w:rsidR="003B1399" w:rsidRDefault="003B1399" w:rsidP="003B1399">
      <w:pPr>
        <w:ind w:left="357" w:hanging="357"/>
        <w:jc w:val="both"/>
        <w:rPr>
          <w:rFonts w:ascii="Arial" w:hAnsi="Arial" w:cs="Arial"/>
          <w:sz w:val="20"/>
        </w:rPr>
      </w:pPr>
      <w:r>
        <w:rPr>
          <w:rFonts w:ascii="Arial" w:hAnsi="Arial" w:cs="Arial"/>
          <w:sz w:val="20"/>
        </w:rPr>
        <w:t>(c)</w:t>
      </w:r>
      <w:r>
        <w:rPr>
          <w:rFonts w:ascii="Arial" w:hAnsi="Arial" w:cs="Arial"/>
          <w:sz w:val="20"/>
        </w:rPr>
        <w:tab/>
        <w:t xml:space="preserve">the purpose of the </w:t>
      </w:r>
      <w:r w:rsidRPr="0058675C">
        <w:rPr>
          <w:rFonts w:ascii="Arial" w:hAnsi="Arial" w:cs="Arial"/>
          <w:i/>
          <w:iCs/>
          <w:sz w:val="20"/>
        </w:rPr>
        <w:t>Family Violence Protection Act 2008</w:t>
      </w:r>
      <w:r>
        <w:rPr>
          <w:rFonts w:ascii="Arial" w:hAnsi="Arial" w:cs="Arial"/>
          <w:sz w:val="20"/>
        </w:rPr>
        <w:t>.</w:t>
      </w:r>
    </w:p>
    <w:p w14:paraId="5A86681D" w14:textId="77777777" w:rsidR="003B1399" w:rsidRDefault="003B1399" w:rsidP="003B1399">
      <w:pPr>
        <w:jc w:val="both"/>
        <w:rPr>
          <w:rFonts w:ascii="Arial" w:hAnsi="Arial" w:cs="Arial"/>
          <w:sz w:val="20"/>
        </w:rPr>
      </w:pPr>
    </w:p>
    <w:p w14:paraId="5023F6DE" w14:textId="0E4DACF7" w:rsidR="003B1399" w:rsidRDefault="00D13481" w:rsidP="003B1399">
      <w:pPr>
        <w:jc w:val="both"/>
        <w:rPr>
          <w:rFonts w:ascii="Arial" w:hAnsi="Arial" w:cs="Arial"/>
          <w:sz w:val="20"/>
        </w:rPr>
      </w:pPr>
      <w:r>
        <w:rPr>
          <w:rFonts w:ascii="Arial" w:hAnsi="Arial" w:cs="Arial"/>
          <w:sz w:val="20"/>
        </w:rPr>
        <w:t xml:space="preserve">Under s.387F a </w:t>
      </w:r>
      <w:r w:rsidR="003B1399">
        <w:rPr>
          <w:rFonts w:ascii="Arial" w:hAnsi="Arial" w:cs="Arial"/>
          <w:sz w:val="20"/>
        </w:rPr>
        <w:t>record</w:t>
      </w:r>
      <w:r>
        <w:rPr>
          <w:rFonts w:ascii="Arial" w:hAnsi="Arial" w:cs="Arial"/>
          <w:sz w:val="20"/>
        </w:rPr>
        <w:t xml:space="preserve">ed statement </w:t>
      </w:r>
      <w:r w:rsidR="003B1399">
        <w:rPr>
          <w:rFonts w:ascii="Arial" w:hAnsi="Arial" w:cs="Arial"/>
          <w:sz w:val="20"/>
        </w:rPr>
        <w:t>is admissible in evidence as if its contents were the direct testimony of the complainant-</w:t>
      </w:r>
    </w:p>
    <w:p w14:paraId="0EC27719"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555FA264" w14:textId="67A44731"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r w:rsidR="00D13481">
        <w:rPr>
          <w:rFonts w:ascii="Arial" w:hAnsi="Arial" w:cs="Arial"/>
          <w:sz w:val="20"/>
        </w:rPr>
        <w:t xml:space="preserve"> any new trial of, or appeal from, the proceeding</w:t>
      </w:r>
      <w:r>
        <w:rPr>
          <w:rFonts w:ascii="Arial" w:hAnsi="Arial" w:cs="Arial"/>
          <w:sz w:val="20"/>
        </w:rPr>
        <w:t>-</w:t>
      </w:r>
    </w:p>
    <w:p w14:paraId="58082F76" w14:textId="22054B2F" w:rsidR="003B1399" w:rsidRDefault="00CF21A2" w:rsidP="00D13481">
      <w:pPr>
        <w:jc w:val="both"/>
        <w:rPr>
          <w:rFonts w:ascii="Arial" w:hAnsi="Arial" w:cs="Arial"/>
          <w:sz w:val="20"/>
        </w:rPr>
      </w:pPr>
      <w:r>
        <w:rPr>
          <w:rFonts w:ascii="Arial" w:hAnsi="Arial" w:cs="Arial"/>
          <w:sz w:val="20"/>
        </w:rPr>
        <w:t>provided that</w:t>
      </w:r>
      <w:r w:rsidR="00D13481">
        <w:rPr>
          <w:rFonts w:ascii="Arial" w:hAnsi="Arial" w:cs="Arial"/>
          <w:sz w:val="20"/>
        </w:rPr>
        <w:t xml:space="preserve"> the provisions of s</w:t>
      </w:r>
      <w:r w:rsidR="00036D92">
        <w:rPr>
          <w:rFonts w:ascii="Arial" w:hAnsi="Arial" w:cs="Arial"/>
          <w:sz w:val="20"/>
        </w:rPr>
        <w:t>s</w:t>
      </w:r>
      <w:r w:rsidR="00D13481">
        <w:rPr>
          <w:rFonts w:ascii="Arial" w:hAnsi="Arial" w:cs="Arial"/>
          <w:sz w:val="20"/>
        </w:rPr>
        <w:t>.387F(2)</w:t>
      </w:r>
      <w:r w:rsidR="00036D92">
        <w:rPr>
          <w:rFonts w:ascii="Arial" w:hAnsi="Arial" w:cs="Arial"/>
          <w:sz w:val="20"/>
        </w:rPr>
        <w:t xml:space="preserve">, </w:t>
      </w:r>
      <w:r w:rsidR="00D13481">
        <w:rPr>
          <w:rFonts w:ascii="Arial" w:hAnsi="Arial" w:cs="Arial"/>
          <w:sz w:val="20"/>
        </w:rPr>
        <w:t xml:space="preserve">387F(3) </w:t>
      </w:r>
      <w:r>
        <w:rPr>
          <w:rFonts w:ascii="Arial" w:hAnsi="Arial" w:cs="Arial"/>
          <w:sz w:val="20"/>
        </w:rPr>
        <w:t xml:space="preserve">&amp; 387G </w:t>
      </w:r>
      <w:r w:rsidR="00D13481">
        <w:rPr>
          <w:rFonts w:ascii="Arial" w:hAnsi="Arial" w:cs="Arial"/>
          <w:sz w:val="20"/>
        </w:rPr>
        <w:t>are complied with.</w:t>
      </w:r>
    </w:p>
    <w:p w14:paraId="67B3494D" w14:textId="77777777" w:rsidR="00C84C37" w:rsidRDefault="00C84C37" w:rsidP="00775924">
      <w:pPr>
        <w:jc w:val="both"/>
        <w:rPr>
          <w:rFonts w:ascii="Arial" w:hAnsi="Arial" w:cs="Arial"/>
          <w:sz w:val="20"/>
        </w:rPr>
      </w:pPr>
    </w:p>
    <w:p w14:paraId="78FC9BE5" w14:textId="577ECC11" w:rsidR="00CF21A2" w:rsidRDefault="00775924" w:rsidP="00775924">
      <w:pPr>
        <w:jc w:val="both"/>
        <w:rPr>
          <w:rFonts w:ascii="Arial" w:hAnsi="Arial" w:cs="Arial"/>
          <w:sz w:val="20"/>
        </w:rPr>
      </w:pPr>
      <w:r>
        <w:rPr>
          <w:rFonts w:ascii="Arial" w:hAnsi="Arial" w:cs="Arial"/>
          <w:sz w:val="20"/>
        </w:rPr>
        <w:t>Under s.38</w:t>
      </w:r>
      <w:r w:rsidR="00CF21A2">
        <w:rPr>
          <w:rFonts w:ascii="Arial" w:hAnsi="Arial" w:cs="Arial"/>
          <w:sz w:val="20"/>
        </w:rPr>
        <w:t>7F</w:t>
      </w:r>
      <w:r>
        <w:rPr>
          <w:rFonts w:ascii="Arial" w:hAnsi="Arial" w:cs="Arial"/>
          <w:sz w:val="20"/>
        </w:rPr>
        <w:t>(</w:t>
      </w:r>
      <w:r w:rsidR="00CF21A2">
        <w:rPr>
          <w:rFonts w:ascii="Arial" w:hAnsi="Arial" w:cs="Arial"/>
          <w:sz w:val="20"/>
        </w:rPr>
        <w:t>4</w:t>
      </w:r>
      <w:r>
        <w:rPr>
          <w:rFonts w:ascii="Arial" w:hAnsi="Arial" w:cs="Arial"/>
          <w:sz w:val="20"/>
        </w:rPr>
        <w:t xml:space="preserve">) the court may </w:t>
      </w:r>
      <w:r w:rsidR="00CF21A2">
        <w:rPr>
          <w:rFonts w:ascii="Arial" w:hAnsi="Arial" w:cs="Arial"/>
          <w:sz w:val="20"/>
        </w:rPr>
        <w:t xml:space="preserve">rule as inadmissible the whole or any part of the content of a recorded statement and, if so, the court may direct that the recorded statement </w:t>
      </w:r>
      <w:r>
        <w:rPr>
          <w:rFonts w:ascii="Arial" w:hAnsi="Arial" w:cs="Arial"/>
          <w:sz w:val="20"/>
        </w:rPr>
        <w:t xml:space="preserve">be edited or </w:t>
      </w:r>
      <w:r w:rsidR="00CF21A2">
        <w:rPr>
          <w:rFonts w:ascii="Arial" w:hAnsi="Arial" w:cs="Arial"/>
          <w:sz w:val="20"/>
        </w:rPr>
        <w:t xml:space="preserve">otherwise </w:t>
      </w:r>
      <w:r>
        <w:rPr>
          <w:rFonts w:ascii="Arial" w:hAnsi="Arial" w:cs="Arial"/>
          <w:sz w:val="20"/>
        </w:rPr>
        <w:t xml:space="preserve">altered to delete any part that is inadmissible.  </w:t>
      </w:r>
      <w:r w:rsidR="00CF21A2">
        <w:rPr>
          <w:rFonts w:ascii="Arial" w:hAnsi="Arial" w:cs="Arial"/>
          <w:sz w:val="20"/>
        </w:rPr>
        <w:t>Other bases on which a recorded statement may be edited or otherwise altered are set out in s.387I.</w:t>
      </w:r>
    </w:p>
    <w:p w14:paraId="7ED638FA" w14:textId="77777777" w:rsidR="00EA3478" w:rsidRDefault="00EA3478">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47" w:name="_3.5.6_Contested_Family"/>
      <w:bookmarkStart w:id="648" w:name="B356"/>
      <w:bookmarkStart w:id="649" w:name="_Toc30651654"/>
      <w:bookmarkStart w:id="650" w:name="_Toc30652638"/>
      <w:bookmarkStart w:id="651" w:name="_Toc30652736"/>
      <w:bookmarkStart w:id="652" w:name="_Toc30654081"/>
      <w:bookmarkStart w:id="653" w:name="_Toc30654432"/>
      <w:bookmarkStart w:id="654" w:name="_Toc30655051"/>
      <w:bookmarkStart w:id="655" w:name="_Toc30655308"/>
      <w:bookmarkStart w:id="656" w:name="_Toc30656986"/>
      <w:bookmarkStart w:id="657" w:name="_Toc30661735"/>
      <w:bookmarkStart w:id="658" w:name="_Toc30666423"/>
      <w:bookmarkStart w:id="659" w:name="_Toc30666653"/>
      <w:bookmarkStart w:id="660" w:name="_Toc30667828"/>
      <w:bookmarkStart w:id="661" w:name="_Toc30669206"/>
      <w:bookmarkStart w:id="662" w:name="_Toc30671422"/>
      <w:bookmarkStart w:id="663" w:name="_Toc30673949"/>
      <w:bookmarkStart w:id="664" w:name="_Toc30691171"/>
      <w:bookmarkStart w:id="665" w:name="_Toc30691542"/>
      <w:bookmarkStart w:id="666" w:name="_Toc30691922"/>
      <w:bookmarkStart w:id="667" w:name="_Toc30692681"/>
      <w:bookmarkStart w:id="668" w:name="_Toc30693060"/>
      <w:bookmarkStart w:id="669" w:name="_Toc30693438"/>
      <w:bookmarkStart w:id="670" w:name="_Toc30693817"/>
      <w:bookmarkStart w:id="671" w:name="_Toc30694198"/>
      <w:bookmarkStart w:id="672" w:name="_Toc30698787"/>
      <w:bookmarkStart w:id="673" w:name="_Toc30699165"/>
      <w:bookmarkStart w:id="674" w:name="_Toc30699550"/>
      <w:bookmarkStart w:id="675" w:name="_Toc30700705"/>
      <w:bookmarkStart w:id="676" w:name="_Toc30701092"/>
      <w:bookmarkStart w:id="677" w:name="_Toc30743701"/>
      <w:bookmarkStart w:id="678" w:name="_Toc30754523"/>
      <w:bookmarkStart w:id="679" w:name="_Toc30756963"/>
      <w:bookmarkStart w:id="680" w:name="_Toc30757512"/>
      <w:bookmarkStart w:id="681" w:name="_Toc30757912"/>
      <w:bookmarkStart w:id="682" w:name="_Toc30762673"/>
      <w:bookmarkStart w:id="683" w:name="_Toc30767327"/>
      <w:bookmarkStart w:id="684" w:name="_Toc34823343"/>
      <w:bookmarkStart w:id="685" w:name="_Toc40580922"/>
      <w:bookmarkStart w:id="686" w:name="_Toc40581326"/>
      <w:bookmarkStart w:id="687" w:name="_Toc40581814"/>
      <w:bookmarkStart w:id="688" w:name="_Toc30651655"/>
      <w:bookmarkStart w:id="689" w:name="_Toc30652639"/>
      <w:bookmarkStart w:id="690" w:name="_Toc30652737"/>
      <w:bookmarkStart w:id="691" w:name="_Toc30654082"/>
      <w:bookmarkStart w:id="692" w:name="_Toc30654433"/>
      <w:bookmarkStart w:id="693" w:name="_Toc30655052"/>
      <w:bookmarkStart w:id="694" w:name="_Toc30655309"/>
      <w:bookmarkStart w:id="695" w:name="_Toc30656987"/>
      <w:bookmarkStart w:id="696" w:name="_Toc30661736"/>
      <w:bookmarkStart w:id="697" w:name="_Toc30666424"/>
      <w:bookmarkStart w:id="698" w:name="_Toc30666654"/>
      <w:bookmarkStart w:id="699" w:name="_Toc30667829"/>
      <w:bookmarkStart w:id="700" w:name="_Toc30669207"/>
      <w:bookmarkStart w:id="701" w:name="_Toc30671423"/>
      <w:bookmarkStart w:id="702" w:name="_Toc30673950"/>
      <w:bookmarkStart w:id="703" w:name="_Toc30691172"/>
      <w:bookmarkStart w:id="704" w:name="_Toc30691543"/>
      <w:bookmarkStart w:id="705" w:name="_Toc30691923"/>
      <w:bookmarkStart w:id="706" w:name="_Toc30692682"/>
      <w:bookmarkStart w:id="707" w:name="_Toc30693061"/>
      <w:bookmarkStart w:id="708" w:name="_Toc30693439"/>
      <w:bookmarkStart w:id="709" w:name="_Toc30693818"/>
      <w:bookmarkStart w:id="710" w:name="_Toc30694199"/>
      <w:bookmarkStart w:id="711" w:name="_Toc30698788"/>
      <w:bookmarkStart w:id="712" w:name="_Toc30699166"/>
      <w:bookmarkStart w:id="713" w:name="_Toc30699551"/>
      <w:bookmarkStart w:id="714" w:name="_Toc30700706"/>
      <w:bookmarkStart w:id="715" w:name="_Toc30701093"/>
      <w:bookmarkStart w:id="716" w:name="_Toc30743702"/>
      <w:bookmarkStart w:id="717" w:name="_Toc30754524"/>
      <w:bookmarkStart w:id="718" w:name="_Toc30756964"/>
      <w:bookmarkStart w:id="719" w:name="_Toc30757513"/>
      <w:bookmarkStart w:id="720" w:name="_Toc30757913"/>
      <w:bookmarkStart w:id="721" w:name="_Toc30762674"/>
      <w:bookmarkStart w:id="722" w:name="_Toc30767328"/>
      <w:bookmarkStart w:id="723" w:name="_Toc34823344"/>
      <w:bookmarkEnd w:id="647"/>
      <w:bookmarkEnd w:id="648"/>
      <w:r>
        <w:rPr>
          <w:rFonts w:ascii="Arial" w:hAnsi="Arial" w:cs="Arial"/>
          <w:b/>
          <w:bCs/>
          <w:sz w:val="20"/>
        </w:rPr>
        <w:t>3.5.6</w:t>
      </w:r>
      <w:r>
        <w:rPr>
          <w:rFonts w:ascii="Arial" w:hAnsi="Arial" w:cs="Arial"/>
          <w:b/>
          <w:bCs/>
          <w:sz w:val="20"/>
        </w:rPr>
        <w:tab/>
        <w:t>Contested Family Division case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24" w:name="_3.5.6.1_The_usual"/>
      <w:bookmarkStart w:id="725" w:name="B3561"/>
      <w:bookmarkEnd w:id="724"/>
      <w:bookmarkEnd w:id="725"/>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55DEE3C6"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w:t>
      </w:r>
      <w:r w:rsidR="000F0BE9">
        <w:rPr>
          <w:rFonts w:ascii="Arial" w:hAnsi="Arial" w:cs="Arial"/>
          <w:sz w:val="20"/>
        </w:rPr>
        <w:t>’</w:t>
      </w:r>
      <w:r w:rsidR="00182570">
        <w:rPr>
          <w:rFonts w:ascii="Arial" w:hAnsi="Arial" w:cs="Arial"/>
          <w:sz w:val="20"/>
        </w:rPr>
        <w:t>s case.  For example, a psychologist may be called to give evidence about a child</w:t>
      </w:r>
      <w:r w:rsidR="000F0BE9">
        <w:rPr>
          <w:rFonts w:ascii="Arial" w:hAnsi="Arial" w:cs="Arial"/>
          <w:sz w:val="20"/>
        </w:rPr>
        <w:t>’</w:t>
      </w:r>
      <w:r w:rsidR="00182570">
        <w:rPr>
          <w:rFonts w:ascii="Arial" w:hAnsi="Arial" w:cs="Arial"/>
          <w:sz w:val="20"/>
        </w:rPr>
        <w:t>s psychological state.  The Department</w:t>
      </w:r>
      <w:r w:rsidR="000F0BE9">
        <w:rPr>
          <w:rFonts w:ascii="Arial" w:hAnsi="Arial" w:cs="Arial"/>
          <w:sz w:val="20"/>
        </w:rPr>
        <w:t>’</w:t>
      </w:r>
      <w:r w:rsidR="00182570">
        <w:rPr>
          <w:rFonts w:ascii="Arial" w:hAnsi="Arial" w:cs="Arial"/>
          <w:sz w:val="20"/>
        </w:rPr>
        <w:t>s witnesses are usually called first.  Each witness who gives evidence for one party can be cross-examined by every other party.  The purpose of cross-examination is to allow the accuracy and truth of the witness</w:t>
      </w:r>
      <w:r w:rsidR="000F0BE9">
        <w:rPr>
          <w:rFonts w:ascii="Arial" w:hAnsi="Arial" w:cs="Arial"/>
          <w:sz w:val="20"/>
        </w:rPr>
        <w:t>’</w:t>
      </w:r>
      <w:r w:rsidR="00182570">
        <w:rPr>
          <w:rFonts w:ascii="Arial" w:hAnsi="Arial" w:cs="Arial"/>
          <w:sz w:val="20"/>
        </w:rPr>
        <w:t xml:space="preserve"> evidence to be tested or challenged by the other parties</w:t>
      </w:r>
      <w:r w:rsidR="007D0245">
        <w:rPr>
          <w:rFonts w:ascii="Arial" w:hAnsi="Arial" w:cs="Arial"/>
          <w:sz w:val="20"/>
        </w:rPr>
        <w:t xml:space="preserve">: see </w:t>
      </w:r>
      <w:proofErr w:type="spellStart"/>
      <w:r w:rsidR="007D0245" w:rsidRPr="007D0245">
        <w:rPr>
          <w:rFonts w:ascii="Arial" w:hAnsi="Arial" w:cs="Arial"/>
          <w:i/>
          <w:sz w:val="20"/>
        </w:rPr>
        <w:t>Libke</w:t>
      </w:r>
      <w:proofErr w:type="spellEnd"/>
      <w:r w:rsidR="007D0245" w:rsidRPr="007D0245">
        <w:rPr>
          <w:rFonts w:ascii="Arial" w:hAnsi="Arial" w:cs="Arial"/>
          <w:i/>
          <w:sz w:val="20"/>
        </w:rPr>
        <w:t xml:space="preserv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w:t>
      </w:r>
      <w:proofErr w:type="spellStart"/>
      <w:r w:rsidR="007D0245">
        <w:rPr>
          <w:rFonts w:ascii="Arial" w:hAnsi="Arial" w:cs="Arial"/>
          <w:sz w:val="20"/>
        </w:rPr>
        <w:t>Heydon</w:t>
      </w:r>
      <w:proofErr w:type="spellEnd"/>
      <w:r w:rsidR="007D0245">
        <w:rPr>
          <w:rFonts w:ascii="Arial" w:hAnsi="Arial" w:cs="Arial"/>
          <w:sz w:val="20"/>
        </w:rPr>
        <w:t xml:space="preserve"> J</w:t>
      </w:r>
      <w:r w:rsidR="00182570">
        <w:rPr>
          <w:rFonts w:ascii="Arial" w:hAnsi="Arial" w:cs="Arial"/>
          <w:sz w:val="20"/>
        </w:rPr>
        <w:t>.  Where there are conflicting accounts or material, the judicial officer must make a decision about which</w:t>
      </w:r>
      <w:r w:rsidR="00610405">
        <w:rPr>
          <w:rFonts w:ascii="Arial" w:hAnsi="Arial" w:cs="Arial"/>
          <w:sz w:val="20"/>
        </w:rPr>
        <w:t xml:space="preserve"> is the more probable account, bearing in mind the dicta of Gleeson CJ and </w:t>
      </w:r>
      <w:proofErr w:type="spellStart"/>
      <w:r w:rsidR="00610405">
        <w:rPr>
          <w:rFonts w:ascii="Arial" w:hAnsi="Arial" w:cs="Arial"/>
          <w:sz w:val="20"/>
        </w:rPr>
        <w:t>Gummow</w:t>
      </w:r>
      <w:proofErr w:type="spellEnd"/>
      <w:r w:rsidR="00610405">
        <w:rPr>
          <w:rFonts w:ascii="Arial" w:hAnsi="Arial" w:cs="Arial"/>
          <w:sz w:val="20"/>
        </w:rPr>
        <w:t xml:space="preserve">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9</w:t>
      </w:r>
      <w:r w:rsidR="007A3695">
        <w:rPr>
          <w:rFonts w:ascii="Arial" w:hAnsi="Arial" w:cs="Arial"/>
          <w:sz w:val="20"/>
        </w:rPr>
        <w:t>: see subsection 3.5.3.7 above; s</w:t>
      </w:r>
      <w:r w:rsidR="00A73084">
        <w:rPr>
          <w:rFonts w:ascii="Arial" w:hAnsi="Arial" w:cs="Arial"/>
          <w:sz w:val="20"/>
        </w:rPr>
        <w:t xml:space="preserve">ee also </w:t>
      </w:r>
      <w:proofErr w:type="spellStart"/>
      <w:r w:rsidR="007A3695" w:rsidRPr="007A3695">
        <w:rPr>
          <w:rFonts w:ascii="Arial" w:hAnsi="Arial" w:cs="Arial"/>
          <w:i/>
          <w:iCs/>
          <w:sz w:val="20"/>
        </w:rPr>
        <w:t>Eumeralla</w:t>
      </w:r>
      <w:proofErr w:type="spellEnd"/>
      <w:r w:rsidR="007A3695" w:rsidRPr="007A3695">
        <w:rPr>
          <w:rFonts w:ascii="Arial" w:hAnsi="Arial" w:cs="Arial"/>
          <w:i/>
          <w:iCs/>
          <w:sz w:val="20"/>
        </w:rPr>
        <w:t xml:space="preserve"> Estate Pty Ltd v Chen</w:t>
      </w:r>
      <w:r w:rsidR="007A3695">
        <w:rPr>
          <w:rFonts w:ascii="Arial" w:hAnsi="Arial" w:cs="Arial"/>
          <w:sz w:val="20"/>
        </w:rPr>
        <w:t xml:space="preserve"> [2022] VSCA 78 at [42]-[68].  </w:t>
      </w:r>
      <w:r w:rsidR="00182570">
        <w:rPr>
          <w:rFonts w:ascii="Arial" w:hAnsi="Arial" w:cs="Arial"/>
          <w:sz w:val="20"/>
        </w:rPr>
        <w:t>The law is then applied to those facts to arrive at a decision.</w:t>
      </w:r>
    </w:p>
    <w:p w14:paraId="432401FC" w14:textId="623255E1" w:rsidR="00C80D87" w:rsidRDefault="00C80D87" w:rsidP="00C80D87">
      <w:pPr>
        <w:jc w:val="both"/>
        <w:rPr>
          <w:rFonts w:ascii="Arial" w:hAnsi="Arial" w:cs="Arial"/>
          <w:sz w:val="20"/>
        </w:rPr>
      </w:pPr>
    </w:p>
    <w:p w14:paraId="576CFA16" w14:textId="348BA43B" w:rsidR="00C80D87" w:rsidRDefault="00C80D87" w:rsidP="00C80D87">
      <w:pPr>
        <w:jc w:val="both"/>
        <w:rPr>
          <w:rFonts w:ascii="Arial" w:hAnsi="Arial" w:cs="Arial"/>
          <w:sz w:val="20"/>
        </w:rPr>
      </w:pPr>
      <w:r>
        <w:rPr>
          <w:rFonts w:ascii="Arial" w:hAnsi="Arial" w:cs="Arial"/>
          <w:sz w:val="20"/>
        </w:rPr>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w:t>
      </w:r>
      <w:r w:rsidR="000F0BE9">
        <w:rPr>
          <w:rFonts w:ascii="Arial" w:hAnsi="Arial" w:cs="Arial"/>
          <w:sz w:val="20"/>
        </w:rPr>
        <w:t>I</w:t>
      </w:r>
      <w:r>
        <w:rPr>
          <w:rFonts w:ascii="Arial" w:hAnsi="Arial" w:cs="Arial"/>
          <w:sz w:val="20"/>
        </w:rPr>
        <w:t xml:space="preserve"> LR 144; [2002] NSWCA 151 at [40]:</w:t>
      </w:r>
    </w:p>
    <w:p w14:paraId="0AC2FA28" w14:textId="15492AD8" w:rsidR="00C80D87" w:rsidRDefault="000F0BE9" w:rsidP="00C80D87">
      <w:pPr>
        <w:keepLines/>
        <w:spacing w:before="60"/>
        <w:ind w:left="454" w:right="454"/>
        <w:jc w:val="both"/>
        <w:rPr>
          <w:rFonts w:ascii="Arial" w:hAnsi="Arial" w:cs="Arial"/>
          <w:iCs/>
          <w:sz w:val="20"/>
        </w:rPr>
      </w:pPr>
      <w:r>
        <w:rPr>
          <w:rFonts w:ascii="Arial" w:hAnsi="Arial" w:cs="Arial"/>
          <w:sz w:val="20"/>
        </w:rPr>
        <w:lastRenderedPageBreak/>
        <w:t>“</w:t>
      </w:r>
      <w:r w:rsidR="00C80D87">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w:t>
      </w:r>
      <w:r>
        <w:rPr>
          <w:rFonts w:ascii="Arial" w:hAnsi="Arial" w:cs="Arial"/>
          <w:sz w:val="20"/>
        </w:rPr>
        <w:t>’</w:t>
      </w:r>
      <w:r w:rsidR="00C80D87">
        <w:rPr>
          <w:rFonts w:ascii="Arial" w:hAnsi="Arial" w:cs="Arial"/>
          <w:sz w:val="20"/>
        </w:rPr>
        <w:t>s] Court to ensure that, if relevant information was not in the affidavits, the information was obtained and examined.</w:t>
      </w:r>
      <w:r>
        <w:rPr>
          <w:rFonts w:ascii="Arial" w:hAnsi="Arial" w:cs="Arial"/>
          <w:sz w:val="20"/>
        </w:rPr>
        <w:t>”</w:t>
      </w:r>
    </w:p>
    <w:p w14:paraId="7503940A" w14:textId="77777777" w:rsidR="00937ADE" w:rsidRDefault="00937ADE" w:rsidP="00937ADE">
      <w:pPr>
        <w:jc w:val="both"/>
        <w:rPr>
          <w:rFonts w:ascii="Arial" w:hAnsi="Arial" w:cs="Arial"/>
          <w:sz w:val="20"/>
        </w:rPr>
      </w:pPr>
    </w:p>
    <w:p w14:paraId="255336BA" w14:textId="42C50A4F" w:rsidR="00937ADE" w:rsidRPr="0040353D" w:rsidRDefault="00937ADE" w:rsidP="00937ADE">
      <w:pPr>
        <w:jc w:val="both"/>
        <w:rPr>
          <w:rFonts w:ascii="Arial" w:hAnsi="Arial" w:cs="Arial"/>
          <w:color w:val="000000"/>
          <w:sz w:val="20"/>
        </w:rPr>
      </w:pPr>
      <w:r w:rsidRPr="0040353D">
        <w:rPr>
          <w:rFonts w:ascii="Arial" w:hAnsi="Arial" w:cs="Arial"/>
          <w:color w:val="000000"/>
          <w:sz w:val="20"/>
        </w:rPr>
        <w:t>The Children</w:t>
      </w:r>
      <w:r w:rsidR="000F0BE9">
        <w:rPr>
          <w:rFonts w:ascii="Arial" w:hAnsi="Arial" w:cs="Arial"/>
          <w:color w:val="000000"/>
          <w:sz w:val="20"/>
        </w:rPr>
        <w:t>’</w:t>
      </w:r>
      <w:r w:rsidRPr="0040353D">
        <w:rPr>
          <w:rFonts w:ascii="Arial" w:hAnsi="Arial" w:cs="Arial"/>
          <w:color w:val="000000"/>
          <w:sz w:val="20"/>
        </w:rPr>
        <w:t>s Court is faced with similar problems on a daily basis.  It is all very well to say that the Court has a duty to ensure that all relevant information is obtained.  However, the Court</w:t>
      </w:r>
      <w:r w:rsidR="000F0BE9">
        <w:rPr>
          <w:rFonts w:ascii="Arial" w:hAnsi="Arial" w:cs="Arial"/>
          <w:color w:val="000000"/>
          <w:sz w:val="20"/>
        </w:rPr>
        <w:t>’</w:t>
      </w:r>
      <w:r w:rsidRPr="0040353D">
        <w:rPr>
          <w:rFonts w:ascii="Arial" w:hAnsi="Arial" w:cs="Arial"/>
          <w:color w:val="000000"/>
          <w:sz w:val="20"/>
        </w:rPr>
        <w:t>s ability to inquire is limited.  While it now has power under s.532 of the CYFA to sub-poena material – such as hospital files or school or police records – which it believes to be relevant but which the parties have failed or refused to produce – it will not necessarily know of the existence of such materials unless one of the parties alerts it.  In practice, the Court</w:t>
      </w:r>
      <w:r w:rsidR="000F0BE9">
        <w:rPr>
          <w:rFonts w:ascii="Arial" w:hAnsi="Arial" w:cs="Arial"/>
          <w:color w:val="000000"/>
          <w:sz w:val="20"/>
        </w:rPr>
        <w:t>’</w:t>
      </w:r>
      <w:r w:rsidRPr="0040353D">
        <w:rPr>
          <w:rFonts w:ascii="Arial" w:hAnsi="Arial" w:cs="Arial"/>
          <w:color w:val="000000"/>
          <w:sz w:val="20"/>
        </w:rPr>
        <w:t>s investigative arm is largely restricted to the use of the Children</w:t>
      </w:r>
      <w:r w:rsidR="000F0BE9">
        <w:rPr>
          <w:rFonts w:ascii="Arial" w:hAnsi="Arial" w:cs="Arial"/>
          <w:color w:val="000000"/>
          <w:sz w:val="20"/>
        </w:rPr>
        <w:t>’</w:t>
      </w:r>
      <w:r w:rsidRPr="0040353D">
        <w:rPr>
          <w:rFonts w:ascii="Arial" w:hAnsi="Arial" w:cs="Arial"/>
          <w:color w:val="000000"/>
          <w:sz w:val="20"/>
        </w:rPr>
        <w:t xml:space="preserve">s Court Clinic, an outstanding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proofErr w:type="spellStart"/>
      <w:r>
        <w:rPr>
          <w:rFonts w:ascii="Arial" w:hAnsi="Arial" w:cs="Arial"/>
          <w:i/>
          <w:sz w:val="20"/>
          <w:szCs w:val="20"/>
        </w:rPr>
        <w:t>O</w:t>
      </w:r>
      <w:r w:rsidRPr="00AF7766">
        <w:rPr>
          <w:rFonts w:ascii="Arial" w:hAnsi="Arial" w:cs="Arial"/>
          <w:i/>
          <w:sz w:val="20"/>
          <w:szCs w:val="20"/>
        </w:rPr>
        <w:t>rs</w:t>
      </w:r>
      <w:proofErr w:type="spellEnd"/>
      <w:r w:rsidRPr="00AF7766">
        <w:rPr>
          <w:rFonts w:ascii="Arial" w:hAnsi="Arial" w:cs="Arial"/>
          <w:i/>
          <w:sz w:val="20"/>
          <w:szCs w:val="20"/>
        </w:rPr>
        <w:t xml:space="preserve">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w:t>
      </w:r>
      <w:proofErr w:type="spellStart"/>
      <w:r w:rsidRPr="008F4302">
        <w:rPr>
          <w:rFonts w:ascii="Arial" w:hAnsi="Arial" w:cs="Arial"/>
          <w:sz w:val="20"/>
          <w:szCs w:val="20"/>
        </w:rPr>
        <w:t>esp</w:t>
      </w:r>
      <w:proofErr w:type="spellEnd"/>
      <w:r w:rsidRPr="008F4302">
        <w:rPr>
          <w:rFonts w:ascii="Arial" w:hAnsi="Arial" w:cs="Arial"/>
          <w:sz w:val="20"/>
          <w:szCs w:val="20"/>
        </w:rPr>
        <w:t xml:space="preserve">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Year" w:val="1996"/>
          <w:attr w:name="Day" w:val="5"/>
          <w:attr w:name="Month" w:val="12"/>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Year" w:val="2002"/>
          <w:attr w:name="Day" w:val="28"/>
          <w:attr w:name="Month" w:val="7"/>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77777777" w:rsidR="00FD5828" w:rsidRPr="009F25D4" w:rsidRDefault="00D9355C" w:rsidP="00FD5828">
      <w:pPr>
        <w:pStyle w:val="Heading3"/>
        <w:keepNext/>
        <w:spacing w:line="240" w:lineRule="auto"/>
        <w:rPr>
          <w:rFonts w:ascii="Arial" w:hAnsi="Arial" w:cs="Arial"/>
          <w:b/>
          <w:bCs/>
          <w:color w:val="000000"/>
          <w:sz w:val="20"/>
        </w:rPr>
      </w:pPr>
      <w:bookmarkStart w:id="726" w:name="_3.5.6.2_Informal_procedure"/>
      <w:bookmarkStart w:id="727" w:name="B3562"/>
      <w:bookmarkEnd w:id="726"/>
      <w:bookmarkEnd w:id="727"/>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proofErr w:type="spellStart"/>
      <w:r w:rsidR="00052871" w:rsidRPr="00741D02">
        <w:rPr>
          <w:rFonts w:ascii="Arial" w:hAnsi="Arial" w:cs="Arial"/>
          <w:i/>
          <w:iCs/>
          <w:sz w:val="20"/>
        </w:rPr>
        <w:t>parte</w:t>
      </w:r>
      <w:proofErr w:type="spellEnd"/>
      <w:r w:rsidR="00052871" w:rsidRPr="00741D02">
        <w:rPr>
          <w:rFonts w:ascii="Arial" w:hAnsi="Arial" w:cs="Arial"/>
          <w:i/>
          <w:iCs/>
          <w:sz w:val="20"/>
        </w:rPr>
        <w:t xml:space="preserv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 xml:space="preserve">interpretation of the similar provision in the </w:t>
      </w:r>
      <w:r w:rsidR="00052871" w:rsidRPr="0058675C">
        <w:rPr>
          <w:rFonts w:ascii="Arial" w:hAnsi="Arial" w:cs="Arial"/>
          <w:i/>
          <w:sz w:val="20"/>
        </w:rPr>
        <w:t>Family Law Act 1975</w:t>
      </w:r>
      <w:r w:rsidR="00052871">
        <w:rPr>
          <w:rFonts w:ascii="Arial" w:hAnsi="Arial" w:cs="Arial"/>
          <w:iCs/>
          <w:sz w:val="20"/>
        </w:rPr>
        <w:t xml:space="preserve"> (</w:t>
      </w:r>
      <w:proofErr w:type="spellStart"/>
      <w:r w:rsidR="00052871">
        <w:rPr>
          <w:rFonts w:ascii="Arial" w:hAnsi="Arial" w:cs="Arial"/>
          <w:iCs/>
          <w:sz w:val="20"/>
        </w:rPr>
        <w:t>Cth</w:t>
      </w:r>
      <w:proofErr w:type="spellEnd"/>
      <w:r w:rsidR="00052871">
        <w:rPr>
          <w:rFonts w:ascii="Arial" w:hAnsi="Arial" w:cs="Arial"/>
          <w:iCs/>
          <w:sz w:val="20"/>
        </w:rPr>
        <w:t>)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36D92">
      <w:pPr>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proofErr w:type="spellStart"/>
      <w:r w:rsidRPr="00741D02">
        <w:rPr>
          <w:rFonts w:ascii="Arial" w:hAnsi="Arial" w:cs="Arial"/>
          <w:i/>
          <w:iCs/>
          <w:sz w:val="20"/>
        </w:rPr>
        <w:t>parte</w:t>
      </w:r>
      <w:proofErr w:type="spellEnd"/>
      <w:r w:rsidRPr="00741D02">
        <w:rPr>
          <w:rFonts w:ascii="Arial" w:hAnsi="Arial" w:cs="Arial"/>
          <w:i/>
          <w:iCs/>
          <w:sz w:val="20"/>
        </w:rPr>
        <w:t xml:space="preserv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proofErr w:type="spellStart"/>
      <w:r w:rsidRPr="001C6EDC">
        <w:rPr>
          <w:rFonts w:ascii="Arial" w:hAnsi="Arial" w:cs="Arial"/>
          <w:i/>
          <w:iCs/>
          <w:sz w:val="20"/>
        </w:rPr>
        <w:t>Lonard</w:t>
      </w:r>
      <w:proofErr w:type="spellEnd"/>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 xml:space="preserve">Re JRL; Ex </w:t>
      </w:r>
      <w:proofErr w:type="spellStart"/>
      <w:r w:rsidRPr="003714F9">
        <w:rPr>
          <w:rFonts w:ascii="Arial" w:hAnsi="Arial" w:cs="Arial"/>
          <w:i/>
          <w:iCs/>
          <w:sz w:val="20"/>
        </w:rPr>
        <w:t>parte</w:t>
      </w:r>
      <w:proofErr w:type="spellEnd"/>
      <w:r w:rsidRPr="003714F9">
        <w:rPr>
          <w:rFonts w:ascii="Arial" w:hAnsi="Arial" w:cs="Arial"/>
          <w:i/>
          <w:iCs/>
          <w:sz w:val="20"/>
        </w:rPr>
        <w:t xml:space="preserv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 xml:space="preserve">inter </w:t>
      </w:r>
      <w:proofErr w:type="spellStart"/>
      <w:r w:rsidRPr="003714F9">
        <w:rPr>
          <w:rFonts w:ascii="Arial" w:hAnsi="Arial" w:cs="Arial"/>
          <w:i/>
          <w:iCs/>
          <w:sz w:val="20"/>
        </w:rPr>
        <w:t>partes</w:t>
      </w:r>
      <w:proofErr w:type="spellEnd"/>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remained judicial proceedings.  Neither their special nature nor the requirement in s.97(3) that the court should proceed without undue formality relieved the court of the obligation to </w:t>
      </w:r>
      <w:r>
        <w:rPr>
          <w:rFonts w:ascii="Arial" w:hAnsi="Arial" w:cs="Arial"/>
          <w:iCs/>
          <w:sz w:val="20"/>
        </w:rPr>
        <w:lastRenderedPageBreak/>
        <w:t>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6A0F25">
      <w:pPr>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4ADF9A57" w:rsidR="007A49E9" w:rsidRDefault="007A49E9" w:rsidP="007A49E9">
      <w:pPr>
        <w:jc w:val="both"/>
        <w:rPr>
          <w:rFonts w:ascii="Arial" w:hAnsi="Arial" w:cs="Arial"/>
          <w:sz w:val="20"/>
        </w:rPr>
      </w:pPr>
      <w:r>
        <w:rPr>
          <w:rFonts w:ascii="Arial" w:hAnsi="Arial" w:cs="Arial"/>
          <w:sz w:val="20"/>
        </w:rPr>
        <w:t xml:space="preserve">Proceedings under the </w:t>
      </w:r>
      <w:r w:rsidRPr="0058675C">
        <w:rPr>
          <w:rFonts w:ascii="Arial" w:hAnsi="Arial" w:cs="Arial"/>
          <w:i/>
          <w:iCs/>
          <w:sz w:val="20"/>
        </w:rPr>
        <w:t>Children Act 1989</w:t>
      </w:r>
      <w:r w:rsidRPr="0058675C">
        <w:rPr>
          <w:rFonts w:ascii="Arial" w:hAnsi="Arial" w:cs="Arial"/>
          <w:sz w:val="20"/>
        </w:rPr>
        <w:t xml:space="preserve">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w:t>
      </w:r>
      <w:r w:rsidR="000F0BE9">
        <w:rPr>
          <w:rFonts w:ascii="Arial" w:hAnsi="Arial" w:cs="Arial"/>
          <w:sz w:val="20"/>
        </w:rPr>
        <w:t>I</w:t>
      </w:r>
      <w:r>
        <w:rPr>
          <w:rFonts w:ascii="Arial" w:hAnsi="Arial" w:cs="Arial"/>
          <w:sz w:val="20"/>
        </w:rPr>
        <w:t xml:space="preserve"> 151.  The Court has power </w:t>
      </w:r>
      <w:r w:rsidR="000F0BE9">
        <w:rPr>
          <w:rFonts w:ascii="Arial" w:hAnsi="Arial" w:cs="Arial"/>
          <w:sz w:val="20"/>
        </w:rPr>
        <w:t>–</w:t>
      </w:r>
      <w:r>
        <w:rPr>
          <w:rFonts w:ascii="Arial" w:hAnsi="Arial" w:cs="Arial"/>
          <w:sz w:val="20"/>
        </w:rPr>
        <w:t xml:space="preserve"> and in some instances a duty </w:t>
      </w:r>
      <w:r w:rsidR="000F0BE9">
        <w:rPr>
          <w:rFonts w:ascii="Arial" w:hAnsi="Arial" w:cs="Arial"/>
          <w:sz w:val="20"/>
        </w:rPr>
        <w:t>–</w:t>
      </w:r>
      <w:r>
        <w:rPr>
          <w:rFonts w:ascii="Arial" w:hAnsi="Arial" w:cs="Arial"/>
          <w:sz w:val="20"/>
        </w:rPr>
        <w:t xml:space="preserve"> to inquire about issues which it considers relevant to the best interests of the child.  This is especially so where the parties are not on a </w:t>
      </w:r>
      <w:r w:rsidR="000F0BE9">
        <w:rPr>
          <w:rFonts w:ascii="Arial" w:hAnsi="Arial" w:cs="Arial"/>
          <w:sz w:val="20"/>
        </w:rPr>
        <w:t>‘</w:t>
      </w:r>
      <w:r>
        <w:rPr>
          <w:rFonts w:ascii="Arial" w:hAnsi="Arial" w:cs="Arial"/>
          <w:sz w:val="20"/>
        </w:rPr>
        <w:t>level playing field</w:t>
      </w:r>
      <w:r w:rsidR="000F0BE9">
        <w:rPr>
          <w:rFonts w:ascii="Arial" w:hAnsi="Arial" w:cs="Arial"/>
          <w:sz w:val="20"/>
        </w:rPr>
        <w:t>’</w:t>
      </w:r>
      <w:r>
        <w:rPr>
          <w:rFonts w:ascii="Arial" w:hAnsi="Arial" w:cs="Arial"/>
          <w:sz w:val="20"/>
        </w:rPr>
        <w:t xml:space="preserve">,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w:t>
      </w:r>
      <w:r w:rsidR="000F0BE9">
        <w:rPr>
          <w:rFonts w:ascii="Arial" w:hAnsi="Arial" w:cs="Arial"/>
          <w:sz w:val="20"/>
        </w:rPr>
        <w:t>I</w:t>
      </w:r>
      <w:r>
        <w:rPr>
          <w:rFonts w:ascii="Arial" w:hAnsi="Arial" w:cs="Arial"/>
          <w:sz w:val="20"/>
        </w:rPr>
        <w:t xml:space="preserve">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w:t>
      </w:r>
      <w:r w:rsidR="000F0BE9">
        <w:rPr>
          <w:rFonts w:ascii="Arial" w:hAnsi="Arial" w:cs="Arial"/>
          <w:sz w:val="20"/>
        </w:rPr>
        <w:t>“</w:t>
      </w:r>
      <w:r>
        <w:rPr>
          <w:rFonts w:ascii="Arial" w:hAnsi="Arial" w:cs="Arial"/>
          <w:sz w:val="20"/>
        </w:rPr>
        <w:t>this case highlights a serious problem affecting the administration of justice in family law proceedings</w:t>
      </w:r>
      <w:r w:rsidR="000F0BE9">
        <w:rPr>
          <w:rFonts w:ascii="Arial" w:hAnsi="Arial" w:cs="Arial"/>
          <w:sz w:val="20"/>
        </w:rPr>
        <w:t>”</w:t>
      </w:r>
      <w:r>
        <w:rPr>
          <w:rFonts w:ascii="Arial" w:hAnsi="Arial" w:cs="Arial"/>
          <w:sz w:val="20"/>
        </w:rPr>
        <w:t xml:space="preserve">,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t>
      </w:r>
      <w:r w:rsidR="000F0BE9">
        <w:rPr>
          <w:rFonts w:ascii="Arial" w:hAnsi="Arial" w:cs="Arial"/>
          <w:sz w:val="20"/>
        </w:rPr>
        <w:t>“</w:t>
      </w:r>
      <w:r>
        <w:rPr>
          <w:rFonts w:ascii="Arial" w:hAnsi="Arial" w:cs="Arial"/>
          <w:sz w:val="20"/>
        </w:rPr>
        <w:t>women who have suffered serious domestic violence may be unable to present their cases unaided in family law proceedings</w:t>
      </w:r>
      <w:r w:rsidR="000F0BE9">
        <w:rPr>
          <w:rFonts w:ascii="Arial" w:hAnsi="Arial" w:cs="Arial"/>
          <w:sz w:val="20"/>
        </w:rPr>
        <w:t>”</w:t>
      </w:r>
      <w:r>
        <w:rPr>
          <w:rFonts w:ascii="Arial" w:hAnsi="Arial" w:cs="Arial"/>
          <w:sz w:val="20"/>
        </w:rPr>
        <w:t>.  A re-trial was ordered.</w:t>
      </w:r>
    </w:p>
    <w:p w14:paraId="16DBAA8A" w14:textId="77777777" w:rsidR="007A49E9" w:rsidRDefault="007A49E9" w:rsidP="007A49E9">
      <w:pPr>
        <w:jc w:val="both"/>
        <w:rPr>
          <w:rFonts w:ascii="Arial" w:hAnsi="Arial" w:cs="Arial"/>
          <w:color w:val="000000"/>
          <w:sz w:val="20"/>
        </w:rPr>
      </w:pPr>
    </w:p>
    <w:p w14:paraId="042A2EC7" w14:textId="786B4DDC"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r w:rsidR="00FB31EB">
        <w:rPr>
          <w:rFonts w:ascii="Arial" w:hAnsi="Arial" w:cs="Arial"/>
          <w:sz w:val="20"/>
        </w:rPr>
        <w:t xml:space="preserve">  However, see </w:t>
      </w:r>
      <w:r w:rsidR="00FB31EB" w:rsidRPr="00544F20">
        <w:rPr>
          <w:rFonts w:ascii="Arial" w:hAnsi="Arial" w:cs="Arial"/>
          <w:i/>
          <w:sz w:val="20"/>
        </w:rPr>
        <w:t>Weinstein v Medical Practitioners Board of Victoria</w:t>
      </w:r>
      <w:r w:rsidR="00FB31EB">
        <w:rPr>
          <w:rFonts w:ascii="Arial" w:hAnsi="Arial" w:cs="Arial"/>
          <w:sz w:val="20"/>
        </w:rPr>
        <w:t xml:space="preserve"> [2008] VSCA 193.</w:t>
      </w:r>
    </w:p>
    <w:p w14:paraId="61513613" w14:textId="77777777" w:rsidR="004D795E" w:rsidRPr="0040353D" w:rsidRDefault="004D795E" w:rsidP="007A49E9">
      <w:pPr>
        <w:jc w:val="both"/>
        <w:rPr>
          <w:rFonts w:ascii="Arial" w:hAnsi="Arial" w:cs="Arial"/>
          <w:color w:val="000000"/>
          <w:sz w:val="20"/>
        </w:rPr>
      </w:pPr>
    </w:p>
    <w:p w14:paraId="03945012" w14:textId="1AA91B9F" w:rsidR="007A49E9" w:rsidRDefault="007A49E9" w:rsidP="007A49E9">
      <w:pPr>
        <w:jc w:val="both"/>
        <w:rPr>
          <w:rFonts w:ascii="Arial" w:hAnsi="Arial" w:cs="Arial"/>
          <w:sz w:val="20"/>
        </w:rPr>
      </w:pPr>
      <w:r>
        <w:rPr>
          <w:rFonts w:ascii="Arial" w:hAnsi="Arial" w:cs="Arial"/>
          <w:sz w:val="20"/>
        </w:rPr>
        <w:t xml:space="preserve">In a paper entitled </w:t>
      </w:r>
      <w:r w:rsidR="000F0BE9">
        <w:rPr>
          <w:rFonts w:ascii="Arial" w:hAnsi="Arial" w:cs="Arial"/>
          <w:sz w:val="20"/>
        </w:rPr>
        <w:t>“</w:t>
      </w:r>
      <w:r>
        <w:rPr>
          <w:rFonts w:ascii="Arial" w:hAnsi="Arial" w:cs="Arial"/>
          <w:sz w:val="20"/>
        </w:rPr>
        <w:t>Restructuring Child and Family Courts</w:t>
      </w:r>
      <w:r w:rsidR="000F0BE9">
        <w:rPr>
          <w:rFonts w:ascii="Arial" w:hAnsi="Arial" w:cs="Arial"/>
          <w:sz w:val="20"/>
        </w:rPr>
        <w:t>”</w:t>
      </w:r>
      <w:r>
        <w:rPr>
          <w:rFonts w:ascii="Arial" w:hAnsi="Arial" w:cs="Arial"/>
          <w:sz w:val="20"/>
        </w:rPr>
        <w:t xml:space="preserve">, delivered at a conference in </w:t>
      </w:r>
      <w:proofErr w:type="spellStart"/>
      <w:r>
        <w:rPr>
          <w:rFonts w:ascii="Arial" w:hAnsi="Arial" w:cs="Arial"/>
          <w:sz w:val="20"/>
        </w:rPr>
        <w:t>Capetown</w:t>
      </w:r>
      <w:proofErr w:type="spellEnd"/>
      <w:r>
        <w:rPr>
          <w:rFonts w:ascii="Arial" w:hAnsi="Arial" w:cs="Arial"/>
          <w:sz w:val="20"/>
        </w:rPr>
        <w:t>, RSA in April 2003, Judge Coate explained the significant concerns which the Court has about the adversarial model of judicial decision-making in contested Family Division cases:</w:t>
      </w:r>
    </w:p>
    <w:p w14:paraId="6BD07BDB" w14:textId="535BCE54" w:rsidR="007A49E9" w:rsidRDefault="000F0BE9" w:rsidP="006A0F25">
      <w:pPr>
        <w:ind w:left="454" w:right="454"/>
        <w:jc w:val="both"/>
        <w:rPr>
          <w:rFonts w:ascii="Arial" w:hAnsi="Arial" w:cs="Arial"/>
          <w:iCs/>
          <w:sz w:val="20"/>
        </w:rPr>
      </w:pPr>
      <w:r>
        <w:rPr>
          <w:rFonts w:ascii="Arial" w:hAnsi="Arial" w:cs="Arial"/>
          <w:iCs/>
          <w:sz w:val="20"/>
        </w:rPr>
        <w:t>“</w:t>
      </w:r>
      <w:r w:rsidR="007A49E9">
        <w:rPr>
          <w:rFonts w:ascii="Arial" w:hAnsi="Arial" w:cs="Arial"/>
          <w:iCs/>
          <w:sz w:val="20"/>
        </w:rPr>
        <w:t xml:space="preserve">In the </w:t>
      </w:r>
      <w:r w:rsidR="007A49E9">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25316D99"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r w:rsidR="000F0BE9">
        <w:rPr>
          <w:rFonts w:ascii="Arial" w:hAnsi="Arial" w:cs="Arial"/>
          <w:sz w:val="20"/>
        </w:rPr>
        <w:t>”</w:t>
      </w:r>
    </w:p>
    <w:p w14:paraId="0DE4896A" w14:textId="77777777" w:rsidR="007A49E9" w:rsidRDefault="007A49E9" w:rsidP="007A49E9">
      <w:pPr>
        <w:jc w:val="both"/>
        <w:rPr>
          <w:rFonts w:ascii="Arial" w:hAnsi="Arial" w:cs="Arial"/>
          <w:sz w:val="20"/>
        </w:rPr>
      </w:pPr>
    </w:p>
    <w:p w14:paraId="13785AB0" w14:textId="77777777" w:rsidR="007A49E9" w:rsidRDefault="007A49E9" w:rsidP="007A49E9">
      <w:pPr>
        <w:jc w:val="both"/>
        <w:rPr>
          <w:rFonts w:ascii="Arial" w:hAnsi="Arial" w:cs="Arial"/>
          <w:sz w:val="20"/>
        </w:rPr>
      </w:pPr>
      <w:r>
        <w:rPr>
          <w:rFonts w:ascii="Arial" w:hAnsi="Arial" w:cs="Arial"/>
          <w:sz w:val="20"/>
        </w:rPr>
        <w:t xml:space="preserve">In s.532(1) of the CYFA the second of Judge </w:t>
      </w:r>
      <w:proofErr w:type="spellStart"/>
      <w:r>
        <w:rPr>
          <w:rFonts w:ascii="Arial" w:hAnsi="Arial" w:cs="Arial"/>
          <w:sz w:val="20"/>
        </w:rPr>
        <w:t>Coate’s</w:t>
      </w:r>
      <w:proofErr w:type="spellEnd"/>
      <w:r>
        <w:rPr>
          <w:rFonts w:ascii="Arial" w:hAnsi="Arial" w:cs="Arial"/>
          <w:sz w:val="20"/>
        </w:rPr>
        <w:t xml:space="preserve">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w:t>
      </w:r>
      <w:r w:rsidR="00F730A1">
        <w:rPr>
          <w:rFonts w:ascii="Arial" w:hAnsi="Arial" w:cs="Arial"/>
          <w:sz w:val="20"/>
        </w:rPr>
        <w:t>ed</w:t>
      </w:r>
      <w:r>
        <w:rPr>
          <w:rFonts w:ascii="Arial" w:hAnsi="Arial" w:cs="Arial"/>
          <w:sz w:val="20"/>
        </w:rPr>
        <w:t xml:space="preserve"> operative, </w:t>
      </w:r>
      <w:r w:rsidR="00F730A1">
        <w:rPr>
          <w:rFonts w:ascii="Arial" w:hAnsi="Arial" w:cs="Arial"/>
          <w:sz w:val="20"/>
        </w:rPr>
        <w:t>even if</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28" w:name="_3.5.6.3_Section_215B"/>
      <w:bookmarkStart w:id="729" w:name="_3.5.6.3_Management_of"/>
      <w:bookmarkStart w:id="730" w:name="B3563"/>
      <w:bookmarkEnd w:id="728"/>
      <w:bookmarkEnd w:id="729"/>
      <w:bookmarkEnd w:id="730"/>
      <w:r w:rsidRPr="00520380">
        <w:rPr>
          <w:rFonts w:ascii="Arial" w:hAnsi="Arial" w:cs="Arial"/>
          <w:b/>
          <w:sz w:val="20"/>
        </w:rPr>
        <w:lastRenderedPageBreak/>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77777777" w:rsidR="002208A5" w:rsidRPr="002208A5" w:rsidRDefault="00F730A1" w:rsidP="002208A5">
      <w:pPr>
        <w:tabs>
          <w:tab w:val="left" w:pos="363"/>
        </w:tabs>
        <w:spacing w:before="120"/>
        <w:jc w:val="both"/>
        <w:rPr>
          <w:rFonts w:ascii="Arial" w:hAnsi="Arial" w:cs="Arial"/>
          <w:sz w:val="20"/>
          <w:szCs w:val="20"/>
        </w:rPr>
      </w:pPr>
      <w:r>
        <w:rPr>
          <w:rFonts w:ascii="Arial" w:hAnsi="Arial" w:cs="Arial"/>
          <w:color w:val="000000"/>
          <w:sz w:val="20"/>
        </w:rPr>
        <w:t xml:space="preserve">The third of Judge </w:t>
      </w:r>
      <w:proofErr w:type="spellStart"/>
      <w:r>
        <w:rPr>
          <w:rFonts w:ascii="Arial" w:hAnsi="Arial" w:cs="Arial"/>
          <w:color w:val="000000"/>
          <w:sz w:val="20"/>
        </w:rPr>
        <w:t>Coate’s</w:t>
      </w:r>
      <w:proofErr w:type="spellEnd"/>
      <w:r>
        <w:rPr>
          <w:rFonts w:ascii="Arial" w:hAnsi="Arial" w:cs="Arial"/>
          <w:color w:val="000000"/>
          <w:sz w:val="20"/>
        </w:rPr>
        <w:t xml:space="preserve"> concerns has finally been </w:t>
      </w:r>
      <w:r w:rsidR="006F327E">
        <w:rPr>
          <w:rFonts w:ascii="Arial" w:hAnsi="Arial" w:cs="Arial"/>
          <w:color w:val="000000"/>
          <w:sz w:val="20"/>
        </w:rPr>
        <w:t xml:space="preserve">partly </w:t>
      </w:r>
      <w:r>
        <w:rPr>
          <w:rFonts w:ascii="Arial" w:hAnsi="Arial" w:cs="Arial"/>
          <w:color w:val="000000"/>
          <w:sz w:val="20"/>
        </w:rPr>
        <w:t xml:space="preserve">addressed.  </w:t>
      </w:r>
      <w:r w:rsidR="003B68A0">
        <w:rPr>
          <w:rFonts w:ascii="Arial" w:hAnsi="Arial" w:cs="Arial"/>
          <w:color w:val="000000"/>
          <w:sz w:val="20"/>
        </w:rPr>
        <w:t xml:space="preserve">As from 01/12/2013 </w:t>
      </w:r>
      <w:r w:rsidR="00AF3D8D">
        <w:rPr>
          <w:rFonts w:ascii="Arial" w:hAnsi="Arial" w:cs="Arial"/>
          <w:color w:val="000000"/>
          <w:sz w:val="20"/>
        </w:rPr>
        <w:t>s.215B of the CYFA</w:t>
      </w:r>
      <w:r w:rsidR="00AF3D8D" w:rsidRPr="003D4BCE">
        <w:rPr>
          <w:rFonts w:ascii="Arial" w:hAnsi="Arial" w:cs="Arial"/>
          <w:color w:val="000000"/>
          <w:sz w:val="20"/>
        </w:rPr>
        <w:t xml:space="preserve"> 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Watson; </w:t>
      </w:r>
      <w:r w:rsidR="00AB2E5E">
        <w:rPr>
          <w:rFonts w:ascii="Arial" w:hAnsi="Arial" w:cs="Arial"/>
          <w:i/>
          <w:iCs/>
          <w:sz w:val="20"/>
        </w:rPr>
        <w:t xml:space="preserve">Ex </w:t>
      </w:r>
      <w:proofErr w:type="spellStart"/>
      <w:r w:rsidR="00AB2E5E" w:rsidRPr="00741D02">
        <w:rPr>
          <w:rFonts w:ascii="Arial" w:hAnsi="Arial" w:cs="Arial"/>
          <w:i/>
          <w:iCs/>
          <w:sz w:val="20"/>
        </w:rPr>
        <w:t>parte</w:t>
      </w:r>
      <w:proofErr w:type="spellEnd"/>
      <w:r w:rsidR="00AB2E5E" w:rsidRPr="00741D02">
        <w:rPr>
          <w:rFonts w:ascii="Arial" w:hAnsi="Arial" w:cs="Arial"/>
          <w:i/>
          <w:iCs/>
          <w:sz w:val="20"/>
        </w:rPr>
        <w:t xml:space="preserv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77777777"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consider the needs of the child and the impact that the proceeding may have on the child;</w:t>
      </w:r>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6A0F2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w:t>
      </w:r>
      <w:r w:rsidRPr="0058675C">
        <w:rPr>
          <w:rFonts w:ascii="Arial" w:hAnsi="Arial" w:cs="Arial"/>
          <w:i/>
          <w:iCs/>
          <w:color w:val="000000"/>
          <w:sz w:val="20"/>
          <w:lang w:val="en-US"/>
        </w:rPr>
        <w:t>Family Violence Protection Act 2008</w:t>
      </w:r>
      <w:r>
        <w:rPr>
          <w:rFonts w:ascii="Arial" w:hAnsi="Arial" w:cs="Arial"/>
          <w:color w:val="000000"/>
          <w:sz w:val="20"/>
          <w:lang w:val="en-US"/>
        </w:rPr>
        <w:t>;</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685E503"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“Management of child protection proceedings”</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58675C">
        <w:rPr>
          <w:rFonts w:ascii="Arial" w:hAnsi="Arial" w:cs="Arial"/>
          <w:i/>
          <w:iCs/>
          <w:sz w:val="20"/>
          <w:szCs w:val="20"/>
        </w:rPr>
        <w:t>Family Violence Protection Act 2008</w:t>
      </w:r>
      <w:r w:rsidR="003B68A0">
        <w:rPr>
          <w:rFonts w:ascii="Arial" w:hAnsi="Arial" w:cs="Arial"/>
          <w:sz w:val="20"/>
          <w:szCs w:val="20"/>
        </w:rPr>
        <w:t xml:space="preserve"> and the </w:t>
      </w:r>
      <w:r w:rsidR="003B68A0" w:rsidRPr="0058675C">
        <w:rPr>
          <w:rFonts w:ascii="Arial" w:hAnsi="Arial" w:cs="Arial"/>
          <w:i/>
          <w:iCs/>
          <w:sz w:val="20"/>
          <w:szCs w:val="20"/>
        </w:rPr>
        <w:t>Personal Safety Intervention Orders Act 2010</w:t>
      </w:r>
      <w:r w:rsidR="003B68A0">
        <w:rPr>
          <w:rFonts w:ascii="Arial" w:hAnsi="Arial" w:cs="Arial"/>
          <w:sz w:val="20"/>
          <w:szCs w:val="20"/>
        </w:rPr>
        <w:t xml:space="preserve">.  </w:t>
      </w:r>
      <w:r w:rsidR="004C594D">
        <w:rPr>
          <w:rFonts w:ascii="Arial" w:hAnsi="Arial" w:cs="Arial"/>
          <w:sz w:val="20"/>
          <w:szCs w:val="20"/>
        </w:rPr>
        <w:t xml:space="preserve">Under s.36(1) of the </w:t>
      </w:r>
      <w:r w:rsidR="004C594D" w:rsidRPr="0058675C">
        <w:rPr>
          <w:rFonts w:ascii="Arial" w:hAnsi="Arial" w:cs="Arial"/>
          <w:i/>
          <w:iCs/>
          <w:sz w:val="20"/>
          <w:szCs w:val="20"/>
        </w:rPr>
        <w:t>Interpretation of Legislation Act 1984</w:t>
      </w:r>
      <w:r w:rsidR="004C594D">
        <w:rPr>
          <w:rFonts w:ascii="Arial" w:hAnsi="Arial" w:cs="Arial"/>
          <w:sz w:val="20"/>
          <w:szCs w:val="20"/>
        </w:rPr>
        <w:t xml:space="preserve">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58675C">
        <w:rPr>
          <w:rFonts w:ascii="Arial" w:hAnsi="Arial" w:cs="Arial"/>
          <w:i/>
          <w:iCs/>
          <w:sz w:val="20"/>
          <w:szCs w:val="20"/>
        </w:rPr>
        <w:t>Family Violence Protection Act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77777777" w:rsidR="00B45F89" w:rsidRDefault="00B45F89"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31" w:name="_3.5.6.4_Obligation_to"/>
      <w:bookmarkStart w:id="732" w:name="B3564"/>
      <w:bookmarkEnd w:id="731"/>
      <w:bookmarkEnd w:id="732"/>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in ‘best interests’ context</w:t>
      </w:r>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lastRenderedPageBreak/>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proofErr w:type="spellStart"/>
      <w:r w:rsidRPr="00EE4465">
        <w:rPr>
          <w:rFonts w:ascii="Arial" w:hAnsi="Arial" w:cs="Arial"/>
          <w:i/>
          <w:sz w:val="20"/>
          <w:szCs w:val="20"/>
        </w:rPr>
        <w:t>Susteren</w:t>
      </w:r>
      <w:proofErr w:type="spellEnd"/>
      <w:r w:rsidRPr="00EE4465">
        <w:rPr>
          <w:rFonts w:ascii="Arial" w:hAnsi="Arial" w:cs="Arial"/>
          <w:i/>
          <w:sz w:val="20"/>
          <w:szCs w:val="20"/>
        </w:rPr>
        <w:t xml:space="preserve"> v </w:t>
      </w:r>
      <w:proofErr w:type="spellStart"/>
      <w:r w:rsidRPr="00EE4465">
        <w:rPr>
          <w:rFonts w:ascii="Arial" w:hAnsi="Arial" w:cs="Arial"/>
          <w:i/>
          <w:sz w:val="20"/>
          <w:szCs w:val="20"/>
        </w:rPr>
        <w:t>Packaje</w:t>
      </w:r>
      <w:proofErr w:type="spellEnd"/>
      <w:r w:rsidRPr="00EE4465">
        <w:rPr>
          <w:rFonts w:ascii="Arial" w:hAnsi="Arial" w:cs="Arial"/>
          <w:i/>
          <w:sz w:val="20"/>
          <w:szCs w:val="20"/>
        </w:rPr>
        <w:t xml:space="preserv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453F6258"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w:t>
      </w:r>
      <w:proofErr w:type="spellStart"/>
      <w:r>
        <w:rPr>
          <w:rFonts w:ascii="Arial" w:hAnsi="Arial" w:cs="Arial"/>
          <w:sz w:val="20"/>
        </w:rPr>
        <w:t>FamCAFC</w:t>
      </w:r>
      <w:proofErr w:type="spellEnd"/>
      <w:r>
        <w:rPr>
          <w:rFonts w:ascii="Arial" w:hAnsi="Arial" w:cs="Arial"/>
          <w:sz w:val="20"/>
        </w:rPr>
        <w:t xml:space="preserve"> 4; (2008) FLC 93-360; (2008) 38</w:t>
      </w:r>
      <w:r w:rsidR="00B811FD">
        <w:rPr>
          <w:rFonts w:ascii="Arial" w:hAnsi="Arial" w:cs="Arial"/>
          <w:sz w:val="20"/>
        </w:rPr>
        <w:t> </w:t>
      </w:r>
      <w:r w:rsidR="000F0BE9">
        <w:rPr>
          <w:rFonts w:ascii="Arial" w:hAnsi="Arial" w:cs="Arial"/>
          <w:sz w:val="20"/>
        </w:rPr>
        <w:t>I</w:t>
      </w:r>
      <w:r>
        <w:rPr>
          <w:rFonts w:ascii="Arial" w:hAnsi="Arial" w:cs="Arial"/>
          <w:sz w:val="20"/>
        </w:rPr>
        <w:t xml:space="preserve"> LR 614 the Full Court of the Family Court of Australia (Bryant CJ, Kay &amp; </w:t>
      </w:r>
      <w:proofErr w:type="spellStart"/>
      <w:r>
        <w:rPr>
          <w:rFonts w:ascii="Arial" w:hAnsi="Arial" w:cs="Arial"/>
          <w:sz w:val="20"/>
        </w:rPr>
        <w:t>Thackray</w:t>
      </w:r>
      <w:proofErr w:type="spellEnd"/>
      <w:r>
        <w:rPr>
          <w:rFonts w:ascii="Arial" w:hAnsi="Arial" w:cs="Arial"/>
          <w:sz w:val="20"/>
        </w:rPr>
        <w:t xml:space="preserve"> JJ) highlighted at [163] the Family Court’s obligation to accord all of the parties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w:t>
      </w:r>
      <w:proofErr w:type="spellStart"/>
      <w:r w:rsidRPr="00061CF0">
        <w:rPr>
          <w:rFonts w:ascii="Arial" w:hAnsi="Arial" w:cs="Arial"/>
          <w:bCs/>
          <w:i/>
          <w:sz w:val="20"/>
        </w:rPr>
        <w:t>Ludeke</w:t>
      </w:r>
      <w:proofErr w:type="spellEnd"/>
      <w:r w:rsidRPr="00061CF0">
        <w:rPr>
          <w:rFonts w:ascii="Arial" w:hAnsi="Arial" w:cs="Arial"/>
          <w:bCs/>
          <w:i/>
          <w:sz w:val="20"/>
        </w:rPr>
        <w:t xml:space="preserve">; Ex </w:t>
      </w:r>
      <w:proofErr w:type="spellStart"/>
      <w:r w:rsidRPr="00061CF0">
        <w:rPr>
          <w:rFonts w:ascii="Arial" w:hAnsi="Arial" w:cs="Arial"/>
          <w:bCs/>
          <w:i/>
          <w:sz w:val="20"/>
        </w:rPr>
        <w:t>parte</w:t>
      </w:r>
      <w:proofErr w:type="spellEnd"/>
      <w:r w:rsidRPr="00061CF0">
        <w:rPr>
          <w:rFonts w:ascii="Arial" w:hAnsi="Arial" w:cs="Arial"/>
          <w:bCs/>
          <w:i/>
          <w:sz w:val="20"/>
        </w:rPr>
        <w:t xml:space="preserve"> Customs Officers Association of </w:t>
      </w:r>
      <w:smartTag w:uri="urn:schemas-microsoft-com:office:smarttags" w:element="country-region">
        <w:smartTag w:uri="urn:schemas-microsoft-com:office:smarttags" w:element="place">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 xml:space="preserve">Re JRL; Ex </w:t>
      </w:r>
      <w:proofErr w:type="spellStart"/>
      <w:r w:rsidRPr="00061CF0">
        <w:rPr>
          <w:rFonts w:ascii="Arial" w:hAnsi="Arial" w:cs="Arial"/>
          <w:bCs/>
          <w:i/>
          <w:sz w:val="20"/>
        </w:rPr>
        <w:t>parte</w:t>
      </w:r>
      <w:proofErr w:type="spellEnd"/>
      <w:r w:rsidRPr="00061CF0">
        <w:rPr>
          <w:rFonts w:ascii="Arial" w:hAnsi="Arial" w:cs="Arial"/>
          <w:bCs/>
          <w:i/>
          <w:sz w:val="20"/>
        </w:rPr>
        <w:t xml:space="preserve"> CJL</w:t>
      </w:r>
      <w:r>
        <w:rPr>
          <w:rFonts w:ascii="Arial" w:hAnsi="Arial" w:cs="Arial"/>
          <w:bCs/>
          <w:sz w:val="20"/>
        </w:rPr>
        <w:t xml:space="preserve"> (1986) 161 CLR 342; </w:t>
      </w:r>
      <w:r w:rsidRPr="00061CF0">
        <w:rPr>
          <w:rFonts w:ascii="Arial" w:hAnsi="Arial" w:cs="Arial"/>
          <w:bCs/>
          <w:i/>
          <w:sz w:val="20"/>
        </w:rPr>
        <w:t xml:space="preserve">J v </w:t>
      </w:r>
      <w:proofErr w:type="spellStart"/>
      <w:r w:rsidRPr="00061CF0">
        <w:rPr>
          <w:rFonts w:ascii="Arial" w:hAnsi="Arial" w:cs="Arial"/>
          <w:bCs/>
          <w:i/>
          <w:sz w:val="20"/>
        </w:rPr>
        <w:t>Leischke</w:t>
      </w:r>
      <w:proofErr w:type="spellEnd"/>
      <w:r>
        <w:rPr>
          <w:rFonts w:ascii="Arial" w:hAnsi="Arial" w:cs="Arial"/>
          <w:bCs/>
          <w:sz w:val="20"/>
        </w:rPr>
        <w:t xml:space="preserve"> (1987) 162 CLR 447.  The process adopted in the LAT, particularly on Day 1, gives no warrant to compromise fairness and the usual requirements must be met.  These are that 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33" w:name="_Hlk69462753"/>
    </w:p>
    <w:p w14:paraId="444B81A8" w14:textId="77777777" w:rsidR="00365FFA" w:rsidRDefault="00365FFA" w:rsidP="006A0F25">
      <w:pPr>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 xml:space="preserve">Commissioner of Police v </w:t>
      </w:r>
      <w:proofErr w:type="spellStart"/>
      <w:r w:rsidRPr="00365FFA">
        <w:rPr>
          <w:rFonts w:ascii="Arial" w:hAnsi="Arial" w:cs="Arial"/>
          <w:i/>
          <w:sz w:val="20"/>
          <w:szCs w:val="20"/>
          <w:lang w:eastAsia="en-AU"/>
        </w:rPr>
        <w:t>Tanos</w:t>
      </w:r>
      <w:proofErr w:type="spellEnd"/>
      <w:r w:rsidRPr="00365FFA">
        <w:rPr>
          <w:rFonts w:ascii="Arial" w:hAnsi="Arial" w:cs="Arial"/>
          <w:sz w:val="20"/>
          <w:szCs w:val="20"/>
          <w:lang w:eastAsia="en-AU"/>
        </w:rPr>
        <w:t xml:space="preserve"> (1958) 98 CLR 383 at 395, per Dixon CJ and Webb J and </w:t>
      </w:r>
      <w:proofErr w:type="spellStart"/>
      <w:r w:rsidRPr="00365FFA">
        <w:rPr>
          <w:rFonts w:ascii="Arial" w:hAnsi="Arial" w:cs="Arial"/>
          <w:i/>
          <w:sz w:val="20"/>
          <w:szCs w:val="20"/>
          <w:lang w:eastAsia="en-AU"/>
        </w:rPr>
        <w:t>Annetts</w:t>
      </w:r>
      <w:proofErr w:type="spellEnd"/>
      <w:r w:rsidRPr="00365FFA">
        <w:rPr>
          <w:rFonts w:ascii="Arial" w:hAnsi="Arial" w:cs="Arial"/>
          <w:i/>
          <w:sz w:val="20"/>
          <w:szCs w:val="20"/>
          <w:lang w:eastAsia="en-AU"/>
        </w:rPr>
        <w:t xml:space="preserve">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394260D4" w14:textId="0C9A4A55" w:rsidR="00A24DDE" w:rsidRDefault="00A24DDE" w:rsidP="00365FFA">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w:t>
      </w:r>
      <w:r w:rsidRPr="00A24DDE">
        <w:rPr>
          <w:rFonts w:ascii="Arial" w:hAnsi="Arial" w:cs="Arial"/>
          <w:color w:val="000000"/>
          <w:sz w:val="20"/>
          <w:szCs w:val="20"/>
          <w:bdr w:val="none" w:sz="0" w:space="0" w:color="auto" w:frame="1"/>
        </w:rPr>
        <w:lastRenderedPageBreak/>
        <w:t>rules of evidence through a side door or, as Brennan J put it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Deputy Industrial Injuries Commissioner;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Hayward v Minister 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 xml:space="preserve">(1996) 20 </w:t>
      </w:r>
      <w:r w:rsidR="000F0BE9">
        <w:rPr>
          <w:rFonts w:ascii="Arial" w:hAnsi="Arial" w:cs="Arial"/>
          <w:color w:val="000000"/>
          <w:sz w:val="20"/>
          <w:szCs w:val="20"/>
          <w:bdr w:val="none" w:sz="0" w:space="0" w:color="auto" w:frame="1"/>
        </w:rPr>
        <w:t>I</w:t>
      </w:r>
      <w:r w:rsidRPr="00A24DDE">
        <w:rPr>
          <w:rFonts w:ascii="Arial" w:hAnsi="Arial" w:cs="Arial"/>
          <w:color w:val="000000"/>
          <w:sz w:val="20"/>
          <w:szCs w:val="20"/>
          <w:bdr w:val="none" w:sz="0" w:space="0" w:color="auto" w:frame="1"/>
        </w:rPr>
        <w:t xml:space="preserve">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248 per Starke J and 256 per Evatt J; </w:t>
      </w:r>
      <w:proofErr w:type="spellStart"/>
      <w:r w:rsidRPr="00A24DDE">
        <w:rPr>
          <w:rFonts w:ascii="Arial" w:hAnsi="Arial" w:cs="Arial"/>
          <w:i/>
          <w:iCs/>
          <w:color w:val="000000"/>
          <w:sz w:val="20"/>
          <w:szCs w:val="20"/>
          <w:bdr w:val="none" w:sz="0" w:space="0" w:color="auto" w:frame="1"/>
        </w:rPr>
        <w:t>Wajnberg</w:t>
      </w:r>
      <w:proofErr w:type="spellEnd"/>
      <w:r w:rsidRPr="00A24DDE">
        <w:rPr>
          <w:rFonts w:ascii="Arial" w:hAnsi="Arial" w:cs="Arial"/>
          <w:i/>
          <w:iCs/>
          <w:color w:val="000000"/>
          <w:sz w:val="20"/>
          <w:szCs w:val="20"/>
          <w:bdr w:val="none" w:sz="0" w:space="0" w:color="auto" w:frame="1"/>
        </w:rPr>
        <w:t xml:space="preserve">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proofErr w:type="spellStart"/>
      <w:r w:rsidRPr="00A24DDE">
        <w:rPr>
          <w:rFonts w:ascii="Arial" w:hAnsi="Arial" w:cs="Arial"/>
          <w:i/>
          <w:iCs/>
          <w:color w:val="000000"/>
          <w:sz w:val="20"/>
          <w:szCs w:val="20"/>
          <w:bdr w:val="none" w:sz="0" w:space="0" w:color="auto" w:frame="1"/>
        </w:rPr>
        <w:t>Wecker</w:t>
      </w:r>
      <w:proofErr w:type="spellEnd"/>
      <w:r w:rsidRPr="00A24DDE">
        <w:rPr>
          <w:rFonts w:ascii="Arial" w:hAnsi="Arial" w:cs="Arial"/>
          <w:i/>
          <w:iCs/>
          <w:color w:val="000000"/>
          <w:sz w:val="20"/>
          <w:szCs w:val="20"/>
          <w:bdr w:val="none" w:sz="0" w:space="0" w:color="auto" w:frame="1"/>
        </w:rPr>
        <w:t xml:space="preserve">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Barbaro</w:t>
      </w:r>
      <w:proofErr w:type="spellEnd"/>
      <w:r w:rsidRPr="00A24DDE">
        <w:rPr>
          <w:rFonts w:ascii="Arial" w:hAnsi="Arial" w:cs="Arial"/>
          <w:i/>
          <w:iCs/>
          <w:color w:val="000000"/>
          <w:sz w:val="20"/>
          <w:szCs w:val="20"/>
          <w:bdr w:val="none" w:sz="0" w:space="0" w:color="auto" w:frame="1"/>
        </w:rPr>
        <w:t xml:space="preserve">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 </w:t>
      </w:r>
      <w:r w:rsidR="000F0BE9" w:rsidRPr="00A24DDE">
        <w:rPr>
          <w:rFonts w:ascii="Arial" w:hAnsi="Arial" w:cs="Arial"/>
          <w:color w:val="000000"/>
          <w:sz w:val="20"/>
          <w:szCs w:val="20"/>
          <w:bdr w:val="none" w:sz="0" w:space="0" w:color="auto" w:frame="1"/>
        </w:rPr>
        <w:t>D</w:t>
      </w:r>
      <w:r w:rsidRPr="00A24DDE">
        <w:rPr>
          <w:rFonts w:ascii="Arial" w:hAnsi="Arial" w:cs="Arial"/>
          <w:color w:val="000000"/>
          <w:sz w:val="20"/>
          <w:szCs w:val="20"/>
          <w:bdr w:val="none" w:sz="0" w:space="0" w:color="auto" w:frame="1"/>
        </w:rPr>
        <w:t>iscretion.”</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proofErr w:type="spellStart"/>
      <w:r w:rsidRPr="00964079">
        <w:rPr>
          <w:rFonts w:ascii="Arial" w:hAnsi="Arial" w:cs="Arial"/>
          <w:i/>
          <w:sz w:val="20"/>
          <w:szCs w:val="20"/>
        </w:rPr>
        <w:t>Kioa</w:t>
      </w:r>
      <w:proofErr w:type="spellEnd"/>
      <w:r w:rsidRPr="00964079">
        <w:rPr>
          <w:rFonts w:ascii="Arial" w:hAnsi="Arial" w:cs="Arial"/>
          <w:i/>
          <w:sz w:val="20"/>
          <w:szCs w:val="20"/>
        </w:rPr>
        <w:t xml:space="preserve">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7777777"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 xml:space="preserve">J v </w:t>
      </w:r>
      <w:proofErr w:type="spellStart"/>
      <w:r w:rsidR="00964079" w:rsidRPr="00E10917">
        <w:rPr>
          <w:rFonts w:ascii="Arial" w:hAnsi="Arial" w:cs="Arial"/>
          <w:i/>
          <w:sz w:val="20"/>
          <w:szCs w:val="20"/>
          <w:lang w:eastAsia="en-AU"/>
        </w:rPr>
        <w:t>Leischke</w:t>
      </w:r>
      <w:proofErr w:type="spellEnd"/>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 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6A0F25">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5EED60DA" w:rsidR="00A24DDE" w:rsidRPr="00785E1A" w:rsidRDefault="00A24DDE" w:rsidP="006A0F25">
      <w:pPr>
        <w:spacing w:before="60"/>
        <w:ind w:left="567" w:right="567"/>
        <w:contextualSpacing/>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w:t>
      </w:r>
      <w:r w:rsidR="000F0BE9">
        <w:rPr>
          <w:rFonts w:ascii="Arial" w:hAnsi="Arial" w:cs="Arial"/>
          <w:bCs/>
          <w:color w:val="000000"/>
          <w:sz w:val="20"/>
        </w:rPr>
        <w:t>I</w:t>
      </w:r>
      <w:r w:rsidRPr="00785E1A">
        <w:rPr>
          <w:rFonts w:ascii="Arial" w:hAnsi="Arial" w:cs="Arial"/>
          <w:bCs/>
          <w:color w:val="000000"/>
          <w:sz w:val="20"/>
        </w:rPr>
        <w:t xml:space="preserve"> 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t>Re Timothy</w:t>
      </w:r>
      <w:r w:rsidRPr="00785E1A">
        <w:rPr>
          <w:rFonts w:ascii="Arial" w:hAnsi="Arial" w:cs="Arial"/>
          <w:bCs/>
          <w:color w:val="000000"/>
          <w:sz w:val="20"/>
        </w:rPr>
        <w:t xml:space="preserve"> (2010) 43 </w:t>
      </w:r>
      <w:r w:rsidR="000F0BE9">
        <w:rPr>
          <w:rFonts w:ascii="Arial" w:hAnsi="Arial" w:cs="Arial"/>
          <w:bCs/>
          <w:color w:val="000000"/>
          <w:sz w:val="20"/>
        </w:rPr>
        <w:t>I</w:t>
      </w:r>
      <w:r w:rsidRPr="00785E1A">
        <w:rPr>
          <w:rFonts w:ascii="Arial" w:hAnsi="Arial" w:cs="Arial"/>
          <w:bCs/>
          <w:color w:val="000000"/>
          <w:sz w:val="20"/>
        </w:rPr>
        <w:t xml:space="preserve"> LR 234 at [32], a magistrate of the Children’s Court of New South </w:t>
      </w:r>
      <w:r w:rsidRPr="00785E1A">
        <w:rPr>
          <w:rFonts w:ascii="Arial" w:hAnsi="Arial" w:cs="Arial"/>
          <w:bCs/>
          <w:color w:val="000000"/>
          <w:sz w:val="20"/>
        </w:rPr>
        <w:lastRenderedPageBreak/>
        <w:t>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w:t>
      </w:r>
      <w:proofErr w:type="spellStart"/>
      <w:r w:rsidRPr="00785E1A">
        <w:rPr>
          <w:rFonts w:ascii="Arial" w:hAnsi="Arial" w:cs="Arial"/>
          <w:bCs/>
          <w:color w:val="000000"/>
          <w:sz w:val="20"/>
        </w:rPr>
        <w:t>Gummow</w:t>
      </w:r>
      <w:proofErr w:type="spellEnd"/>
      <w:r w:rsidRPr="00785E1A">
        <w:rPr>
          <w:rFonts w:ascii="Arial" w:hAnsi="Arial" w:cs="Arial"/>
          <w:bCs/>
          <w:color w:val="000000"/>
          <w:sz w:val="20"/>
        </w:rPr>
        <w:t xml:space="preserve">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33"/>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 xml:space="preserve">DHHS v Children’s Court of Victoria &amp; </w:t>
      </w:r>
      <w:proofErr w:type="spellStart"/>
      <w:r w:rsidRPr="003361DB">
        <w:rPr>
          <w:rFonts w:ascii="Arial" w:hAnsi="Arial" w:cs="Arial"/>
          <w:i/>
          <w:iCs/>
          <w:color w:val="000000"/>
          <w:sz w:val="20"/>
          <w:szCs w:val="20"/>
        </w:rPr>
        <w:t>Ors</w:t>
      </w:r>
      <w:proofErr w:type="spellEnd"/>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sections </w:t>
      </w:r>
      <w:r w:rsidR="00AE14B6">
        <w:rPr>
          <w:rFonts w:ascii="Arial" w:hAnsi="Arial" w:cs="Arial"/>
          <w:color w:val="000000"/>
          <w:sz w:val="20"/>
          <w:szCs w:val="20"/>
        </w:rPr>
        <w:t>5.2.3</w:t>
      </w:r>
      <w:r w:rsidR="008801D3">
        <w:rPr>
          <w:rFonts w:ascii="Arial" w:hAnsi="Arial" w:cs="Arial"/>
          <w:color w:val="000000"/>
          <w:sz w:val="20"/>
          <w:szCs w:val="20"/>
        </w:rPr>
        <w:t xml:space="preserve">, </w:t>
      </w:r>
      <w:r w:rsidR="00F6173D">
        <w:rPr>
          <w:rFonts w:ascii="Arial" w:hAnsi="Arial" w:cs="Arial"/>
          <w:color w:val="000000"/>
          <w:sz w:val="20"/>
          <w:szCs w:val="20"/>
        </w:rPr>
        <w:t>5.14.2</w:t>
      </w:r>
      <w:r w:rsidR="008801D3">
        <w:rPr>
          <w:rFonts w:ascii="Arial" w:hAnsi="Arial" w:cs="Arial"/>
          <w:color w:val="000000"/>
          <w:sz w:val="20"/>
          <w:szCs w:val="20"/>
        </w:rPr>
        <w:t xml:space="preserve"> &amp; </w:t>
      </w:r>
      <w:r w:rsidR="00F6173D">
        <w:rPr>
          <w:rFonts w:ascii="Arial" w:hAnsi="Arial" w:cs="Arial"/>
          <w:color w:val="000000"/>
          <w:sz w:val="20"/>
          <w:szCs w:val="20"/>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777777"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Secretary, Department of Human Services v 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007526D0" w:rsidRPr="007526D0">
        <w:rPr>
          <w:rFonts w:ascii="Arial" w:hAnsi="Arial" w:cs="Arial"/>
          <w:sz w:val="20"/>
          <w:szCs w:val="20"/>
        </w:rPr>
        <w:t xml:space="preserve"> (1987) 162 CLR 447, 457 (Mason, Wilson, Deane and Dawson 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proofErr w:type="spellStart"/>
      <w:r w:rsidR="007526D0" w:rsidRPr="007526D0">
        <w:rPr>
          <w:rFonts w:ascii="Arial" w:hAnsi="Arial" w:cs="Arial"/>
          <w:i/>
          <w:sz w:val="20"/>
          <w:szCs w:val="20"/>
        </w:rPr>
        <w:t>parte</w:t>
      </w:r>
      <w:proofErr w:type="spellEnd"/>
      <w:r w:rsidR="007526D0" w:rsidRPr="007526D0">
        <w:rPr>
          <w:rFonts w:ascii="Arial" w:hAnsi="Arial" w:cs="Arial"/>
          <w:i/>
          <w:sz w:val="20"/>
          <w:szCs w:val="20"/>
        </w:rPr>
        <w:t xml:space="preserv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77777777"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620D75">
        <w:rPr>
          <w:rFonts w:ascii="Arial" w:hAnsi="Arial" w:cs="Arial"/>
          <w:sz w:val="20"/>
          <w:szCs w:val="20"/>
        </w:rPr>
        <w:t>chapters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t xml:space="preserve">The writer notes with respect that noone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w:t>
      </w:r>
      <w:r>
        <w:rPr>
          <w:rFonts w:ascii="Arial" w:hAnsi="Arial" w:cs="Arial"/>
          <w:color w:val="000000"/>
          <w:sz w:val="20"/>
          <w:lang w:val="en-US"/>
        </w:rPr>
        <w:lastRenderedPageBreak/>
        <w:t xml:space="preserve">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77777777" w:rsidR="007A12D2" w:rsidRDefault="00AB2E5E" w:rsidP="007A12D2">
      <w:pPr>
        <w:jc w:val="both"/>
        <w:rPr>
          <w:rFonts w:ascii="Arial" w:hAnsi="Arial" w:cs="Arial"/>
          <w:sz w:val="20"/>
        </w:rPr>
      </w:pPr>
      <w:r>
        <w:rPr>
          <w:rFonts w:ascii="Arial" w:hAnsi="Arial" w:cs="Arial"/>
          <w:sz w:val="20"/>
        </w:rPr>
        <w:t>See also the detailed discussion of procedural fairness</w:t>
      </w:r>
      <w:r w:rsidR="007B2122">
        <w:rPr>
          <w:rFonts w:ascii="Arial" w:hAnsi="Arial" w:cs="Arial"/>
          <w:sz w:val="20"/>
        </w:rPr>
        <w:t xml:space="preserve">/natural justice </w:t>
      </w:r>
      <w:r w:rsidR="00D721FF">
        <w:rPr>
          <w:rFonts w:ascii="Arial" w:hAnsi="Arial" w:cs="Arial"/>
          <w:sz w:val="20"/>
        </w:rPr>
        <w:t>in section 3.1 above and</w:t>
      </w:r>
      <w:r w:rsidR="00EB0728">
        <w:rPr>
          <w:rFonts w:ascii="Arial" w:hAnsi="Arial" w:cs="Arial"/>
          <w:sz w:val="20"/>
        </w:rPr>
        <w:t xml:space="preserve"> dicta-</w:t>
      </w:r>
    </w:p>
    <w:p w14:paraId="262BDF8C" w14:textId="77777777" w:rsidR="00AB2E5E" w:rsidRDefault="00EB0728" w:rsidP="00D772F0">
      <w:pPr>
        <w:numPr>
          <w:ilvl w:val="0"/>
          <w:numId w:val="37"/>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proofErr w:type="spellStart"/>
      <w:r w:rsidR="00AB2E5E" w:rsidRPr="00EE4465">
        <w:rPr>
          <w:rFonts w:ascii="Arial" w:hAnsi="Arial" w:cs="Arial"/>
          <w:i/>
          <w:sz w:val="20"/>
        </w:rPr>
        <w:t>Macdiggers</w:t>
      </w:r>
      <w:proofErr w:type="spellEnd"/>
      <w:r w:rsidR="00AB2E5E" w:rsidRPr="00EE4465">
        <w:rPr>
          <w:rFonts w:ascii="Arial" w:hAnsi="Arial" w:cs="Arial"/>
          <w:i/>
          <w:sz w:val="20"/>
        </w:rPr>
        <w:t xml:space="preserve"> Pty Ltd v Maria Dickinson and Peter Dickinson</w:t>
      </w:r>
      <w:r w:rsidR="007A12D2">
        <w:rPr>
          <w:rFonts w:ascii="Arial" w:hAnsi="Arial" w:cs="Arial"/>
          <w:sz w:val="20"/>
        </w:rPr>
        <w:t xml:space="preserve"> [2008] VSC 576 at [23]</w:t>
      </w:r>
      <w:r w:rsidR="007A12D2">
        <w:rPr>
          <w:rFonts w:ascii="Arial" w:hAnsi="Arial" w:cs="Arial"/>
          <w:sz w:val="20"/>
        </w:rPr>
        <w:noBreakHyphen/>
        <w:t>28];</w:t>
      </w:r>
    </w:p>
    <w:p w14:paraId="7C2BCC88" w14:textId="77777777" w:rsidR="007A12D2" w:rsidRDefault="00EB0728" w:rsidP="00D772F0">
      <w:pPr>
        <w:numPr>
          <w:ilvl w:val="0"/>
          <w:numId w:val="36"/>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D772F0">
      <w:pPr>
        <w:numPr>
          <w:ilvl w:val="0"/>
          <w:numId w:val="36"/>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A0F25">
      <w:pPr>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 xml:space="preserve">R v </w:t>
      </w:r>
      <w:proofErr w:type="spellStart"/>
      <w:r w:rsidR="006F327E" w:rsidRPr="00C22B69">
        <w:rPr>
          <w:rFonts w:ascii="Arial" w:hAnsi="Arial" w:cs="Arial"/>
          <w:i/>
          <w:sz w:val="20"/>
        </w:rPr>
        <w:t>Kerbaitch</w:t>
      </w:r>
      <w:proofErr w:type="spellEnd"/>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25EECC6D"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 xml:space="preserve">R v </w:t>
      </w:r>
      <w:proofErr w:type="spellStart"/>
      <w:r w:rsidR="00052871" w:rsidRPr="00C15156">
        <w:rPr>
          <w:rFonts w:ascii="Arial" w:hAnsi="Arial" w:cs="Arial"/>
          <w:i/>
          <w:sz w:val="20"/>
        </w:rPr>
        <w:t>Calway</w:t>
      </w:r>
      <w:proofErr w:type="spellEnd"/>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referred to in section 3.5.4 above</w:t>
      </w:r>
      <w:r w:rsidR="00052871">
        <w:rPr>
          <w:rFonts w:ascii="Arial" w:hAnsi="Arial" w:cs="Arial"/>
          <w:sz w:val="20"/>
        </w:rPr>
        <w:t>.  However, since proceedings in the Family Division have similar aims of establishing the truth and ensuring that justice is done as between the individual and the State, it is difficult to see any compelling reason why the State</w:t>
      </w:r>
      <w:r w:rsidR="000F0BE9">
        <w:rPr>
          <w:rFonts w:ascii="Arial" w:hAnsi="Arial" w:cs="Arial"/>
          <w:sz w:val="20"/>
        </w:rPr>
        <w:t>’</w:t>
      </w:r>
      <w:r w:rsidR="00052871">
        <w:rPr>
          <w:rFonts w:ascii="Arial" w:hAnsi="Arial" w:cs="Arial"/>
          <w:sz w:val="20"/>
        </w:rPr>
        <w:t xml:space="preserv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Pr>
          <w:rFonts w:ascii="Arial" w:hAnsi="Arial" w:cs="Arial"/>
          <w:sz w:val="20"/>
        </w:rPr>
        <w:t>section 4.1.6.</w:t>
      </w:r>
    </w:p>
    <w:p w14:paraId="02E88916" w14:textId="77777777" w:rsidR="00C8544F" w:rsidRDefault="00C8544F" w:rsidP="00F603C4">
      <w:pPr>
        <w:jc w:val="both"/>
        <w:rPr>
          <w:rFonts w:ascii="Arial" w:hAnsi="Arial" w:cs="Arial"/>
          <w:sz w:val="20"/>
        </w:rPr>
      </w:pPr>
    </w:p>
    <w:p w14:paraId="2DDFB988" w14:textId="77777777" w:rsidR="00FD5828" w:rsidRDefault="0059119D" w:rsidP="00FD5828">
      <w:pPr>
        <w:pStyle w:val="Heading3"/>
        <w:keepNext/>
        <w:keepLines/>
        <w:spacing w:after="120" w:line="240" w:lineRule="auto"/>
        <w:rPr>
          <w:rFonts w:ascii="Arial" w:hAnsi="Arial" w:cs="Arial"/>
          <w:b/>
          <w:bCs/>
          <w:sz w:val="20"/>
        </w:rPr>
      </w:pPr>
      <w:bookmarkStart w:id="734" w:name="_3.5.7_The_Less"/>
      <w:bookmarkStart w:id="735" w:name="B357"/>
      <w:bookmarkEnd w:id="734"/>
      <w:bookmarkEnd w:id="735"/>
      <w:r>
        <w:rPr>
          <w:rFonts w:ascii="Arial" w:hAnsi="Arial" w:cs="Arial"/>
          <w:b/>
          <w:bCs/>
          <w:sz w:val="20"/>
        </w:rPr>
        <w:t>3.5.7</w:t>
      </w:r>
      <w:r>
        <w:rPr>
          <w:rFonts w:ascii="Arial" w:hAnsi="Arial" w:cs="Arial"/>
          <w:b/>
          <w:bCs/>
          <w:sz w:val="20"/>
        </w:rPr>
        <w:tab/>
        <w:t xml:space="preserve">The </w:t>
      </w:r>
      <w:r w:rsidR="00B301FF">
        <w:rPr>
          <w:rFonts w:ascii="Arial" w:hAnsi="Arial" w:cs="Arial"/>
          <w:b/>
          <w:bCs/>
          <w:sz w:val="20"/>
        </w:rPr>
        <w:t>Less Adversarial Trial approach of the Family Court of Australia</w:t>
      </w:r>
    </w:p>
    <w:p w14:paraId="7ADD5425" w14:textId="77777777" w:rsidR="00F603C4" w:rsidRDefault="00B71F58" w:rsidP="006A0F25">
      <w:pPr>
        <w:spacing w:before="120"/>
        <w:jc w:val="both"/>
        <w:rPr>
          <w:rFonts w:ascii="Arial" w:hAnsi="Arial" w:cs="Arial"/>
          <w:sz w:val="20"/>
        </w:rPr>
      </w:pPr>
      <w:r>
        <w:rPr>
          <w:rFonts w:ascii="Arial" w:hAnsi="Arial" w:cs="Arial"/>
          <w:sz w:val="20"/>
        </w:rPr>
        <w:t xml:space="preserve">Following a successful trial of a pilot known as the Children’s Cases Program – whose aim was to enable disputes about children to be conducted in a less adversarial way – a legislative amendment in 2006 has enabled the Family Court of Australia to apply a less </w:t>
      </w:r>
      <w:r w:rsidR="00F603C4">
        <w:rPr>
          <w:rFonts w:ascii="Arial" w:hAnsi="Arial" w:cs="Arial"/>
          <w:sz w:val="20"/>
        </w:rPr>
        <w:t xml:space="preserve">adversarial approach to </w:t>
      </w:r>
      <w:r w:rsidR="00703F50">
        <w:rPr>
          <w:rFonts w:ascii="Arial" w:hAnsi="Arial" w:cs="Arial"/>
          <w:sz w:val="20"/>
        </w:rPr>
        <w:t xml:space="preserve">Family Court </w:t>
      </w:r>
      <w:r w:rsidR="00F603C4">
        <w:rPr>
          <w:rFonts w:ascii="Arial" w:hAnsi="Arial" w:cs="Arial"/>
          <w:sz w:val="20"/>
        </w:rPr>
        <w:t>hearings</w:t>
      </w:r>
      <w:r w:rsidR="00352572">
        <w:rPr>
          <w:rFonts w:ascii="Arial" w:hAnsi="Arial" w:cs="Arial"/>
          <w:sz w:val="20"/>
        </w:rPr>
        <w:t xml:space="preserve"> </w:t>
      </w:r>
      <w:r w:rsidR="00A2489E">
        <w:rPr>
          <w:rFonts w:ascii="Arial" w:hAnsi="Arial" w:cs="Arial"/>
          <w:sz w:val="20"/>
        </w:rPr>
        <w:t xml:space="preserve">generally </w:t>
      </w:r>
      <w:r w:rsidR="00352572">
        <w:rPr>
          <w:rFonts w:ascii="Arial" w:hAnsi="Arial" w:cs="Arial"/>
          <w:sz w:val="20"/>
        </w:rPr>
        <w:t xml:space="preserve">and </w:t>
      </w:r>
      <w:r>
        <w:rPr>
          <w:rFonts w:ascii="Arial" w:hAnsi="Arial" w:cs="Arial"/>
          <w:sz w:val="20"/>
        </w:rPr>
        <w:t xml:space="preserve">to </w:t>
      </w:r>
      <w:r w:rsidR="00F603C4">
        <w:rPr>
          <w:rFonts w:ascii="Arial" w:hAnsi="Arial" w:cs="Arial"/>
          <w:sz w:val="20"/>
        </w:rPr>
        <w:t xml:space="preserve">develop processes to </w:t>
      </w:r>
      <w:r w:rsidR="00352572">
        <w:rPr>
          <w:rFonts w:ascii="Arial" w:hAnsi="Arial" w:cs="Arial"/>
          <w:sz w:val="20"/>
        </w:rPr>
        <w:t>support</w:t>
      </w:r>
      <w:r w:rsidR="00F603C4">
        <w:rPr>
          <w:rFonts w:ascii="Arial" w:hAnsi="Arial" w:cs="Arial"/>
          <w:sz w:val="20"/>
        </w:rPr>
        <w:t xml:space="preserve"> this less adversarial trial </w:t>
      </w:r>
      <w:r w:rsidR="00B920C1">
        <w:rPr>
          <w:rFonts w:ascii="Arial" w:hAnsi="Arial" w:cs="Arial"/>
          <w:sz w:val="20"/>
        </w:rPr>
        <w:t>approach</w:t>
      </w:r>
      <w:r w:rsidR="00F603C4">
        <w:rPr>
          <w:rFonts w:ascii="Arial" w:hAnsi="Arial" w:cs="Arial"/>
          <w:sz w:val="20"/>
        </w:rPr>
        <w:t xml:space="preserve"> (LAT).  A</w:t>
      </w:r>
      <w:r>
        <w:rPr>
          <w:rFonts w:ascii="Arial" w:hAnsi="Arial" w:cs="Arial"/>
          <w:sz w:val="20"/>
        </w:rPr>
        <w:t> </w:t>
      </w:r>
      <w:r w:rsidR="00F603C4">
        <w:rPr>
          <w:rFonts w:ascii="Arial" w:hAnsi="Arial" w:cs="Arial"/>
          <w:sz w:val="20"/>
        </w:rPr>
        <w:t>detailed discussion of the development of the LAT and the case law which underpins it is contained in Margaret Harrison’s book “</w:t>
      </w:r>
      <w:smartTag w:uri="urn:schemas-microsoft-com:office:smarttags" w:element="address">
        <w:smartTag w:uri="urn:schemas-microsoft-com:office:smarttags" w:element="Street">
          <w:r w:rsidR="00F603C4">
            <w:rPr>
              <w:rFonts w:ascii="Arial" w:hAnsi="Arial" w:cs="Arial"/>
              <w:sz w:val="20"/>
            </w:rPr>
            <w:t>Finding A Better Way</w:t>
          </w:r>
        </w:smartTag>
      </w:smartTag>
      <w:r w:rsidR="00F603C4">
        <w:rPr>
          <w:rFonts w:ascii="Arial" w:hAnsi="Arial" w:cs="Arial"/>
          <w:sz w:val="20"/>
        </w:rPr>
        <w:t>” (Family Court of Australia, April 2007).  In her introduction Ms Harrison describes the LAT as follows:</w:t>
      </w:r>
    </w:p>
    <w:p w14:paraId="17F21A10"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litigation as a whole.  It represents a bold step towards bridging the gap between common law systems of litigation and the European civil law system.  So far as family law is concerned, the change received legislative force with the passage of Division 12A of Part VII of the </w:t>
      </w:r>
      <w:r w:rsidRPr="0058675C">
        <w:rPr>
          <w:rFonts w:ascii="Arial" w:hAnsi="Arial" w:cs="Arial"/>
          <w:i/>
          <w:sz w:val="20"/>
        </w:rPr>
        <w:t>Family Law Act 1975</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 xml:space="preserve">) which was inserted by the </w:t>
      </w:r>
      <w:r w:rsidRPr="0058675C">
        <w:rPr>
          <w:rFonts w:ascii="Arial" w:hAnsi="Arial" w:cs="Arial"/>
          <w:i/>
          <w:sz w:val="20"/>
        </w:rPr>
        <w:t>Family Law Amendment (Shared Parental Responsibility) Act 2006</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w:t>
      </w:r>
    </w:p>
    <w:p w14:paraId="3DDE8CCA"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As a consequence of the new procedures, parties are no longer free to conduct litigation as a forensic war between each other at the expense of the interests of the child.  At the same time the best features of the Court’s highly developed system for medication and resolution of disputes has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Month" w:val="7"/>
          <w:attr w:name="Day" w:val="1"/>
          <w:attr w:name="Year" w:val="2006"/>
        </w:smartTagPr>
        <w:r>
          <w:rPr>
            <w:rFonts w:ascii="Arial" w:hAnsi="Arial" w:cs="Arial"/>
            <w:iCs/>
            <w:sz w:val="20"/>
          </w:rPr>
          <w:t>01/07/2006</w:t>
        </w:r>
      </w:smartTag>
      <w:r>
        <w:rPr>
          <w:rFonts w:ascii="Arial" w:hAnsi="Arial" w:cs="Arial"/>
          <w:iCs/>
          <w:sz w:val="20"/>
        </w:rPr>
        <w:t>.”</w:t>
      </w:r>
    </w:p>
    <w:p w14:paraId="1DCBE4F8" w14:textId="77777777" w:rsidR="00F603C4" w:rsidRDefault="00F603C4" w:rsidP="00F603C4">
      <w:pPr>
        <w:jc w:val="both"/>
        <w:rPr>
          <w:rFonts w:ascii="Arial" w:hAnsi="Arial" w:cs="Arial"/>
          <w:sz w:val="20"/>
        </w:rPr>
      </w:pPr>
    </w:p>
    <w:p w14:paraId="321BD1CA" w14:textId="77777777" w:rsidR="001C6EDC" w:rsidRDefault="009E3793" w:rsidP="00352572">
      <w:pPr>
        <w:jc w:val="both"/>
        <w:rPr>
          <w:rFonts w:ascii="Arial" w:hAnsi="Arial" w:cs="Arial"/>
          <w:sz w:val="20"/>
        </w:rPr>
      </w:pPr>
      <w:r>
        <w:rPr>
          <w:rFonts w:ascii="Arial" w:hAnsi="Arial" w:cs="Arial"/>
          <w:sz w:val="20"/>
        </w:rPr>
        <w:t>However, as Margaret Harrison noted in “</w:t>
      </w:r>
      <w:smartTag w:uri="urn:schemas-microsoft-com:office:smarttags" w:element="address">
        <w:smartTag w:uri="urn:schemas-microsoft-com:office:smarttags" w:element="Street">
          <w:r>
            <w:rPr>
              <w:rFonts w:ascii="Arial" w:hAnsi="Arial" w:cs="Arial"/>
              <w:sz w:val="20"/>
            </w:rPr>
            <w:t>Finding A Better Way</w:t>
          </w:r>
        </w:smartTag>
      </w:smartTag>
      <w:r>
        <w:rPr>
          <w:rFonts w:ascii="Arial" w:hAnsi="Arial" w:cs="Arial"/>
          <w:sz w:val="20"/>
        </w:rPr>
        <w:t>” at p.14:</w:t>
      </w:r>
    </w:p>
    <w:p w14:paraId="704C0819" w14:textId="77777777" w:rsidR="009E3793" w:rsidRDefault="009E3793" w:rsidP="007715F2">
      <w:pPr>
        <w:spacing w:before="60"/>
        <w:ind w:left="454" w:right="454"/>
        <w:jc w:val="both"/>
        <w:rPr>
          <w:rFonts w:ascii="Arial" w:hAnsi="Arial" w:cs="Arial"/>
          <w:iCs/>
          <w:sz w:val="20"/>
        </w:rPr>
      </w:pPr>
      <w:r>
        <w:rPr>
          <w:rFonts w:ascii="Arial" w:hAnsi="Arial" w:cs="Arial"/>
          <w:iCs/>
          <w:sz w:val="20"/>
        </w:rPr>
        <w:t xml:space="preserve">“[T]here was never any suggestion that a complete departure from the traditional adversarial processes in children’s cases would be supported.  The issue was always seen as one of </w:t>
      </w:r>
      <w:r>
        <w:rPr>
          <w:rFonts w:ascii="Arial" w:hAnsi="Arial" w:cs="Arial"/>
          <w:iCs/>
          <w:sz w:val="20"/>
        </w:rPr>
        <w:lastRenderedPageBreak/>
        <w:t xml:space="preserve">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(2001) FLC 93-086 at 88,522…Nicholson CJ, Ellis &amp; Mullane JJ commented that, although proceedings involving the welfare of children are not strictly adversarial in the usual sense, they should not be equated with inquisitorial proceedings, and noted that ‘the Court and its procedures are simply not equipped to conduct inquisitorial proceedings’.”</w:t>
      </w:r>
    </w:p>
    <w:p w14:paraId="2FDF9F7E" w14:textId="77777777" w:rsidR="00685B88" w:rsidRDefault="00685B88" w:rsidP="00685B88">
      <w:pPr>
        <w:jc w:val="both"/>
        <w:rPr>
          <w:rFonts w:ascii="Arial" w:hAnsi="Arial" w:cs="Arial"/>
          <w:sz w:val="20"/>
        </w:rPr>
      </w:pPr>
    </w:p>
    <w:p w14:paraId="30F67AB8" w14:textId="77777777" w:rsidR="007316B8" w:rsidRDefault="007316B8" w:rsidP="00685B88">
      <w:pPr>
        <w:jc w:val="both"/>
        <w:rPr>
          <w:rFonts w:ascii="Arial" w:hAnsi="Arial" w:cs="Arial"/>
          <w:sz w:val="20"/>
        </w:rPr>
      </w:pPr>
      <w:r>
        <w:rPr>
          <w:rFonts w:ascii="Arial" w:hAnsi="Arial" w:cs="Arial"/>
          <w:sz w:val="20"/>
        </w:rPr>
        <w:t>In the 2008-2009 Annual Report of the Family Court of Australia at p.34 it is noted that for many years about 5% of Family Court cases required a judge to make a determination but currently over 11% of the Court’s cases require the judge to make a determination.  The writer wonders whether this is causally related to the court’s move to a less adversarial approach.  If it is, it is probably unexpected.</w:t>
      </w:r>
    </w:p>
    <w:p w14:paraId="7ACEA56E" w14:textId="77777777" w:rsidR="007316B8" w:rsidRDefault="007316B8" w:rsidP="00685B88">
      <w:pPr>
        <w:jc w:val="both"/>
        <w:rPr>
          <w:rFonts w:ascii="Arial" w:hAnsi="Arial" w:cs="Arial"/>
          <w:sz w:val="20"/>
        </w:rPr>
      </w:pPr>
    </w:p>
    <w:p w14:paraId="64AD5CD4" w14:textId="77777777" w:rsidR="00B21DA4" w:rsidRDefault="00B21DA4" w:rsidP="00685B88">
      <w:pPr>
        <w:pStyle w:val="Heading3"/>
        <w:keepNext/>
        <w:keepLines/>
        <w:spacing w:after="120" w:line="240" w:lineRule="auto"/>
        <w:rPr>
          <w:rFonts w:ascii="Arial" w:hAnsi="Arial" w:cs="Arial"/>
          <w:b/>
          <w:bCs/>
          <w:sz w:val="20"/>
        </w:rPr>
      </w:pPr>
      <w:bookmarkStart w:id="736" w:name="_3.5.8_Use_of"/>
      <w:bookmarkStart w:id="737" w:name="B358"/>
      <w:bookmarkEnd w:id="736"/>
      <w:bookmarkEnd w:id="737"/>
      <w:r>
        <w:rPr>
          <w:rFonts w:ascii="Arial" w:hAnsi="Arial" w:cs="Arial"/>
          <w:b/>
          <w:bCs/>
          <w:sz w:val="20"/>
        </w:rPr>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5CE99682" w14:textId="0D9BD51C" w:rsidR="00036D92" w:rsidRDefault="00B21DA4" w:rsidP="006A0F25">
      <w:pPr>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w:t>
      </w:r>
      <w:r w:rsidR="000F0BE9">
        <w:rPr>
          <w:rFonts w:ascii="Arial" w:hAnsi="Arial" w:cs="Arial"/>
          <w:sz w:val="20"/>
        </w:rPr>
        <w:t>’</w:t>
      </w:r>
      <w:r>
        <w:rPr>
          <w:rFonts w:ascii="Arial" w:hAnsi="Arial" w:cs="Arial"/>
          <w:sz w:val="20"/>
        </w:rPr>
        <w:t xml:space="preserve">s Court of Victoria, unreported, 04/02/1999], the Court held that although s.37B of the </w:t>
      </w:r>
      <w:r w:rsidRPr="0058675C">
        <w:rPr>
          <w:rFonts w:ascii="Arial" w:hAnsi="Arial" w:cs="Arial"/>
          <w:i/>
          <w:iCs/>
          <w:sz w:val="20"/>
        </w:rPr>
        <w:t>Evidence Act 1958</w:t>
      </w:r>
      <w:r>
        <w:rPr>
          <w:rFonts w:ascii="Arial" w:hAnsi="Arial" w:cs="Arial"/>
          <w:sz w:val="20"/>
        </w:rPr>
        <w:t xml:space="preserve"> [as amended] and the </w:t>
      </w:r>
      <w:r w:rsidRPr="0058675C">
        <w:rPr>
          <w:rFonts w:ascii="Arial" w:hAnsi="Arial" w:cs="Arial"/>
          <w:i/>
          <w:iCs/>
          <w:sz w:val="20"/>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w:t>
      </w:r>
    </w:p>
    <w:p w14:paraId="182E6FB3" w14:textId="77777777" w:rsidR="00036D92" w:rsidRDefault="00036D92" w:rsidP="002F68AE">
      <w:pPr>
        <w:jc w:val="both"/>
        <w:rPr>
          <w:rFonts w:ascii="Arial" w:hAnsi="Arial" w:cs="Arial"/>
          <w:sz w:val="20"/>
        </w:rPr>
      </w:pPr>
    </w:p>
    <w:p w14:paraId="50916655" w14:textId="6CCB446B" w:rsidR="00036D92" w:rsidRDefault="00734FFF" w:rsidP="002F68AE">
      <w:pPr>
        <w:jc w:val="both"/>
        <w:rPr>
          <w:rFonts w:ascii="Arial" w:hAnsi="Arial" w:cs="Arial"/>
          <w:sz w:val="20"/>
        </w:rPr>
      </w:pPr>
      <w:r>
        <w:rPr>
          <w:rFonts w:ascii="Arial" w:hAnsi="Arial" w:cs="Arial"/>
          <w:sz w:val="20"/>
        </w:rPr>
        <w:t>D</w:t>
      </w:r>
      <w:r w:rsidR="00CF37C4">
        <w:rPr>
          <w:rFonts w:ascii="Arial" w:hAnsi="Arial" w:cs="Arial"/>
          <w:sz w:val="20"/>
        </w:rPr>
        <w:t>espite significant legislative changes</w:t>
      </w:r>
      <w:r>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w:t>
      </w:r>
      <w:r w:rsidR="001217FA">
        <w:rPr>
          <w:rFonts w:ascii="Arial" w:hAnsi="Arial" w:cs="Arial"/>
          <w:sz w:val="20"/>
        </w:rPr>
        <w:t xml:space="preserve">  This is now authorised by s.368A of the </w:t>
      </w:r>
      <w:r w:rsidR="001217FA" w:rsidRPr="0058675C">
        <w:rPr>
          <w:rFonts w:ascii="Arial" w:hAnsi="Arial" w:cs="Arial"/>
          <w:i/>
          <w:iCs/>
          <w:sz w:val="20"/>
        </w:rPr>
        <w:t>Criminal Procedure Act 2009</w:t>
      </w:r>
      <w:r w:rsidR="001217FA">
        <w:rPr>
          <w:rFonts w:ascii="Arial" w:hAnsi="Arial" w:cs="Arial"/>
          <w:sz w:val="20"/>
        </w:rPr>
        <w:t xml:space="preserve"> (inserted by Act 48/2012) and ss.387J-387K (inserted by Act 33/2018).</w:t>
      </w:r>
    </w:p>
    <w:p w14:paraId="72BC2932" w14:textId="77777777" w:rsidR="00036D92" w:rsidRDefault="00036D92" w:rsidP="002F68AE">
      <w:pPr>
        <w:jc w:val="both"/>
        <w:rPr>
          <w:rFonts w:ascii="Arial" w:hAnsi="Arial" w:cs="Arial"/>
          <w:sz w:val="20"/>
        </w:rPr>
      </w:pPr>
    </w:p>
    <w:p w14:paraId="6243850E" w14:textId="6ED82E91" w:rsidR="001217FA" w:rsidRDefault="001217FA" w:rsidP="001217FA">
      <w:pPr>
        <w:jc w:val="both"/>
        <w:rPr>
          <w:rFonts w:ascii="Arial" w:hAnsi="Arial" w:cs="Arial"/>
          <w:sz w:val="20"/>
        </w:rPr>
      </w:pPr>
      <w:r>
        <w:rPr>
          <w:rFonts w:ascii="Arial" w:hAnsi="Arial" w:cs="Arial"/>
          <w:sz w:val="20"/>
        </w:rPr>
        <w:t>Section 367 provides that a witness who is under the age of 18 years or who has a cognitive impairment may give evidence-in-chief (wholly or partly) in the form of a VARE in a criminal proceeding that relates (wholly or partly) to a charge for-</w:t>
      </w:r>
    </w:p>
    <w:p w14:paraId="53544AE4" w14:textId="216B78C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 sexual offence; or</w:t>
      </w:r>
    </w:p>
    <w:p w14:paraId="63CA00BE" w14:textId="77777777" w:rsidR="001217FA" w:rsidRDefault="001217FA" w:rsidP="001217FA">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578B52C9" w14:textId="37BF959F"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an indictable offence which involves an assault on, or injury or a threat of injury to, a person; or</w:t>
      </w:r>
    </w:p>
    <w:p w14:paraId="16F3DA17" w14:textId="1335789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 xml:space="preserve">any offences against ss.23 or 24 of the </w:t>
      </w:r>
      <w:r w:rsidRPr="00A82F40">
        <w:rPr>
          <w:rFonts w:ascii="Arial" w:hAnsi="Arial" w:cs="Arial"/>
          <w:i/>
          <w:iCs/>
          <w:sz w:val="20"/>
        </w:rPr>
        <w:t>Summary Offences Act 1966</w:t>
      </w:r>
      <w:r w:rsidRPr="001217FA">
        <w:rPr>
          <w:rFonts w:ascii="Arial" w:hAnsi="Arial" w:cs="Arial"/>
          <w:sz w:val="20"/>
        </w:rPr>
        <w:t xml:space="preserve"> if those offences are related offences to an offence specified in paragraph (a), (ab) or (b), despite whether any such related offences are withdrawn or dismissed before an offence against ss.23 or 24 is heard and determined.</w:t>
      </w:r>
    </w:p>
    <w:p w14:paraId="24025B81" w14:textId="77777777" w:rsidR="001217FA" w:rsidRDefault="001217FA" w:rsidP="001217FA">
      <w:pPr>
        <w:jc w:val="both"/>
        <w:rPr>
          <w:rFonts w:ascii="Arial" w:hAnsi="Arial" w:cs="Arial"/>
          <w:sz w:val="20"/>
        </w:rPr>
      </w:pPr>
    </w:p>
    <w:p w14:paraId="69CF1232" w14:textId="20464A09" w:rsidR="00734FFF" w:rsidRDefault="001217FA" w:rsidP="002F68AE">
      <w:pPr>
        <w:jc w:val="both"/>
        <w:rPr>
          <w:rFonts w:ascii="Arial" w:hAnsi="Arial" w:cs="Arial"/>
          <w:sz w:val="20"/>
        </w:rPr>
      </w:pPr>
      <w:r>
        <w:rPr>
          <w:rFonts w:ascii="Arial" w:hAnsi="Arial" w:cs="Arial"/>
          <w:sz w:val="20"/>
        </w:rPr>
        <w:t xml:space="preserve">Section 368A provides: </w:t>
      </w:r>
      <w:r w:rsidR="00CF37C4">
        <w:rPr>
          <w:rFonts w:ascii="Arial" w:hAnsi="Arial" w:cs="Arial"/>
          <w:sz w:val="20"/>
        </w:rPr>
        <w:t xml:space="preserve">“A court may order that a recording referred to in s.367 be produced for use in a proceeding (other than a [criminal] proceeding referred to in s.368) before that court if the court is satisfied that it is in the best interests of the witness to do so.”  Section 368A(3)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D772F0">
      <w:pPr>
        <w:numPr>
          <w:ilvl w:val="0"/>
          <w:numId w:val="38"/>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0555F575" w:rsidR="0099353B" w:rsidRDefault="0099353B" w:rsidP="0099353B">
      <w:pPr>
        <w:jc w:val="both"/>
        <w:rPr>
          <w:rFonts w:ascii="Arial" w:hAnsi="Arial" w:cs="Arial"/>
          <w:sz w:val="20"/>
        </w:rPr>
      </w:pPr>
    </w:p>
    <w:p w14:paraId="5BFC94B7" w14:textId="3E1D9A8B" w:rsidR="007C4486" w:rsidRDefault="001217FA" w:rsidP="0099353B">
      <w:pPr>
        <w:jc w:val="both"/>
        <w:rPr>
          <w:rFonts w:ascii="Arial" w:hAnsi="Arial" w:cs="Arial"/>
          <w:sz w:val="20"/>
        </w:rPr>
      </w:pPr>
      <w:r>
        <w:rPr>
          <w:rFonts w:ascii="Arial" w:hAnsi="Arial" w:cs="Arial"/>
          <w:sz w:val="20"/>
        </w:rPr>
        <w:t xml:space="preserve">Further, </w:t>
      </w:r>
      <w:r w:rsidR="007C4486">
        <w:rPr>
          <w:rFonts w:ascii="Arial" w:hAnsi="Arial" w:cs="Arial"/>
          <w:sz w:val="20"/>
        </w:rPr>
        <w:t>there are two additional powers in relation to use of a complainant’s recorded statement which was produced for the purposes of a charge for a family violence offence:</w:t>
      </w:r>
    </w:p>
    <w:p w14:paraId="271E0B61" w14:textId="599564D7" w:rsid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 xml:space="preserve">s.387J provides that a court or tribunal may order that such a recorded statement be produced for use in </w:t>
      </w:r>
      <w:r w:rsidR="00946FDE">
        <w:rPr>
          <w:rFonts w:ascii="Arial" w:hAnsi="Arial" w:cs="Arial"/>
          <w:sz w:val="20"/>
        </w:rPr>
        <w:t>any proceeding – whether or not the proceeding relates to a charge for a family violence offence – if the court or tribunal is satisfied that it is in the interests of justice to do so; and</w:t>
      </w:r>
    </w:p>
    <w:p w14:paraId="534A78E7" w14:textId="408CF701" w:rsidR="00946FDE" w:rsidRPr="007C4486" w:rsidRDefault="00946FDE" w:rsidP="00D772F0">
      <w:pPr>
        <w:pStyle w:val="ListParagraph"/>
        <w:numPr>
          <w:ilvl w:val="0"/>
          <w:numId w:val="49"/>
        </w:numPr>
        <w:ind w:left="357" w:hanging="357"/>
        <w:jc w:val="both"/>
        <w:rPr>
          <w:rFonts w:ascii="Arial" w:hAnsi="Arial" w:cs="Arial"/>
          <w:sz w:val="20"/>
        </w:rPr>
      </w:pPr>
      <w:r>
        <w:rPr>
          <w:rFonts w:ascii="Arial" w:hAnsi="Arial" w:cs="Arial"/>
          <w:sz w:val="20"/>
        </w:rPr>
        <w:t>s.387K(2) provides that such a recorded statement may be used as evidence in a proceeding for a family violence intervention order in the circumstances set out in s.387K(1).</w:t>
      </w:r>
    </w:p>
    <w:p w14:paraId="16846F0D" w14:textId="77777777" w:rsidR="009B2C8B" w:rsidRPr="00834741" w:rsidRDefault="009B2C8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38" w:name="_3.5.9_Production_of"/>
      <w:bookmarkStart w:id="739" w:name="B359"/>
      <w:bookmarkEnd w:id="738"/>
      <w:bookmarkEnd w:id="739"/>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71B2F7BC"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sub-poena.  In the Criminal Division </w:t>
      </w:r>
      <w:r w:rsidR="009A5215" w:rsidRPr="009F25D4">
        <w:rPr>
          <w:rFonts w:ascii="Arial" w:hAnsi="Arial" w:cs="Arial"/>
          <w:color w:val="000000"/>
          <w:sz w:val="20"/>
        </w:rPr>
        <w:t xml:space="preserve">they are usually obtained pursuant to the </w:t>
      </w:r>
      <w:r w:rsidR="001F1C85" w:rsidRPr="009F25D4">
        <w:rPr>
          <w:rFonts w:ascii="Arial" w:hAnsi="Arial" w:cs="Arial"/>
          <w:color w:val="000000"/>
          <w:sz w:val="20"/>
        </w:rPr>
        <w:t xml:space="preserve">“Pre-hearing disclosure” provisions of ss.35-49 &amp; 107-117 of the </w:t>
      </w:r>
      <w:r w:rsidR="001F1C85" w:rsidRPr="00A82F40">
        <w:rPr>
          <w:rFonts w:ascii="Arial" w:hAnsi="Arial" w:cs="Arial"/>
          <w:i/>
          <w:iCs/>
          <w:color w:val="000000"/>
          <w:sz w:val="20"/>
        </w:rPr>
        <w:t xml:space="preserve">Criminal </w:t>
      </w:r>
      <w:r w:rsidR="001F1C85" w:rsidRPr="00A82F40">
        <w:rPr>
          <w:rFonts w:ascii="Arial" w:hAnsi="Arial" w:cs="Arial"/>
          <w:i/>
          <w:iCs/>
          <w:color w:val="000000"/>
          <w:sz w:val="20"/>
        </w:rPr>
        <w:lastRenderedPageBreak/>
        <w:t>Procedure Act 2009</w:t>
      </w:r>
      <w:r w:rsidR="001F1C85" w:rsidRPr="009F25D4">
        <w:rPr>
          <w:rFonts w:ascii="Arial" w:hAnsi="Arial" w:cs="Arial"/>
          <w:color w:val="000000"/>
          <w:sz w:val="20"/>
        </w:rPr>
        <w:t>.  In</w:t>
      </w:r>
      <w:r w:rsidR="008A5C71" w:rsidRPr="009F25D4">
        <w:rPr>
          <w:rFonts w:ascii="Arial" w:hAnsi="Arial" w:cs="Arial"/>
          <w:color w:val="000000"/>
          <w:sz w:val="20"/>
        </w:rPr>
        <w:t>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7777777" w:rsidR="00E47354" w:rsidRPr="009F25D4" w:rsidRDefault="00E47354" w:rsidP="00E47354">
      <w:pPr>
        <w:jc w:val="both"/>
        <w:rPr>
          <w:rFonts w:ascii="Arial" w:hAnsi="Arial" w:cs="Arial"/>
          <w:color w:val="000000"/>
          <w:sz w:val="20"/>
        </w:rPr>
      </w:pPr>
    </w:p>
    <w:p w14:paraId="491C587E" w14:textId="64218CA1" w:rsidR="00E47354" w:rsidRPr="009F25D4" w:rsidRDefault="00E47354" w:rsidP="00E47354">
      <w:pPr>
        <w:pStyle w:val="Heading3"/>
        <w:keepNext/>
        <w:spacing w:line="240" w:lineRule="auto"/>
        <w:rPr>
          <w:rFonts w:ascii="Arial" w:hAnsi="Arial" w:cs="Arial"/>
          <w:b/>
          <w:bCs/>
          <w:color w:val="000000"/>
          <w:sz w:val="20"/>
        </w:rPr>
      </w:pPr>
      <w:bookmarkStart w:id="740" w:name="_3.5.9.1__Production"/>
      <w:bookmarkStart w:id="741" w:name="B3591"/>
      <w:bookmarkEnd w:id="740"/>
      <w:bookmarkEnd w:id="741"/>
      <w:r w:rsidRPr="009F25D4">
        <w:rPr>
          <w:rFonts w:ascii="Arial" w:hAnsi="Arial" w:cs="Arial"/>
          <w:b/>
          <w:bCs/>
          <w:color w:val="000000"/>
          <w:sz w:val="20"/>
        </w:rPr>
        <w:t>3.5.9.1  Production under sub-poena</w:t>
      </w:r>
    </w:p>
    <w:p w14:paraId="5F7BAFF0" w14:textId="2952280B"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 xml:space="preserve">Hodgson v Amcor </w:t>
      </w:r>
      <w:proofErr w:type="gramStart"/>
      <w:r w:rsidRPr="0040353D">
        <w:rPr>
          <w:rFonts w:ascii="Arial" w:hAnsi="Arial" w:cs="Arial"/>
          <w:i/>
          <w:color w:val="000000"/>
          <w:sz w:val="20"/>
        </w:rPr>
        <w:t>Ltd;</w:t>
      </w:r>
      <w:proofErr w:type="gramEnd"/>
      <w:r w:rsidRPr="0040353D">
        <w:rPr>
          <w:rFonts w:ascii="Arial" w:hAnsi="Arial" w:cs="Arial"/>
          <w:i/>
          <w:color w:val="000000"/>
          <w:sz w:val="20"/>
        </w:rPr>
        <w:t xml:space="preserve"> Amcor Ltd v Barnes (No.4)</w:t>
      </w:r>
      <w:r w:rsidRPr="0040353D">
        <w:rPr>
          <w:rFonts w:ascii="Arial" w:hAnsi="Arial" w:cs="Arial"/>
          <w:color w:val="000000"/>
          <w:sz w:val="20"/>
        </w:rPr>
        <w:t xml:space="preserve"> [2011] VSC 269 Vickery J summarized the common law in relation to subpoenas </w:t>
      </w:r>
      <w:r w:rsidR="0059676A">
        <w:rPr>
          <w:rFonts w:ascii="Arial" w:hAnsi="Arial" w:cs="Arial"/>
          <w:color w:val="000000"/>
          <w:sz w:val="20"/>
        </w:rPr>
        <w:t xml:space="preserve">at [57]-[59] </w:t>
      </w:r>
      <w:r w:rsidRPr="0040353D">
        <w:rPr>
          <w:rFonts w:ascii="Arial" w:hAnsi="Arial" w:cs="Arial"/>
          <w:color w:val="000000"/>
          <w:sz w:val="20"/>
        </w:rPr>
        <w:t>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w:t>
      </w:r>
      <w:proofErr w:type="spellStart"/>
      <w:r w:rsidRPr="0040353D">
        <w:rPr>
          <w:rFonts w:ascii="Arial" w:hAnsi="Arial" w:cs="Arial"/>
          <w:color w:val="000000"/>
          <w:sz w:val="20"/>
        </w:rPr>
        <w:t>Moffat</w:t>
      </w:r>
      <w:proofErr w:type="spellEnd"/>
      <w:r w:rsidRPr="0040353D">
        <w:rPr>
          <w:rFonts w:ascii="Arial" w:hAnsi="Arial" w:cs="Arial"/>
          <w:color w:val="000000"/>
          <w:sz w:val="20"/>
        </w:rPr>
        <w:t xml:space="preserve"> PA in </w:t>
      </w:r>
      <w:proofErr w:type="spellStart"/>
      <w:r w:rsidRPr="0040353D">
        <w:rPr>
          <w:rFonts w:ascii="Arial" w:hAnsi="Arial" w:cs="Arial"/>
          <w:i/>
          <w:color w:val="000000"/>
          <w:sz w:val="20"/>
        </w:rPr>
        <w:t>Waind</w:t>
      </w:r>
      <w:proofErr w:type="spellEnd"/>
      <w:r w:rsidRPr="0040353D">
        <w:rPr>
          <w:rFonts w:ascii="Arial" w:hAnsi="Arial" w:cs="Arial"/>
          <w:i/>
          <w:color w:val="000000"/>
          <w:sz w:val="20"/>
        </w:rPr>
        <w:t xml:space="preserve"> v Hill &amp; National Employers Mutual</w:t>
      </w:r>
      <w:r w:rsidRPr="0040353D">
        <w:rPr>
          <w:rFonts w:ascii="Arial" w:hAnsi="Arial" w:cs="Arial"/>
          <w:color w:val="000000"/>
          <w:sz w:val="20"/>
        </w:rPr>
        <w:t xml:space="preserve"> [1978] 1 NSWLR 372 at 381, where his Honour said as follows:</w:t>
      </w:r>
    </w:p>
    <w:p w14:paraId="7103430D" w14:textId="21DC4CEB" w:rsidR="005942F2" w:rsidRPr="0040353D" w:rsidRDefault="005942F2" w:rsidP="005942F2">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as appears in </w:t>
      </w:r>
      <w:proofErr w:type="spellStart"/>
      <w:r w:rsidRPr="0040353D">
        <w:rPr>
          <w:rFonts w:ascii="Arial" w:hAnsi="Arial" w:cs="Arial"/>
          <w:i/>
          <w:color w:val="000000"/>
          <w:sz w:val="20"/>
          <w:szCs w:val="22"/>
        </w:rPr>
        <w:t>Birchett</w:t>
      </w:r>
      <w:r w:rsidR="000F0BE9">
        <w:rPr>
          <w:rFonts w:ascii="Arial" w:hAnsi="Arial" w:cs="Arial"/>
          <w:i/>
          <w:color w:val="000000"/>
          <w:sz w:val="20"/>
          <w:szCs w:val="22"/>
        </w:rPr>
        <w:t>’</w:t>
      </w:r>
      <w:r w:rsidRPr="0040353D">
        <w:rPr>
          <w:rFonts w:ascii="Arial" w:hAnsi="Arial" w:cs="Arial"/>
          <w:i/>
          <w:color w:val="000000"/>
          <w:sz w:val="20"/>
          <w:szCs w:val="22"/>
        </w:rPr>
        <w:t>s</w:t>
      </w:r>
      <w:proofErr w:type="spellEnd"/>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5F3D5021"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proofErr w:type="spellStart"/>
      <w:r w:rsidRPr="0040353D">
        <w:rPr>
          <w:rFonts w:ascii="Arial" w:hAnsi="Arial" w:cs="Arial"/>
          <w:i/>
          <w:color w:val="000000"/>
          <w:sz w:val="20"/>
        </w:rPr>
        <w:t>Waind’s</w:t>
      </w:r>
      <w:proofErr w:type="spellEnd"/>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0059676A">
        <w:rPr>
          <w:rFonts w:ascii="Arial" w:hAnsi="Arial" w:cs="Arial"/>
          <w:color w:val="000000"/>
          <w:sz w:val="20"/>
        </w:rPr>
        <w:t>.”</w:t>
      </w:r>
    </w:p>
    <w:p w14:paraId="45971D31" w14:textId="5CE40EAC" w:rsidR="0057380D" w:rsidRDefault="0057380D" w:rsidP="0057380D">
      <w:pPr>
        <w:jc w:val="both"/>
        <w:rPr>
          <w:rFonts w:ascii="Arial" w:hAnsi="Arial" w:cs="Arial"/>
          <w:color w:val="000000"/>
          <w:sz w:val="20"/>
        </w:rPr>
      </w:pPr>
    </w:p>
    <w:p w14:paraId="3413BAD2" w14:textId="6AEA11CF" w:rsidR="003B3AA1" w:rsidRDefault="003B3AA1" w:rsidP="0057380D">
      <w:pPr>
        <w:jc w:val="both"/>
        <w:rPr>
          <w:rFonts w:ascii="Arial" w:hAnsi="Arial" w:cs="Arial"/>
          <w:color w:val="000000"/>
          <w:sz w:val="20"/>
        </w:rPr>
      </w:pPr>
      <w:r>
        <w:rPr>
          <w:rFonts w:ascii="Arial" w:hAnsi="Arial" w:cs="Arial"/>
          <w:color w:val="000000"/>
          <w:sz w:val="20"/>
        </w:rPr>
        <w:t xml:space="preserve">Part 3.10 of the </w:t>
      </w:r>
      <w:r w:rsidRPr="003B3AA1">
        <w:rPr>
          <w:rFonts w:ascii="Arial" w:hAnsi="Arial" w:cs="Arial"/>
          <w:i/>
          <w:iCs/>
          <w:color w:val="000000"/>
          <w:sz w:val="20"/>
        </w:rPr>
        <w:t>Evidence Act 2008</w:t>
      </w:r>
      <w:r>
        <w:rPr>
          <w:rFonts w:ascii="Arial" w:hAnsi="Arial" w:cs="Arial"/>
          <w:color w:val="000000"/>
          <w:sz w:val="20"/>
        </w:rPr>
        <w:t xml:space="preserve"> (Vic) details various privileges which may be claimed by persons seeking that production of particular documents </w:t>
      </w:r>
      <w:proofErr w:type="gramStart"/>
      <w:r>
        <w:rPr>
          <w:rFonts w:ascii="Arial" w:hAnsi="Arial" w:cs="Arial"/>
          <w:color w:val="000000"/>
          <w:sz w:val="20"/>
        </w:rPr>
        <w:t>not be</w:t>
      </w:r>
      <w:proofErr w:type="gramEnd"/>
      <w:r>
        <w:rPr>
          <w:rFonts w:ascii="Arial" w:hAnsi="Arial" w:cs="Arial"/>
          <w:color w:val="000000"/>
          <w:sz w:val="20"/>
        </w:rPr>
        <w:t xml:space="preserve"> ordered.  Sections 117-126 deal with ‘Client legal privilege’ formerly known as ‘legal professional privilege’.  Section 127 deals with religious confessions.  Sections 128 &amp; 128A deal with privilege in respect of self-incrimination.  Sections 129-131 deals with evidence sought to be ‘excluded in the public interest’, formerly known as ‘public interest immunity’. </w:t>
      </w:r>
    </w:p>
    <w:p w14:paraId="480F98B2" w14:textId="0B9A6576" w:rsidR="003B3AA1" w:rsidRDefault="003B3AA1" w:rsidP="0057380D">
      <w:pPr>
        <w:jc w:val="both"/>
        <w:rPr>
          <w:rFonts w:ascii="Arial" w:hAnsi="Arial" w:cs="Arial"/>
          <w:color w:val="000000"/>
          <w:sz w:val="20"/>
        </w:rPr>
      </w:pPr>
    </w:p>
    <w:p w14:paraId="3D331E48" w14:textId="776DFD56" w:rsidR="003B3AA1" w:rsidRPr="003B3AA1" w:rsidRDefault="003B3AA1" w:rsidP="0057380D">
      <w:pPr>
        <w:jc w:val="both"/>
        <w:rPr>
          <w:rFonts w:ascii="Arial" w:hAnsi="Arial" w:cs="Arial"/>
          <w:color w:val="000000"/>
          <w:sz w:val="20"/>
          <w:szCs w:val="20"/>
        </w:rPr>
      </w:pPr>
      <w:r w:rsidRPr="003B3AA1">
        <w:rPr>
          <w:rFonts w:ascii="Arial" w:hAnsi="Arial" w:cs="Arial"/>
          <w:color w:val="000000"/>
          <w:sz w:val="20"/>
          <w:szCs w:val="20"/>
        </w:rPr>
        <w:t xml:space="preserve">In </w:t>
      </w:r>
      <w:proofErr w:type="spellStart"/>
      <w:r w:rsidRPr="003B3AA1">
        <w:rPr>
          <w:rFonts w:ascii="Arial" w:hAnsi="Arial" w:cs="Arial"/>
          <w:i/>
          <w:iCs/>
          <w:sz w:val="20"/>
          <w:szCs w:val="20"/>
        </w:rPr>
        <w:t>Andrianakis</w:t>
      </w:r>
      <w:proofErr w:type="spellEnd"/>
      <w:r w:rsidRPr="003B3AA1">
        <w:rPr>
          <w:rFonts w:ascii="Arial" w:hAnsi="Arial" w:cs="Arial"/>
          <w:i/>
          <w:iCs/>
          <w:sz w:val="20"/>
          <w:szCs w:val="20"/>
        </w:rPr>
        <w:t xml:space="preserve"> v Uber Technologies Inc &amp; </w:t>
      </w:r>
      <w:proofErr w:type="spellStart"/>
      <w:r w:rsidRPr="003B3AA1">
        <w:rPr>
          <w:rFonts w:ascii="Arial" w:hAnsi="Arial" w:cs="Arial"/>
          <w:i/>
          <w:iCs/>
          <w:sz w:val="20"/>
          <w:szCs w:val="20"/>
        </w:rPr>
        <w:t>Ors</w:t>
      </w:r>
      <w:proofErr w:type="spellEnd"/>
      <w:r w:rsidRPr="003B3AA1">
        <w:rPr>
          <w:rFonts w:ascii="Arial" w:hAnsi="Arial" w:cs="Arial"/>
          <w:i/>
          <w:iCs/>
          <w:sz w:val="20"/>
          <w:szCs w:val="20"/>
        </w:rPr>
        <w:t xml:space="preserve">; Taxi Apps Pty Ltd v Uber Technologies Inc &amp; </w:t>
      </w:r>
      <w:proofErr w:type="spellStart"/>
      <w:r w:rsidRPr="003B3AA1">
        <w:rPr>
          <w:rFonts w:ascii="Arial" w:hAnsi="Arial" w:cs="Arial"/>
          <w:i/>
          <w:iCs/>
          <w:sz w:val="20"/>
          <w:szCs w:val="20"/>
        </w:rPr>
        <w:t>Ors</w:t>
      </w:r>
      <w:proofErr w:type="spellEnd"/>
      <w:r w:rsidRPr="003B3AA1">
        <w:rPr>
          <w:rFonts w:ascii="Arial" w:hAnsi="Arial" w:cs="Arial"/>
          <w:sz w:val="20"/>
          <w:szCs w:val="20"/>
        </w:rPr>
        <w:t xml:space="preserve"> [2022] VSC 196 </w:t>
      </w:r>
      <w:r>
        <w:rPr>
          <w:rFonts w:ascii="Arial" w:hAnsi="Arial" w:cs="Arial"/>
          <w:sz w:val="20"/>
          <w:szCs w:val="20"/>
        </w:rPr>
        <w:t xml:space="preserve">an issue arose in respect of a claim of client legal privilege.  Matthew </w:t>
      </w:r>
      <w:proofErr w:type="spellStart"/>
      <w:r>
        <w:rPr>
          <w:rFonts w:ascii="Arial" w:hAnsi="Arial" w:cs="Arial"/>
          <w:sz w:val="20"/>
          <w:szCs w:val="20"/>
        </w:rPr>
        <w:t>AsJ</w:t>
      </w:r>
      <w:proofErr w:type="spellEnd"/>
      <w:r>
        <w:rPr>
          <w:rFonts w:ascii="Arial" w:hAnsi="Arial" w:cs="Arial"/>
          <w:sz w:val="20"/>
          <w:szCs w:val="20"/>
        </w:rPr>
        <w:t xml:space="preserve"> said </w:t>
      </w:r>
      <w:r w:rsidRPr="003B3AA1">
        <w:rPr>
          <w:rFonts w:ascii="Arial" w:hAnsi="Arial" w:cs="Arial"/>
          <w:sz w:val="20"/>
          <w:szCs w:val="20"/>
        </w:rPr>
        <w:t>at [47]</w:t>
      </w:r>
      <w:r>
        <w:rPr>
          <w:rFonts w:ascii="Arial" w:hAnsi="Arial" w:cs="Arial"/>
          <w:sz w:val="20"/>
          <w:szCs w:val="20"/>
        </w:rPr>
        <w:t>:</w:t>
      </w:r>
    </w:p>
    <w:p w14:paraId="514C566D" w14:textId="47787F33" w:rsidR="0059676A" w:rsidRPr="0059676A" w:rsidRDefault="0059676A" w:rsidP="0059676A">
      <w:pPr>
        <w:spacing w:before="60"/>
        <w:ind w:left="454" w:right="454"/>
        <w:jc w:val="both"/>
        <w:rPr>
          <w:rFonts w:ascii="Arial" w:hAnsi="Arial" w:cs="Arial"/>
          <w:iCs/>
          <w:color w:val="000000"/>
          <w:sz w:val="20"/>
          <w:szCs w:val="20"/>
        </w:rPr>
      </w:pPr>
      <w:r w:rsidRPr="0059676A">
        <w:rPr>
          <w:rFonts w:ascii="Arial" w:hAnsi="Arial" w:cs="Arial"/>
          <w:iCs/>
          <w:color w:val="000000"/>
          <w:sz w:val="20"/>
          <w:szCs w:val="20"/>
        </w:rPr>
        <w:t>“</w:t>
      </w:r>
      <w:r w:rsidRPr="0059676A">
        <w:rPr>
          <w:rFonts w:ascii="Arial" w:hAnsi="Arial" w:cs="Arial"/>
          <w:sz w:val="20"/>
          <w:szCs w:val="20"/>
        </w:rPr>
        <w:t xml:space="preserve">The common law principles inform the content and application of ss 118 and 119: </w:t>
      </w:r>
      <w:proofErr w:type="spellStart"/>
      <w:r w:rsidRPr="0059676A">
        <w:rPr>
          <w:rFonts w:ascii="Arial" w:eastAsia="Book Antiqua" w:hAnsi="Arial" w:cs="Arial"/>
          <w:i/>
          <w:sz w:val="20"/>
          <w:szCs w:val="20"/>
        </w:rPr>
        <w:t>Samenic</w:t>
      </w:r>
      <w:proofErr w:type="spellEnd"/>
      <w:r w:rsidRPr="0059676A">
        <w:rPr>
          <w:rFonts w:ascii="Arial" w:eastAsia="Book Antiqua" w:hAnsi="Arial" w:cs="Arial"/>
          <w:i/>
          <w:sz w:val="20"/>
          <w:szCs w:val="20"/>
        </w:rPr>
        <w:t xml:space="preserve"> Ltd v APM Group (Aust) Pty Ltd </w:t>
      </w:r>
      <w:r w:rsidRPr="0059676A">
        <w:rPr>
          <w:rFonts w:ascii="Arial" w:hAnsi="Arial" w:cs="Arial"/>
          <w:sz w:val="20"/>
          <w:szCs w:val="20"/>
        </w:rPr>
        <w:t>[2011] VSC 194, [19]</w:t>
      </w:r>
      <w:r>
        <w:rPr>
          <w:rFonts w:ascii="Arial" w:hAnsi="Arial" w:cs="Arial"/>
          <w:sz w:val="20"/>
          <w:szCs w:val="20"/>
        </w:rPr>
        <w:t>.</w:t>
      </w:r>
      <w:r w:rsidRPr="0059676A">
        <w:rPr>
          <w:rFonts w:ascii="Arial" w:hAnsi="Arial" w:cs="Arial"/>
          <w:sz w:val="20"/>
          <w:szCs w:val="20"/>
        </w:rPr>
        <w:t xml:space="preserve">  In the context of applying the Evidence Act, in </w:t>
      </w:r>
      <w:r w:rsidRPr="0059676A">
        <w:rPr>
          <w:rFonts w:ascii="Arial" w:eastAsia="Book Antiqua" w:hAnsi="Arial" w:cs="Arial"/>
          <w:i/>
          <w:sz w:val="20"/>
          <w:szCs w:val="20"/>
        </w:rPr>
        <w:t>IOOF Holdings Ltd v Maurice Blackburn Pty Ltd</w:t>
      </w:r>
      <w:r w:rsidRPr="0059676A">
        <w:rPr>
          <w:rFonts w:ascii="Arial" w:hAnsi="Arial" w:cs="Arial"/>
          <w:sz w:val="20"/>
          <w:szCs w:val="20"/>
        </w:rPr>
        <w:t xml:space="preserve"> </w:t>
      </w:r>
      <w:r>
        <w:rPr>
          <w:rFonts w:ascii="Arial" w:hAnsi="Arial" w:cs="Arial"/>
          <w:sz w:val="20"/>
          <w:szCs w:val="20"/>
        </w:rPr>
        <w:t xml:space="preserve">[2016] VSC 311 at [47], </w:t>
      </w:r>
      <w:r w:rsidRPr="0059676A">
        <w:rPr>
          <w:rFonts w:ascii="Arial" w:hAnsi="Arial" w:cs="Arial"/>
          <w:sz w:val="20"/>
          <w:szCs w:val="20"/>
        </w:rPr>
        <w:t xml:space="preserve">Elliott J stated that the principles applicable to privilege </w:t>
      </w:r>
      <w:r>
        <w:rPr>
          <w:rFonts w:ascii="Arial" w:eastAsia="Book Antiqua" w:hAnsi="Arial" w:cs="Arial"/>
          <w:sz w:val="20"/>
          <w:szCs w:val="20"/>
        </w:rPr>
        <w:t>‘</w:t>
      </w:r>
      <w:r w:rsidRPr="0059676A">
        <w:rPr>
          <w:rFonts w:ascii="Arial" w:hAnsi="Arial" w:cs="Arial"/>
          <w:sz w:val="20"/>
          <w:szCs w:val="20"/>
        </w:rPr>
        <w:t>are not controversial</w:t>
      </w:r>
      <w:r>
        <w:rPr>
          <w:rFonts w:ascii="Arial" w:eastAsia="Book Antiqua" w:hAnsi="Arial" w:cs="Arial"/>
          <w:sz w:val="20"/>
          <w:szCs w:val="20"/>
        </w:rPr>
        <w:t>’ and summarised them as follows:</w:t>
      </w:r>
    </w:p>
    <w:p w14:paraId="7773FFE9" w14:textId="77777777"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The party claiming the privilege bears the onus.  That onus will only be discharged if the party establishes facts from which the court may determine that the privilege is being properly claimed. </w:t>
      </w:r>
    </w:p>
    <w:p w14:paraId="382D7FB0" w14:textId="77777777"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eastAsia="Book Antiqua" w:hAnsi="Arial" w:cs="Arial"/>
          <w:sz w:val="16"/>
          <w:szCs w:val="16"/>
        </w:rPr>
        <w:t>“</w:t>
      </w:r>
      <w:r w:rsidRPr="002608AC">
        <w:rPr>
          <w:rFonts w:ascii="Arial" w:hAnsi="Arial" w:cs="Arial"/>
          <w:sz w:val="16"/>
          <w:szCs w:val="16"/>
        </w:rPr>
        <w:t>Purpose</w:t>
      </w:r>
      <w:r w:rsidRPr="002608AC">
        <w:rPr>
          <w:rFonts w:ascii="Arial" w:eastAsia="Book Antiqua" w:hAnsi="Arial" w:cs="Arial"/>
          <w:sz w:val="16"/>
          <w:szCs w:val="16"/>
        </w:rPr>
        <w:t>”</w:t>
      </w:r>
      <w:r w:rsidRPr="002608AC">
        <w:rPr>
          <w:rFonts w:ascii="Arial" w:hAnsi="Arial" w:cs="Arial"/>
          <w:sz w:val="16"/>
          <w:szCs w:val="16"/>
        </w:rPr>
        <w:t xml:space="preserve"> in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means the purpose which led to the creation of the document or the making of the communication. </w:t>
      </w:r>
    </w:p>
    <w:p w14:paraId="44884819" w14:textId="77777777"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The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is the </w:t>
      </w:r>
      <w:proofErr w:type="gramStart"/>
      <w:r w:rsidRPr="002608AC">
        <w:rPr>
          <w:rFonts w:ascii="Arial" w:hAnsi="Arial" w:cs="Arial"/>
          <w:sz w:val="16"/>
          <w:szCs w:val="16"/>
        </w:rPr>
        <w:t>purpose</w:t>
      </w:r>
      <w:proofErr w:type="gramEnd"/>
      <w:r w:rsidRPr="002608AC">
        <w:rPr>
          <w:rFonts w:ascii="Arial" w:hAnsi="Arial" w:cs="Arial"/>
          <w:sz w:val="16"/>
          <w:szCs w:val="16"/>
        </w:rPr>
        <w:t xml:space="preserve"> which was the ruling, prevailing or most influential purpose at the time the document was brought into existence. </w:t>
      </w:r>
    </w:p>
    <w:p w14:paraId="3B42B3A9" w14:textId="5B83638C"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There can be only 1 dominant purpose.  If there are 2 purposes of equal weight, neither fits the description of a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w:t>
      </w:r>
    </w:p>
    <w:p w14:paraId="065A9143" w14:textId="54C5FA91"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lastRenderedPageBreak/>
        <w:t>If a dominant purpose existed, that dominant purpose must be determined objectively, having regard to the evidence, the nature of the document and the parties</w:t>
      </w:r>
      <w:r w:rsidRPr="002608AC">
        <w:rPr>
          <w:rFonts w:ascii="Arial" w:eastAsia="Book Antiqua" w:hAnsi="Arial" w:cs="Arial"/>
          <w:sz w:val="16"/>
          <w:szCs w:val="16"/>
        </w:rPr>
        <w:t>’</w:t>
      </w:r>
      <w:r w:rsidRPr="002608AC">
        <w:rPr>
          <w:rFonts w:ascii="Arial" w:hAnsi="Arial" w:cs="Arial"/>
          <w:sz w:val="16"/>
          <w:szCs w:val="16"/>
        </w:rPr>
        <w:t xml:space="preserve"> submissions.  That said, evidence of the subjective purpose of the person making the communication or creating the document is relevant.</w:t>
      </w:r>
    </w:p>
    <w:p w14:paraId="4A2A77AC" w14:textId="1F17A6C9"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Ordinarily, the relevant purpose is that of the person who brings into existence the document which includes the privileged communication, but this will not always be the case.</w:t>
      </w:r>
    </w:p>
    <w:p w14:paraId="69662E81" w14:textId="28CA2E16"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As the test is directed towards the purpose of bringing the document into existence, a copy of a non-privileged document may be privileged.</w:t>
      </w:r>
    </w:p>
    <w:p w14:paraId="6F56C187" w14:textId="6758E320"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The material relied upon by the person claiming privilege must be focused and specific.  Formulaic and bare conclusory assertions are not sufficient.</w:t>
      </w:r>
    </w:p>
    <w:p w14:paraId="580E4167" w14:textId="3C248C0C"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advice privilege, in considering whether a communication is for the purposes of legal advice, the purposes must be construed broadly.  Although it does not extend to pure commercial advice, legal advice, in this context, includes any advice as to what should prudently and sensibly be done in the </w:t>
      </w:r>
      <w:proofErr w:type="gramStart"/>
      <w:r w:rsidRPr="002608AC">
        <w:rPr>
          <w:rFonts w:ascii="Arial" w:hAnsi="Arial" w:cs="Arial"/>
          <w:sz w:val="16"/>
          <w:szCs w:val="16"/>
        </w:rPr>
        <w:t>particular legal</w:t>
      </w:r>
      <w:proofErr w:type="gramEnd"/>
      <w:r w:rsidRPr="002608AC">
        <w:rPr>
          <w:rFonts w:ascii="Arial" w:hAnsi="Arial" w:cs="Arial"/>
          <w:sz w:val="16"/>
          <w:szCs w:val="16"/>
        </w:rPr>
        <w:t xml:space="preserve"> circumstances in which the client finds itself.</w:t>
      </w:r>
    </w:p>
    <w:p w14:paraId="611D8C03" w14:textId="6F4C0ED5"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Further to subparagraph (9), a document created by a lawyer that records her or his legal work carried out for the benefit of the client, such as a research memorandum, a summary of documents or a chronology, will be protected by privilege </w:t>
      </w:r>
      <w:proofErr w:type="gramStart"/>
      <w:r w:rsidRPr="002608AC">
        <w:rPr>
          <w:rFonts w:ascii="Arial" w:hAnsi="Arial" w:cs="Arial"/>
          <w:sz w:val="16"/>
          <w:szCs w:val="16"/>
        </w:rPr>
        <w:t>whether or not</w:t>
      </w:r>
      <w:proofErr w:type="gramEnd"/>
      <w:r w:rsidRPr="002608AC">
        <w:rPr>
          <w:rFonts w:ascii="Arial" w:hAnsi="Arial" w:cs="Arial"/>
          <w:sz w:val="16"/>
          <w:szCs w:val="16"/>
        </w:rPr>
        <w:t xml:space="preserve"> the document is provided to the client.  Similarly, notes and other material created by the client that relate to the legal advice sought (</w:t>
      </w:r>
      <w:proofErr w:type="gramStart"/>
      <w:r w:rsidRPr="002608AC">
        <w:rPr>
          <w:rFonts w:ascii="Arial" w:hAnsi="Arial" w:cs="Arial"/>
          <w:sz w:val="16"/>
          <w:szCs w:val="16"/>
        </w:rPr>
        <w:t>whether or not</w:t>
      </w:r>
      <w:proofErr w:type="gramEnd"/>
      <w:r w:rsidRPr="002608AC">
        <w:rPr>
          <w:rFonts w:ascii="Arial" w:hAnsi="Arial" w:cs="Arial"/>
          <w:sz w:val="16"/>
          <w:szCs w:val="16"/>
        </w:rPr>
        <w:t xml:space="preserve"> actually communicated to the lawyer), or that relate to communications with the lawyer, may be privileged where such documents meet the relevant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test.</w:t>
      </w:r>
    </w:p>
    <w:p w14:paraId="53E1ED5A" w14:textId="11CD1E94"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litigation privilege, for a proceeding to be </w:t>
      </w:r>
      <w:r w:rsidRPr="002608AC">
        <w:rPr>
          <w:rFonts w:ascii="Arial" w:eastAsia="Book Antiqua" w:hAnsi="Arial" w:cs="Arial"/>
          <w:sz w:val="16"/>
          <w:szCs w:val="16"/>
        </w:rPr>
        <w:t>“</w:t>
      </w:r>
      <w:r w:rsidRPr="002608AC">
        <w:rPr>
          <w:rFonts w:ascii="Arial" w:hAnsi="Arial" w:cs="Arial"/>
          <w:sz w:val="16"/>
          <w:szCs w:val="16"/>
        </w:rPr>
        <w:t>anticipated or pending</w:t>
      </w:r>
      <w:r w:rsidRPr="002608AC">
        <w:rPr>
          <w:rFonts w:ascii="Arial" w:eastAsia="Book Antiqua" w:hAnsi="Arial" w:cs="Arial"/>
          <w:sz w:val="16"/>
          <w:szCs w:val="16"/>
        </w:rPr>
        <w:t>”</w:t>
      </w:r>
      <w:r w:rsidRPr="002608AC">
        <w:rPr>
          <w:rFonts w:ascii="Arial" w:hAnsi="Arial" w:cs="Arial"/>
          <w:sz w:val="16"/>
          <w:szCs w:val="16"/>
        </w:rPr>
        <w:t xml:space="preserve"> for the purposes of s 119, there must be more than a mere possibility of litigation.  </w:t>
      </w:r>
      <w:proofErr w:type="gramStart"/>
      <w:r w:rsidRPr="002608AC">
        <w:rPr>
          <w:rFonts w:ascii="Arial" w:hAnsi="Arial" w:cs="Arial"/>
          <w:sz w:val="16"/>
          <w:szCs w:val="16"/>
        </w:rPr>
        <w:t>As a general rule</w:t>
      </w:r>
      <w:proofErr w:type="gramEnd"/>
      <w:r w:rsidRPr="002608AC">
        <w:rPr>
          <w:rFonts w:ascii="Arial" w:hAnsi="Arial" w:cs="Arial"/>
          <w:sz w:val="16"/>
          <w:szCs w:val="16"/>
        </w:rPr>
        <w:t>, there must be a real prospect of litigation, but it does not have to be more likely than not.</w:t>
      </w:r>
    </w:p>
    <w:p w14:paraId="051AD901" w14:textId="4ED4B603"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Many claims for privilege may be determined by the court without the need to inspect the documents.  Further, ordinarily, the court will not examine the documents if the party claiming privilege has not established a basis for the claim in an affidavit in support.  However, in an appropriate case, the court may examine the documents to </w:t>
      </w:r>
      <w:proofErr w:type="gramStart"/>
      <w:r w:rsidRPr="002608AC">
        <w:rPr>
          <w:rFonts w:ascii="Arial" w:hAnsi="Arial" w:cs="Arial"/>
          <w:sz w:val="16"/>
          <w:szCs w:val="16"/>
        </w:rPr>
        <w:t>make a decision</w:t>
      </w:r>
      <w:proofErr w:type="gramEnd"/>
      <w:r w:rsidRPr="002608AC">
        <w:rPr>
          <w:rFonts w:ascii="Arial" w:hAnsi="Arial" w:cs="Arial"/>
          <w:sz w:val="16"/>
          <w:szCs w:val="16"/>
        </w:rPr>
        <w:t xml:space="preserve"> about privilege, particularly where the parties agree to this course.</w:t>
      </w:r>
    </w:p>
    <w:p w14:paraId="51576250" w14:textId="56D4D3FF"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A law firm or a company may be a </w:t>
      </w:r>
      <w:r w:rsidRPr="002608AC">
        <w:rPr>
          <w:rFonts w:ascii="Arial" w:eastAsia="Book Antiqua" w:hAnsi="Arial" w:cs="Arial"/>
          <w:sz w:val="16"/>
          <w:szCs w:val="16"/>
        </w:rPr>
        <w:t>“</w:t>
      </w:r>
      <w:r w:rsidRPr="002608AC">
        <w:rPr>
          <w:rFonts w:ascii="Arial" w:hAnsi="Arial" w:cs="Arial"/>
          <w:sz w:val="16"/>
          <w:szCs w:val="16"/>
        </w:rPr>
        <w:t>client</w:t>
      </w:r>
      <w:r w:rsidRPr="002608AC">
        <w:rPr>
          <w:rFonts w:ascii="Arial" w:eastAsia="Book Antiqua" w:hAnsi="Arial" w:cs="Arial"/>
          <w:sz w:val="16"/>
          <w:szCs w:val="16"/>
        </w:rPr>
        <w:t>”</w:t>
      </w:r>
      <w:r w:rsidRPr="002608AC">
        <w:rPr>
          <w:rFonts w:ascii="Arial" w:hAnsi="Arial" w:cs="Arial"/>
          <w:sz w:val="16"/>
          <w:szCs w:val="16"/>
        </w:rPr>
        <w:t xml:space="preserve"> if it engages or employs its own employee lawyer, but privilege will only attach to the relevant communication or document if the employee is consulted confidentially in her or his professional capacity, with the requisite degree of independence, in relation to a professional matter.</w:t>
      </w:r>
      <w:r>
        <w:rPr>
          <w:rFonts w:ascii="Arial" w:hAnsi="Arial" w:cs="Arial"/>
          <w:sz w:val="16"/>
          <w:szCs w:val="16"/>
        </w:rPr>
        <w:t>”</w:t>
      </w:r>
    </w:p>
    <w:p w14:paraId="14486BDB" w14:textId="77777777" w:rsidR="003B3AA1" w:rsidRPr="005022CC" w:rsidRDefault="003B3AA1" w:rsidP="0057380D">
      <w:pPr>
        <w:jc w:val="both"/>
        <w:rPr>
          <w:rFonts w:ascii="Arial" w:hAnsi="Arial" w:cs="Arial"/>
          <w:color w:val="000000"/>
          <w:sz w:val="20"/>
        </w:rPr>
      </w:pPr>
    </w:p>
    <w:p w14:paraId="5147B3AC" w14:textId="77777777" w:rsidR="00AB19D9" w:rsidRPr="005022CC" w:rsidRDefault="00AB19D9" w:rsidP="0057380D">
      <w:pPr>
        <w:jc w:val="both"/>
        <w:rPr>
          <w:rFonts w:ascii="Arial" w:hAnsi="Arial" w:cs="Arial"/>
          <w:color w:val="000000"/>
          <w:sz w:val="20"/>
        </w:rPr>
      </w:pPr>
      <w:bookmarkStart w:id="742"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t>
      </w:r>
      <w:proofErr w:type="gramStart"/>
      <w:r w:rsidRPr="005022CC">
        <w:rPr>
          <w:rFonts w:ascii="Arial" w:hAnsi="Arial" w:cs="Arial"/>
          <w:color w:val="000000"/>
          <w:sz w:val="20"/>
          <w:szCs w:val="20"/>
        </w:rPr>
        <w:t>were</w:t>
      </w:r>
      <w:proofErr w:type="gramEnd"/>
      <w:r w:rsidRPr="005022CC">
        <w:rPr>
          <w:rFonts w:ascii="Arial" w:hAnsi="Arial" w:cs="Arial"/>
          <w:color w:val="000000"/>
          <w:sz w:val="20"/>
          <w:szCs w:val="20"/>
        </w:rPr>
        <w:t xml:space="preserv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42"/>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7EF315FF" w14:textId="77777777" w:rsidR="003B3AA1" w:rsidRPr="00DF5439" w:rsidRDefault="003B3AA1" w:rsidP="0057380D">
      <w:pPr>
        <w:jc w:val="both"/>
        <w:rPr>
          <w:rFonts w:ascii="Arial" w:hAnsi="Arial" w:cs="Arial"/>
          <w:color w:val="000000"/>
          <w:sz w:val="20"/>
        </w:rPr>
      </w:pPr>
    </w:p>
    <w:p w14:paraId="6E9D2A28" w14:textId="77777777" w:rsidR="00C45CA7" w:rsidRPr="00DF5439" w:rsidRDefault="00C45CA7" w:rsidP="0057380D">
      <w:pPr>
        <w:jc w:val="both"/>
        <w:rPr>
          <w:rFonts w:ascii="Arial" w:hAnsi="Arial" w:cs="Arial"/>
          <w:color w:val="000000"/>
          <w:sz w:val="20"/>
        </w:rPr>
      </w:pPr>
      <w:r w:rsidRPr="00DF5439">
        <w:rPr>
          <w:rFonts w:ascii="Arial" w:hAnsi="Arial" w:cs="Arial"/>
          <w:color w:val="000000"/>
          <w:sz w:val="20"/>
        </w:rPr>
        <w:t xml:space="preserve">See also the judgments of Kyrou J in </w:t>
      </w:r>
      <w:smartTag w:uri="urn:schemas-microsoft-com:office:smarttags" w:element="place">
        <w:smartTag w:uri="urn:schemas-microsoft-com:office:smarttags" w:element="State">
          <w:r w:rsidRPr="00DF5439">
            <w:rPr>
              <w:rFonts w:ascii="Arial" w:hAnsi="Arial" w:cs="Arial"/>
              <w:i/>
              <w:color w:val="000000"/>
              <w:sz w:val="20"/>
            </w:rPr>
            <w:t>Victoria</w:t>
          </w:r>
        </w:smartTag>
      </w:smartTag>
      <w:r w:rsidRPr="00DF5439">
        <w:rPr>
          <w:rFonts w:ascii="Arial" w:hAnsi="Arial" w:cs="Arial"/>
          <w:i/>
          <w:color w:val="000000"/>
          <w:sz w:val="20"/>
        </w:rPr>
        <w:t xml:space="preserve"> v Lane</w:t>
      </w:r>
      <w:r w:rsidRPr="00DF5439">
        <w:rPr>
          <w:rFonts w:ascii="Arial" w:hAnsi="Arial" w:cs="Arial"/>
          <w:color w:val="000000"/>
          <w:sz w:val="20"/>
        </w:rPr>
        <w:t xml:space="preserve"> [2012] VSC 328 at [17]-[</w:t>
      </w:r>
      <w:r w:rsidRPr="00DF5439">
        <w:rPr>
          <w:rFonts w:ascii="Arial" w:hAnsi="Arial" w:cs="Arial"/>
          <w:color w:val="000000"/>
          <w:sz w:val="20"/>
          <w:szCs w:val="20"/>
        </w:rPr>
        <w:t>21]</w:t>
      </w:r>
      <w:r w:rsidR="00174E0B" w:rsidRPr="00DF5439">
        <w:rPr>
          <w:rFonts w:ascii="Arial" w:hAnsi="Arial" w:cs="Arial"/>
          <w:color w:val="000000"/>
          <w:sz w:val="20"/>
          <w:szCs w:val="20"/>
        </w:rPr>
        <w:t>,</w:t>
      </w:r>
      <w:r w:rsidRPr="00DF5439">
        <w:rPr>
          <w:rFonts w:ascii="Arial" w:hAnsi="Arial" w:cs="Arial"/>
          <w:color w:val="000000"/>
          <w:sz w:val="20"/>
          <w:szCs w:val="20"/>
        </w:rPr>
        <w:t xml:space="preserve"> </w:t>
      </w:r>
      <w:r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VSC 350 at [194]-[224] and </w:t>
      </w:r>
      <w:proofErr w:type="spellStart"/>
      <w:r w:rsidR="00174E0B" w:rsidRPr="00DF5439">
        <w:rPr>
          <w:rFonts w:ascii="Arial" w:hAnsi="Arial" w:cs="Arial"/>
          <w:i/>
          <w:color w:val="000000"/>
          <w:sz w:val="20"/>
          <w:szCs w:val="20"/>
        </w:rPr>
        <w:t>Dolheguy</w:t>
      </w:r>
      <w:proofErr w:type="spellEnd"/>
      <w:r w:rsidR="00174E0B" w:rsidRPr="00DF5439">
        <w:rPr>
          <w:rFonts w:ascii="Arial" w:hAnsi="Arial" w:cs="Arial"/>
          <w:i/>
          <w:color w:val="000000"/>
          <w:sz w:val="20"/>
          <w:szCs w:val="20"/>
        </w:rPr>
        <w:t xml:space="preserve"> v Lane </w:t>
      </w:r>
      <w:r w:rsidR="00174E0B" w:rsidRPr="00DF5439">
        <w:rPr>
          <w:rFonts w:ascii="Arial" w:hAnsi="Arial" w:cs="Arial"/>
          <w:color w:val="000000"/>
          <w:sz w:val="20"/>
          <w:szCs w:val="20"/>
        </w:rPr>
        <w:t>[2012] VSC 328 at [16]-[23].</w:t>
      </w:r>
    </w:p>
    <w:p w14:paraId="1E67235D" w14:textId="77777777" w:rsidR="00AB19D9" w:rsidRPr="00DF5439" w:rsidRDefault="00AB19D9" w:rsidP="0057380D">
      <w:pPr>
        <w:jc w:val="both"/>
        <w:rPr>
          <w:rFonts w:ascii="Arial" w:hAnsi="Arial" w:cs="Arial"/>
          <w:color w:val="000000"/>
          <w:sz w:val="20"/>
        </w:rPr>
      </w:pPr>
    </w:p>
    <w:p w14:paraId="75C470BD" w14:textId="3A44B861" w:rsidR="000F47B2" w:rsidRPr="005022CC" w:rsidRDefault="00704573" w:rsidP="006A0F25">
      <w:pPr>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sub-poena.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w:t>
      </w:r>
      <w:r w:rsidR="000F0BE9">
        <w:rPr>
          <w:rFonts w:ascii="Arial" w:hAnsi="Arial" w:cs="Arial"/>
          <w:color w:val="000000"/>
          <w:sz w:val="20"/>
        </w:rPr>
        <w:t>I</w:t>
      </w:r>
      <w:r w:rsidR="000F47B2" w:rsidRPr="005022CC">
        <w:rPr>
          <w:rFonts w:ascii="Arial" w:hAnsi="Arial" w:cs="Arial"/>
          <w:color w:val="000000"/>
          <w:sz w:val="20"/>
        </w:rPr>
        <w:t xml:space="preserve"> 151 it was held that in proceedings under the </w:t>
      </w:r>
      <w:r w:rsidR="000F47B2" w:rsidRPr="00A82F40">
        <w:rPr>
          <w:rFonts w:ascii="Arial" w:hAnsi="Arial" w:cs="Arial"/>
          <w:i/>
          <w:iCs/>
          <w:color w:val="000000"/>
          <w:sz w:val="20"/>
        </w:rPr>
        <w:t>Children Act 1989</w:t>
      </w:r>
      <w:r w:rsidR="000F47B2" w:rsidRPr="00A82F40">
        <w:rPr>
          <w:rFonts w:ascii="Arial" w:hAnsi="Arial" w:cs="Arial"/>
          <w:color w:val="000000"/>
          <w:sz w:val="20"/>
        </w:rPr>
        <w:t xml:space="preserve">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1749AC3C" w:rsidR="00643564" w:rsidRPr="005022CC" w:rsidRDefault="00A10CDB" w:rsidP="007D4A33">
      <w:pPr>
        <w:keepNext/>
        <w:keepLines/>
        <w:jc w:val="both"/>
        <w:rPr>
          <w:rFonts w:ascii="Arial" w:hAnsi="Arial" w:cs="Arial"/>
          <w:color w:val="000000"/>
          <w:sz w:val="20"/>
          <w:szCs w:val="20"/>
        </w:rPr>
      </w:pPr>
      <w:r w:rsidRPr="005022CC">
        <w:rPr>
          <w:rFonts w:ascii="Arial" w:hAnsi="Arial" w:cs="Arial"/>
          <w:color w:val="000000"/>
          <w:sz w:val="20"/>
          <w:szCs w:val="20"/>
        </w:rPr>
        <w:lastRenderedPageBreak/>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t>
      </w:r>
      <w:r w:rsidR="007D4A33">
        <w:rPr>
          <w:rFonts w:ascii="Arial" w:hAnsi="Arial" w:cs="Arial"/>
          <w:color w:val="000000"/>
          <w:sz w:val="20"/>
          <w:szCs w:val="20"/>
        </w:rPr>
        <w:t>‘</w:t>
      </w:r>
      <w:proofErr w:type="spellStart"/>
      <w:r w:rsidRPr="005022CC">
        <w:rPr>
          <w:rFonts w:ascii="Arial" w:hAnsi="Arial" w:cs="Arial"/>
          <w:color w:val="000000"/>
          <w:sz w:val="20"/>
          <w:szCs w:val="20"/>
        </w:rPr>
        <w:t>whistleblower</w:t>
      </w:r>
      <w:proofErr w:type="spellEnd"/>
      <w:r w:rsidR="007D4A33">
        <w:rPr>
          <w:rFonts w:ascii="Arial" w:hAnsi="Arial" w:cs="Arial"/>
          <w:color w:val="000000"/>
          <w:sz w:val="20"/>
          <w:szCs w:val="20"/>
        </w:rPr>
        <w:t>’</w:t>
      </w:r>
      <w:r w:rsidRPr="005022CC">
        <w:rPr>
          <w:rFonts w:ascii="Arial" w:hAnsi="Arial" w:cs="Arial"/>
          <w:color w:val="000000"/>
          <w:sz w:val="20"/>
          <w:szCs w:val="20"/>
        </w:rPr>
        <w:t xml:space="preserve"> leave to inspect </w:t>
      </w:r>
      <w:r w:rsidR="007D4A33">
        <w:rPr>
          <w:rFonts w:ascii="Arial" w:hAnsi="Arial" w:cs="Arial"/>
          <w:color w:val="000000"/>
          <w:sz w:val="20"/>
          <w:szCs w:val="20"/>
        </w:rPr>
        <w:t>‘</w:t>
      </w:r>
      <w:proofErr w:type="spellStart"/>
      <w:r w:rsidRPr="005022CC">
        <w:rPr>
          <w:rFonts w:ascii="Arial" w:hAnsi="Arial" w:cs="Arial"/>
          <w:color w:val="000000"/>
          <w:sz w:val="20"/>
          <w:szCs w:val="20"/>
        </w:rPr>
        <w:t>Whistleblower</w:t>
      </w:r>
      <w:proofErr w:type="spellEnd"/>
      <w:r w:rsidR="007D4A33">
        <w:rPr>
          <w:rFonts w:ascii="Arial" w:hAnsi="Arial" w:cs="Arial"/>
          <w:color w:val="000000"/>
          <w:sz w:val="20"/>
          <w:szCs w:val="20"/>
        </w:rPr>
        <w:t>’</w:t>
      </w:r>
      <w:r w:rsidRPr="005022CC">
        <w:rPr>
          <w:rFonts w:ascii="Arial" w:hAnsi="Arial" w:cs="Arial"/>
          <w:color w:val="000000"/>
          <w:sz w:val="20"/>
          <w:szCs w:val="20"/>
        </w:rPr>
        <w:t xml:space="preserve"> files held by the respondent, holding at [58]: ”Were a narrower construction [of s.22(1)(a) of the </w:t>
      </w:r>
      <w:proofErr w:type="spellStart"/>
      <w:r w:rsidRPr="005022CC">
        <w:rPr>
          <w:rFonts w:ascii="Arial" w:hAnsi="Arial" w:cs="Arial"/>
          <w:i/>
          <w:color w:val="000000"/>
          <w:sz w:val="20"/>
          <w:szCs w:val="20"/>
        </w:rPr>
        <w:t>Whistleblowers</w:t>
      </w:r>
      <w:proofErr w:type="spellEnd"/>
      <w:r w:rsidRPr="005022CC">
        <w:rPr>
          <w:rFonts w:ascii="Arial" w:hAnsi="Arial" w:cs="Arial"/>
          <w:i/>
          <w:color w:val="000000"/>
          <w:sz w:val="20"/>
          <w:szCs w:val="20"/>
        </w:rPr>
        <w:t xml:space="preserve"> Protection Act 2001</w:t>
      </w:r>
      <w:r w:rsidRPr="005022CC">
        <w:rPr>
          <w:rFonts w:ascii="Arial" w:hAnsi="Arial" w:cs="Arial"/>
          <w:color w:val="000000"/>
          <w:sz w:val="20"/>
          <w:szCs w:val="20"/>
        </w:rPr>
        <w:t xml:space="preserve">] employed, the effect would be to prevent a </w:t>
      </w:r>
      <w:proofErr w:type="spellStart"/>
      <w:r w:rsidRPr="005022CC">
        <w:rPr>
          <w:rFonts w:ascii="Arial" w:hAnsi="Arial" w:cs="Arial"/>
          <w:color w:val="000000"/>
          <w:sz w:val="20"/>
          <w:szCs w:val="20"/>
        </w:rPr>
        <w:t>whistleblower</w:t>
      </w:r>
      <w:proofErr w:type="spellEnd"/>
      <w:r w:rsidRPr="005022CC">
        <w:rPr>
          <w:rFonts w:ascii="Arial" w:hAnsi="Arial" w:cs="Arial"/>
          <w:color w:val="000000"/>
          <w:sz w:val="20"/>
          <w:szCs w:val="20"/>
        </w:rPr>
        <w:t xml:space="preserve">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0215C955" w:rsidR="00F76DC6" w:rsidRPr="0040353D" w:rsidRDefault="00AE14CA" w:rsidP="00E647A9">
      <w:pPr>
        <w:jc w:val="both"/>
        <w:rPr>
          <w:rFonts w:ascii="Arial" w:hAnsi="Arial" w:cs="Arial"/>
          <w:color w:val="000000"/>
          <w:sz w:val="20"/>
        </w:rPr>
      </w:pPr>
      <w:r w:rsidRPr="0040353D">
        <w:rPr>
          <w:rFonts w:ascii="Arial" w:hAnsi="Arial" w:cs="Arial"/>
          <w:color w:val="000000"/>
          <w:sz w:val="20"/>
        </w:rPr>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 xml:space="preserve">R v </w:t>
      </w:r>
      <w:proofErr w:type="spellStart"/>
      <w:r w:rsidR="00704573" w:rsidRPr="0040353D">
        <w:rPr>
          <w:rFonts w:ascii="Arial" w:hAnsi="Arial" w:cs="Arial"/>
          <w:i/>
          <w:color w:val="000000"/>
          <w:sz w:val="20"/>
        </w:rPr>
        <w:t>Mokbel</w:t>
      </w:r>
      <w:proofErr w:type="spellEnd"/>
      <w:r w:rsidR="00704573" w:rsidRPr="0040353D">
        <w:rPr>
          <w:rFonts w:ascii="Arial" w:hAnsi="Arial" w:cs="Arial"/>
          <w:i/>
          <w:color w:val="000000"/>
          <w:sz w:val="20"/>
        </w:rPr>
        <w:t xml:space="preserve">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 xml:space="preserve">R v </w:t>
      </w:r>
      <w:proofErr w:type="spellStart"/>
      <w:r w:rsidR="00EB3275" w:rsidRPr="0040353D">
        <w:rPr>
          <w:rFonts w:ascii="Arial" w:hAnsi="Arial" w:cs="Arial"/>
          <w:i/>
          <w:color w:val="000000"/>
          <w:sz w:val="20"/>
        </w:rPr>
        <w:t>Mokbel</w:t>
      </w:r>
      <w:proofErr w:type="spellEnd"/>
      <w:r w:rsidR="00EB3275" w:rsidRPr="0040353D">
        <w:rPr>
          <w:rFonts w:ascii="Arial" w:hAnsi="Arial" w:cs="Arial"/>
          <w:i/>
          <w:color w:val="000000"/>
          <w:sz w:val="20"/>
        </w:rPr>
        <w:t xml:space="preserve">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 xml:space="preserve">R v Cox &amp; </w:t>
      </w:r>
      <w:proofErr w:type="spellStart"/>
      <w:r w:rsidR="001A32B1" w:rsidRPr="0040353D">
        <w:rPr>
          <w:rFonts w:ascii="Arial" w:hAnsi="Arial" w:cs="Arial"/>
          <w:i/>
          <w:color w:val="000000"/>
          <w:sz w:val="20"/>
        </w:rPr>
        <w:t>Ors</w:t>
      </w:r>
      <w:proofErr w:type="spellEnd"/>
      <w:r w:rsidR="001A32B1" w:rsidRPr="0040353D">
        <w:rPr>
          <w:rFonts w:ascii="Arial" w:hAnsi="Arial" w:cs="Arial"/>
          <w:i/>
          <w:color w:val="000000"/>
          <w:sz w:val="20"/>
        </w:rPr>
        <w:t xml:space="preserve">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documents were withheld from a party to the litigation. </w:t>
      </w:r>
      <w:r w:rsidR="005C1A86" w:rsidRPr="0040353D">
        <w:rPr>
          <w:rFonts w:ascii="Arial" w:hAnsi="Arial" w:cs="Arial"/>
          <w:color w:val="000000"/>
          <w:sz w:val="20"/>
        </w:rPr>
        <w:t>See also</w:t>
      </w:r>
      <w:r w:rsidR="005C1A86" w:rsidRPr="0040353D">
        <w:rPr>
          <w:rFonts w:ascii="Arial" w:hAnsi="Arial" w:cs="Arial"/>
          <w:i/>
          <w:color w:val="000000"/>
          <w:sz w:val="20"/>
        </w:rPr>
        <w:t xml:space="preserve"> R v </w:t>
      </w:r>
      <w:proofErr w:type="spellStart"/>
      <w:r w:rsidR="005C1A86" w:rsidRPr="0040353D">
        <w:rPr>
          <w:rFonts w:ascii="Arial" w:hAnsi="Arial" w:cs="Arial"/>
          <w:i/>
          <w:color w:val="000000"/>
          <w:sz w:val="20"/>
        </w:rPr>
        <w:t>Saleam</w:t>
      </w:r>
      <w:proofErr w:type="spellEnd"/>
      <w:r w:rsidR="005C1A86" w:rsidRPr="0040353D">
        <w:rPr>
          <w:rFonts w:ascii="Arial" w:hAnsi="Arial" w:cs="Arial"/>
          <w:color w:val="000000"/>
          <w:sz w:val="20"/>
        </w:rPr>
        <w:t xml:space="preserve"> (1989) 16 NSWLR 14 at 16 </w:t>
      </w:r>
      <w:r w:rsidR="005C1A86" w:rsidRPr="0040353D">
        <w:rPr>
          <w:rFonts w:ascii="Arial" w:hAnsi="Arial" w:cs="Arial"/>
          <w:i/>
          <w:color w:val="000000"/>
          <w:sz w:val="20"/>
        </w:rPr>
        <w:t>et seq</w:t>
      </w:r>
      <w:r w:rsidR="005C1A86" w:rsidRPr="0040353D">
        <w:rPr>
          <w:rFonts w:ascii="Arial" w:hAnsi="Arial" w:cs="Arial"/>
          <w:color w:val="000000"/>
          <w:sz w:val="20"/>
        </w:rPr>
        <w:t xml:space="preserve"> where Hunt J discussed the question of legitimate forensic purpose</w:t>
      </w:r>
      <w:r w:rsidR="002D3459">
        <w:rPr>
          <w:rFonts w:ascii="Arial" w:hAnsi="Arial" w:cs="Arial"/>
          <w:color w:val="000000"/>
          <w:sz w:val="20"/>
        </w:rPr>
        <w:t>,</w:t>
      </w:r>
      <w:r w:rsidR="005C1A86" w:rsidRPr="0040353D">
        <w:rPr>
          <w:rFonts w:ascii="Arial" w:hAnsi="Arial" w:cs="Arial"/>
          <w:color w:val="000000"/>
          <w:sz w:val="20"/>
        </w:rPr>
        <w:t xml:space="preserve"> </w:t>
      </w:r>
      <w:r w:rsidR="005C1A86" w:rsidRPr="0040353D">
        <w:rPr>
          <w:rFonts w:ascii="Arial" w:hAnsi="Arial" w:cs="Arial"/>
          <w:i/>
          <w:color w:val="000000"/>
          <w:sz w:val="20"/>
        </w:rPr>
        <w:t>Alister v The Queen</w:t>
      </w:r>
      <w:r w:rsidR="005C1A86" w:rsidRPr="0040353D">
        <w:rPr>
          <w:rFonts w:ascii="Arial" w:hAnsi="Arial" w:cs="Arial"/>
          <w:color w:val="000000"/>
          <w:sz w:val="20"/>
        </w:rPr>
        <w:t xml:space="preserve"> </w:t>
      </w:r>
      <w:r w:rsidR="00040891" w:rsidRPr="0040353D">
        <w:rPr>
          <w:rFonts w:ascii="Arial" w:hAnsi="Arial" w:cs="Arial"/>
          <w:color w:val="000000"/>
          <w:sz w:val="20"/>
        </w:rPr>
        <w:t>(1984) 154 CLR 404 at 414</w:t>
      </w:r>
      <w:r w:rsidR="00D92063" w:rsidRPr="0040353D">
        <w:rPr>
          <w:rFonts w:ascii="Arial" w:hAnsi="Arial" w:cs="Arial"/>
          <w:color w:val="000000"/>
          <w:sz w:val="20"/>
        </w:rPr>
        <w:t xml:space="preserve"> where Gibbs CJ enunciated his </w:t>
      </w:r>
      <w:r w:rsidR="00040891" w:rsidRPr="0040353D">
        <w:rPr>
          <w:rFonts w:ascii="Arial" w:hAnsi="Arial" w:cs="Arial"/>
          <w:color w:val="000000"/>
          <w:sz w:val="20"/>
        </w:rPr>
        <w:t xml:space="preserve">well-known test that the judge </w:t>
      </w:r>
      <w:r w:rsidR="00D92063" w:rsidRPr="0040353D">
        <w:rPr>
          <w:rFonts w:ascii="Arial" w:hAnsi="Arial" w:cs="Arial"/>
          <w:color w:val="000000"/>
          <w:sz w:val="20"/>
        </w:rPr>
        <w:t xml:space="preserve">must be satisfied that it is </w:t>
      </w:r>
      <w:r w:rsidR="00040891" w:rsidRPr="0040353D">
        <w:rPr>
          <w:rFonts w:ascii="Arial" w:hAnsi="Arial" w:cs="Arial"/>
          <w:color w:val="000000"/>
          <w:sz w:val="20"/>
        </w:rPr>
        <w:t>“</w:t>
      </w:r>
      <w:r w:rsidR="00D92063" w:rsidRPr="0040353D">
        <w:rPr>
          <w:rFonts w:ascii="Arial" w:hAnsi="Arial" w:cs="Arial"/>
          <w:b/>
          <w:color w:val="000000"/>
          <w:sz w:val="20"/>
        </w:rPr>
        <w:t>on the cards</w:t>
      </w:r>
      <w:r w:rsidR="00040891" w:rsidRPr="0040353D">
        <w:rPr>
          <w:rFonts w:ascii="Arial" w:hAnsi="Arial" w:cs="Arial"/>
          <w:color w:val="000000"/>
          <w:sz w:val="20"/>
        </w:rPr>
        <w:t>” that the documents sought</w:t>
      </w:r>
      <w:r w:rsidR="00D92063" w:rsidRPr="0040353D">
        <w:rPr>
          <w:rFonts w:ascii="Arial" w:hAnsi="Arial" w:cs="Arial"/>
          <w:color w:val="000000"/>
          <w:sz w:val="20"/>
        </w:rPr>
        <w:t xml:space="preserve"> w</w:t>
      </w:r>
      <w:r w:rsidR="00040891" w:rsidRPr="0040353D">
        <w:rPr>
          <w:rFonts w:ascii="Arial" w:hAnsi="Arial" w:cs="Arial"/>
          <w:color w:val="000000"/>
          <w:sz w:val="20"/>
        </w:rPr>
        <w:t>ill</w:t>
      </w:r>
      <w:r w:rsidR="00D92063" w:rsidRPr="0040353D">
        <w:rPr>
          <w:rFonts w:ascii="Arial" w:hAnsi="Arial" w:cs="Arial"/>
          <w:color w:val="000000"/>
          <w:sz w:val="20"/>
        </w:rPr>
        <w:t xml:space="preserve"> materially ass</w:t>
      </w:r>
      <w:r w:rsidR="00040891" w:rsidRPr="0040353D">
        <w:rPr>
          <w:rFonts w:ascii="Arial" w:hAnsi="Arial" w:cs="Arial"/>
          <w:color w:val="000000"/>
          <w:sz w:val="20"/>
        </w:rPr>
        <w:t>ist the accused in his defence</w:t>
      </w:r>
      <w:r w:rsidR="002D3459">
        <w:rPr>
          <w:rFonts w:ascii="Arial" w:hAnsi="Arial" w:cs="Arial"/>
          <w:color w:val="000000"/>
          <w:sz w:val="20"/>
        </w:rPr>
        <w:t xml:space="preserve"> and </w:t>
      </w:r>
      <w:proofErr w:type="spellStart"/>
      <w:r w:rsidR="002D3459" w:rsidRPr="002D3459">
        <w:rPr>
          <w:rFonts w:ascii="Arial" w:hAnsi="Arial" w:cs="Arial"/>
          <w:i/>
          <w:iCs/>
          <w:color w:val="000000"/>
          <w:sz w:val="20"/>
        </w:rPr>
        <w:t>Zirilli</w:t>
      </w:r>
      <w:proofErr w:type="spellEnd"/>
      <w:r w:rsidR="002D3459" w:rsidRPr="002D3459">
        <w:rPr>
          <w:rFonts w:ascii="Arial" w:hAnsi="Arial" w:cs="Arial"/>
          <w:i/>
          <w:iCs/>
          <w:color w:val="000000"/>
          <w:sz w:val="20"/>
        </w:rPr>
        <w:t xml:space="preserve"> v The Queen </w:t>
      </w:r>
      <w:r w:rsidR="002D3459">
        <w:rPr>
          <w:rFonts w:ascii="Arial" w:hAnsi="Arial" w:cs="Arial"/>
          <w:color w:val="000000"/>
          <w:sz w:val="20"/>
        </w:rPr>
        <w:t>[2021] VSCA 174.</w:t>
      </w:r>
    </w:p>
    <w:p w14:paraId="5165C172" w14:textId="12758029"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t xml:space="preserve">In </w:t>
      </w:r>
      <w:proofErr w:type="spellStart"/>
      <w:r w:rsidRPr="0040353D">
        <w:rPr>
          <w:rFonts w:ascii="Arial" w:hAnsi="Arial" w:cs="Arial"/>
          <w:i/>
          <w:color w:val="000000"/>
          <w:sz w:val="20"/>
        </w:rPr>
        <w:t>Ragg</w:t>
      </w:r>
      <w:proofErr w:type="spellEnd"/>
      <w:r w:rsidRPr="0040353D">
        <w:rPr>
          <w:rFonts w:ascii="Arial" w:hAnsi="Arial" w:cs="Arial"/>
          <w:i/>
          <w:color w:val="000000"/>
          <w:sz w:val="20"/>
        </w:rPr>
        <w:t xml:space="preserve"> v Magistrates’ Court &amp; </w:t>
      </w:r>
      <w:proofErr w:type="spellStart"/>
      <w:r w:rsidRPr="0040353D">
        <w:rPr>
          <w:rFonts w:ascii="Arial" w:hAnsi="Arial" w:cs="Arial"/>
          <w:i/>
          <w:color w:val="000000"/>
          <w:sz w:val="20"/>
        </w:rPr>
        <w:t>Corcoris</w:t>
      </w:r>
      <w:proofErr w:type="spellEnd"/>
      <w:r w:rsidRPr="0040353D">
        <w:rPr>
          <w:rFonts w:ascii="Arial" w:hAnsi="Arial" w:cs="Arial"/>
          <w:color w:val="000000"/>
          <w:sz w:val="20"/>
        </w:rPr>
        <w:t xml:space="preserve"> [2008] VSC 1 Bell J upheld a magistrate’s decision to require a police informant to produce </w:t>
      </w:r>
      <w:proofErr w:type="gramStart"/>
      <w:r w:rsidRPr="0040353D">
        <w:rPr>
          <w:rFonts w:ascii="Arial" w:hAnsi="Arial" w:cs="Arial"/>
          <w:color w:val="000000"/>
          <w:sz w:val="20"/>
        </w:rPr>
        <w:t>a number of</w:t>
      </w:r>
      <w:proofErr w:type="gramEnd"/>
      <w:r w:rsidRPr="0040353D">
        <w:rPr>
          <w:rFonts w:ascii="Arial" w:hAnsi="Arial" w:cs="Arial"/>
          <w:color w:val="000000"/>
          <w:sz w:val="20"/>
        </w:rPr>
        <w:t xml:space="preserve">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 xml:space="preserve">R v </w:t>
      </w:r>
      <w:proofErr w:type="spellStart"/>
      <w:r w:rsidR="00E43C2E" w:rsidRPr="00E43C2E">
        <w:rPr>
          <w:rFonts w:ascii="Arial" w:hAnsi="Arial" w:cs="Arial"/>
          <w:i/>
          <w:sz w:val="20"/>
        </w:rPr>
        <w:t>Mokbel</w:t>
      </w:r>
      <w:proofErr w:type="spellEnd"/>
      <w:r w:rsidR="00E43C2E" w:rsidRPr="00E43C2E">
        <w:rPr>
          <w:rFonts w:ascii="Arial" w:hAnsi="Arial" w:cs="Arial"/>
          <w:i/>
          <w:sz w:val="20"/>
        </w:rPr>
        <w:t xml:space="preserve">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77777777"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Year" w:val="1966"/>
          <w:attr w:name="Day" w:val="16"/>
          <w:attr w:name="Month" w:val="12"/>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Year" w:val="1976"/>
          <w:attr w:name="Day" w:val="23"/>
          <w:attr w:name="Month" w:val="3"/>
        </w:smartTagPr>
        <w:r w:rsidR="00067BEE" w:rsidRPr="00067BEE">
          <w:rPr>
            <w:rFonts w:ascii="Arial" w:hAnsi="Arial" w:cs="Arial"/>
            <w:sz w:val="20"/>
            <w:szCs w:val="20"/>
          </w:rPr>
          <w:t>23/03/1976</w:t>
        </w:r>
      </w:smartTag>
      <w:r w:rsidR="00067BEE" w:rsidRPr="00067BEE">
        <w:rPr>
          <w:rFonts w:ascii="Arial" w:hAnsi="Arial" w:cs="Arial"/>
          <w:sz w:val="20"/>
          <w:szCs w:val="20"/>
        </w:rPr>
        <w:t xml:space="preserve">] and </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proofErr w:type="spellStart"/>
      <w:r w:rsidR="00067BEE" w:rsidRPr="00067BEE">
        <w:rPr>
          <w:rFonts w:ascii="Arial" w:hAnsi="Arial" w:cs="Arial"/>
          <w:i/>
          <w:sz w:val="20"/>
        </w:rPr>
        <w:t>Foucher</w:t>
      </w:r>
      <w:proofErr w:type="spellEnd"/>
      <w:r w:rsidR="00067BEE" w:rsidRPr="00067BEE">
        <w:rPr>
          <w:rFonts w:ascii="Arial" w:hAnsi="Arial" w:cs="Arial"/>
          <w:i/>
          <w:sz w:val="20"/>
        </w:rPr>
        <w:t xml:space="preserve">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xml:space="preserve">; </w:t>
      </w:r>
      <w:proofErr w:type="spellStart"/>
      <w:r w:rsidR="00067BEE">
        <w:rPr>
          <w:rFonts w:ascii="Arial" w:hAnsi="Arial" w:cs="Arial"/>
          <w:i/>
          <w:sz w:val="20"/>
        </w:rPr>
        <w:t>Fitt</w:t>
      </w:r>
      <w:proofErr w:type="spellEnd"/>
      <w:r w:rsidR="00067BEE" w:rsidRPr="00067BEE">
        <w:rPr>
          <w:rFonts w:ascii="Arial" w:hAnsi="Arial" w:cs="Arial"/>
          <w:i/>
          <w:sz w:val="20"/>
        </w:rPr>
        <w:t xml:space="preserve"> v </w:t>
      </w:r>
      <w:smartTag w:uri="urn:schemas-microsoft-com:office:smarttags" w:element="country-region">
        <w:smartTag w:uri="urn:schemas-microsoft-com:office:smarttags" w:element="place">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143A6B9"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w:t>
      </w:r>
      <w:proofErr w:type="spellStart"/>
      <w:r w:rsidR="00A318A3" w:rsidRPr="00A318A3">
        <w:rPr>
          <w:rFonts w:ascii="Arial" w:hAnsi="Arial" w:cs="Arial"/>
          <w:i/>
          <w:sz w:val="20"/>
          <w:szCs w:val="20"/>
        </w:rPr>
        <w:t>Tahche</w:t>
      </w:r>
      <w:proofErr w:type="spellEnd"/>
      <w:r w:rsidR="00A318A3" w:rsidRPr="00A318A3">
        <w:rPr>
          <w:rFonts w:ascii="Arial" w:hAnsi="Arial" w:cs="Arial"/>
          <w:i/>
          <w:sz w:val="20"/>
          <w:szCs w:val="20"/>
        </w:rPr>
        <w:t xml:space="preserv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w:t>
      </w:r>
      <w:r w:rsidR="000F0BE9">
        <w:rPr>
          <w:rFonts w:ascii="Arial" w:hAnsi="Arial" w:cs="Arial"/>
          <w:sz w:val="20"/>
          <w:szCs w:val="20"/>
        </w:rPr>
        <w:t>I</w:t>
      </w:r>
      <w:r w:rsidR="00A318A3">
        <w:rPr>
          <w:rFonts w:ascii="Arial" w:hAnsi="Arial" w:cs="Arial"/>
          <w:sz w:val="20"/>
          <w:szCs w:val="20"/>
        </w:rPr>
        <w:t xml:space="preserve">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 xml:space="preserve">R v </w:t>
      </w:r>
      <w:proofErr w:type="spellStart"/>
      <w:r w:rsidR="00AC65C4" w:rsidRPr="00AC65C4">
        <w:rPr>
          <w:rFonts w:ascii="Arial" w:hAnsi="Arial" w:cs="Arial"/>
          <w:i/>
          <w:sz w:val="20"/>
        </w:rPr>
        <w:t>Saleam</w:t>
      </w:r>
      <w:proofErr w:type="spellEnd"/>
      <w:r w:rsidR="00AC65C4">
        <w:rPr>
          <w:rFonts w:ascii="Arial" w:hAnsi="Arial" w:cs="Arial"/>
          <w:sz w:val="20"/>
        </w:rPr>
        <w:t xml:space="preserve"> (1989) 16 NSWLR 14, 19-20; </w:t>
      </w:r>
      <w:proofErr w:type="spellStart"/>
      <w:r w:rsidR="00AC65C4" w:rsidRPr="00AC65C4">
        <w:rPr>
          <w:rFonts w:ascii="Arial" w:hAnsi="Arial" w:cs="Arial"/>
          <w:i/>
          <w:sz w:val="20"/>
        </w:rPr>
        <w:t>Sobh</w:t>
      </w:r>
      <w:proofErr w:type="spellEnd"/>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 xml:space="preserve">R v </w:t>
      </w:r>
      <w:proofErr w:type="spellStart"/>
      <w:r w:rsidR="00BC1EDB" w:rsidRPr="00BC1EDB">
        <w:rPr>
          <w:rFonts w:ascii="Arial" w:hAnsi="Arial" w:cs="Arial"/>
          <w:i/>
          <w:sz w:val="20"/>
          <w:szCs w:val="20"/>
        </w:rPr>
        <w:t>Mokbel</w:t>
      </w:r>
      <w:proofErr w:type="spellEnd"/>
      <w:r w:rsidR="00BC1EDB" w:rsidRPr="00BC1EDB">
        <w:rPr>
          <w:rFonts w:ascii="Arial" w:hAnsi="Arial" w:cs="Arial"/>
          <w:i/>
          <w:sz w:val="20"/>
          <w:szCs w:val="20"/>
        </w:rPr>
        <w:t xml:space="preserve">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lastRenderedPageBreak/>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w:t>
      </w:r>
      <w:proofErr w:type="spellStart"/>
      <w:r w:rsidR="002318F3" w:rsidRPr="002318F3">
        <w:rPr>
          <w:rFonts w:ascii="Arial" w:hAnsi="Arial" w:cs="Arial"/>
          <w:i/>
          <w:sz w:val="20"/>
        </w:rPr>
        <w:t>Saleam</w:t>
      </w:r>
      <w:proofErr w:type="spellEnd"/>
      <w:r w:rsidR="002318F3" w:rsidRPr="002318F3">
        <w:rPr>
          <w:rFonts w:ascii="Arial" w:hAnsi="Arial" w:cs="Arial"/>
          <w:i/>
          <w:sz w:val="20"/>
        </w:rPr>
        <w:t xml:space="preserve"> </w:t>
      </w:r>
      <w:r w:rsidR="002318F3">
        <w:rPr>
          <w:rFonts w:ascii="Arial" w:hAnsi="Arial" w:cs="Arial"/>
          <w:sz w:val="20"/>
        </w:rPr>
        <w:t xml:space="preserve">[1999] NSWCCA 86 at [11] by Simpson J (Spiegelman CJ &amp; </w:t>
      </w:r>
      <w:proofErr w:type="spellStart"/>
      <w:r w:rsidR="002318F3">
        <w:rPr>
          <w:rFonts w:ascii="Arial" w:hAnsi="Arial" w:cs="Arial"/>
          <w:sz w:val="20"/>
        </w:rPr>
        <w:t>Studdert</w:t>
      </w:r>
      <w:proofErr w:type="spellEnd"/>
      <w:r w:rsidR="002318F3">
        <w:rPr>
          <w:rFonts w:ascii="Arial" w:hAnsi="Arial" w:cs="Arial"/>
          <w:sz w:val="20"/>
        </w:rPr>
        <w:t xml:space="preserve">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The principles governing applications [for an order that documents not be produced] are no different from those governing applications for access to documents produced in answer to a subpoena.  Before access is granted (or an order to produce made) the applicant must (i)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39C4CA09"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 xml:space="preserve">Johnson v </w:t>
      </w:r>
      <w:proofErr w:type="spellStart"/>
      <w:r w:rsidRPr="00C352F3">
        <w:rPr>
          <w:rFonts w:ascii="Arial" w:hAnsi="Arial" w:cs="Arial"/>
          <w:i/>
          <w:sz w:val="20"/>
        </w:rPr>
        <w:t>Poppeliers</w:t>
      </w:r>
      <w:proofErr w:type="spellEnd"/>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proofErr w:type="spellStart"/>
      <w:r w:rsidR="00D5505F" w:rsidRPr="00FE7A28">
        <w:rPr>
          <w:rFonts w:ascii="Arial" w:hAnsi="Arial" w:cs="Arial"/>
          <w:i/>
          <w:sz w:val="20"/>
        </w:rPr>
        <w:t>Ragg</w:t>
      </w:r>
      <w:proofErr w:type="spellEnd"/>
      <w:r w:rsidR="00D5505F" w:rsidRPr="00FE7A28">
        <w:rPr>
          <w:rFonts w:ascii="Arial" w:hAnsi="Arial" w:cs="Arial"/>
          <w:i/>
          <w:sz w:val="20"/>
        </w:rPr>
        <w:t xml:space="preserve"> v Magistrates’</w:t>
      </w:r>
      <w:r w:rsidR="00D5505F">
        <w:rPr>
          <w:rFonts w:ascii="Arial" w:hAnsi="Arial" w:cs="Arial"/>
          <w:i/>
          <w:sz w:val="20"/>
        </w:rPr>
        <w:t xml:space="preserve"> Court </w:t>
      </w:r>
      <w:r w:rsidR="00D5505F" w:rsidRPr="00FE7A28">
        <w:rPr>
          <w:rFonts w:ascii="Arial" w:hAnsi="Arial" w:cs="Arial"/>
          <w:i/>
          <w:sz w:val="20"/>
        </w:rPr>
        <w:t xml:space="preserve">&amp; </w:t>
      </w:r>
      <w:proofErr w:type="spellStart"/>
      <w:r w:rsidR="00D5505F" w:rsidRPr="00FE7A28">
        <w:rPr>
          <w:rFonts w:ascii="Arial" w:hAnsi="Arial" w:cs="Arial"/>
          <w:i/>
          <w:sz w:val="20"/>
        </w:rPr>
        <w:t>Corcoris</w:t>
      </w:r>
      <w:proofErr w:type="spellEnd"/>
      <w:r w:rsidR="00D5505F">
        <w:rPr>
          <w:rFonts w:ascii="Arial" w:hAnsi="Arial" w:cs="Arial"/>
          <w:sz w:val="20"/>
        </w:rPr>
        <w:t xml:space="preserve"> [2008] VSC 1</w:t>
      </w:r>
      <w:r w:rsidR="00DE2FBF">
        <w:rPr>
          <w:rFonts w:ascii="Arial" w:hAnsi="Arial" w:cs="Arial"/>
          <w:sz w:val="20"/>
        </w:rPr>
        <w:t xml:space="preserve"> </w:t>
      </w:r>
      <w:r w:rsidR="000F0BE9">
        <w:rPr>
          <w:rFonts w:ascii="Arial" w:hAnsi="Arial" w:cs="Arial"/>
          <w:sz w:val="20"/>
        </w:rPr>
        <w:t>–</w:t>
      </w:r>
      <w:r w:rsidR="00DE2FBF">
        <w:rPr>
          <w:rFonts w:ascii="Arial" w:hAnsi="Arial" w:cs="Arial"/>
          <w:sz w:val="20"/>
        </w:rPr>
        <w:t xml:space="preserve">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6A0F25">
      <w:pPr>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State">
        <w:smartTag w:uri="urn:schemas-microsoft-com:office:smarttags" w:element="plac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proofErr w:type="spellStart"/>
      <w:r w:rsidR="00DB1C93" w:rsidRPr="00DB1C93">
        <w:rPr>
          <w:rFonts w:ascii="Arial" w:hAnsi="Arial" w:cs="Arial"/>
          <w:i/>
          <w:sz w:val="20"/>
          <w:szCs w:val="20"/>
        </w:rPr>
        <w:t>Gaffee</w:t>
      </w:r>
      <w:proofErr w:type="spellEnd"/>
      <w:r w:rsidR="00DB1C93" w:rsidRPr="00DB1C93">
        <w:rPr>
          <w:rFonts w:ascii="Arial" w:hAnsi="Arial" w:cs="Arial"/>
          <w:i/>
          <w:sz w:val="20"/>
          <w:szCs w:val="20"/>
        </w:rPr>
        <w:t xml:space="preserv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14BA5317" w:rsidR="002318F3" w:rsidRDefault="002318F3" w:rsidP="00093AD6">
      <w:pPr>
        <w:jc w:val="both"/>
        <w:rPr>
          <w:rFonts w:ascii="Arial" w:hAnsi="Arial" w:cs="Arial"/>
          <w:sz w:val="20"/>
        </w:rPr>
      </w:pPr>
    </w:p>
    <w:p w14:paraId="4B125167" w14:textId="28580905" w:rsidR="00CF0BE9" w:rsidRPr="00813B7E" w:rsidRDefault="00813B7E" w:rsidP="00093AD6">
      <w:pPr>
        <w:jc w:val="both"/>
        <w:rPr>
          <w:rFonts w:ascii="Arial" w:hAnsi="Arial" w:cs="Arial"/>
          <w:sz w:val="20"/>
          <w:szCs w:val="20"/>
        </w:rPr>
      </w:pPr>
      <w:r w:rsidRPr="00813B7E">
        <w:rPr>
          <w:rFonts w:ascii="Arial" w:hAnsi="Arial" w:cs="Arial"/>
          <w:sz w:val="20"/>
          <w:szCs w:val="20"/>
        </w:rPr>
        <w:t xml:space="preserve">An order by the Court of Appeal under s.317 of the </w:t>
      </w:r>
      <w:r w:rsidRPr="00E17B1E">
        <w:rPr>
          <w:rFonts w:ascii="Arial" w:hAnsi="Arial" w:cs="Arial"/>
          <w:i/>
          <w:iCs/>
          <w:sz w:val="20"/>
          <w:szCs w:val="20"/>
        </w:rPr>
        <w:t xml:space="preserve">Criminal Procedure Act </w:t>
      </w:r>
      <w:r w:rsidR="00E17B1E" w:rsidRPr="00E17B1E">
        <w:rPr>
          <w:rFonts w:ascii="Arial" w:hAnsi="Arial" w:cs="Arial"/>
          <w:i/>
          <w:iCs/>
          <w:sz w:val="20"/>
          <w:szCs w:val="20"/>
        </w:rPr>
        <w:t>2009</w:t>
      </w:r>
      <w:r w:rsidR="00E17B1E">
        <w:rPr>
          <w:rFonts w:ascii="Arial" w:hAnsi="Arial" w:cs="Arial"/>
          <w:sz w:val="20"/>
          <w:szCs w:val="20"/>
        </w:rPr>
        <w:t xml:space="preserve"> </w:t>
      </w:r>
      <w:r w:rsidRPr="00813B7E">
        <w:rPr>
          <w:rFonts w:ascii="Arial" w:hAnsi="Arial" w:cs="Arial"/>
          <w:sz w:val="20"/>
          <w:szCs w:val="20"/>
        </w:rPr>
        <w:t xml:space="preserve">for the production of documents is akin to an order for a subpoena for production: see </w:t>
      </w:r>
      <w:proofErr w:type="spellStart"/>
      <w:r w:rsidRPr="00813B7E">
        <w:rPr>
          <w:rFonts w:ascii="Arial" w:hAnsi="Arial" w:cs="Arial"/>
          <w:i/>
          <w:iCs/>
          <w:sz w:val="20"/>
          <w:szCs w:val="20"/>
        </w:rPr>
        <w:t>Zirilli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174 at [59d] citing </w:t>
      </w:r>
      <w:r w:rsidRPr="00813B7E">
        <w:rPr>
          <w:rFonts w:ascii="Arial" w:hAnsi="Arial" w:cs="Arial"/>
          <w:i/>
          <w:iCs/>
          <w:sz w:val="20"/>
          <w:szCs w:val="20"/>
        </w:rPr>
        <w:t xml:space="preserve">R v </w:t>
      </w:r>
      <w:proofErr w:type="spellStart"/>
      <w:r w:rsidRPr="00813B7E">
        <w:rPr>
          <w:rFonts w:ascii="Arial" w:hAnsi="Arial" w:cs="Arial"/>
          <w:i/>
          <w:iCs/>
          <w:sz w:val="20"/>
          <w:szCs w:val="20"/>
        </w:rPr>
        <w:t>Saleam</w:t>
      </w:r>
      <w:proofErr w:type="spellEnd"/>
      <w:r w:rsidRPr="00813B7E">
        <w:rPr>
          <w:rFonts w:ascii="Arial" w:hAnsi="Arial" w:cs="Arial"/>
          <w:sz w:val="20"/>
          <w:szCs w:val="20"/>
        </w:rPr>
        <w:t xml:space="preserve"> [1999] NSWCCA 86, [11] (Hunt J, Carruthers and Grove JJ agreeing); </w:t>
      </w:r>
      <w:proofErr w:type="spellStart"/>
      <w:r w:rsidRPr="00813B7E">
        <w:rPr>
          <w:rFonts w:ascii="Arial" w:hAnsi="Arial" w:cs="Arial"/>
          <w:i/>
          <w:iCs/>
          <w:sz w:val="20"/>
          <w:szCs w:val="20"/>
        </w:rPr>
        <w:t>Zirilli</w:t>
      </w:r>
      <w:proofErr w:type="spellEnd"/>
      <w:r w:rsidRPr="00813B7E">
        <w:rPr>
          <w:rFonts w:ascii="Arial" w:hAnsi="Arial" w:cs="Arial"/>
          <w:sz w:val="20"/>
          <w:szCs w:val="20"/>
        </w:rPr>
        <w:t xml:space="preserve"> (n 5) [2021] VSCA 2, [98]; </w:t>
      </w:r>
      <w:proofErr w:type="spellStart"/>
      <w:r w:rsidRPr="00813B7E">
        <w:rPr>
          <w:rFonts w:ascii="Arial" w:hAnsi="Arial" w:cs="Arial"/>
          <w:i/>
          <w:iCs/>
          <w:sz w:val="20"/>
          <w:szCs w:val="20"/>
        </w:rPr>
        <w:t>Madafferi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 [98].</w:t>
      </w:r>
      <w:r>
        <w:rPr>
          <w:rFonts w:ascii="Arial" w:hAnsi="Arial" w:cs="Arial"/>
          <w:sz w:val="20"/>
          <w:szCs w:val="20"/>
        </w:rPr>
        <w:t xml:space="preserve">  See also </w:t>
      </w:r>
      <w:r w:rsidRPr="00E17B1E">
        <w:rPr>
          <w:rFonts w:ascii="Arial" w:hAnsi="Arial" w:cs="Arial"/>
          <w:i/>
          <w:iCs/>
          <w:sz w:val="20"/>
          <w:szCs w:val="20"/>
        </w:rPr>
        <w:t>Higgs v The Queen</w:t>
      </w:r>
      <w:r>
        <w:rPr>
          <w:rFonts w:ascii="Arial" w:hAnsi="Arial" w:cs="Arial"/>
          <w:sz w:val="20"/>
          <w:szCs w:val="20"/>
        </w:rPr>
        <w:t xml:space="preserve"> [2021] VSCA 301</w:t>
      </w:r>
      <w:r w:rsidR="00E17B1E">
        <w:rPr>
          <w:rFonts w:ascii="Arial" w:hAnsi="Arial" w:cs="Arial"/>
          <w:sz w:val="20"/>
          <w:szCs w:val="20"/>
        </w:rPr>
        <w:t xml:space="preserve"> at [28a]</w:t>
      </w:r>
      <w:r w:rsidR="00D45643">
        <w:rPr>
          <w:rFonts w:ascii="Arial" w:hAnsi="Arial" w:cs="Arial"/>
          <w:sz w:val="20"/>
          <w:szCs w:val="20"/>
        </w:rPr>
        <w:t xml:space="preserve">; </w:t>
      </w:r>
      <w:proofErr w:type="spellStart"/>
      <w:r w:rsidR="00D45643" w:rsidRPr="00D45643">
        <w:rPr>
          <w:rFonts w:ascii="Arial" w:hAnsi="Arial" w:cs="Arial"/>
          <w:i/>
          <w:iCs/>
          <w:sz w:val="20"/>
          <w:szCs w:val="20"/>
        </w:rPr>
        <w:t>Polimeni</w:t>
      </w:r>
      <w:proofErr w:type="spellEnd"/>
      <w:r w:rsidR="00D45643" w:rsidRPr="00D45643">
        <w:rPr>
          <w:rFonts w:ascii="Arial" w:hAnsi="Arial" w:cs="Arial"/>
          <w:i/>
          <w:iCs/>
          <w:sz w:val="20"/>
          <w:szCs w:val="20"/>
        </w:rPr>
        <w:t xml:space="preserve"> v The Queen</w:t>
      </w:r>
      <w:r w:rsidR="00D45643">
        <w:rPr>
          <w:rFonts w:ascii="Arial" w:hAnsi="Arial" w:cs="Arial"/>
          <w:sz w:val="20"/>
          <w:szCs w:val="20"/>
        </w:rPr>
        <w:t xml:space="preserve"> [2021] VSCA 329 at [25b]</w:t>
      </w:r>
      <w:r w:rsidR="00E17B1E">
        <w:rPr>
          <w:rFonts w:ascii="Arial" w:hAnsi="Arial" w:cs="Arial"/>
          <w:sz w:val="20"/>
          <w:szCs w:val="20"/>
        </w:rPr>
        <w:t>.</w:t>
      </w:r>
    </w:p>
    <w:p w14:paraId="58A20D1A" w14:textId="77777777" w:rsidR="00CF0BE9" w:rsidRDefault="00CF0BE9" w:rsidP="00093AD6">
      <w:pPr>
        <w:jc w:val="both"/>
        <w:rPr>
          <w:rFonts w:ascii="Arial" w:hAnsi="Arial" w:cs="Arial"/>
          <w:sz w:val="20"/>
        </w:rPr>
      </w:pPr>
    </w:p>
    <w:p w14:paraId="4FE704A4" w14:textId="004E3FFC" w:rsidR="007E5209" w:rsidRDefault="007E5209" w:rsidP="007E5209">
      <w:pPr>
        <w:jc w:val="both"/>
        <w:rPr>
          <w:rFonts w:ascii="Arial" w:hAnsi="Arial" w:cs="Arial"/>
          <w:sz w:val="20"/>
        </w:rPr>
      </w:pPr>
      <w:r>
        <w:rPr>
          <w:rFonts w:ascii="Arial" w:hAnsi="Arial" w:cs="Arial"/>
          <w:sz w:val="20"/>
        </w:rPr>
        <w:t xml:space="preserve">In </w:t>
      </w:r>
      <w:proofErr w:type="spellStart"/>
      <w:r w:rsidRPr="007E5209">
        <w:rPr>
          <w:rFonts w:ascii="Arial" w:hAnsi="Arial" w:cs="Arial"/>
          <w:i/>
          <w:iCs/>
          <w:sz w:val="20"/>
        </w:rPr>
        <w:t>Madafferi</w:t>
      </w:r>
      <w:proofErr w:type="spellEnd"/>
      <w:r w:rsidRPr="007E5209">
        <w:rPr>
          <w:rFonts w:ascii="Arial" w:hAnsi="Arial" w:cs="Arial"/>
          <w:i/>
          <w:iCs/>
          <w:sz w:val="20"/>
        </w:rPr>
        <w:t xml:space="preserve"> v The Queen</w:t>
      </w:r>
      <w:r>
        <w:rPr>
          <w:rFonts w:ascii="Arial" w:hAnsi="Arial" w:cs="Arial"/>
          <w:sz w:val="20"/>
        </w:rPr>
        <w:t xml:space="preserve"> [2021] VSCA 1 the appellant sought the release of documents </w:t>
      </w:r>
      <w:r w:rsidR="00A671C5">
        <w:rPr>
          <w:rFonts w:ascii="Arial" w:hAnsi="Arial" w:cs="Arial"/>
          <w:sz w:val="20"/>
        </w:rPr>
        <w:t xml:space="preserve">under s.317 </w:t>
      </w:r>
      <w:r w:rsidR="00A671C5" w:rsidRPr="00A671C5">
        <w:rPr>
          <w:rFonts w:ascii="Arial" w:hAnsi="Arial" w:cs="Arial"/>
          <w:i/>
          <w:iCs/>
          <w:sz w:val="20"/>
        </w:rPr>
        <w:t>Criminal Procedure Act 2009</w:t>
      </w:r>
      <w:r w:rsidR="00A671C5">
        <w:rPr>
          <w:rFonts w:ascii="Arial" w:hAnsi="Arial" w:cs="Arial"/>
          <w:sz w:val="20"/>
        </w:rPr>
        <w:t xml:space="preserve"> </w:t>
      </w:r>
      <w:r>
        <w:rPr>
          <w:rFonts w:ascii="Arial" w:hAnsi="Arial" w:cs="Arial"/>
          <w:sz w:val="20"/>
        </w:rPr>
        <w:t xml:space="preserve">in an attempt to find out whether his solicitor Mr </w:t>
      </w:r>
      <w:proofErr w:type="spellStart"/>
      <w:r>
        <w:rPr>
          <w:rFonts w:ascii="Arial" w:hAnsi="Arial" w:cs="Arial"/>
          <w:sz w:val="20"/>
        </w:rPr>
        <w:t>Acquaro</w:t>
      </w:r>
      <w:proofErr w:type="spellEnd"/>
      <w:r>
        <w:rPr>
          <w:rFonts w:ascii="Arial" w:hAnsi="Arial" w:cs="Arial"/>
          <w:sz w:val="20"/>
        </w:rPr>
        <w:t xml:space="preserve">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 xml:space="preserve">Section 130(4)(e) provides that information or a document is taken to relate to ‘matters of state’ if adducing it as evidence would ‘disclose, or enable a person to ascertain, the existence or identity of a confidential source of information relating to the enforcement or administration of a law of the Commonwealth or a State’.  There is no dispute that information or documents that would disclose whether </w:t>
      </w:r>
      <w:proofErr w:type="spellStart"/>
      <w:r w:rsidRPr="007E5209">
        <w:rPr>
          <w:rFonts w:ascii="Arial" w:hAnsi="Arial" w:cs="Arial"/>
          <w:sz w:val="20"/>
          <w:szCs w:val="20"/>
        </w:rPr>
        <w:t>Acquaro</w:t>
      </w:r>
      <w:proofErr w:type="spellEnd"/>
      <w:r w:rsidRPr="007E5209">
        <w:rPr>
          <w:rFonts w:ascii="Arial" w:hAnsi="Arial" w:cs="Arial"/>
          <w:sz w:val="20"/>
          <w:szCs w:val="20"/>
        </w:rPr>
        <w:t xml:space="preserve">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rsidP="00D772F0">
      <w:pPr>
        <w:numPr>
          <w:ilvl w:val="1"/>
          <w:numId w:val="56"/>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rsidP="00D772F0">
      <w:pPr>
        <w:numPr>
          <w:ilvl w:val="1"/>
          <w:numId w:val="56"/>
        </w:numPr>
        <w:spacing w:before="60"/>
        <w:ind w:left="908" w:right="454" w:hanging="454"/>
        <w:jc w:val="both"/>
        <w:rPr>
          <w:rFonts w:ascii="Arial" w:hAnsi="Arial" w:cs="Arial"/>
          <w:sz w:val="20"/>
          <w:szCs w:val="20"/>
        </w:rPr>
      </w:pPr>
      <w:r w:rsidRPr="002702CF">
        <w:rPr>
          <w:rFonts w:ascii="Arial" w:hAnsi="Arial" w:cs="Arial"/>
          <w:sz w:val="20"/>
          <w:szCs w:val="20"/>
        </w:rPr>
        <w:lastRenderedPageBreak/>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rsidP="00D772F0">
      <w:pPr>
        <w:numPr>
          <w:ilvl w:val="0"/>
          <w:numId w:val="57"/>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rsidP="00D772F0">
      <w:pPr>
        <w:numPr>
          <w:ilvl w:val="0"/>
          <w:numId w:val="57"/>
        </w:numPr>
        <w:spacing w:before="60"/>
        <w:ind w:left="908" w:right="454" w:hanging="454"/>
        <w:jc w:val="both"/>
        <w:rPr>
          <w:rFonts w:ascii="Arial" w:hAnsi="Arial" w:cs="Arial"/>
          <w:sz w:val="20"/>
          <w:szCs w:val="20"/>
        </w:rPr>
      </w:pPr>
      <w:r w:rsidRPr="00954573">
        <w:rPr>
          <w:rFonts w:ascii="Arial" w:hAnsi="Arial" w:cs="Arial"/>
          <w:sz w:val="20"/>
          <w:szCs w:val="22"/>
        </w:rPr>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156, </w:t>
      </w:r>
      <w:proofErr w:type="spellStart"/>
      <w:r w:rsidRPr="00954573">
        <w:rPr>
          <w:rFonts w:ascii="Arial" w:hAnsi="Arial" w:cs="Arial"/>
          <w:sz w:val="20"/>
          <w:szCs w:val="20"/>
        </w:rPr>
        <w:t>Basten</w:t>
      </w:r>
      <w:proofErr w:type="spellEnd"/>
      <w:r w:rsidRPr="00954573">
        <w:rPr>
          <w:rFonts w:ascii="Arial" w:hAnsi="Arial" w:cs="Arial"/>
          <w:sz w:val="20"/>
          <w:szCs w:val="20"/>
        </w:rPr>
        <w:t xml:space="preserve"> JA stated </w:t>
      </w:r>
      <w:r>
        <w:rPr>
          <w:rFonts w:ascii="Arial" w:hAnsi="Arial" w:cs="Arial"/>
          <w:sz w:val="20"/>
          <w:szCs w:val="20"/>
        </w:rPr>
        <w:t xml:space="preserve">at [39] </w:t>
      </w:r>
      <w:r w:rsidRPr="00954573">
        <w:rPr>
          <w:rFonts w:ascii="Arial" w:hAnsi="Arial" w:cs="Arial"/>
          <w:sz w:val="20"/>
          <w:szCs w:val="20"/>
        </w:rPr>
        <w:t>that the balancing exercise was not to be constrained by unexpressed rules derived from the general law, however, he did so in the context of a request 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proofErr w:type="spellStart"/>
      <w:r w:rsidRPr="00954573">
        <w:rPr>
          <w:rFonts w:ascii="Arial" w:eastAsia="Book Antiqua" w:hAnsi="Arial" w:cs="Arial"/>
          <w:i/>
          <w:sz w:val="20"/>
          <w:szCs w:val="20"/>
        </w:rPr>
        <w:t>Jarvie</w:t>
      </w:r>
      <w:proofErr w:type="spellEnd"/>
      <w:r w:rsidRPr="00954573">
        <w:rPr>
          <w:rFonts w:ascii="Arial" w:eastAsia="Book Antiqua" w:hAnsi="Arial" w:cs="Arial"/>
          <w:i/>
          <w:sz w:val="20"/>
          <w:szCs w:val="20"/>
        </w:rPr>
        <w:t xml:space="preserv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proofErr w:type="spellStart"/>
      <w:r w:rsidRPr="0087543E">
        <w:rPr>
          <w:rFonts w:ascii="Arial" w:eastAsia="Book Antiqua" w:hAnsi="Arial" w:cs="Arial"/>
          <w:i/>
          <w:sz w:val="20"/>
          <w:szCs w:val="20"/>
        </w:rPr>
        <w:t>Cerrah</w:t>
      </w:r>
      <w:proofErr w:type="spellEnd"/>
      <w:r w:rsidRPr="0087543E">
        <w:rPr>
          <w:rFonts w:ascii="Arial" w:eastAsia="Book Antiqua" w:hAnsi="Arial" w:cs="Arial"/>
          <w:i/>
          <w:sz w:val="20"/>
          <w:szCs w:val="20"/>
        </w:rPr>
        <w:t xml:space="preserve">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6A0F25">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 xml:space="preserve">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w:t>
      </w:r>
      <w:r w:rsidRPr="0087543E">
        <w:rPr>
          <w:rFonts w:ascii="Arial" w:hAnsi="Arial" w:cs="Arial"/>
          <w:sz w:val="20"/>
          <w:szCs w:val="22"/>
        </w:rPr>
        <w:lastRenderedPageBreak/>
        <w:t>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2A3CDF">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2A3CDF">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2A3CDF">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2A3CDF">
      <w:pPr>
        <w:spacing w:before="60"/>
        <w:ind w:left="907" w:right="907"/>
        <w:jc w:val="both"/>
        <w:rPr>
          <w:rFonts w:ascii="Arial" w:hAnsi="Arial" w:cs="Arial"/>
          <w:iCs/>
          <w:sz w:val="18"/>
          <w:szCs w:val="22"/>
        </w:rPr>
      </w:pPr>
      <w:r>
        <w:rPr>
          <w:rFonts w:ascii="Arial" w:hAnsi="Arial" w:cs="Arial"/>
          <w:sz w:val="20"/>
          <w:szCs w:val="22"/>
        </w:rPr>
        <w:t>‘</w:t>
      </w:r>
      <w:r w:rsidR="007E5209" w:rsidRPr="0087543E">
        <w:rPr>
          <w:rFonts w:ascii="Arial" w:hAnsi="Arial" w:cs="Arial"/>
          <w:sz w:val="20"/>
          <w:szCs w:val="22"/>
        </w:rPr>
        <w:t xml:space="preserve">[T]he test formulated by Brooking J in </w:t>
      </w:r>
      <w:proofErr w:type="spellStart"/>
      <w:r w:rsidR="007E5209" w:rsidRPr="0087543E">
        <w:rPr>
          <w:rFonts w:ascii="Arial" w:eastAsia="Book Antiqua" w:hAnsi="Arial" w:cs="Arial"/>
          <w:i/>
          <w:sz w:val="20"/>
          <w:szCs w:val="22"/>
        </w:rPr>
        <w:t>Jarvie</w:t>
      </w:r>
      <w:proofErr w:type="spellEnd"/>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where disclosure of the identity of an informer is in issue, the test for the limb that favours disclosure is as described in </w:t>
      </w:r>
      <w:proofErr w:type="spellStart"/>
      <w:r w:rsidRPr="0001482B">
        <w:rPr>
          <w:rFonts w:ascii="Arial" w:eastAsia="Book Antiqua" w:hAnsi="Arial" w:cs="Arial"/>
          <w:i/>
          <w:sz w:val="20"/>
          <w:szCs w:val="20"/>
        </w:rPr>
        <w:t>Jarvie</w:t>
      </w:r>
      <w:proofErr w:type="spellEnd"/>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2D07C38C" w14:textId="071028F8" w:rsidR="007E6250" w:rsidRDefault="007E6250" w:rsidP="00E349E3">
      <w:pPr>
        <w:jc w:val="both"/>
        <w:rPr>
          <w:rFonts w:ascii="Arial" w:hAnsi="Arial" w:cs="Arial"/>
          <w:sz w:val="20"/>
        </w:rPr>
      </w:pPr>
      <w:r>
        <w:rPr>
          <w:rFonts w:ascii="Arial" w:hAnsi="Arial" w:cs="Arial"/>
          <w:sz w:val="20"/>
        </w:rPr>
        <w:t xml:space="preserve">See </w:t>
      </w:r>
      <w:proofErr w:type="spellStart"/>
      <w:r w:rsidR="0001482B" w:rsidRPr="0001482B">
        <w:rPr>
          <w:rFonts w:ascii="Arial" w:hAnsi="Arial" w:cs="Arial"/>
          <w:i/>
          <w:iCs/>
          <w:sz w:val="20"/>
        </w:rPr>
        <w:t>Zirilli</w:t>
      </w:r>
      <w:proofErr w:type="spellEnd"/>
      <w:r w:rsidR="0001482B" w:rsidRPr="0001482B">
        <w:rPr>
          <w:rFonts w:ascii="Arial" w:hAnsi="Arial" w:cs="Arial"/>
          <w:i/>
          <w:iCs/>
          <w:sz w:val="20"/>
        </w:rPr>
        <w:t xml:space="preserve">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proofErr w:type="spellStart"/>
      <w:r w:rsidR="00BB0A6A" w:rsidRPr="00BB0A6A">
        <w:rPr>
          <w:rFonts w:ascii="Arial" w:hAnsi="Arial" w:cs="Arial"/>
          <w:i/>
          <w:iCs/>
          <w:sz w:val="20"/>
        </w:rPr>
        <w:t>Madafferi</w:t>
      </w:r>
      <w:proofErr w:type="spellEnd"/>
      <w:r w:rsidR="00BB0A6A">
        <w:rPr>
          <w:rFonts w:ascii="Arial" w:hAnsi="Arial" w:cs="Arial"/>
          <w:sz w:val="20"/>
        </w:rPr>
        <w:t xml:space="preserve">.  See </w:t>
      </w:r>
      <w:r>
        <w:rPr>
          <w:rFonts w:ascii="Arial" w:hAnsi="Arial" w:cs="Arial"/>
          <w:sz w:val="20"/>
        </w:rPr>
        <w:t xml:space="preserve">also </w:t>
      </w:r>
      <w:r w:rsidRPr="007E6250">
        <w:rPr>
          <w:rFonts w:ascii="Arial" w:hAnsi="Arial" w:cs="Arial"/>
          <w:i/>
          <w:sz w:val="20"/>
        </w:rPr>
        <w:t xml:space="preserve">R v </w:t>
      </w:r>
      <w:proofErr w:type="spellStart"/>
      <w:r w:rsidRPr="007E6250">
        <w:rPr>
          <w:rFonts w:ascii="Arial" w:hAnsi="Arial" w:cs="Arial"/>
          <w:i/>
          <w:sz w:val="20"/>
        </w:rPr>
        <w:t>Benbrika</w:t>
      </w:r>
      <w:proofErr w:type="spellEnd"/>
      <w:r w:rsidRPr="007E6250">
        <w:rPr>
          <w:rFonts w:ascii="Arial" w:hAnsi="Arial" w:cs="Arial"/>
          <w:i/>
          <w:sz w:val="20"/>
        </w:rPr>
        <w:t xml:space="preserve"> (Ruling No 3)</w:t>
      </w:r>
      <w:r>
        <w:rPr>
          <w:rFonts w:ascii="Arial" w:hAnsi="Arial" w:cs="Arial"/>
          <w:sz w:val="20"/>
        </w:rPr>
        <w:t xml:space="preserve"> [2007] VSC 283 at [11] &amp; [15]-[22] per </w:t>
      </w:r>
      <w:proofErr w:type="spellStart"/>
      <w:r>
        <w:rPr>
          <w:rFonts w:ascii="Arial" w:hAnsi="Arial" w:cs="Arial"/>
          <w:sz w:val="20"/>
        </w:rPr>
        <w:t>Bongiorno</w:t>
      </w:r>
      <w:proofErr w:type="spellEnd"/>
      <w:r>
        <w:rPr>
          <w:rFonts w:ascii="Arial" w:hAnsi="Arial" w:cs="Arial"/>
          <w:sz w:val="20"/>
        </w:rPr>
        <w:t xml:space="preserve"> J</w:t>
      </w:r>
      <w:r w:rsidR="008F4302">
        <w:rPr>
          <w:rFonts w:ascii="Arial" w:hAnsi="Arial" w:cs="Arial"/>
          <w:sz w:val="20"/>
        </w:rPr>
        <w:t xml:space="preserve">; </w:t>
      </w:r>
      <w:r w:rsidR="008F4302" w:rsidRPr="006055C4">
        <w:rPr>
          <w:rFonts w:ascii="Arial" w:hAnsi="Arial" w:cs="Arial"/>
          <w:i/>
          <w:sz w:val="20"/>
        </w:rPr>
        <w:t xml:space="preserve">State of Victoria v </w:t>
      </w:r>
      <w:proofErr w:type="spellStart"/>
      <w:r w:rsidR="008F4302" w:rsidRPr="006055C4">
        <w:rPr>
          <w:rFonts w:ascii="Arial" w:hAnsi="Arial" w:cs="Arial"/>
          <w:i/>
          <w:sz w:val="20"/>
        </w:rPr>
        <w:t>Brazel</w:t>
      </w:r>
      <w:proofErr w:type="spellEnd"/>
      <w:r w:rsidR="008F4302" w:rsidRPr="006055C4">
        <w:rPr>
          <w:rFonts w:ascii="Arial" w:hAnsi="Arial" w:cs="Arial"/>
          <w:i/>
          <w:sz w:val="20"/>
        </w:rPr>
        <w:t xml:space="preserve">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w:t>
      </w:r>
      <w:proofErr w:type="spellStart"/>
      <w:r w:rsidR="00533E88">
        <w:rPr>
          <w:rFonts w:ascii="Arial" w:hAnsi="Arial" w:cs="Arial"/>
          <w:sz w:val="20"/>
        </w:rPr>
        <w:t>Lasry</w:t>
      </w:r>
      <w:proofErr w:type="spellEnd"/>
      <w:r w:rsidR="00533E88">
        <w:rPr>
          <w:rFonts w:ascii="Arial" w:hAnsi="Arial" w:cs="Arial"/>
          <w:sz w:val="20"/>
        </w:rPr>
        <w:t xml:space="preserve">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A7C3F">
        <w:rPr>
          <w:rFonts w:ascii="Arial" w:hAnsi="Arial" w:cs="Arial"/>
          <w:color w:val="000000"/>
          <w:sz w:val="20"/>
        </w:rPr>
        <w:t xml:space="preserve">; </w:t>
      </w:r>
      <w:bookmarkStart w:id="743" w:name="_Hlk99437757"/>
      <w:proofErr w:type="spellStart"/>
      <w:r w:rsidR="00CA7C3F" w:rsidRPr="00CA7C3F">
        <w:rPr>
          <w:rFonts w:ascii="Arial" w:hAnsi="Arial" w:cs="Arial"/>
          <w:i/>
          <w:iCs/>
          <w:color w:val="000000"/>
          <w:sz w:val="20"/>
        </w:rPr>
        <w:t>Arico</w:t>
      </w:r>
      <w:proofErr w:type="spellEnd"/>
      <w:r w:rsidR="00CA7C3F" w:rsidRPr="00CA7C3F">
        <w:rPr>
          <w:rFonts w:ascii="Arial" w:hAnsi="Arial" w:cs="Arial"/>
          <w:i/>
          <w:iCs/>
          <w:color w:val="000000"/>
          <w:sz w:val="20"/>
        </w:rPr>
        <w:t xml:space="preserve"> v The Queen</w:t>
      </w:r>
      <w:r w:rsidR="00CA7C3F">
        <w:rPr>
          <w:rFonts w:ascii="Arial" w:hAnsi="Arial" w:cs="Arial"/>
          <w:color w:val="000000"/>
          <w:sz w:val="20"/>
        </w:rPr>
        <w:t xml:space="preserve"> [2022] VSCA 35 </w:t>
      </w:r>
      <w:bookmarkEnd w:id="743"/>
      <w:r w:rsidR="00CA7C3F">
        <w:rPr>
          <w:rFonts w:ascii="Arial" w:hAnsi="Arial" w:cs="Arial"/>
          <w:color w:val="000000"/>
          <w:sz w:val="20"/>
        </w:rPr>
        <w:t>per Beach JA</w:t>
      </w:r>
      <w:r w:rsidR="00C45CA7">
        <w:rPr>
          <w:rFonts w:ascii="Arial" w:hAnsi="Arial" w:cs="Arial"/>
          <w:sz w:val="20"/>
        </w:rPr>
        <w:t>.</w:t>
      </w:r>
    </w:p>
    <w:p w14:paraId="1DE5A662" w14:textId="77777777" w:rsidR="00A37C00" w:rsidRDefault="00A37C00" w:rsidP="008F4302">
      <w:pPr>
        <w:jc w:val="both"/>
        <w:rPr>
          <w:rFonts w:ascii="Arial" w:hAnsi="Arial" w:cs="Arial"/>
          <w:sz w:val="20"/>
        </w:rPr>
      </w:pPr>
    </w:p>
    <w:p w14:paraId="0E2CACE2" w14:textId="55C4F2C1" w:rsidR="00951DD0" w:rsidRDefault="00951DD0" w:rsidP="002A3CDF">
      <w:pPr>
        <w:jc w:val="both"/>
        <w:rPr>
          <w:rFonts w:ascii="Arial" w:hAnsi="Arial" w:cs="Arial"/>
          <w:sz w:val="20"/>
        </w:rPr>
      </w:pPr>
      <w:r>
        <w:rPr>
          <w:rFonts w:ascii="Arial" w:hAnsi="Arial" w:cs="Arial"/>
          <w:sz w:val="20"/>
        </w:rPr>
        <w:t xml:space="preserve">In </w:t>
      </w:r>
      <w:r w:rsidRPr="00951DD0">
        <w:rPr>
          <w:rFonts w:ascii="Arial" w:hAnsi="Arial" w:cs="Arial"/>
          <w:i/>
          <w:sz w:val="20"/>
        </w:rPr>
        <w:t xml:space="preserve">Visy Board Pty Limited v Stephen D’Souza &amp; </w:t>
      </w:r>
      <w:proofErr w:type="spellStart"/>
      <w:r w:rsidRPr="00951DD0">
        <w:rPr>
          <w:rFonts w:ascii="Arial" w:hAnsi="Arial" w:cs="Arial"/>
          <w:i/>
          <w:sz w:val="20"/>
        </w:rPr>
        <w:t>Ors</w:t>
      </w:r>
      <w:proofErr w:type="spellEnd"/>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w:t>
      </w:r>
      <w:r w:rsidR="000D124E">
        <w:rPr>
          <w:rFonts w:ascii="Arial" w:hAnsi="Arial" w:cs="Arial"/>
          <w:sz w:val="20"/>
        </w:rPr>
        <w:t xml:space="preserve">; </w:t>
      </w:r>
      <w:r w:rsidR="000D124E" w:rsidRPr="000D124E">
        <w:rPr>
          <w:rFonts w:ascii="Arial" w:hAnsi="Arial" w:cs="Arial"/>
          <w:color w:val="000000"/>
          <w:sz w:val="20"/>
          <w:szCs w:val="20"/>
          <w:shd w:val="clear" w:color="auto" w:fill="FFFFFF"/>
        </w:rPr>
        <w:t>(2008) 235 CLR 125</w:t>
      </w:r>
      <w:r w:rsidR="000D124E">
        <w:rPr>
          <w:rFonts w:ascii="Georgia" w:hAnsi="Georgia"/>
          <w:color w:val="000000"/>
          <w:sz w:val="20"/>
          <w:szCs w:val="20"/>
          <w:shd w:val="clear" w:color="auto" w:fill="FFFFFF"/>
        </w:rPr>
        <w:t xml:space="preserve"> </w:t>
      </w:r>
      <w:r>
        <w:rPr>
          <w:rFonts w:ascii="Arial" w:hAnsi="Arial" w:cs="Arial"/>
          <w:sz w:val="20"/>
        </w:rPr>
        <w:t xml:space="preserve">at [96] where Hayne, </w:t>
      </w:r>
      <w:proofErr w:type="spellStart"/>
      <w:r>
        <w:rPr>
          <w:rFonts w:ascii="Arial" w:hAnsi="Arial" w:cs="Arial"/>
          <w:sz w:val="20"/>
        </w:rPr>
        <w:t>Heydon</w:t>
      </w:r>
      <w:proofErr w:type="spellEnd"/>
      <w:r>
        <w:rPr>
          <w:rFonts w:ascii="Arial" w:hAnsi="Arial" w:cs="Arial"/>
          <w:sz w:val="20"/>
        </w:rPr>
        <w:t xml:space="preserve"> &amp; </w:t>
      </w:r>
      <w:proofErr w:type="spellStart"/>
      <w:r>
        <w:rPr>
          <w:rFonts w:ascii="Arial" w:hAnsi="Arial" w:cs="Arial"/>
          <w:sz w:val="20"/>
        </w:rPr>
        <w:t>Crennan</w:t>
      </w:r>
      <w:proofErr w:type="spellEnd"/>
      <w:r>
        <w:rPr>
          <w:rFonts w:ascii="Arial" w:hAnsi="Arial" w:cs="Arial"/>
          <w:sz w:val="20"/>
        </w:rPr>
        <w:t xml:space="preserve">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B9646E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r w:rsidR="000D124E">
        <w:rPr>
          <w:rFonts w:ascii="Arial" w:hAnsi="Arial" w:cs="Arial"/>
          <w:sz w:val="20"/>
        </w:rPr>
        <w:t xml:space="preserve">  See also </w:t>
      </w:r>
      <w:r w:rsidR="000D124E" w:rsidRPr="000D124E">
        <w:rPr>
          <w:rFonts w:ascii="Arial" w:hAnsi="Arial" w:cs="Arial"/>
          <w:i/>
          <w:iCs/>
          <w:sz w:val="20"/>
        </w:rPr>
        <w:t>Khoury v Kirwan (No 4)</w:t>
      </w:r>
      <w:r w:rsidR="000D124E">
        <w:rPr>
          <w:rFonts w:ascii="Arial" w:hAnsi="Arial" w:cs="Arial"/>
          <w:sz w:val="20"/>
        </w:rPr>
        <w:t xml:space="preserve"> [2021] VSC 333 at [4].</w:t>
      </w:r>
    </w:p>
    <w:p w14:paraId="322EC5A3" w14:textId="77777777" w:rsidR="001F1C85" w:rsidRPr="009F25D4" w:rsidRDefault="001F1C85" w:rsidP="001F1C85">
      <w:pPr>
        <w:jc w:val="both"/>
        <w:rPr>
          <w:rFonts w:ascii="Arial" w:hAnsi="Arial" w:cs="Arial"/>
          <w:color w:val="000000"/>
          <w:sz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44" w:name="_3.5.9.2__Pre-hearing"/>
      <w:bookmarkStart w:id="745" w:name="B3592"/>
      <w:bookmarkEnd w:id="744"/>
      <w:bookmarkEnd w:id="745"/>
      <w:r w:rsidRPr="009F25D4">
        <w:rPr>
          <w:rFonts w:ascii="Arial" w:hAnsi="Arial" w:cs="Arial"/>
          <w:b/>
          <w:bCs/>
          <w:color w:val="000000"/>
          <w:sz w:val="20"/>
        </w:rPr>
        <w:lastRenderedPageBreak/>
        <w:t>3.5.9.2  Pre-hearing disclosure in the Criminal Division</w:t>
      </w:r>
    </w:p>
    <w:p w14:paraId="67FFF1C2" w14:textId="48B2DCDF" w:rsidR="00F87038" w:rsidRPr="009F25D4" w:rsidRDefault="001E4091" w:rsidP="007D4A33">
      <w:pPr>
        <w:keepNext/>
        <w:keepLines/>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A82F40">
        <w:rPr>
          <w:rFonts w:ascii="Arial" w:hAnsi="Arial" w:cs="Arial"/>
          <w:i/>
          <w:iCs/>
          <w:color w:val="000000"/>
          <w:sz w:val="20"/>
        </w:rPr>
        <w:t>Criminal Procedure Act 2009</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48F49282"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A82F40">
        <w:rPr>
          <w:rFonts w:ascii="Arial" w:hAnsi="Arial" w:cs="Arial"/>
          <w:i/>
          <w:iCs/>
          <w:color w:val="000000"/>
          <w:sz w:val="20"/>
        </w:rPr>
        <w:t>Criminal Procedure Act 2009</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proofErr w:type="spellStart"/>
      <w:r w:rsidR="00E97F49" w:rsidRPr="00E97F49">
        <w:rPr>
          <w:rFonts w:ascii="Arial" w:hAnsi="Arial" w:cs="Arial"/>
          <w:i/>
          <w:iCs/>
          <w:color w:val="000000"/>
          <w:sz w:val="20"/>
        </w:rPr>
        <w:t>Cvetanovski</w:t>
      </w:r>
      <w:proofErr w:type="spellEnd"/>
      <w:r w:rsidR="00E97F49" w:rsidRPr="00E97F49">
        <w:rPr>
          <w:rFonts w:ascii="Arial" w:hAnsi="Arial" w:cs="Arial"/>
          <w:i/>
          <w:iCs/>
          <w:color w:val="000000"/>
          <w:sz w:val="20"/>
        </w:rPr>
        <w:t xml:space="preserve">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sz w:val="20"/>
          <w:szCs w:val="20"/>
        </w:rPr>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951DD0" w:rsidRDefault="00F35C98" w:rsidP="0058166A">
      <w:pPr>
        <w:spacing w:before="60"/>
        <w:ind w:left="720" w:right="720"/>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It is fundamental that there must be full disclosure in criminal trials. It is a </w:t>
      </w:r>
      <w:r>
        <w:rPr>
          <w:rFonts w:ascii="Arial" w:hAnsi="Arial" w:cs="Arial"/>
          <w:sz w:val="20"/>
          <w:szCs w:val="20"/>
        </w:rPr>
        <w:t>“</w:t>
      </w:r>
      <w:r w:rsidRPr="00F35C98">
        <w:rPr>
          <w:rFonts w:ascii="Arial" w:hAnsi="Arial" w:cs="Arial"/>
          <w:sz w:val="20"/>
          <w:szCs w:val="20"/>
        </w:rPr>
        <w:t>golden rule</w:t>
      </w:r>
      <w:r>
        <w:rPr>
          <w:rFonts w:ascii="Arial" w:hAnsi="Arial" w:cs="Arial"/>
          <w:sz w:val="20"/>
          <w:szCs w:val="20"/>
        </w:rPr>
        <w:t>”</w:t>
      </w:r>
      <w:r w:rsidRPr="00F35C98">
        <w:rPr>
          <w:rFonts w:ascii="Arial" w:hAnsi="Arial" w:cs="Arial"/>
          <w:sz w:val="20"/>
          <w:szCs w:val="20"/>
        </w:rPr>
        <w:t xml:space="preserve">. </w:t>
      </w:r>
      <w:r w:rsidRPr="00F35C98">
        <w:rPr>
          <w:rFonts w:ascii="Arial" w:hAnsi="Arial" w:cs="Arial"/>
          <w:b/>
          <w:bCs/>
          <w:sz w:val="20"/>
          <w:szCs w:val="20"/>
        </w:rPr>
        <w:t>The duty is to disclose all relevant material of help to an accused. It is owed to the court, not the accused. It is ongoing.</w:t>
      </w:r>
      <w:r w:rsidRPr="00F35C98">
        <w:rPr>
          <w:rFonts w:ascii="Arial" w:hAnsi="Arial" w:cs="Arial"/>
          <w:sz w:val="20"/>
          <w:szCs w:val="20"/>
        </w:rPr>
        <w:t xml:space="preserve"> It includes, where appropriate, an obligation to make enquiries. It is imposed upon the Crown in its broadest sense. And a failure in its discharge can result in a miscarriage of justice.</w:t>
      </w:r>
      <w:r w:rsidR="0058166A">
        <w:rPr>
          <w:rFonts w:ascii="Arial" w:hAnsi="Arial" w:cs="Arial"/>
          <w:sz w:val="20"/>
          <w:szCs w:val="20"/>
        </w:rPr>
        <w:t>’</w:t>
      </w:r>
      <w:r>
        <w:rPr>
          <w:rFonts w:ascii="Arial" w:hAnsi="Arial" w:cs="Arial"/>
          <w:sz w:val="20"/>
          <w:szCs w:val="20"/>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46" w:name="_3.5.9.3__Production"/>
      <w:bookmarkStart w:id="747" w:name="B3593"/>
      <w:bookmarkEnd w:id="746"/>
      <w:bookmarkEnd w:id="747"/>
      <w:r w:rsidRPr="009F25D4">
        <w:rPr>
          <w:rFonts w:ascii="Arial" w:hAnsi="Arial" w:cs="Arial"/>
          <w:b/>
          <w:bCs/>
          <w:color w:val="000000"/>
          <w:sz w:val="20"/>
        </w:rPr>
        <w:t xml:space="preserve">3.5.9.3  Production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sub-poena,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0BEA588D"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A82F40">
        <w:rPr>
          <w:rFonts w:ascii="Arial" w:hAnsi="Arial" w:cs="Arial"/>
          <w:i/>
          <w:iCs/>
          <w:color w:val="000000"/>
          <w:sz w:val="20"/>
        </w:rPr>
        <w:t>Evidence Act 1958</w:t>
      </w:r>
      <w:r w:rsidR="00A82F40" w:rsidRPr="00A82F40">
        <w:rPr>
          <w:rFonts w:ascii="Arial" w:hAnsi="Arial" w:cs="Arial"/>
          <w:color w:val="000000"/>
          <w:sz w:val="20"/>
        </w:rPr>
        <w:t xml:space="preserve"> </w:t>
      </w:r>
      <w:r w:rsidRPr="009F25D4">
        <w:rPr>
          <w:rFonts w:ascii="Arial" w:hAnsi="Arial" w:cs="Arial"/>
          <w:color w:val="000000"/>
          <w:sz w:val="20"/>
        </w:rPr>
        <w:t>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4D8794BC" w:rsidR="00BD4A44" w:rsidRPr="00C42902" w:rsidRDefault="00BD4A44" w:rsidP="00C42902">
      <w:pPr>
        <w:spacing w:before="120"/>
        <w:ind w:left="454"/>
        <w:jc w:val="both"/>
        <w:rPr>
          <w:rFonts w:ascii="Arial" w:hAnsi="Arial" w:cs="Arial"/>
          <w:color w:val="000000"/>
          <w:sz w:val="20"/>
        </w:rPr>
      </w:pPr>
      <w:r w:rsidRPr="00C42902">
        <w:rPr>
          <w:rFonts w:ascii="Arial" w:hAnsi="Arial" w:cs="Arial"/>
          <w:color w:val="000000"/>
          <w:sz w:val="20"/>
        </w:rPr>
        <w:t xml:space="preserve">In </w:t>
      </w:r>
      <w:proofErr w:type="spellStart"/>
      <w:r w:rsidRPr="00C42902">
        <w:rPr>
          <w:rFonts w:ascii="Arial" w:hAnsi="Arial" w:cs="Arial"/>
          <w:i/>
          <w:color w:val="000000"/>
          <w:sz w:val="20"/>
        </w:rPr>
        <w:t>Sobh</w:t>
      </w:r>
      <w:proofErr w:type="spellEnd"/>
      <w:r w:rsidRPr="00C42902">
        <w:rPr>
          <w:rFonts w:ascii="Arial" w:hAnsi="Arial" w:cs="Arial"/>
          <w:i/>
          <w:color w:val="000000"/>
          <w:sz w:val="20"/>
        </w:rPr>
        <w:t xml:space="preserve"> v Police Force of Victoria</w:t>
      </w:r>
      <w:r w:rsidRPr="00C42902">
        <w:rPr>
          <w:rFonts w:ascii="Arial" w:hAnsi="Arial" w:cs="Arial"/>
          <w:color w:val="000000"/>
          <w:sz w:val="20"/>
        </w:rPr>
        <w:t xml:space="preserve"> [1994] 1 VR 41 the Appeal Division of the Supreme Court of Victoria permitted disclosure of a police brief to an accused following a request by his solicitor.  At pp.47-48 Brooking J said:</w:t>
      </w:r>
    </w:p>
    <w:p w14:paraId="0CB0E803" w14:textId="77777777" w:rsidR="00BD4A44" w:rsidRPr="009F25D4" w:rsidRDefault="00BD4A44" w:rsidP="00C37348">
      <w:pPr>
        <w:spacing w:before="60"/>
        <w:ind w:left="907" w:right="454"/>
        <w:jc w:val="both"/>
        <w:rPr>
          <w:rFonts w:ascii="Arial" w:hAnsi="Arial" w:cs="Arial"/>
          <w:iCs/>
          <w:color w:val="000000"/>
          <w:sz w:val="20"/>
          <w:szCs w:val="20"/>
        </w:rPr>
      </w:pPr>
      <w:r w:rsidRPr="009F25D4">
        <w:rPr>
          <w:rFonts w:ascii="Arial" w:hAnsi="Arial" w:cs="Arial"/>
          <w:iCs/>
          <w:color w:val="000000"/>
          <w:sz w:val="20"/>
          <w:szCs w:val="20"/>
        </w:rPr>
        <w:t xml:space="preserve">“That there is no right in an accused person to obtain discovery of all documents relevant to a charge undoubtedly remains correct: </w:t>
      </w:r>
      <w:r w:rsidRPr="009F25D4">
        <w:rPr>
          <w:rFonts w:ascii="Arial" w:hAnsi="Arial" w:cs="Arial"/>
          <w:i/>
          <w:iCs/>
          <w:color w:val="000000"/>
          <w:sz w:val="20"/>
          <w:szCs w:val="20"/>
        </w:rPr>
        <w:t>R v Charlton</w:t>
      </w:r>
      <w:r w:rsidRPr="009F25D4">
        <w:rPr>
          <w:rFonts w:ascii="Arial" w:hAnsi="Arial" w:cs="Arial"/>
          <w:iCs/>
          <w:color w:val="000000"/>
          <w:sz w:val="20"/>
          <w:szCs w:val="20"/>
        </w:rPr>
        <w:t xml:space="preserve"> [1972] VR 758; </w:t>
      </w:r>
      <w:r w:rsidRPr="009F25D4">
        <w:rPr>
          <w:rFonts w:ascii="Arial" w:hAnsi="Arial" w:cs="Arial"/>
          <w:i/>
          <w:iCs/>
          <w:color w:val="000000"/>
          <w:sz w:val="20"/>
          <w:szCs w:val="20"/>
        </w:rPr>
        <w:t>Clarkson v DPP</w:t>
      </w:r>
      <w:r w:rsidRPr="009F25D4">
        <w:rPr>
          <w:rFonts w:ascii="Arial" w:hAnsi="Arial" w:cs="Arial"/>
          <w:iCs/>
          <w:color w:val="000000"/>
          <w:sz w:val="20"/>
          <w:szCs w:val="20"/>
        </w:rPr>
        <w:t xml:space="preserve"> </w:t>
      </w:r>
      <w:r w:rsidRPr="009F25D4">
        <w:rPr>
          <w:rFonts w:ascii="Arial" w:hAnsi="Arial" w:cs="Arial"/>
          <w:iCs/>
          <w:color w:val="000000"/>
          <w:sz w:val="20"/>
          <w:szCs w:val="20"/>
        </w:rPr>
        <w:lastRenderedPageBreak/>
        <w:t xml:space="preserve">[1990] VR 745 at 759.  But it </w:t>
      </w:r>
      <w:r w:rsidR="000E7306" w:rsidRPr="009F25D4">
        <w:rPr>
          <w:rFonts w:ascii="Arial" w:hAnsi="Arial" w:cs="Arial"/>
          <w:iCs/>
          <w:color w:val="000000"/>
          <w:sz w:val="20"/>
          <w:szCs w:val="20"/>
        </w:rPr>
        <w:t xml:space="preserve">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t>
      </w:r>
      <w:proofErr w:type="spellStart"/>
      <w:r w:rsidR="000E7306" w:rsidRPr="009F25D4">
        <w:rPr>
          <w:rFonts w:ascii="Arial" w:hAnsi="Arial" w:cs="Arial"/>
          <w:iCs/>
          <w:color w:val="000000"/>
          <w:sz w:val="20"/>
          <w:szCs w:val="20"/>
        </w:rPr>
        <w:t>Wigmore</w:t>
      </w:r>
      <w:proofErr w:type="spellEnd"/>
      <w:r w:rsidR="000E7306" w:rsidRPr="009F25D4">
        <w:rPr>
          <w:rFonts w:ascii="Arial" w:hAnsi="Arial" w:cs="Arial"/>
          <w:iCs/>
          <w:color w:val="000000"/>
          <w:sz w:val="20"/>
          <w:szCs w:val="20"/>
        </w:rPr>
        <w:t xml:space="preserve"> might lead to a refusal to order production.”</w:t>
      </w:r>
    </w:p>
    <w:p w14:paraId="79C16E43" w14:textId="77777777" w:rsidR="00546E95" w:rsidRPr="009F25D4" w:rsidRDefault="00546E95" w:rsidP="00C42902">
      <w:pPr>
        <w:spacing w:before="60"/>
        <w:ind w:left="454"/>
        <w:jc w:val="both"/>
        <w:rPr>
          <w:rFonts w:ascii="Arial" w:hAnsi="Arial" w:cs="Arial"/>
          <w:color w:val="000000"/>
          <w:sz w:val="20"/>
        </w:rPr>
      </w:pPr>
      <w:r w:rsidRPr="009F25D4">
        <w:rPr>
          <w:rFonts w:ascii="Arial" w:hAnsi="Arial" w:cs="Arial"/>
          <w:color w:val="000000"/>
          <w:sz w:val="20"/>
        </w:rPr>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(a)</w:t>
      </w:r>
      <w:r w:rsidRPr="009F25D4">
        <w:rPr>
          <w:rFonts w:ascii="Arial" w:hAnsi="Arial" w:cs="Arial"/>
          <w:color w:val="000000"/>
          <w:sz w:val="20"/>
        </w:rPr>
        <w:tab/>
        <w:t xml:space="preserve">the inherent power of the Court </w:t>
      </w:r>
      <w:proofErr w:type="spellStart"/>
      <w:r w:rsidRPr="009F25D4">
        <w:rPr>
          <w:rFonts w:ascii="Arial" w:hAnsi="Arial" w:cs="Arial"/>
          <w:color w:val="000000"/>
          <w:sz w:val="20"/>
        </w:rPr>
        <w:t>seised</w:t>
      </w:r>
      <w:proofErr w:type="spellEnd"/>
      <w:r w:rsidRPr="009F25D4">
        <w:rPr>
          <w:rFonts w:ascii="Arial" w:hAnsi="Arial" w:cs="Arial"/>
          <w:color w:val="000000"/>
          <w:sz w:val="20"/>
        </w:rPr>
        <w:t xml:space="preserve">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03614B">
      <w:pPr>
        <w:ind w:left="454"/>
        <w:jc w:val="both"/>
        <w:rPr>
          <w:rFonts w:ascii="Arial" w:hAnsi="Arial" w:cs="Arial"/>
          <w:color w:val="000000"/>
          <w:sz w:val="20"/>
        </w:rPr>
      </w:pPr>
      <w:r w:rsidRPr="009F25D4">
        <w:rPr>
          <w:rFonts w:ascii="Arial" w:hAnsi="Arial" w:cs="Arial"/>
          <w:color w:val="000000"/>
          <w:sz w:val="20"/>
        </w:rPr>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proofErr w:type="spellStart"/>
      <w:r w:rsidRPr="009F25D4">
        <w:rPr>
          <w:rFonts w:ascii="Arial" w:hAnsi="Arial" w:cs="Arial"/>
          <w:i/>
          <w:color w:val="000000"/>
          <w:sz w:val="20"/>
        </w:rPr>
        <w:t>Sobh’s</w:t>
      </w:r>
      <w:proofErr w:type="spellEnd"/>
      <w:r w:rsidRPr="009F25D4">
        <w:rPr>
          <w:rFonts w:ascii="Arial" w:hAnsi="Arial" w:cs="Arial"/>
          <w:i/>
          <w:color w:val="000000"/>
          <w:sz w:val="20"/>
        </w:rPr>
        <w:t xml:space="preserve"> Case</w:t>
      </w:r>
      <w:r w:rsidRPr="009F25D4">
        <w:rPr>
          <w:rFonts w:ascii="Arial" w:hAnsi="Arial" w:cs="Arial"/>
          <w:color w:val="000000"/>
          <w:sz w:val="20"/>
        </w:rPr>
        <w:t xml:space="preserve"> were not equally applicable to protection proceedings in the Family Division of the Children’s Court.</w:t>
      </w:r>
    </w:p>
    <w:p w14:paraId="7F2F6205" w14:textId="484864B4" w:rsidR="0003614B" w:rsidRPr="000F0BE9" w:rsidRDefault="007C10BC" w:rsidP="00C42902">
      <w:pPr>
        <w:pStyle w:val="ListParagraph"/>
        <w:spacing w:before="120"/>
        <w:ind w:left="454"/>
        <w:jc w:val="both"/>
        <w:rPr>
          <w:rFonts w:ascii="Arial" w:hAnsi="Arial" w:cs="Arial"/>
          <w:color w:val="000000"/>
          <w:sz w:val="20"/>
        </w:rPr>
      </w:pPr>
      <w:r w:rsidRPr="000F0BE9">
        <w:rPr>
          <w:rFonts w:ascii="Arial" w:hAnsi="Arial" w:cs="Arial"/>
          <w:color w:val="000000"/>
          <w:sz w:val="20"/>
        </w:rPr>
        <w:t>Read in conjunction with s.166(a), s.</w:t>
      </w:r>
      <w:r w:rsidR="00DF0C10" w:rsidRPr="000F0BE9">
        <w:rPr>
          <w:rFonts w:ascii="Arial" w:hAnsi="Arial" w:cs="Arial"/>
          <w:color w:val="000000"/>
          <w:sz w:val="20"/>
        </w:rPr>
        <w:t>16</w:t>
      </w:r>
      <w:r w:rsidRPr="000F0BE9">
        <w:rPr>
          <w:rFonts w:ascii="Arial" w:hAnsi="Arial" w:cs="Arial"/>
          <w:color w:val="000000"/>
          <w:sz w:val="20"/>
        </w:rPr>
        <w:t>9(1)(a)</w:t>
      </w:r>
      <w:r w:rsidR="00DF0C10" w:rsidRPr="000F0BE9">
        <w:rPr>
          <w:rFonts w:ascii="Arial" w:hAnsi="Arial" w:cs="Arial"/>
          <w:color w:val="000000"/>
          <w:sz w:val="20"/>
        </w:rPr>
        <w:t xml:space="preserve"> of the </w:t>
      </w:r>
      <w:r w:rsidR="00DF0C10" w:rsidRPr="000F0BE9">
        <w:rPr>
          <w:rFonts w:ascii="Arial" w:hAnsi="Arial" w:cs="Arial"/>
          <w:i/>
          <w:iCs/>
          <w:color w:val="000000"/>
          <w:sz w:val="20"/>
        </w:rPr>
        <w:t>Evidence Act 2008</w:t>
      </w:r>
      <w:r w:rsidR="00DF0C10" w:rsidRPr="000F0BE9">
        <w:rPr>
          <w:rFonts w:ascii="Arial" w:hAnsi="Arial" w:cs="Arial"/>
          <w:color w:val="000000"/>
          <w:sz w:val="20"/>
        </w:rPr>
        <w:t xml:space="preserve"> provides </w:t>
      </w:r>
      <w:r w:rsidRPr="000F0BE9">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01C4DDAE" w:rsidR="007C10BC" w:rsidRPr="009F25D4" w:rsidRDefault="00F30790" w:rsidP="000F0BE9">
      <w:pPr>
        <w:spacing w:before="120"/>
        <w:jc w:val="both"/>
        <w:rPr>
          <w:rFonts w:ascii="Arial" w:hAnsi="Arial" w:cs="Arial"/>
          <w:color w:val="000000"/>
          <w:sz w:val="20"/>
        </w:rPr>
      </w:pPr>
      <w:r>
        <w:rPr>
          <w:rFonts w:ascii="Arial" w:hAnsi="Arial" w:cs="Arial"/>
          <w:color w:val="000000"/>
          <w:sz w:val="20"/>
        </w:rPr>
        <w:t>In addition, Magistrate Power accepted Mr Draper’s submission that s.</w:t>
      </w:r>
      <w:r w:rsidR="007C10BC" w:rsidRPr="009F25D4">
        <w:rPr>
          <w:rFonts w:ascii="Arial" w:hAnsi="Arial" w:cs="Arial"/>
          <w:color w:val="000000"/>
          <w:sz w:val="20"/>
        </w:rPr>
        <w:t xml:space="preserve">193 of the </w:t>
      </w:r>
      <w:r w:rsidR="007C10BC" w:rsidRPr="00A82F40">
        <w:rPr>
          <w:rFonts w:ascii="Arial" w:hAnsi="Arial" w:cs="Arial"/>
          <w:i/>
          <w:iCs/>
          <w:color w:val="000000"/>
          <w:sz w:val="20"/>
        </w:rPr>
        <w:t xml:space="preserve">Evidence Act 2008 </w:t>
      </w:r>
      <w:r w:rsidR="007C10BC" w:rsidRPr="009F25D4">
        <w:rPr>
          <w:rFonts w:ascii="Arial" w:hAnsi="Arial" w:cs="Arial"/>
          <w:color w:val="000000"/>
          <w:sz w:val="20"/>
        </w:rPr>
        <w:t xml:space="preserve">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77777777" w:rsidR="00F730A1" w:rsidRDefault="00F730A1" w:rsidP="007C10BC">
      <w:pPr>
        <w:jc w:val="both"/>
        <w:rPr>
          <w:rFonts w:ascii="Arial" w:hAnsi="Arial" w:cs="Arial"/>
          <w:sz w:val="20"/>
        </w:rPr>
      </w:pPr>
      <w:r>
        <w:rPr>
          <w:rFonts w:ascii="Arial" w:hAnsi="Arial" w:cs="Arial"/>
          <w:sz w:val="20"/>
        </w:rPr>
        <w:t>As from 02/09/2013 Practice Direction No. 4 of 2013 provides:</w:t>
      </w:r>
    </w:p>
    <w:p w14:paraId="6628FB76" w14:textId="77777777" w:rsidR="00F730A1" w:rsidRDefault="00F730A1" w:rsidP="00F730A1">
      <w:pPr>
        <w:ind w:left="567" w:hanging="567"/>
        <w:jc w:val="both"/>
        <w:rPr>
          <w:rFonts w:ascii="Arial" w:hAnsi="Arial" w:cs="Arial"/>
          <w:sz w:val="20"/>
        </w:rPr>
      </w:pPr>
      <w:r>
        <w:rPr>
          <w:rFonts w:ascii="Arial" w:hAnsi="Arial" w:cs="Arial"/>
          <w:sz w:val="20"/>
        </w:rPr>
        <w:t>1.</w:t>
      </w:r>
      <w:r>
        <w:rPr>
          <w:rFonts w:ascii="Arial" w:hAnsi="Arial" w:cs="Arial"/>
          <w:sz w:val="20"/>
        </w:rPr>
        <w:tab/>
      </w:r>
      <w:r w:rsidRPr="00786F9E">
        <w:rPr>
          <w:rFonts w:ascii="Arial" w:hAnsi="Arial" w:cs="Arial"/>
          <w:color w:val="000000"/>
          <w:sz w:val="20"/>
          <w:lang w:eastAsia="en-AU"/>
        </w:rPr>
        <w:t xml:space="preserve">From 2 </w:t>
      </w:r>
      <w:r>
        <w:rPr>
          <w:rFonts w:ascii="Arial" w:hAnsi="Arial" w:cs="Arial"/>
          <w:color w:val="000000"/>
          <w:sz w:val="20"/>
          <w:lang w:eastAsia="en-AU"/>
        </w:rPr>
        <w:t>September</w:t>
      </w:r>
      <w:r w:rsidRPr="00786F9E">
        <w:rPr>
          <w:rFonts w:ascii="Arial" w:hAnsi="Arial" w:cs="Arial"/>
          <w:color w:val="000000"/>
          <w:sz w:val="20"/>
          <w:lang w:eastAsia="en-AU"/>
        </w:rPr>
        <w:t xml:space="preserve"> 20</w:t>
      </w:r>
      <w:r>
        <w:rPr>
          <w:rFonts w:ascii="Arial" w:hAnsi="Arial" w:cs="Arial"/>
          <w:color w:val="000000"/>
          <w:sz w:val="20"/>
          <w:lang w:eastAsia="en-AU"/>
        </w:rPr>
        <w:t>13</w:t>
      </w:r>
      <w:r w:rsidRPr="00786F9E">
        <w:rPr>
          <w:rFonts w:ascii="Arial" w:hAnsi="Arial" w:cs="Arial"/>
          <w:color w:val="000000"/>
          <w:sz w:val="20"/>
          <w:lang w:eastAsia="en-AU"/>
        </w:rPr>
        <w:t xml:space="preserve"> the Family Division registry of the Melbourne Children’s Court will not accept the filing of any </w:t>
      </w:r>
      <w:r>
        <w:rPr>
          <w:rFonts w:ascii="Arial" w:hAnsi="Arial" w:cs="Arial"/>
          <w:color w:val="000000"/>
          <w:sz w:val="20"/>
          <w:lang w:eastAsia="en-AU"/>
        </w:rPr>
        <w:t xml:space="preserve">child protection </w:t>
      </w:r>
      <w:r w:rsidRPr="00786F9E">
        <w:rPr>
          <w:rFonts w:ascii="Arial" w:hAnsi="Arial" w:cs="Arial"/>
          <w:color w:val="000000"/>
          <w:sz w:val="20"/>
          <w:lang w:eastAsia="en-AU"/>
        </w:rPr>
        <w:t>application</w:t>
      </w:r>
      <w:r>
        <w:rPr>
          <w:rFonts w:ascii="Arial" w:hAnsi="Arial" w:cs="Arial"/>
          <w:color w:val="000000"/>
          <w:sz w:val="20"/>
          <w:lang w:eastAsia="en-AU"/>
        </w:rPr>
        <w:t>s</w:t>
      </w:r>
      <w:r w:rsidRPr="00786F9E">
        <w:rPr>
          <w:rFonts w:ascii="Arial" w:hAnsi="Arial" w:cs="Arial"/>
          <w:color w:val="000000"/>
          <w:sz w:val="20"/>
          <w:lang w:eastAsia="en-AU"/>
        </w:rPr>
        <w:t xml:space="preserve"> by apprehension after </w:t>
      </w:r>
      <w:r>
        <w:rPr>
          <w:rFonts w:ascii="Arial" w:hAnsi="Arial" w:cs="Arial"/>
          <w:color w:val="000000"/>
          <w:sz w:val="20"/>
          <w:lang w:eastAsia="en-AU"/>
        </w:rPr>
        <w:t>1</w:t>
      </w:r>
      <w:r w:rsidRPr="00786F9E">
        <w:rPr>
          <w:rFonts w:ascii="Arial" w:hAnsi="Arial" w:cs="Arial"/>
          <w:color w:val="000000"/>
          <w:sz w:val="20"/>
          <w:lang w:eastAsia="en-AU"/>
        </w:rPr>
        <w:t>.00 pm on any sitting day</w:t>
      </w:r>
      <w:r>
        <w:rPr>
          <w:rFonts w:ascii="Arial" w:hAnsi="Arial" w:cs="Arial"/>
          <w:color w:val="000000"/>
          <w:sz w:val="20"/>
          <w:lang w:eastAsia="en-AU"/>
        </w:rPr>
        <w:t xml:space="preserve"> with the exception of secure welfare related placements which may be filed up until 2pm.</w:t>
      </w:r>
    </w:p>
    <w:p w14:paraId="4D43BED3" w14:textId="77777777" w:rsidR="00F730A1" w:rsidRDefault="00F730A1" w:rsidP="00F730A1">
      <w:pPr>
        <w:ind w:left="567" w:hanging="567"/>
        <w:jc w:val="both"/>
        <w:rPr>
          <w:rFonts w:ascii="Arial" w:hAnsi="Arial" w:cs="Arial"/>
          <w:sz w:val="20"/>
        </w:rPr>
      </w:pPr>
      <w:r>
        <w:rPr>
          <w:rFonts w:ascii="Arial" w:hAnsi="Arial" w:cs="Arial"/>
          <w:color w:val="000000"/>
          <w:sz w:val="20"/>
          <w:lang w:eastAsia="en-AU"/>
        </w:rPr>
        <w:t>2.</w:t>
      </w:r>
      <w:r>
        <w:rPr>
          <w:rFonts w:ascii="Arial" w:hAnsi="Arial" w:cs="Arial"/>
          <w:color w:val="000000"/>
          <w:sz w:val="20"/>
          <w:lang w:eastAsia="en-AU"/>
        </w:rPr>
        <w:tab/>
        <w:t>Protective workers should file a copy of their CRIS notes in a sealed envelope with the application at the time of filing or as soon as practicable thereafter.  Applications for the release of notes shall be brought before the Court as soon as practicable after their filing.</w:t>
      </w:r>
    </w:p>
    <w:p w14:paraId="3AFC8024" w14:textId="77777777" w:rsidR="00F730A1" w:rsidRDefault="00F730A1" w:rsidP="00F730A1">
      <w:pPr>
        <w:ind w:left="567" w:hanging="567"/>
        <w:jc w:val="both"/>
        <w:rPr>
          <w:rFonts w:ascii="Arial" w:hAnsi="Arial" w:cs="Arial"/>
          <w:color w:val="000000"/>
          <w:sz w:val="20"/>
          <w:lang w:eastAsia="en-AU"/>
        </w:rPr>
      </w:pPr>
      <w:r>
        <w:rPr>
          <w:rFonts w:ascii="Arial" w:hAnsi="Arial" w:cs="Arial"/>
          <w:sz w:val="20"/>
        </w:rPr>
        <w:t>3.</w:t>
      </w:r>
      <w:r>
        <w:rPr>
          <w:rFonts w:ascii="Arial" w:hAnsi="Arial" w:cs="Arial"/>
          <w:sz w:val="20"/>
        </w:rPr>
        <w:tab/>
      </w:r>
      <w:r w:rsidR="002672DD">
        <w:rPr>
          <w:rFonts w:ascii="Arial" w:hAnsi="Arial" w:cs="Arial"/>
          <w:color w:val="000000"/>
          <w:sz w:val="20"/>
          <w:lang w:eastAsia="en-AU"/>
        </w:rPr>
        <w:t>Any submissions contest arising out of the filing of an application referred to in paragraph 1 must be in a position to proceed by 3pm.</w:t>
      </w:r>
    </w:p>
    <w:p w14:paraId="03CCB69B" w14:textId="77777777" w:rsidR="00F730A1" w:rsidRDefault="00E55E47" w:rsidP="007C10BC">
      <w:pPr>
        <w:jc w:val="both"/>
        <w:rPr>
          <w:rFonts w:ascii="Arial" w:hAnsi="Arial" w:cs="Arial"/>
          <w:sz w:val="20"/>
        </w:rPr>
      </w:pPr>
      <w:r>
        <w:rPr>
          <w:rFonts w:ascii="Arial" w:hAnsi="Arial" w:cs="Arial"/>
          <w:sz w:val="20"/>
        </w:rPr>
        <w:t xml:space="preserve">Similar Practice Directions apply to applications by apprehension at </w:t>
      </w:r>
      <w:r w:rsidR="0003295F">
        <w:rPr>
          <w:rFonts w:ascii="Arial" w:hAnsi="Arial" w:cs="Arial"/>
          <w:sz w:val="20"/>
        </w:rPr>
        <w:t>Moorabbin &amp; Broadmeadows Children’s Courts and at regional venues: see Chapter 1.4.1.</w:t>
      </w:r>
    </w:p>
    <w:p w14:paraId="5F85FD66" w14:textId="77777777" w:rsidR="00E55E47" w:rsidRDefault="00E55E47" w:rsidP="007C10BC">
      <w:pPr>
        <w:jc w:val="both"/>
        <w:rPr>
          <w:rFonts w:ascii="Arial" w:hAnsi="Arial" w:cs="Arial"/>
          <w:sz w:val="20"/>
        </w:rPr>
      </w:pPr>
    </w:p>
    <w:p w14:paraId="32570886" w14:textId="77777777" w:rsidR="00D15DB2" w:rsidRDefault="00D15DB2" w:rsidP="00D15DB2">
      <w:pPr>
        <w:pStyle w:val="Heading3"/>
        <w:keepNext/>
        <w:spacing w:after="120" w:line="240" w:lineRule="auto"/>
        <w:rPr>
          <w:rFonts w:ascii="Arial" w:hAnsi="Arial" w:cs="Arial"/>
          <w:b/>
          <w:bCs/>
          <w:sz w:val="20"/>
        </w:rPr>
      </w:pPr>
      <w:bookmarkStart w:id="748" w:name="_3.5.10_Children_as"/>
      <w:bookmarkStart w:id="749" w:name="B3510"/>
      <w:bookmarkEnd w:id="748"/>
      <w:bookmarkEnd w:id="749"/>
      <w:r>
        <w:rPr>
          <w:rFonts w:ascii="Arial" w:hAnsi="Arial" w:cs="Arial"/>
          <w:b/>
          <w:bCs/>
          <w:sz w:val="20"/>
        </w:rPr>
        <w:t>3.5.</w:t>
      </w:r>
      <w:r w:rsidR="00F25FA2">
        <w:rPr>
          <w:rFonts w:ascii="Arial" w:hAnsi="Arial" w:cs="Arial"/>
          <w:b/>
          <w:bCs/>
          <w:sz w:val="20"/>
        </w:rPr>
        <w:t>1</w:t>
      </w:r>
      <w:r w:rsidR="005B4D0F">
        <w:rPr>
          <w:rFonts w:ascii="Arial" w:hAnsi="Arial" w:cs="Arial"/>
          <w:b/>
          <w:bCs/>
          <w:sz w:val="20"/>
        </w:rPr>
        <w:t>0</w:t>
      </w:r>
      <w:r>
        <w:rPr>
          <w:rFonts w:ascii="Arial" w:hAnsi="Arial" w:cs="Arial"/>
          <w:b/>
          <w:bCs/>
          <w:sz w:val="20"/>
        </w:rPr>
        <w:tab/>
        <w:t>Children as witnesses in court cases</w:t>
      </w:r>
    </w:p>
    <w:p w14:paraId="4FEEC7AF" w14:textId="55491028" w:rsidR="00443444" w:rsidRDefault="00D11911" w:rsidP="00E17B1E">
      <w:pPr>
        <w:jc w:val="both"/>
        <w:rPr>
          <w:rFonts w:ascii="Arial" w:hAnsi="Arial" w:cs="Arial"/>
          <w:sz w:val="20"/>
        </w:rPr>
      </w:pPr>
      <w:r>
        <w:rPr>
          <w:rFonts w:ascii="Arial" w:hAnsi="Arial" w:cs="Arial"/>
          <w:sz w:val="20"/>
        </w:rPr>
        <w:t xml:space="preserve">Both at common law and under the repealed s.23 of the </w:t>
      </w:r>
      <w:r w:rsidRPr="00A82F40">
        <w:rPr>
          <w:rFonts w:ascii="Arial" w:hAnsi="Arial" w:cs="Arial"/>
          <w:i/>
          <w:iCs/>
          <w:sz w:val="20"/>
        </w:rPr>
        <w:t>Evidence Act 1958</w:t>
      </w:r>
      <w:r>
        <w:rPr>
          <w:rFonts w:ascii="Arial" w:hAnsi="Arial" w:cs="Arial"/>
          <w:sz w:val="20"/>
        </w:rPr>
        <w:t>, there w</w:t>
      </w:r>
      <w:r w:rsidR="006A0F58">
        <w:rPr>
          <w:rFonts w:ascii="Arial" w:hAnsi="Arial" w:cs="Arial"/>
          <w:sz w:val="20"/>
        </w:rPr>
        <w:t xml:space="preserve">ere specific requirements about which the presiding judicial officer had to be satisfied before accepting the evidence of a child witness.  </w:t>
      </w:r>
      <w:r w:rsidR="00443444">
        <w:rPr>
          <w:rFonts w:ascii="Arial" w:hAnsi="Arial" w:cs="Arial"/>
          <w:sz w:val="20"/>
        </w:rPr>
        <w:t xml:space="preserve">Although there was no fixed age below which a child was deemed incompetent to give evidence on oath nor was there any precise rule as to the degree of knowledge or intelligence which would exclude such evidence, the common law </w:t>
      </w:r>
      <w:r w:rsidR="00704499">
        <w:rPr>
          <w:rFonts w:ascii="Arial" w:hAnsi="Arial" w:cs="Arial"/>
          <w:sz w:val="20"/>
        </w:rPr>
        <w:t xml:space="preserve">test </w:t>
      </w:r>
      <w:r w:rsidR="00443444">
        <w:rPr>
          <w:rFonts w:ascii="Arial" w:hAnsi="Arial" w:cs="Arial"/>
          <w:sz w:val="20"/>
        </w:rPr>
        <w:t xml:space="preserve">for the competency of a child </w:t>
      </w:r>
      <w:r w:rsidR="00704499">
        <w:rPr>
          <w:rFonts w:ascii="Arial" w:hAnsi="Arial" w:cs="Arial"/>
          <w:sz w:val="20"/>
        </w:rPr>
        <w:t>depended on</w:t>
      </w:r>
      <w:r w:rsidR="00443444">
        <w:rPr>
          <w:rFonts w:ascii="Arial" w:hAnsi="Arial" w:cs="Arial"/>
          <w:sz w:val="20"/>
        </w:rPr>
        <w:t xml:space="preserve"> whether the child possesses “a sufficient knowledge of the nature and consequences of [the] oath</w:t>
      </w:r>
      <w:r w:rsidR="00704499">
        <w:rPr>
          <w:rFonts w:ascii="Arial" w:hAnsi="Arial" w:cs="Arial"/>
          <w:sz w:val="20"/>
        </w:rPr>
        <w:t xml:space="preserve"> [and] on the sense and reason they entertain of the dangers and impiety of falsehood”.  See e.g. </w:t>
      </w:r>
      <w:r w:rsidR="00704499" w:rsidRPr="006C654A">
        <w:rPr>
          <w:rFonts w:ascii="Arial" w:hAnsi="Arial" w:cs="Arial"/>
          <w:i/>
          <w:sz w:val="20"/>
        </w:rPr>
        <w:t>R v Brasier</w:t>
      </w:r>
      <w:r w:rsidR="00704499">
        <w:rPr>
          <w:rFonts w:ascii="Arial" w:hAnsi="Arial" w:cs="Arial"/>
          <w:sz w:val="20"/>
        </w:rPr>
        <w:t xml:space="preserve"> (1779) 1 Leach 199 at 200; </w:t>
      </w:r>
      <w:r w:rsidR="004D3636" w:rsidRPr="00622F7B">
        <w:rPr>
          <w:rFonts w:ascii="Arial" w:hAnsi="Arial" w:cs="Arial"/>
          <w:i/>
          <w:sz w:val="20"/>
        </w:rPr>
        <w:t xml:space="preserve">R v </w:t>
      </w:r>
      <w:smartTag w:uri="urn:schemas-microsoft-com:office:smarttags" w:element="City">
        <w:smartTag w:uri="urn:schemas-microsoft-com:office:smarttags" w:element="place">
          <w:r w:rsidR="004D3636" w:rsidRPr="00622F7B">
            <w:rPr>
              <w:rFonts w:ascii="Arial" w:hAnsi="Arial" w:cs="Arial"/>
              <w:i/>
              <w:sz w:val="20"/>
            </w:rPr>
            <w:t>Lyons</w:t>
          </w:r>
        </w:smartTag>
      </w:smartTag>
      <w:r w:rsidR="004D3636">
        <w:rPr>
          <w:rFonts w:ascii="Arial" w:hAnsi="Arial" w:cs="Arial"/>
          <w:sz w:val="20"/>
        </w:rPr>
        <w:t xml:space="preserve"> (1889) 15 VLR 15</w:t>
      </w:r>
      <w:r w:rsidR="004D3636">
        <w:rPr>
          <w:rFonts w:ascii="Arial" w:hAnsi="Arial" w:cs="Arial"/>
          <w:i/>
          <w:sz w:val="20"/>
        </w:rPr>
        <w:t xml:space="preserve">; </w:t>
      </w:r>
      <w:r w:rsidR="00704499" w:rsidRPr="006B4665">
        <w:rPr>
          <w:rFonts w:ascii="Arial" w:hAnsi="Arial" w:cs="Arial"/>
          <w:i/>
          <w:sz w:val="20"/>
        </w:rPr>
        <w:t>R v Brooks</w:t>
      </w:r>
      <w:r w:rsidR="00704499">
        <w:rPr>
          <w:rFonts w:ascii="Arial" w:hAnsi="Arial" w:cs="Arial"/>
          <w:sz w:val="20"/>
        </w:rPr>
        <w:t xml:space="preserve"> (1998) 44</w:t>
      </w:r>
      <w:r w:rsidR="004D3636">
        <w:rPr>
          <w:rFonts w:ascii="Arial" w:hAnsi="Arial" w:cs="Arial"/>
          <w:sz w:val="20"/>
        </w:rPr>
        <w:t> </w:t>
      </w:r>
      <w:r w:rsidR="00704499">
        <w:rPr>
          <w:rFonts w:ascii="Arial" w:hAnsi="Arial" w:cs="Arial"/>
          <w:sz w:val="20"/>
        </w:rPr>
        <w:t>NSWLR 121 at 124 per Grove J.</w:t>
      </w:r>
      <w:r w:rsidR="00C678DA">
        <w:rPr>
          <w:rFonts w:ascii="Arial" w:hAnsi="Arial" w:cs="Arial"/>
          <w:sz w:val="20"/>
        </w:rPr>
        <w:t xml:space="preserve">  This is no longer the law in </w:t>
      </w:r>
      <w:smartTag w:uri="urn:schemas-microsoft-com:office:smarttags" w:element="place">
        <w:smartTag w:uri="urn:schemas-microsoft-com:office:smarttags" w:element="State">
          <w:r w:rsidR="00C678DA">
            <w:rPr>
              <w:rFonts w:ascii="Arial" w:hAnsi="Arial" w:cs="Arial"/>
              <w:sz w:val="20"/>
            </w:rPr>
            <w:t>Victoria</w:t>
          </w:r>
        </w:smartTag>
      </w:smartTag>
      <w:r w:rsidR="00C678DA">
        <w:rPr>
          <w:rFonts w:ascii="Arial" w:hAnsi="Arial" w:cs="Arial"/>
          <w:sz w:val="20"/>
        </w:rPr>
        <w:t>.</w:t>
      </w:r>
    </w:p>
    <w:p w14:paraId="166F5799" w14:textId="77777777" w:rsidR="006A0F58" w:rsidRDefault="006A0F58" w:rsidP="00D15DB2">
      <w:pPr>
        <w:jc w:val="both"/>
        <w:rPr>
          <w:rFonts w:ascii="Arial" w:hAnsi="Arial" w:cs="Arial"/>
          <w:sz w:val="20"/>
        </w:rPr>
      </w:pPr>
    </w:p>
    <w:p w14:paraId="488045F3" w14:textId="350EB1A5" w:rsidR="00443444" w:rsidRDefault="00443444" w:rsidP="00443444">
      <w:pPr>
        <w:jc w:val="both"/>
        <w:rPr>
          <w:rFonts w:ascii="Arial" w:hAnsi="Arial" w:cs="Arial"/>
          <w:sz w:val="20"/>
        </w:rPr>
      </w:pPr>
      <w:r>
        <w:rPr>
          <w:rFonts w:ascii="Arial" w:hAnsi="Arial" w:cs="Arial"/>
          <w:sz w:val="20"/>
        </w:rPr>
        <w:t xml:space="preserve">There is no longer any special category of “child witness” as far as either competence or compellability of a witness is concerned.  Section 12 of the </w:t>
      </w:r>
      <w:r w:rsidRPr="00A82F40">
        <w:rPr>
          <w:rFonts w:ascii="Arial" w:hAnsi="Arial" w:cs="Arial"/>
          <w:i/>
          <w:iCs/>
          <w:sz w:val="20"/>
        </w:rPr>
        <w:t xml:space="preserve">Evidence Act 2008 </w:t>
      </w:r>
      <w:r>
        <w:rPr>
          <w:rFonts w:ascii="Arial" w:hAnsi="Arial" w:cs="Arial"/>
          <w:sz w:val="20"/>
        </w:rPr>
        <w:t>provides:</w:t>
      </w:r>
    </w:p>
    <w:p w14:paraId="7C084C0C" w14:textId="77777777" w:rsidR="00443444" w:rsidRDefault="00443444" w:rsidP="00443444">
      <w:pPr>
        <w:ind w:left="567" w:right="567"/>
        <w:jc w:val="both"/>
        <w:rPr>
          <w:rFonts w:ascii="Arial" w:hAnsi="Arial" w:cs="Arial"/>
          <w:sz w:val="20"/>
        </w:rPr>
      </w:pPr>
      <w:r>
        <w:rPr>
          <w:rFonts w:ascii="Arial" w:hAnsi="Arial" w:cs="Arial"/>
          <w:sz w:val="20"/>
        </w:rPr>
        <w:t>“Except as otherwise provided by this Act-</w:t>
      </w:r>
    </w:p>
    <w:p w14:paraId="655A6137" w14:textId="77777777" w:rsidR="00443444" w:rsidRDefault="00443444" w:rsidP="00D772F0">
      <w:pPr>
        <w:numPr>
          <w:ilvl w:val="0"/>
          <w:numId w:val="23"/>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57507ABB" w14:textId="77777777" w:rsidR="00443444" w:rsidRDefault="00443444" w:rsidP="00D772F0">
      <w:pPr>
        <w:numPr>
          <w:ilvl w:val="0"/>
          <w:numId w:val="23"/>
        </w:numPr>
        <w:tabs>
          <w:tab w:val="clear" w:pos="1140"/>
          <w:tab w:val="left" w:pos="567"/>
          <w:tab w:val="left" w:pos="1134"/>
        </w:tabs>
        <w:ind w:left="1134" w:right="567" w:hanging="567"/>
        <w:jc w:val="both"/>
        <w:rPr>
          <w:rFonts w:ascii="Arial" w:hAnsi="Arial" w:cs="Arial"/>
          <w:sz w:val="20"/>
        </w:rPr>
      </w:pPr>
      <w:r>
        <w:rPr>
          <w:rFonts w:ascii="Arial" w:hAnsi="Arial" w:cs="Arial"/>
          <w:sz w:val="20"/>
        </w:rPr>
        <w:t>a person who is competent to give evidence about a fact is compellable to give that evidence.”</w:t>
      </w:r>
    </w:p>
    <w:p w14:paraId="45814C86" w14:textId="77777777" w:rsidR="004D3636" w:rsidRDefault="004D3636" w:rsidP="004D3636">
      <w:pPr>
        <w:jc w:val="both"/>
        <w:rPr>
          <w:rFonts w:ascii="Arial" w:hAnsi="Arial" w:cs="Arial"/>
          <w:sz w:val="20"/>
        </w:rPr>
      </w:pPr>
    </w:p>
    <w:p w14:paraId="0C617C70" w14:textId="2A88A24C" w:rsidR="004D3636" w:rsidRDefault="004D3636" w:rsidP="004D3636">
      <w:pPr>
        <w:jc w:val="both"/>
        <w:rPr>
          <w:rFonts w:ascii="Arial" w:hAnsi="Arial" w:cs="Arial"/>
          <w:sz w:val="20"/>
        </w:rPr>
      </w:pPr>
      <w:r>
        <w:rPr>
          <w:rFonts w:ascii="Arial" w:hAnsi="Arial" w:cs="Arial"/>
          <w:sz w:val="20"/>
        </w:rPr>
        <w:t xml:space="preserve">Section 17 of the </w:t>
      </w:r>
      <w:r w:rsidRPr="00A82F40">
        <w:rPr>
          <w:rFonts w:ascii="Arial" w:hAnsi="Arial" w:cs="Arial"/>
          <w:i/>
          <w:iCs/>
          <w:sz w:val="20"/>
        </w:rPr>
        <w:t>Evidence Act 2008</w:t>
      </w:r>
      <w:r w:rsidR="00A82F40">
        <w:rPr>
          <w:rFonts w:ascii="Arial" w:hAnsi="Arial" w:cs="Arial"/>
          <w:i/>
          <w:iCs/>
          <w:sz w:val="20"/>
        </w:rPr>
        <w:t xml:space="preserve"> </w:t>
      </w:r>
      <w:r>
        <w:rPr>
          <w:rFonts w:ascii="Arial" w:hAnsi="Arial" w:cs="Arial"/>
          <w:sz w:val="20"/>
        </w:rPr>
        <w:t>which applies only in a criminal proceeding provides that-</w:t>
      </w:r>
    </w:p>
    <w:p w14:paraId="12EF7A4E" w14:textId="77777777" w:rsidR="004D3636" w:rsidRDefault="004D3636" w:rsidP="00D772F0">
      <w:pPr>
        <w:numPr>
          <w:ilvl w:val="0"/>
          <w:numId w:val="25"/>
        </w:numPr>
        <w:jc w:val="both"/>
        <w:rPr>
          <w:rFonts w:ascii="Arial" w:hAnsi="Arial" w:cs="Arial"/>
          <w:sz w:val="20"/>
        </w:rPr>
      </w:pPr>
      <w:r>
        <w:rPr>
          <w:rFonts w:ascii="Arial" w:hAnsi="Arial" w:cs="Arial"/>
          <w:sz w:val="20"/>
        </w:rPr>
        <w:t>A defendant is not competent to give evidence for the prosecution.</w:t>
      </w:r>
    </w:p>
    <w:p w14:paraId="0833BCDC" w14:textId="77777777" w:rsidR="004D3636" w:rsidRDefault="004D3636" w:rsidP="00D772F0">
      <w:pPr>
        <w:numPr>
          <w:ilvl w:val="0"/>
          <w:numId w:val="25"/>
        </w:numPr>
        <w:jc w:val="both"/>
        <w:rPr>
          <w:rFonts w:ascii="Arial" w:hAnsi="Arial" w:cs="Arial"/>
          <w:sz w:val="20"/>
        </w:rPr>
      </w:pPr>
      <w:r>
        <w:rPr>
          <w:rFonts w:ascii="Arial" w:hAnsi="Arial" w:cs="Arial"/>
          <w:sz w:val="20"/>
        </w:rPr>
        <w:lastRenderedPageBreak/>
        <w:t>An associated defendant is not compellable to give evidence for or against a defendant in a criminal proceeding unless the associated defendant is being tried separately from the defendant.</w:t>
      </w:r>
    </w:p>
    <w:p w14:paraId="43E0F214" w14:textId="77777777" w:rsidR="00CD014B" w:rsidRDefault="00CD014B" w:rsidP="00356C5D">
      <w:pPr>
        <w:jc w:val="both"/>
        <w:rPr>
          <w:rFonts w:ascii="Arial" w:hAnsi="Arial" w:cs="Arial"/>
          <w:sz w:val="20"/>
        </w:rPr>
      </w:pPr>
    </w:p>
    <w:p w14:paraId="27B3BEE9" w14:textId="77FC0DD5" w:rsidR="004D3636" w:rsidRDefault="00CD014B" w:rsidP="00356C5D">
      <w:pPr>
        <w:jc w:val="both"/>
        <w:rPr>
          <w:rFonts w:ascii="Arial" w:hAnsi="Arial" w:cs="Arial"/>
          <w:sz w:val="20"/>
        </w:rPr>
      </w:pPr>
      <w:r>
        <w:rPr>
          <w:rFonts w:ascii="Arial" w:hAnsi="Arial" w:cs="Arial"/>
          <w:sz w:val="20"/>
        </w:rPr>
        <w:t xml:space="preserve">Although s.190 of the </w:t>
      </w:r>
      <w:r w:rsidRPr="00A82F40">
        <w:rPr>
          <w:rFonts w:ascii="Arial" w:hAnsi="Arial" w:cs="Arial"/>
          <w:i/>
          <w:iCs/>
          <w:sz w:val="20"/>
        </w:rPr>
        <w:t>Evidence Act</w:t>
      </w:r>
      <w:r w:rsidR="00A82F40" w:rsidRPr="00A82F40">
        <w:rPr>
          <w:rFonts w:ascii="Arial" w:hAnsi="Arial" w:cs="Arial"/>
          <w:i/>
          <w:iCs/>
          <w:sz w:val="20"/>
        </w:rPr>
        <w:t xml:space="preserve"> 2008</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 xml:space="preserve">Kirk v Industrial Relations Commission of New South Wales; Kirk Group Holdings Pty Ltd v </w:t>
      </w:r>
      <w:proofErr w:type="spellStart"/>
      <w:r w:rsidRPr="00CD014B">
        <w:rPr>
          <w:rFonts w:ascii="Arial" w:hAnsi="Arial" w:cs="Arial"/>
          <w:i/>
          <w:iCs/>
          <w:color w:val="000000"/>
          <w:sz w:val="20"/>
          <w:szCs w:val="20"/>
        </w:rPr>
        <w:t>WorkCover</w:t>
      </w:r>
      <w:proofErr w:type="spellEnd"/>
      <w:r w:rsidRPr="00CD014B">
        <w:rPr>
          <w:rFonts w:ascii="Arial" w:hAnsi="Arial" w:cs="Arial"/>
          <w:i/>
          <w:iCs/>
          <w:color w:val="000000"/>
          <w:sz w:val="20"/>
          <w:szCs w:val="20"/>
        </w:rPr>
        <w:t xml:space="preserve"> Authority of New South Wales (Inspector Childs)</w:t>
      </w:r>
      <w:r>
        <w:rPr>
          <w:rFonts w:ascii="Arial" w:hAnsi="Arial" w:cs="Arial"/>
          <w:sz w:val="20"/>
        </w:rPr>
        <w:t xml:space="preserve"> [2010] HCA 1 at [51] per French CJ, </w:t>
      </w:r>
      <w:proofErr w:type="spellStart"/>
      <w:r>
        <w:rPr>
          <w:rFonts w:ascii="Arial" w:hAnsi="Arial" w:cs="Arial"/>
          <w:sz w:val="20"/>
        </w:rPr>
        <w:t>Gummow</w:t>
      </w:r>
      <w:proofErr w:type="spellEnd"/>
      <w:r>
        <w:rPr>
          <w:rFonts w:ascii="Arial" w:hAnsi="Arial" w:cs="Arial"/>
          <w:sz w:val="20"/>
        </w:rPr>
        <w:t xml:space="preserve">, Hayne, </w:t>
      </w:r>
      <w:proofErr w:type="spellStart"/>
      <w:r>
        <w:rPr>
          <w:rFonts w:ascii="Arial" w:hAnsi="Arial" w:cs="Arial"/>
          <w:sz w:val="20"/>
        </w:rPr>
        <w:t>Crennan</w:t>
      </w:r>
      <w:proofErr w:type="spellEnd"/>
      <w:r>
        <w:rPr>
          <w:rFonts w:ascii="Arial" w:hAnsi="Arial" w:cs="Arial"/>
          <w:sz w:val="20"/>
        </w:rPr>
        <w:t xml:space="preserve">, </w:t>
      </w:r>
      <w:proofErr w:type="spellStart"/>
      <w:r>
        <w:rPr>
          <w:rFonts w:ascii="Arial" w:hAnsi="Arial" w:cs="Arial"/>
          <w:sz w:val="20"/>
        </w:rPr>
        <w:t>Kiefel</w:t>
      </w:r>
      <w:proofErr w:type="spellEnd"/>
      <w:r>
        <w:rPr>
          <w:rFonts w:ascii="Arial" w:hAnsi="Arial" w:cs="Arial"/>
          <w:sz w:val="20"/>
        </w:rPr>
        <w:t xml:space="preserve"> &amp; Bell JJ and at [114] per </w:t>
      </w:r>
      <w:proofErr w:type="spellStart"/>
      <w:r>
        <w:rPr>
          <w:rFonts w:ascii="Arial" w:hAnsi="Arial" w:cs="Arial"/>
          <w:sz w:val="20"/>
        </w:rPr>
        <w:t>Heydon</w:t>
      </w:r>
      <w:proofErr w:type="spellEnd"/>
      <w:r>
        <w:rPr>
          <w:rFonts w:ascii="Arial" w:hAnsi="Arial" w:cs="Arial"/>
          <w:sz w:val="20"/>
        </w:rPr>
        <w:t xml:space="preserve"> J.</w:t>
      </w:r>
    </w:p>
    <w:p w14:paraId="35AFBBB9" w14:textId="77777777" w:rsidR="009127A9" w:rsidRDefault="009127A9" w:rsidP="00356C5D">
      <w:pPr>
        <w:jc w:val="both"/>
        <w:rPr>
          <w:rFonts w:ascii="Arial" w:hAnsi="Arial" w:cs="Arial"/>
          <w:sz w:val="20"/>
        </w:rPr>
      </w:pPr>
    </w:p>
    <w:p w14:paraId="31C18232" w14:textId="77777777" w:rsidR="007021C7" w:rsidRDefault="007021C7" w:rsidP="007021C7">
      <w:pPr>
        <w:pStyle w:val="Heading3"/>
        <w:keepNext/>
        <w:spacing w:line="240" w:lineRule="auto"/>
        <w:rPr>
          <w:rFonts w:ascii="Arial" w:hAnsi="Arial" w:cs="Arial"/>
          <w:b/>
          <w:bCs/>
          <w:sz w:val="20"/>
        </w:rPr>
      </w:pPr>
      <w:bookmarkStart w:id="750" w:name="_3.5.10.1__Competence"/>
      <w:bookmarkStart w:id="751" w:name="B35101"/>
      <w:bookmarkEnd w:id="750"/>
      <w:bookmarkEnd w:id="751"/>
      <w:r>
        <w:rPr>
          <w:rFonts w:ascii="Arial" w:hAnsi="Arial" w:cs="Arial"/>
          <w:b/>
          <w:bCs/>
          <w:sz w:val="20"/>
        </w:rPr>
        <w:t>3.5.10.1  Competence</w:t>
      </w:r>
    </w:p>
    <w:p w14:paraId="67AC97C5" w14:textId="455DDDCB" w:rsidR="00704499" w:rsidRDefault="00704499" w:rsidP="007021C7">
      <w:pPr>
        <w:spacing w:before="120"/>
        <w:jc w:val="both"/>
        <w:rPr>
          <w:rFonts w:ascii="Arial" w:hAnsi="Arial" w:cs="Arial"/>
          <w:sz w:val="20"/>
        </w:rPr>
      </w:pPr>
      <w:r>
        <w:rPr>
          <w:rFonts w:ascii="Arial" w:hAnsi="Arial" w:cs="Arial"/>
          <w:sz w:val="20"/>
        </w:rPr>
        <w:t xml:space="preserve">Section 13 of the </w:t>
      </w:r>
      <w:r w:rsidRPr="00A82F40">
        <w:rPr>
          <w:rFonts w:ascii="Arial" w:hAnsi="Arial" w:cs="Arial"/>
          <w:i/>
          <w:iCs/>
          <w:sz w:val="20"/>
        </w:rPr>
        <w:t>Evidence Act 2008</w:t>
      </w:r>
      <w:r w:rsidR="00A82F40" w:rsidRPr="00A82F40">
        <w:rPr>
          <w:rFonts w:ascii="Arial" w:hAnsi="Arial" w:cs="Arial"/>
          <w:sz w:val="20"/>
        </w:rPr>
        <w:t xml:space="preserve"> </w:t>
      </w:r>
      <w:r>
        <w:rPr>
          <w:rFonts w:ascii="Arial" w:hAnsi="Arial" w:cs="Arial"/>
          <w:sz w:val="20"/>
        </w:rPr>
        <w:t xml:space="preserve">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D772F0">
      <w:pPr>
        <w:numPr>
          <w:ilvl w:val="0"/>
          <w:numId w:val="24"/>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(1), is not competent to give evidence about a fact may be competent to give evidence about other facts.</w:t>
      </w:r>
    </w:p>
    <w:p w14:paraId="2E10E63D"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suggest certain statements are true or untrue and that he or she should agree with the statements he or she believes are true and should feel no pressure to agree with statements that he or she believes are untrue.</w:t>
      </w:r>
    </w:p>
    <w:p w14:paraId="4FC8AFE9"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For the purposes of determining a question arising under this section, the court may inform itself as it thinks fit, including by obtaining information from a person who has relevant specialised knowledge based on the person’s training, study or experience.</w:t>
      </w:r>
    </w:p>
    <w:p w14:paraId="7BE44433" w14:textId="77777777" w:rsidR="00E5300B" w:rsidRDefault="00E5300B" w:rsidP="00E5300B">
      <w:pPr>
        <w:jc w:val="both"/>
        <w:rPr>
          <w:rFonts w:ascii="Arial" w:hAnsi="Arial" w:cs="Arial"/>
          <w:sz w:val="20"/>
        </w:rPr>
      </w:pPr>
    </w:p>
    <w:p w14:paraId="65C9F407" w14:textId="7F6B7E17" w:rsidR="004D3636" w:rsidRDefault="004D3636" w:rsidP="004D3636">
      <w:pPr>
        <w:pStyle w:val="Heading3"/>
        <w:keepNext/>
        <w:spacing w:line="240" w:lineRule="auto"/>
        <w:rPr>
          <w:rFonts w:ascii="Arial" w:hAnsi="Arial" w:cs="Arial"/>
          <w:b/>
          <w:bCs/>
          <w:sz w:val="20"/>
        </w:rPr>
      </w:pPr>
      <w:r>
        <w:rPr>
          <w:rFonts w:ascii="Arial" w:hAnsi="Arial" w:cs="Arial"/>
          <w:b/>
          <w:bCs/>
          <w:sz w:val="20"/>
        </w:rPr>
        <w:t>3.5.10.2  Compellability</w:t>
      </w:r>
      <w:r w:rsidR="001C735B">
        <w:rPr>
          <w:rFonts w:ascii="Arial" w:hAnsi="Arial" w:cs="Arial"/>
          <w:b/>
          <w:bCs/>
          <w:sz w:val="20"/>
        </w:rPr>
        <w:t xml:space="preserve"> in criminal proceedings generally</w:t>
      </w:r>
    </w:p>
    <w:p w14:paraId="0FA39BFE" w14:textId="6222C92D" w:rsidR="001C735B" w:rsidRDefault="004D3636" w:rsidP="004D3636">
      <w:pPr>
        <w:spacing w:before="120"/>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A82F40">
        <w:rPr>
          <w:rFonts w:ascii="Arial" w:hAnsi="Arial" w:cs="Arial"/>
          <w:i/>
          <w:iCs/>
          <w:sz w:val="20"/>
        </w:rPr>
        <w:t xml:space="preserve">Evidence Act 2008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or</w:t>
      </w:r>
    </w:p>
    <w:p w14:paraId="3E27C220"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7777777"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p>
    <w:p w14:paraId="0C319031" w14:textId="77777777"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3E059ED8" w14:textId="77777777" w:rsidR="00CA55B0" w:rsidRDefault="00CA55B0" w:rsidP="00CA55B0">
      <w:pPr>
        <w:jc w:val="both"/>
        <w:rPr>
          <w:rFonts w:ascii="Arial" w:hAnsi="Arial" w:cs="Arial"/>
          <w:sz w:val="20"/>
        </w:rPr>
      </w:pPr>
    </w:p>
    <w:p w14:paraId="78ABA1FA" w14:textId="77777777" w:rsidR="00CA55B0" w:rsidRDefault="009A6B9B" w:rsidP="00CA55B0">
      <w:pPr>
        <w:pStyle w:val="Heading3"/>
        <w:keepNext/>
        <w:spacing w:line="240" w:lineRule="auto"/>
        <w:rPr>
          <w:rFonts w:ascii="Arial" w:hAnsi="Arial" w:cs="Arial"/>
          <w:b/>
          <w:bCs/>
          <w:sz w:val="20"/>
        </w:rPr>
      </w:pPr>
      <w:bookmarkStart w:id="752" w:name="_3.5.11_Oaths_and"/>
      <w:bookmarkStart w:id="753" w:name="B3511"/>
      <w:bookmarkEnd w:id="752"/>
      <w:bookmarkEnd w:id="753"/>
      <w:r>
        <w:rPr>
          <w:rFonts w:ascii="Arial" w:hAnsi="Arial" w:cs="Arial"/>
          <w:b/>
          <w:bCs/>
          <w:sz w:val="20"/>
        </w:rPr>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0F0BE9">
      <w:pPr>
        <w:keepNext/>
        <w:keepLines/>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3A585DAC" w:rsidR="00867698" w:rsidRDefault="00CA55B0" w:rsidP="00CA55B0">
      <w:pPr>
        <w:spacing w:before="120"/>
        <w:jc w:val="both"/>
        <w:rPr>
          <w:rFonts w:ascii="Arial" w:hAnsi="Arial" w:cs="Arial"/>
          <w:sz w:val="20"/>
        </w:rPr>
      </w:pPr>
      <w:r>
        <w:rPr>
          <w:rFonts w:ascii="Arial" w:hAnsi="Arial" w:cs="Arial"/>
          <w:sz w:val="20"/>
        </w:rPr>
        <w:t xml:space="preserve">Under s.21 of the </w:t>
      </w:r>
      <w:r w:rsidRPr="00A82F40">
        <w:rPr>
          <w:rFonts w:ascii="Arial" w:hAnsi="Arial" w:cs="Arial"/>
          <w:i/>
          <w:iCs/>
          <w:sz w:val="20"/>
        </w:rPr>
        <w:t>Evidence Act 2008</w:t>
      </w:r>
      <w:r w:rsidRPr="00A82F40">
        <w:rPr>
          <w:rFonts w:ascii="Arial" w:hAnsi="Arial" w:cs="Arial"/>
          <w:sz w:val="20"/>
        </w:rPr>
        <w:t>,</w:t>
      </w:r>
      <w:r>
        <w:rPr>
          <w:rFonts w:ascii="Arial" w:hAnsi="Arial" w:cs="Arial"/>
          <w:sz w:val="20"/>
        </w:rPr>
        <w:t xml:space="preserve"> the sworn evi</w:t>
      </w:r>
      <w:r w:rsidR="00A82F40">
        <w:rPr>
          <w:rFonts w:ascii="Arial" w:hAnsi="Arial" w:cs="Arial"/>
          <w:sz w:val="20"/>
        </w:rPr>
        <w:t>d</w:t>
      </w:r>
      <w:r>
        <w:rPr>
          <w:rFonts w:ascii="Arial" w:hAnsi="Arial" w:cs="Arial"/>
          <w:sz w:val="20"/>
        </w:rPr>
        <w:t>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5BF55875"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A82F40">
        <w:rPr>
          <w:rFonts w:ascii="Arial" w:hAnsi="Arial" w:cs="Arial"/>
          <w:i/>
          <w:iCs/>
          <w:sz w:val="20"/>
        </w:rPr>
        <w:t xml:space="preserve">Oaths and Affirmations Act 2018 </w:t>
      </w:r>
      <w:r>
        <w:rPr>
          <w:rFonts w:ascii="Arial" w:hAnsi="Arial" w:cs="Arial"/>
          <w:sz w:val="20"/>
        </w:rPr>
        <w:t>include:</w:t>
      </w:r>
    </w:p>
    <w:p w14:paraId="1E74D243"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A82F40">
        <w:rPr>
          <w:rFonts w:ascii="Arial" w:hAnsi="Arial" w:cs="Arial"/>
          <w:i/>
          <w:iCs/>
          <w:sz w:val="20"/>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D731F7">
      <w:pPr>
        <w:pStyle w:val="Heading3"/>
        <w:keepNext/>
        <w:spacing w:after="120" w:line="240" w:lineRule="auto"/>
        <w:rPr>
          <w:rFonts w:ascii="Arial" w:hAnsi="Arial" w:cs="Arial"/>
          <w:b/>
          <w:bCs/>
          <w:sz w:val="20"/>
        </w:rPr>
      </w:pPr>
      <w:bookmarkStart w:id="754" w:name="_3.5.12_Appearance_or"/>
      <w:bookmarkStart w:id="755" w:name="B3512"/>
      <w:bookmarkEnd w:id="754"/>
      <w:bookmarkEnd w:id="755"/>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Appearance or giving evidence in other than the traditional manner</w:t>
      </w:r>
    </w:p>
    <w:p w14:paraId="0FBDE5F3" w14:textId="77777777" w:rsidR="002D140D" w:rsidRDefault="002D140D" w:rsidP="000D64F2">
      <w:pPr>
        <w:keepNext/>
        <w:keepLines/>
        <w:jc w:val="both"/>
        <w:rPr>
          <w:rFonts w:ascii="Arial" w:hAnsi="Arial" w:cs="Arial"/>
          <w:sz w:val="20"/>
        </w:rPr>
      </w:pPr>
      <w:r>
        <w:rPr>
          <w:rFonts w:ascii="Arial" w:hAnsi="Arial" w:cs="Arial"/>
          <w:sz w:val="20"/>
        </w:rPr>
        <w:t>Apart from the provisions (discussed in earlier paragraph</w:t>
      </w:r>
      <w:r w:rsidR="002C28EF">
        <w:rPr>
          <w:rFonts w:ascii="Arial" w:hAnsi="Arial" w:cs="Arial"/>
          <w:sz w:val="20"/>
        </w:rPr>
        <w:t>s</w:t>
      </w:r>
      <w:r>
        <w:rPr>
          <w:rFonts w:ascii="Arial" w:hAnsi="Arial" w:cs="Arial"/>
          <w:sz w:val="20"/>
        </w:rPr>
        <w:t xml:space="preserve">) which relate to the giving of evidence by </w:t>
      </w:r>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 recording in certain cases</w:t>
      </w:r>
      <w:r>
        <w:rPr>
          <w:rFonts w:ascii="Arial" w:hAnsi="Arial" w:cs="Arial"/>
          <w:sz w:val="20"/>
        </w:rPr>
        <w:t xml:space="preserve">, there are three sets of </w:t>
      </w:r>
      <w:r w:rsidR="00556BDC">
        <w:rPr>
          <w:rFonts w:ascii="Arial" w:hAnsi="Arial" w:cs="Arial"/>
          <w:sz w:val="20"/>
        </w:rPr>
        <w:t xml:space="preserve">legislative </w:t>
      </w:r>
      <w:r>
        <w:rPr>
          <w:rFonts w:ascii="Arial" w:hAnsi="Arial" w:cs="Arial"/>
          <w:sz w:val="20"/>
        </w:rPr>
        <w:t>provisions which govern appearances and/or the giving of evidence in other than the traditional manner in the courtroom:</w:t>
      </w:r>
    </w:p>
    <w:p w14:paraId="032B4EFB" w14:textId="01CA6FD7" w:rsidR="000E07C8" w:rsidRDefault="002D140D"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42D to 42I </w:t>
      </w:r>
      <w:r w:rsidR="00556BDC">
        <w:rPr>
          <w:rFonts w:ascii="Arial" w:hAnsi="Arial" w:cs="Arial"/>
          <w:sz w:val="20"/>
        </w:rPr>
        <w:t xml:space="preserve">of the </w:t>
      </w:r>
      <w:r w:rsidR="00556BDC" w:rsidRPr="00A82F40">
        <w:rPr>
          <w:rFonts w:ascii="Arial" w:hAnsi="Arial" w:cs="Arial"/>
          <w:i/>
          <w:iCs/>
          <w:sz w:val="20"/>
        </w:rPr>
        <w:t>Evidence (Miscellaneous Provisions) Act 1958</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6E18C298"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A82F40">
        <w:rPr>
          <w:rFonts w:ascii="Arial" w:hAnsi="Arial" w:cs="Arial"/>
          <w:i/>
          <w:iCs/>
          <w:sz w:val="20"/>
        </w:rPr>
        <w:t>Criminal Procedure Act 2009</w:t>
      </w:r>
      <w:r w:rsidR="00A82F40" w:rsidRPr="00A82F40">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who is not an accused</w:t>
      </w:r>
      <w:r w:rsidRPr="00D92FEB">
        <w:rPr>
          <w:rFonts w:ascii="Arial" w:hAnsi="Arial" w:cs="Arial"/>
          <w:bCs/>
          <w:sz w:val="20"/>
        </w:rPr>
        <w:t xml:space="preserve"> may not be directed to appear, give evidence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accused</w:t>
      </w:r>
      <w:r w:rsidRPr="00D92FEB">
        <w:rPr>
          <w:rFonts w:ascii="Arial" w:hAnsi="Arial" w:cs="Arial"/>
          <w:bCs/>
          <w:sz w:val="20"/>
        </w:rPr>
        <w:t xml:space="preserve"> is required to appear physically unless the </w:t>
      </w:r>
      <w:proofErr w:type="spellStart"/>
      <w:r w:rsidRPr="00D92FEB">
        <w:rPr>
          <w:rFonts w:ascii="Arial" w:hAnsi="Arial" w:cs="Arial"/>
          <w:bCs/>
          <w:sz w:val="20"/>
        </w:rPr>
        <w:t>ChCV</w:t>
      </w:r>
      <w:proofErr w:type="spellEnd"/>
      <w:r w:rsidRPr="00D92FEB">
        <w:rPr>
          <w:rFonts w:ascii="Arial" w:hAnsi="Arial" w:cs="Arial"/>
          <w:bCs/>
          <w:sz w:val="20"/>
        </w:rPr>
        <w:t xml:space="preserve">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 xml:space="preserve">visual link.  The </w:t>
      </w:r>
      <w:proofErr w:type="spellStart"/>
      <w:r w:rsidR="0022031F">
        <w:rPr>
          <w:rFonts w:ascii="Arial" w:hAnsi="Arial" w:cs="Arial"/>
          <w:bCs/>
          <w:sz w:val="20"/>
        </w:rPr>
        <w:t>ChCV</w:t>
      </w:r>
      <w:proofErr w:type="spellEnd"/>
      <w:r w:rsidR="0022031F">
        <w:rPr>
          <w:rFonts w:ascii="Arial" w:hAnsi="Arial" w:cs="Arial"/>
          <w:bCs/>
          <w:sz w:val="20"/>
        </w:rPr>
        <w:t xml:space="preserve">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w:t>
      </w:r>
      <w:proofErr w:type="spellStart"/>
      <w:r w:rsidRPr="00D92FEB">
        <w:rPr>
          <w:rFonts w:ascii="Arial" w:hAnsi="Arial" w:cs="Arial"/>
          <w:bCs/>
          <w:sz w:val="20"/>
        </w:rPr>
        <w:t>ChCV’s</w:t>
      </w:r>
      <w:proofErr w:type="spellEnd"/>
      <w:r w:rsidRPr="00D92FEB">
        <w:rPr>
          <w:rFonts w:ascii="Arial" w:hAnsi="Arial" w:cs="Arial"/>
          <w:bCs/>
          <w:sz w:val="20"/>
        </w:rPr>
        <w:t xml:space="preserve">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rsidP="00D772F0">
      <w:pPr>
        <w:pStyle w:val="ListParagraph"/>
        <w:numPr>
          <w:ilvl w:val="0"/>
          <w:numId w:val="58"/>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C49C47D" w:rsidR="008F5F41" w:rsidRDefault="008F5F41" w:rsidP="008F5F41">
      <w:pPr>
        <w:jc w:val="both"/>
        <w:rPr>
          <w:rFonts w:ascii="Arial" w:hAnsi="Arial" w:cs="Arial"/>
          <w:color w:val="000000"/>
          <w:sz w:val="20"/>
          <w:u w:val="single"/>
        </w:rPr>
      </w:pPr>
      <w:r>
        <w:rPr>
          <w:rFonts w:ascii="Arial" w:hAnsi="Arial" w:cs="Arial"/>
          <w:sz w:val="20"/>
        </w:rPr>
        <w:t xml:space="preserve">The </w:t>
      </w:r>
      <w:r>
        <w:rPr>
          <w:rFonts w:ascii="Arial" w:hAnsi="Arial" w:cs="Arial"/>
          <w:color w:val="000000"/>
          <w:sz w:val="20"/>
          <w:u w:val="single"/>
        </w:rPr>
        <w:t>Children</w:t>
      </w:r>
      <w:r w:rsidR="000F0BE9">
        <w:rPr>
          <w:rFonts w:ascii="Arial" w:hAnsi="Arial" w:cs="Arial"/>
          <w:color w:val="000000"/>
          <w:sz w:val="20"/>
          <w:u w:val="single"/>
        </w:rPr>
        <w:t>’</w:t>
      </w:r>
      <w:r>
        <w:rPr>
          <w:rFonts w:ascii="Arial" w:hAnsi="Arial" w:cs="Arial"/>
          <w:color w:val="000000"/>
          <w:sz w:val="20"/>
          <w:u w:val="single"/>
        </w:rPr>
        <w:t xml:space="preserve">s Court (Evidence </w:t>
      </w:r>
      <w:r w:rsidR="000F0BE9">
        <w:rPr>
          <w:rFonts w:ascii="Arial" w:hAnsi="Arial" w:cs="Arial"/>
          <w:color w:val="000000"/>
          <w:sz w:val="20"/>
          <w:u w:val="single"/>
        </w:rPr>
        <w:t>–</w:t>
      </w:r>
      <w:r>
        <w:rPr>
          <w:rFonts w:ascii="Arial" w:hAnsi="Arial" w:cs="Arial"/>
          <w:color w:val="000000"/>
          <w:sz w:val="20"/>
          <w:u w:val="single"/>
        </w:rPr>
        <w:t xml:space="preserve">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56" w:name="_3.5.12.1__Appearance"/>
      <w:bookmarkStart w:id="757" w:name="B35121"/>
      <w:bookmarkEnd w:id="756"/>
      <w:bookmarkEnd w:id="757"/>
      <w:r>
        <w:rPr>
          <w:rFonts w:ascii="Arial" w:hAnsi="Arial" w:cs="Arial"/>
          <w:b/>
          <w:bCs/>
          <w:sz w:val="20"/>
        </w:rPr>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 xml:space="preserve">Appearance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688AE82F" w:rsidR="00D731F7" w:rsidRDefault="00571CA4" w:rsidP="000F0BE9">
      <w:pPr>
        <w:keepNext/>
        <w:keepLines/>
        <w:jc w:val="both"/>
        <w:rPr>
          <w:rFonts w:ascii="Arial" w:hAnsi="Arial" w:cs="Arial"/>
          <w:sz w:val="20"/>
        </w:rPr>
      </w:pPr>
      <w:r>
        <w:rPr>
          <w:rFonts w:ascii="Arial" w:hAnsi="Arial" w:cs="Arial"/>
          <w:sz w:val="20"/>
        </w:rPr>
        <w:t xml:space="preserve">Section 42E(1) of the </w:t>
      </w:r>
      <w:r w:rsidRPr="00A82F40">
        <w:rPr>
          <w:rFonts w:ascii="Arial" w:hAnsi="Arial" w:cs="Arial"/>
          <w:i/>
          <w:iCs/>
          <w:sz w:val="20"/>
        </w:rPr>
        <w:t xml:space="preserve">Evidence </w:t>
      </w:r>
      <w:r w:rsidR="00897844" w:rsidRPr="00A82F40">
        <w:rPr>
          <w:rFonts w:ascii="Arial" w:hAnsi="Arial" w:cs="Arial"/>
          <w:i/>
          <w:iCs/>
          <w:sz w:val="20"/>
        </w:rPr>
        <w:t xml:space="preserve">(Miscellaneous Provisions) </w:t>
      </w:r>
      <w:r w:rsidRPr="00A82F40">
        <w:rPr>
          <w:rFonts w:ascii="Arial" w:hAnsi="Arial" w:cs="Arial"/>
          <w:i/>
          <w:iCs/>
          <w:sz w:val="20"/>
        </w:rPr>
        <w:t xml:space="preserve">Act 1958 </w:t>
      </w:r>
      <w:r w:rsidR="005B0B37">
        <w:rPr>
          <w:rFonts w:ascii="Arial" w:hAnsi="Arial" w:cs="Arial"/>
          <w:sz w:val="20"/>
        </w:rPr>
        <w:t>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42F(7)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w:t>
      </w:r>
      <w:proofErr w:type="spellStart"/>
      <w:r>
        <w:rPr>
          <w:rFonts w:ascii="Arial" w:hAnsi="Arial" w:cs="Arial"/>
          <w:i/>
          <w:sz w:val="20"/>
        </w:rPr>
        <w:t>Ors</w:t>
      </w:r>
      <w:proofErr w:type="spellEnd"/>
      <w:r>
        <w:rPr>
          <w:rFonts w:ascii="Arial" w:hAnsi="Arial" w:cs="Arial"/>
          <w:i/>
          <w:sz w:val="20"/>
        </w:rPr>
        <w:t xml:space="preserve">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 xml:space="preserve">R v </w:t>
      </w:r>
      <w:proofErr w:type="spellStart"/>
      <w:r w:rsidRPr="00727D20">
        <w:rPr>
          <w:rFonts w:ascii="Arial" w:hAnsi="Arial" w:cs="Arial"/>
          <w:i/>
          <w:sz w:val="20"/>
          <w:szCs w:val="20"/>
        </w:rPr>
        <w:t>Strawhorn</w:t>
      </w:r>
      <w:proofErr w:type="spellEnd"/>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D772F0">
      <w:pPr>
        <w:numPr>
          <w:ilvl w:val="0"/>
          <w:numId w:val="19"/>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1B05B81"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proofErr w:type="spellStart"/>
      <w:r w:rsidRPr="00B97656">
        <w:rPr>
          <w:rFonts w:ascii="Arial" w:hAnsi="Arial" w:cs="Arial"/>
          <w:i/>
          <w:sz w:val="20"/>
          <w:szCs w:val="20"/>
        </w:rPr>
        <w:t>Jarvie</w:t>
      </w:r>
      <w:proofErr w:type="spellEnd"/>
      <w:r w:rsidRPr="00B97656">
        <w:rPr>
          <w:rFonts w:ascii="Arial" w:hAnsi="Arial" w:cs="Arial"/>
          <w:i/>
          <w:sz w:val="20"/>
          <w:szCs w:val="20"/>
        </w:rPr>
        <w:t xml:space="preserve"> v. Magistrates</w:t>
      </w:r>
      <w:r w:rsidR="000F0BE9">
        <w:rPr>
          <w:rFonts w:ascii="Arial" w:hAnsi="Arial" w:cs="Arial"/>
          <w:i/>
          <w:sz w:val="20"/>
          <w:szCs w:val="20"/>
        </w:rPr>
        <w:t>’</w:t>
      </w:r>
      <w:r w:rsidRPr="00B97656">
        <w:rPr>
          <w:rFonts w:ascii="Arial" w:hAnsi="Arial" w:cs="Arial"/>
          <w:i/>
          <w:sz w:val="20"/>
          <w:szCs w:val="20"/>
        </w:rPr>
        <w:t xml:space="preserve"> Court of Victoria</w:t>
      </w:r>
      <w:r w:rsidRPr="00B97656">
        <w:rPr>
          <w:rFonts w:ascii="Arial" w:hAnsi="Arial" w:cs="Arial"/>
          <w:sz w:val="20"/>
          <w:szCs w:val="20"/>
        </w:rPr>
        <w:t xml:space="preserve"> [1995] 1 VR 84 at 90 a </w:t>
      </w:r>
      <w:r>
        <w:rPr>
          <w:rFonts w:ascii="Arial" w:hAnsi="Arial" w:cs="Arial"/>
          <w:sz w:val="20"/>
          <w:szCs w:val="20"/>
        </w:rPr>
        <w:t>‘</w:t>
      </w:r>
      <w:r w:rsidRPr="00B97656">
        <w:rPr>
          <w:rFonts w:ascii="Arial" w:hAnsi="Arial" w:cs="Arial"/>
          <w:sz w:val="20"/>
          <w:szCs w:val="20"/>
        </w:rPr>
        <w:t xml:space="preserve"> ...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D772F0">
      <w:pPr>
        <w:numPr>
          <w:ilvl w:val="0"/>
          <w:numId w:val="19"/>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 xml:space="preserve">R v </w:t>
      </w:r>
      <w:proofErr w:type="spellStart"/>
      <w:r w:rsidRPr="00F10D61">
        <w:rPr>
          <w:rFonts w:ascii="Arial" w:hAnsi="Arial" w:cs="Arial"/>
          <w:i/>
          <w:sz w:val="20"/>
          <w:szCs w:val="20"/>
        </w:rPr>
        <w:t>Knigge</w:t>
      </w:r>
      <w:proofErr w:type="spellEnd"/>
      <w:r w:rsidRPr="00F10D61">
        <w:rPr>
          <w:rFonts w:ascii="Arial" w:hAnsi="Arial" w:cs="Arial"/>
          <w:sz w:val="20"/>
          <w:szCs w:val="20"/>
        </w:rPr>
        <w:t xml:space="preserve"> [2003] 6 VR 181 at [30] per </w:t>
      </w:r>
      <w:proofErr w:type="spellStart"/>
      <w:r w:rsidRPr="00F10D61">
        <w:rPr>
          <w:rFonts w:ascii="Arial" w:hAnsi="Arial" w:cs="Arial"/>
          <w:sz w:val="20"/>
          <w:szCs w:val="20"/>
        </w:rPr>
        <w:t>Winneke</w:t>
      </w:r>
      <w:proofErr w:type="spellEnd"/>
      <w:r w:rsidRPr="00F10D61">
        <w:rPr>
          <w:rFonts w:ascii="Arial" w:hAnsi="Arial" w:cs="Arial"/>
          <w:sz w:val="20"/>
          <w:szCs w:val="20"/>
        </w:rPr>
        <w:t>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 xml:space="preserve">R v </w:t>
      </w:r>
      <w:proofErr w:type="spellStart"/>
      <w:r w:rsidRPr="00D879D5">
        <w:rPr>
          <w:rFonts w:ascii="Arial" w:hAnsi="Arial" w:cs="Arial"/>
          <w:i/>
          <w:sz w:val="20"/>
        </w:rPr>
        <w:t>Strawhorn</w:t>
      </w:r>
      <w:proofErr w:type="spellEnd"/>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made an order under s.42E in respect of a number of important Crown witnesses after assessing the degree of risk to the safety of the witnesses 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55B54D6C" w:rsidR="00CF4124" w:rsidRDefault="00CF4124" w:rsidP="000F0BE9">
      <w:pPr>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w:t>
      </w:r>
      <w:r w:rsidRPr="00A82F40">
        <w:rPr>
          <w:rFonts w:ascii="Arial" w:hAnsi="Arial" w:cs="Arial"/>
          <w:i/>
          <w:iCs/>
          <w:sz w:val="20"/>
        </w:rPr>
        <w:t>Evidence Act</w:t>
      </w:r>
      <w:r>
        <w:rPr>
          <w:rFonts w:ascii="Arial" w:hAnsi="Arial" w:cs="Arial"/>
          <w:sz w:val="20"/>
        </w:rPr>
        <w:t xml:space="preserve"> was refused.  At [2] Harper J described s.42E as “a merely permissive provision” and said that the section “is not intended specifically to protect </w:t>
      </w:r>
      <w:r>
        <w:rPr>
          <w:rFonts w:ascii="Arial" w:hAnsi="Arial" w:cs="Arial"/>
          <w:sz w:val="20"/>
        </w:rPr>
        <w:lastRenderedPageBreak/>
        <w:t xml:space="preserve">witnesses who would otherwise be reluctant to give evidence in open court in the presence of an accused person”.  Adopting the above propositions of law which had been set out by Kaye J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758" w:name="_3.5.12.2__Appearance"/>
      <w:bookmarkStart w:id="759" w:name="B35122"/>
      <w:bookmarkEnd w:id="758"/>
      <w:bookmarkEnd w:id="759"/>
      <w:r>
        <w:rPr>
          <w:rFonts w:ascii="Arial" w:hAnsi="Arial" w:cs="Arial"/>
          <w:b/>
          <w:bCs/>
          <w:sz w:val="20"/>
        </w:rPr>
        <w:t>3.5.12.2  Appearance etc. by an accused in a criminal or associated proceeding</w:t>
      </w:r>
    </w:p>
    <w:p w14:paraId="181816F6" w14:textId="27769C8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A82F40">
        <w:rPr>
          <w:rFonts w:ascii="Arial" w:hAnsi="Arial" w:cs="Arial"/>
          <w:i/>
          <w:iCs/>
          <w:sz w:val="20"/>
        </w:rPr>
        <w:t>Evidence (Miscellaneous Provisions) Act 1958</w:t>
      </w:r>
      <w:r w:rsidR="00A82F40" w:rsidRPr="00A82F40">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 xml:space="preserve">must appear, or be brought, physically before the court.  Section 42P(1)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760" w:name="_3.5.12.3__Alternative"/>
      <w:bookmarkStart w:id="761" w:name="B35123"/>
      <w:bookmarkEnd w:id="760"/>
      <w:bookmarkEnd w:id="761"/>
      <w:r>
        <w:rPr>
          <w:rFonts w:ascii="Arial" w:hAnsi="Arial" w:cs="Arial"/>
          <w:b/>
          <w:bCs/>
          <w:sz w:val="20"/>
        </w:rPr>
        <w:t>3.5.12.3  Alternative arrangements for giving evidence in certain criminal proceedings</w:t>
      </w:r>
    </w:p>
    <w:p w14:paraId="51A2401D" w14:textId="6AAA4508" w:rsidR="00EF2047" w:rsidRDefault="00EF2047" w:rsidP="006A707F">
      <w:pPr>
        <w:jc w:val="both"/>
        <w:rPr>
          <w:rFonts w:ascii="Arial" w:hAnsi="Arial" w:cs="Arial"/>
          <w:sz w:val="20"/>
        </w:rPr>
      </w:pPr>
      <w:r>
        <w:rPr>
          <w:rFonts w:ascii="Arial" w:hAnsi="Arial" w:cs="Arial"/>
          <w:sz w:val="20"/>
        </w:rPr>
        <w:t xml:space="preserve">Under s.359 of the </w:t>
      </w:r>
      <w:r w:rsidRPr="00A82F40">
        <w:rPr>
          <w:rFonts w:ascii="Arial" w:hAnsi="Arial" w:cs="Arial"/>
          <w:i/>
          <w:iCs/>
          <w:sz w:val="20"/>
        </w:rPr>
        <w:t>Criminal Procedure Act 2009</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 xml:space="preserve">an offence where the conduct constituting the offence consists of family violence within the meaning of the </w:t>
      </w:r>
      <w:r w:rsidRPr="00A82F40">
        <w:rPr>
          <w:rFonts w:ascii="Arial" w:hAnsi="Arial" w:cs="Arial"/>
          <w:i/>
          <w:iCs/>
          <w:sz w:val="20"/>
        </w:rPr>
        <w:t>Family Violence Protection Act 2008</w:t>
      </w:r>
      <w:r>
        <w:rPr>
          <w:rFonts w:ascii="Arial" w:hAnsi="Arial" w:cs="Arial"/>
          <w:sz w:val="20"/>
        </w:rPr>
        <w:t>.</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4D83BDF" w14:textId="7B1F9FE3" w:rsidR="002F03EC" w:rsidRDefault="00FE0691" w:rsidP="00CA085E">
      <w:pPr>
        <w:jc w:val="both"/>
        <w:rPr>
          <w:rFonts w:ascii="Arial" w:hAnsi="Arial" w:cs="Arial"/>
          <w:sz w:val="20"/>
        </w:rPr>
      </w:pPr>
      <w:r>
        <w:rPr>
          <w:rFonts w:ascii="Arial" w:hAnsi="Arial" w:cs="Arial"/>
          <w:sz w:val="20"/>
        </w:rPr>
        <w:t>Under s</w:t>
      </w:r>
      <w:r w:rsidR="00F15798">
        <w:rPr>
          <w:rFonts w:ascii="Arial" w:hAnsi="Arial" w:cs="Arial"/>
          <w:sz w:val="20"/>
        </w:rPr>
        <w:t>.363</w:t>
      </w:r>
      <w:r w:rsidR="002F03EC">
        <w:rPr>
          <w:rFonts w:ascii="Arial" w:hAnsi="Arial" w:cs="Arial"/>
          <w:sz w:val="20"/>
        </w:rPr>
        <w:t>(1)</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 xml:space="preserve">use of closed-circuit television or other facilities [pursuant to s.360(a)] for a witness who is a complainant </w:t>
      </w:r>
      <w:r w:rsidR="002F03EC">
        <w:rPr>
          <w:rFonts w:ascii="Arial" w:hAnsi="Arial" w:cs="Arial"/>
          <w:sz w:val="20"/>
        </w:rPr>
        <w:t>in a criminal proceeding that relates (wholly or partly) to a charge for a sexual offence unless-</w:t>
      </w:r>
    </w:p>
    <w:p w14:paraId="005AF902" w14:textId="474477FD" w:rsidR="002F03EC" w:rsidRDefault="002F03EC" w:rsidP="00E802F6">
      <w:pPr>
        <w:pStyle w:val="ListParagraph"/>
        <w:numPr>
          <w:ilvl w:val="0"/>
          <w:numId w:val="84"/>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3DCC083B" w14:textId="68C16CE7" w:rsidR="00CA0685" w:rsidRPr="002F03EC" w:rsidRDefault="002F03EC" w:rsidP="00E802F6">
      <w:pPr>
        <w:pStyle w:val="ListParagraph"/>
        <w:numPr>
          <w:ilvl w:val="0"/>
          <w:numId w:val="84"/>
        </w:numPr>
        <w:ind w:left="357" w:hanging="357"/>
        <w:jc w:val="both"/>
        <w:rPr>
          <w:rFonts w:ascii="Arial" w:hAnsi="Arial" w:cs="Arial"/>
          <w:sz w:val="20"/>
        </w:rPr>
      </w:pPr>
      <w:r>
        <w:rPr>
          <w:rFonts w:ascii="Arial" w:hAnsi="Arial" w:cs="Arial"/>
          <w:sz w:val="20"/>
        </w:rPr>
        <w:t xml:space="preserve">the court is satisfied </w:t>
      </w:r>
      <w:r w:rsidR="00CA0685" w:rsidRPr="002F03EC">
        <w:rPr>
          <w:rFonts w:ascii="Arial" w:hAnsi="Arial" w:cs="Arial"/>
          <w:sz w:val="20"/>
        </w:rPr>
        <w:t>that the complainant is aware of the right to give evidence remotely and is able and wishes to give evidence in the courtroom.</w:t>
      </w:r>
    </w:p>
    <w:p w14:paraId="5764A4CF" w14:textId="5F7BD6AC" w:rsidR="00CA0685" w:rsidRDefault="00CA0685" w:rsidP="00CA085E">
      <w:pPr>
        <w:jc w:val="both"/>
        <w:rPr>
          <w:rFonts w:ascii="Arial" w:hAnsi="Arial" w:cs="Arial"/>
          <w:sz w:val="20"/>
        </w:rPr>
      </w:pPr>
    </w:p>
    <w:p w14:paraId="2CE76EE2" w14:textId="318F239B" w:rsidR="002F03EC" w:rsidRDefault="002F03EC" w:rsidP="00CA085E">
      <w:pPr>
        <w:jc w:val="both"/>
        <w:rPr>
          <w:rFonts w:ascii="Arial" w:hAnsi="Arial" w:cs="Arial"/>
          <w:sz w:val="20"/>
        </w:rPr>
      </w:pPr>
      <w:r>
        <w:rPr>
          <w:rFonts w:ascii="Arial" w:hAnsi="Arial" w:cs="Arial"/>
          <w:sz w:val="20"/>
        </w:rPr>
        <w:t xml:space="preserve">Under ss.363(2) &amp; 363(3), the court </w:t>
      </w:r>
      <w:r w:rsidRPr="00F15798">
        <w:rPr>
          <w:rFonts w:ascii="Arial" w:hAnsi="Arial" w:cs="Arial"/>
          <w:b/>
          <w:sz w:val="20"/>
          <w:u w:val="single"/>
        </w:rPr>
        <w:t>must</w:t>
      </w:r>
      <w:r>
        <w:rPr>
          <w:rFonts w:ascii="Arial" w:hAnsi="Arial" w:cs="Arial"/>
          <w:sz w:val="20"/>
        </w:rPr>
        <w:t xml:space="preserve"> direct use of closed-circuit television or other facilities [pursuant to s.360(a)] for a witness who is a complainant in a proceeding that relates (wholly or partly) to a charge for an offence where the conduct constituting the offence consists of family violence within the meaning of the FVPA if-</w:t>
      </w:r>
    </w:p>
    <w:p w14:paraId="19D74CE2" w14:textId="5F6BF0B4" w:rsidR="002F03EC" w:rsidRDefault="002F03EC" w:rsidP="00E802F6">
      <w:pPr>
        <w:pStyle w:val="ListParagraph"/>
        <w:numPr>
          <w:ilvl w:val="0"/>
          <w:numId w:val="85"/>
        </w:numPr>
        <w:ind w:left="357" w:hanging="357"/>
        <w:jc w:val="both"/>
        <w:rPr>
          <w:rFonts w:ascii="Arial" w:hAnsi="Arial" w:cs="Arial"/>
          <w:sz w:val="20"/>
        </w:rPr>
      </w:pPr>
      <w:r>
        <w:rPr>
          <w:rFonts w:ascii="Arial" w:hAnsi="Arial" w:cs="Arial"/>
          <w:sz w:val="20"/>
        </w:rPr>
        <w:t>closed-circuit television or other facilities that enable communication between the courtroom and the other place are available; and</w:t>
      </w:r>
    </w:p>
    <w:p w14:paraId="4AFE10A4" w14:textId="037BD3C1" w:rsidR="002F03EC" w:rsidRPr="002F03EC" w:rsidRDefault="00BB6106" w:rsidP="00E802F6">
      <w:pPr>
        <w:pStyle w:val="ListParagraph"/>
        <w:numPr>
          <w:ilvl w:val="0"/>
          <w:numId w:val="85"/>
        </w:numPr>
        <w:ind w:left="357" w:hanging="357"/>
        <w:jc w:val="both"/>
        <w:rPr>
          <w:rFonts w:ascii="Arial" w:hAnsi="Arial" w:cs="Arial"/>
          <w:sz w:val="20"/>
        </w:rPr>
      </w:pPr>
      <w:r>
        <w:rPr>
          <w:rFonts w:ascii="Arial" w:hAnsi="Arial" w:cs="Arial"/>
          <w:sz w:val="20"/>
        </w:rPr>
        <w:t>it is practicable to do so-</w:t>
      </w:r>
    </w:p>
    <w:p w14:paraId="26F276FC" w14:textId="4974B99E" w:rsidR="002F03EC" w:rsidRDefault="00BB6106" w:rsidP="00CA085E">
      <w:pPr>
        <w:jc w:val="both"/>
        <w:rPr>
          <w:rFonts w:ascii="Arial" w:hAnsi="Arial" w:cs="Arial"/>
          <w:sz w:val="20"/>
        </w:rPr>
      </w:pPr>
      <w:r>
        <w:rPr>
          <w:rFonts w:ascii="Arial" w:hAnsi="Arial" w:cs="Arial"/>
          <w:sz w:val="20"/>
        </w:rPr>
        <w:t>unless-</w:t>
      </w:r>
    </w:p>
    <w:p w14:paraId="1E71C057" w14:textId="3CADB32C" w:rsidR="002F03EC" w:rsidRDefault="00BB6106" w:rsidP="00E802F6">
      <w:pPr>
        <w:pStyle w:val="ListParagraph"/>
        <w:numPr>
          <w:ilvl w:val="0"/>
          <w:numId w:val="86"/>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6EBF6F88" w14:textId="77475651" w:rsidR="00BB6106" w:rsidRPr="00BB6106" w:rsidRDefault="00BB6106" w:rsidP="00E802F6">
      <w:pPr>
        <w:pStyle w:val="ListParagraph"/>
        <w:numPr>
          <w:ilvl w:val="0"/>
          <w:numId w:val="86"/>
        </w:numPr>
        <w:ind w:left="357" w:hanging="357"/>
        <w:jc w:val="both"/>
        <w:rPr>
          <w:rFonts w:ascii="Arial" w:hAnsi="Arial" w:cs="Arial"/>
          <w:sz w:val="20"/>
        </w:rPr>
      </w:pPr>
      <w:r>
        <w:rPr>
          <w:rFonts w:ascii="Arial" w:hAnsi="Arial" w:cs="Arial"/>
          <w:sz w:val="20"/>
        </w:rPr>
        <w:t xml:space="preserve">the court is satisfied </w:t>
      </w:r>
      <w:r w:rsidRPr="002F03EC">
        <w:rPr>
          <w:rFonts w:ascii="Arial" w:hAnsi="Arial" w:cs="Arial"/>
          <w:sz w:val="20"/>
        </w:rPr>
        <w:t>that the complainant is aware of the right to give evidence remotely and is able and wishes to give evidence in the courtroom.</w:t>
      </w:r>
    </w:p>
    <w:p w14:paraId="67C97D53" w14:textId="77777777" w:rsidR="002F03EC" w:rsidRDefault="002F03EC" w:rsidP="00CA085E">
      <w:pPr>
        <w:jc w:val="both"/>
        <w:rPr>
          <w:rFonts w:ascii="Arial" w:hAnsi="Arial" w:cs="Arial"/>
          <w:sz w:val="20"/>
        </w:rPr>
      </w:pPr>
    </w:p>
    <w:p w14:paraId="4B13902F" w14:textId="77777777" w:rsidR="00F15798" w:rsidRDefault="00F15798" w:rsidP="00CA085E">
      <w:pPr>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9DD0095" w:rsidR="006E5C27" w:rsidRDefault="006E5C27" w:rsidP="006E5C27">
      <w:pPr>
        <w:jc w:val="both"/>
        <w:rPr>
          <w:rFonts w:ascii="Arial" w:hAnsi="Arial" w:cs="Arial"/>
          <w:sz w:val="20"/>
        </w:rPr>
      </w:pPr>
    </w:p>
    <w:p w14:paraId="34CDDCC6" w14:textId="0138A266" w:rsidR="00B7560B" w:rsidRDefault="00556BEC" w:rsidP="006E5C27">
      <w:pPr>
        <w:jc w:val="both"/>
        <w:rPr>
          <w:rFonts w:ascii="Arial" w:hAnsi="Arial" w:cs="Arial"/>
          <w:sz w:val="20"/>
          <w:szCs w:val="20"/>
        </w:rPr>
      </w:pPr>
      <w:r w:rsidRPr="00B7560B">
        <w:rPr>
          <w:rFonts w:ascii="Arial" w:hAnsi="Arial" w:cs="Arial"/>
          <w:sz w:val="20"/>
          <w:szCs w:val="20"/>
        </w:rPr>
        <w:t xml:space="preserve">In </w:t>
      </w:r>
      <w:r w:rsidRPr="00B7560B">
        <w:rPr>
          <w:rFonts w:ascii="Arial" w:hAnsi="Arial" w:cs="Arial"/>
          <w:i/>
          <w:iCs/>
          <w:sz w:val="20"/>
          <w:szCs w:val="20"/>
        </w:rPr>
        <w:t>Males v The Queen</w:t>
      </w:r>
      <w:r w:rsidRPr="00B7560B">
        <w:rPr>
          <w:rFonts w:ascii="Arial" w:hAnsi="Arial" w:cs="Arial"/>
          <w:sz w:val="20"/>
          <w:szCs w:val="20"/>
        </w:rPr>
        <w:t xml:space="preserve"> [2021] VSCA 159 the applicant was on trial in the County Court on multiple charges of rape, threat to kill and intentionally causing injury.  The prosecution applied under s.363(a) for the first complainant K to give evidence in the courtroom.  Having permitted the evidence to be given in the courtroom the trial judge directed in accordance with s.360(b) that a screen was set up between the witness box and the dock, blocking the line of vision between the two.  K gave evidence </w:t>
      </w:r>
      <w:r w:rsidR="00B7560B" w:rsidRPr="00B7560B">
        <w:rPr>
          <w:rFonts w:ascii="Arial" w:hAnsi="Arial" w:cs="Arial"/>
          <w:sz w:val="20"/>
          <w:szCs w:val="20"/>
        </w:rPr>
        <w:t xml:space="preserve">for about an hour before the court adjourned for the day.  The following morning the prosecutor informed the judge that K now wanted to give her evidence from the remote facility.  When her Honour indicated that she proposed to allow that change to occur, counsel for the applicant sought a discharge of the jury.  The basis for the application was that the jury would inevitably draw an adverse inference from the change of arrangements.  The judge refused the discharge application.  </w:t>
      </w:r>
      <w:r w:rsidR="00B7560B">
        <w:rPr>
          <w:rFonts w:ascii="Arial" w:hAnsi="Arial" w:cs="Arial"/>
          <w:sz w:val="20"/>
          <w:szCs w:val="20"/>
        </w:rPr>
        <w:t>The Court of Appeal (Maxwell P &amp; Emerton JA) granted leave to appeal and allowed the appeal, holding that</w:t>
      </w:r>
      <w:r w:rsidR="00D675A6">
        <w:rPr>
          <w:rFonts w:ascii="Arial" w:hAnsi="Arial" w:cs="Arial"/>
          <w:sz w:val="20"/>
          <w:szCs w:val="20"/>
        </w:rPr>
        <w:t xml:space="preserve"> </w:t>
      </w:r>
      <w:r w:rsidR="00B7560B">
        <w:rPr>
          <w:rFonts w:ascii="Arial" w:hAnsi="Arial" w:cs="Arial"/>
          <w:sz w:val="20"/>
          <w:szCs w:val="20"/>
        </w:rPr>
        <w:t xml:space="preserve">the jury was likely to infer that K was in fear of the accused: “The </w:t>
      </w:r>
      <w:r w:rsidR="00B7560B" w:rsidRPr="00B7560B">
        <w:rPr>
          <w:rFonts w:ascii="Arial" w:hAnsi="Arial" w:cs="Arial"/>
          <w:sz w:val="20"/>
          <w:szCs w:val="20"/>
        </w:rPr>
        <w:t xml:space="preserve">availability of that inference created a very significant risk of prejudice, in our view.  </w:t>
      </w:r>
      <w:r w:rsidR="00B7560B" w:rsidRPr="00B7560B">
        <w:rPr>
          <w:rFonts w:ascii="Arial" w:eastAsia="Book Antiqua" w:hAnsi="Arial" w:cs="Arial"/>
          <w:sz w:val="20"/>
          <w:szCs w:val="20"/>
        </w:rPr>
        <w:t>K’s decision to withdraw to the remote facility —</w:t>
      </w:r>
      <w:r w:rsidR="00B7560B" w:rsidRPr="00B7560B">
        <w:rPr>
          <w:rFonts w:ascii="Arial" w:hAnsi="Arial" w:cs="Arial"/>
          <w:sz w:val="20"/>
          <w:szCs w:val="20"/>
        </w:rPr>
        <w:t xml:space="preserve"> </w:t>
      </w:r>
      <w:r w:rsidR="00B7560B" w:rsidRPr="00B7560B">
        <w:rPr>
          <w:rFonts w:ascii="Arial" w:eastAsia="Book Antiqua" w:hAnsi="Arial" w:cs="Arial"/>
          <w:sz w:val="20"/>
          <w:szCs w:val="20"/>
        </w:rPr>
        <w:t xml:space="preserve">to ‘take flight’ from the </w:t>
      </w:r>
      <w:r w:rsidR="00B7560B" w:rsidRPr="00B7560B">
        <w:rPr>
          <w:rFonts w:ascii="Arial" w:hAnsi="Arial" w:cs="Arial"/>
          <w:sz w:val="20"/>
          <w:szCs w:val="20"/>
        </w:rPr>
        <w:t xml:space="preserve">courtroom </w:t>
      </w:r>
      <w:r w:rsidR="00B7560B" w:rsidRPr="00B7560B">
        <w:rPr>
          <w:rFonts w:ascii="Arial" w:eastAsia="Book Antiqua" w:hAnsi="Arial" w:cs="Arial"/>
          <w:sz w:val="20"/>
          <w:szCs w:val="20"/>
        </w:rPr>
        <w:t>—</w:t>
      </w:r>
      <w:r w:rsidR="00B7560B" w:rsidRPr="00B7560B">
        <w:rPr>
          <w:rFonts w:ascii="Arial" w:hAnsi="Arial" w:cs="Arial"/>
          <w:sz w:val="20"/>
          <w:szCs w:val="20"/>
        </w:rPr>
        <w:t xml:space="preserve"> was capable of being seen by the jury as confirmatory of the truth of </w:t>
      </w:r>
      <w:r w:rsidR="00B7560B" w:rsidRPr="00B7560B">
        <w:rPr>
          <w:rFonts w:ascii="Arial" w:eastAsia="Book Antiqua" w:hAnsi="Arial" w:cs="Arial"/>
          <w:sz w:val="20"/>
          <w:szCs w:val="20"/>
        </w:rPr>
        <w:t>her evidence about the applicant’s violent conduct towards her.</w:t>
      </w:r>
      <w:r w:rsidR="00B7560B">
        <w:rPr>
          <w:rFonts w:ascii="Arial" w:eastAsia="Book Antiqua" w:hAnsi="Arial" w:cs="Arial"/>
          <w:sz w:val="20"/>
          <w:szCs w:val="20"/>
        </w:rPr>
        <w:t>”</w:t>
      </w:r>
      <w:r w:rsidR="00D675A6">
        <w:rPr>
          <w:rFonts w:ascii="Arial" w:eastAsia="Book Antiqua" w:hAnsi="Arial" w:cs="Arial"/>
          <w:sz w:val="20"/>
          <w:szCs w:val="20"/>
        </w:rPr>
        <w:t xml:space="preserve">  Further, it was “at best uncertain” whether jury directions would “eradicate the danger to the fairness of the trial”: see </w:t>
      </w:r>
      <w:r w:rsidR="00D675A6" w:rsidRPr="00D675A6">
        <w:rPr>
          <w:rFonts w:ascii="Arial" w:eastAsia="Book Antiqua" w:hAnsi="Arial" w:cs="Arial"/>
          <w:i/>
          <w:iCs/>
          <w:sz w:val="20"/>
          <w:szCs w:val="20"/>
        </w:rPr>
        <w:t>Crofts v The Queen</w:t>
      </w:r>
      <w:r w:rsidR="00D675A6">
        <w:rPr>
          <w:rFonts w:ascii="Arial" w:eastAsia="Book Antiqua" w:hAnsi="Arial" w:cs="Arial"/>
          <w:sz w:val="20"/>
          <w:szCs w:val="20"/>
        </w:rPr>
        <w:t xml:space="preserve"> (1996) 186 CLR 427 at 442.</w:t>
      </w:r>
    </w:p>
    <w:p w14:paraId="1325F4B0" w14:textId="77777777" w:rsidR="00D675A6" w:rsidRDefault="00D675A6"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762" w:name="_3.5.13_The_rule"/>
      <w:bookmarkStart w:id="763" w:name="B3513"/>
      <w:bookmarkEnd w:id="762"/>
      <w:bookmarkEnd w:id="763"/>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 xml:space="preserve">R v </w:t>
      </w:r>
      <w:proofErr w:type="spellStart"/>
      <w:r w:rsidRPr="006F7316">
        <w:rPr>
          <w:rFonts w:ascii="Arial" w:hAnsi="Arial" w:cs="Arial"/>
          <w:i/>
          <w:sz w:val="20"/>
        </w:rPr>
        <w:t>Coswello</w:t>
      </w:r>
      <w:proofErr w:type="spellEnd"/>
      <w:r>
        <w:rPr>
          <w:rFonts w:ascii="Arial" w:hAnsi="Arial" w:cs="Arial"/>
          <w:sz w:val="20"/>
        </w:rPr>
        <w:t xml:space="preserve"> [2009] VSCA 300 Williams AJA (with whom Buchanan &amp; Nettle JJA agreed) said at [48]-[49]:</w:t>
      </w:r>
    </w:p>
    <w:p w14:paraId="10EB604F" w14:textId="77777777" w:rsidR="006E5C27" w:rsidRPr="00F47775" w:rsidRDefault="006E5C27" w:rsidP="00BE6990">
      <w:pPr>
        <w:keepNext/>
        <w:keepLines/>
        <w:spacing w:before="120"/>
        <w:ind w:left="567" w:right="567"/>
        <w:jc w:val="both"/>
        <w:rPr>
          <w:rFonts w:ascii="Arial" w:hAnsi="Arial" w:cs="Arial"/>
          <w:iCs/>
          <w:sz w:val="20"/>
          <w:szCs w:val="20"/>
        </w:rPr>
      </w:pPr>
      <w:r>
        <w:rPr>
          <w:rFonts w:ascii="Arial" w:hAnsi="Arial" w:cs="Arial"/>
          <w:iCs/>
          <w:sz w:val="20"/>
          <w:szCs w:val="20"/>
        </w:rPr>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 xml:space="preserve">(1997) 76 FCR 9, 102 (Von </w:t>
      </w:r>
      <w:proofErr w:type="spellStart"/>
      <w:r w:rsidRPr="00493C1D">
        <w:rPr>
          <w:rFonts w:ascii="Arial" w:hAnsi="Arial" w:cs="Arial"/>
          <w:sz w:val="20"/>
          <w:szCs w:val="20"/>
        </w:rPr>
        <w:t>Doussa</w:t>
      </w:r>
      <w:proofErr w:type="spellEnd"/>
      <w:r w:rsidRPr="00493C1D">
        <w:rPr>
          <w:rFonts w:ascii="Arial" w:hAnsi="Arial" w:cs="Arial"/>
          <w:sz w:val="20"/>
          <w:szCs w:val="20"/>
        </w:rPr>
        <w:t>,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xml:space="preserve">, Lord </w:t>
      </w:r>
      <w:proofErr w:type="spellStart"/>
      <w:r>
        <w:rPr>
          <w:rFonts w:ascii="Arial" w:hAnsi="Arial" w:cs="Arial"/>
          <w:iCs/>
          <w:sz w:val="20"/>
          <w:szCs w:val="20"/>
        </w:rPr>
        <w:t>Herschell</w:t>
      </w:r>
      <w:proofErr w:type="spellEnd"/>
      <w:r>
        <w:rPr>
          <w:rFonts w:ascii="Arial" w:hAnsi="Arial" w:cs="Arial"/>
          <w:iCs/>
          <w:sz w:val="20"/>
          <w:szCs w:val="20"/>
        </w:rPr>
        <w:t xml:space="preserve"> LC expressed the rule as follows (at 70-71):</w:t>
      </w:r>
    </w:p>
    <w:p w14:paraId="30DA7651" w14:textId="77777777" w:rsidR="006E5C27" w:rsidRDefault="006E5C27" w:rsidP="00CE083F">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 xml:space="preserve">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impeached, is so manifest that it is not necessary to waste time in putting questions to him upon it.  All that I am saying is that it will not do to impeach the credibility of a witness upon a matter on which he has not had any opportunity of giving an explanation by reason of </w:t>
      </w:r>
      <w:proofErr w:type="spellStart"/>
      <w:r w:rsidRPr="005444DA">
        <w:rPr>
          <w:rFonts w:ascii="Arial" w:hAnsi="Arial" w:cs="Arial"/>
          <w:sz w:val="20"/>
          <w:szCs w:val="20"/>
        </w:rPr>
        <w:t>there</w:t>
      </w:r>
      <w:proofErr w:type="spellEnd"/>
      <w:r w:rsidRPr="005444DA">
        <w:rPr>
          <w:rFonts w:ascii="Arial" w:hAnsi="Arial" w:cs="Arial"/>
          <w:sz w:val="20"/>
          <w:szCs w:val="20"/>
        </w:rPr>
        <w:t xml:space="preserv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fairness and affects the weight or cogency of the evidence: </w:t>
      </w:r>
      <w:proofErr w:type="spellStart"/>
      <w:r w:rsidRPr="00493C1D">
        <w:rPr>
          <w:rFonts w:ascii="Arial" w:hAnsi="Arial" w:cs="Arial"/>
          <w:i/>
          <w:sz w:val="20"/>
          <w:szCs w:val="20"/>
        </w:rPr>
        <w:t>Bulstrode</w:t>
      </w:r>
      <w:proofErr w:type="spellEnd"/>
      <w:r w:rsidRPr="00493C1D">
        <w:rPr>
          <w:rFonts w:ascii="Arial" w:hAnsi="Arial" w:cs="Arial"/>
          <w:i/>
          <w:sz w:val="20"/>
          <w:szCs w:val="20"/>
        </w:rPr>
        <w:t xml:space="preserv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 xml:space="preserve">R v </w:t>
      </w:r>
      <w:proofErr w:type="spellStart"/>
      <w:r w:rsidRPr="001A0C2D">
        <w:rPr>
          <w:rFonts w:ascii="Arial" w:hAnsi="Arial" w:cs="Arial"/>
          <w:i/>
          <w:sz w:val="20"/>
        </w:rPr>
        <w:t>Demiri</w:t>
      </w:r>
      <w:proofErr w:type="spellEnd"/>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country-region">
        <w:smartTag w:uri="urn:schemas-microsoft-com:office:smarttags" w:element="place">
          <w:r w:rsidRPr="001A0C2D">
            <w:rPr>
              <w:rFonts w:ascii="Arial" w:hAnsi="Arial" w:cs="Arial"/>
              <w:i/>
              <w:sz w:val="20"/>
            </w:rPr>
            <w:t>Australia</w:t>
          </w:r>
        </w:smartTag>
      </w:smartTag>
      <w:r w:rsidRPr="001A0C2D">
        <w:rPr>
          <w:rFonts w:ascii="Arial" w:hAnsi="Arial" w:cs="Arial"/>
          <w:i/>
          <w:sz w:val="20"/>
        </w:rPr>
        <w:t xml:space="preserve">) Ltd v </w:t>
      </w:r>
      <w:proofErr w:type="spellStart"/>
      <w:r w:rsidRPr="001A0C2D">
        <w:rPr>
          <w:rFonts w:ascii="Arial" w:hAnsi="Arial" w:cs="Arial"/>
          <w:i/>
          <w:sz w:val="20"/>
        </w:rPr>
        <w:t>Dascorp</w:t>
      </w:r>
      <w:proofErr w:type="spellEnd"/>
      <w:r w:rsidRPr="001A0C2D">
        <w:rPr>
          <w:rFonts w:ascii="Arial" w:hAnsi="Arial" w:cs="Arial"/>
          <w:i/>
          <w:sz w:val="20"/>
        </w:rPr>
        <w:t xml:space="preserve"> Pty Ltd </w:t>
      </w:r>
      <w:r w:rsidRPr="001A0C2D">
        <w:rPr>
          <w:rFonts w:ascii="Arial" w:hAnsi="Arial" w:cs="Arial"/>
          <w:sz w:val="20"/>
        </w:rPr>
        <w:t>(2003) 9 VR 171 at [200])  Any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xml:space="preserve">… in a criminal trial the application of the rule and the circumstances in which an inference should be drawn from non-compliance must be seriously </w:t>
      </w:r>
      <w:r w:rsidRPr="001A0C2D">
        <w:rPr>
          <w:rFonts w:ascii="Arial" w:hAnsi="Arial" w:cs="Arial"/>
          <w:sz w:val="20"/>
          <w:szCs w:val="20"/>
        </w:rPr>
        <w:lastRenderedPageBreak/>
        <w:t>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w:t>
      </w:r>
      <w:proofErr w:type="spellStart"/>
      <w:r w:rsidRPr="001A0C2D">
        <w:rPr>
          <w:rFonts w:ascii="Arial" w:hAnsi="Arial" w:cs="Arial"/>
          <w:i/>
          <w:sz w:val="20"/>
          <w:szCs w:val="20"/>
        </w:rPr>
        <w:t>Demiri</w:t>
      </w:r>
      <w:proofErr w:type="spellEnd"/>
      <w:r w:rsidRPr="001A0C2D">
        <w:rPr>
          <w:rFonts w:ascii="Arial" w:hAnsi="Arial" w:cs="Arial"/>
          <w:i/>
          <w:sz w:val="20"/>
          <w:szCs w:val="20"/>
        </w:rPr>
        <w:t xml:space="preserve"> </w:t>
      </w:r>
      <w:r w:rsidRPr="001A0C2D">
        <w:rPr>
          <w:rFonts w:ascii="Arial" w:hAnsi="Arial" w:cs="Arial"/>
          <w:sz w:val="20"/>
          <w:szCs w:val="20"/>
        </w:rPr>
        <w:t>[2006] 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8801D3">
      <w:pPr>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(1893) 6 R 67, 70-1 (Lord </w:t>
      </w:r>
      <w:proofErr w:type="spellStart"/>
      <w:r w:rsidRPr="00F81B96">
        <w:rPr>
          <w:rFonts w:ascii="Arial" w:hAnsi="Arial" w:cs="Arial"/>
          <w:color w:val="000000"/>
          <w:sz w:val="20"/>
          <w:szCs w:val="20"/>
        </w:rPr>
        <w:t>Herschell</w:t>
      </w:r>
      <w:proofErr w:type="spellEnd"/>
      <w:r w:rsidRPr="00F81B96">
        <w:rPr>
          <w:rFonts w:ascii="Arial" w:hAnsi="Arial" w:cs="Arial"/>
          <w:color w:val="000000"/>
          <w:sz w:val="20"/>
          <w:szCs w:val="20"/>
        </w:rPr>
        <w:t>)</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Demiri</w:t>
      </w:r>
      <w:proofErr w:type="spellEnd"/>
      <w:r w:rsidRPr="00F81B96">
        <w:rPr>
          <w:rFonts w:ascii="Arial" w:hAnsi="Arial" w:cs="Arial"/>
          <w:i/>
          <w:color w:val="000000"/>
          <w:sz w:val="20"/>
          <w:szCs w:val="20"/>
        </w:rPr>
        <w:t xml:space="preserve"> </w:t>
      </w:r>
      <w:r w:rsidRPr="00F81B96">
        <w:rPr>
          <w:rFonts w:ascii="Arial" w:hAnsi="Arial" w:cs="Arial"/>
          <w:color w:val="000000"/>
          <w:sz w:val="20"/>
          <w:szCs w:val="20"/>
        </w:rPr>
        <w:t xml:space="preserve">[2006] VSCA 64 [35]; </w:t>
      </w:r>
      <w:r w:rsidRPr="00F81B96">
        <w:rPr>
          <w:rFonts w:ascii="Arial" w:hAnsi="Arial" w:cs="Arial"/>
          <w:i/>
          <w:color w:val="000000"/>
          <w:sz w:val="20"/>
          <w:szCs w:val="20"/>
        </w:rPr>
        <w:t xml:space="preserve">Curwen v </w:t>
      </w:r>
      <w:proofErr w:type="spellStart"/>
      <w:r w:rsidRPr="00F81B96">
        <w:rPr>
          <w:rFonts w:ascii="Arial" w:hAnsi="Arial" w:cs="Arial"/>
          <w:i/>
          <w:color w:val="000000"/>
          <w:sz w:val="20"/>
          <w:szCs w:val="20"/>
        </w:rPr>
        <w:t>Vanbreck</w:t>
      </w:r>
      <w:proofErr w:type="spellEnd"/>
      <w:r w:rsidRPr="00F81B96">
        <w:rPr>
          <w:rFonts w:ascii="Arial" w:hAnsi="Arial" w:cs="Arial"/>
          <w:i/>
          <w:color w:val="000000"/>
          <w:sz w:val="20"/>
          <w:szCs w:val="20"/>
        </w:rPr>
        <w:t xml:space="preserve">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505E83">
      <w:pPr>
        <w:pStyle w:val="Quote1"/>
        <w:widowControl/>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 xml:space="preserve">[2000] 1 </w:t>
      </w:r>
      <w:proofErr w:type="spellStart"/>
      <w:r w:rsidRPr="00F81B96">
        <w:rPr>
          <w:rFonts w:ascii="Arial" w:hAnsi="Arial" w:cs="Arial"/>
          <w:color w:val="000000"/>
          <w:sz w:val="20"/>
          <w:szCs w:val="20"/>
        </w:rPr>
        <w:t>Qd</w:t>
      </w:r>
      <w:proofErr w:type="spellEnd"/>
      <w:r w:rsidRPr="00F81B96">
        <w:rPr>
          <w:rFonts w:ascii="Arial" w:hAnsi="Arial" w:cs="Arial"/>
          <w:color w:val="000000"/>
          <w:sz w:val="20"/>
          <w:szCs w:val="20"/>
        </w:rPr>
        <w:t xml:space="preserve"> R 290, 291.  Sometimes it will need to be extensive.  But where the defence case consists only in a denial of the witness’s allegations, without  positive evidence or hypothesis of an alternative version of events {</w:t>
      </w:r>
      <w:proofErr w:type="spellStart"/>
      <w:r w:rsidRPr="00F81B96">
        <w:rPr>
          <w:rFonts w:ascii="Arial" w:hAnsi="Arial" w:cs="Arial"/>
          <w:color w:val="000000"/>
          <w:sz w:val="20"/>
          <w:szCs w:val="20"/>
        </w:rPr>
        <w:t>cf</w:t>
      </w:r>
      <w:proofErr w:type="spellEnd"/>
      <w:r w:rsidRPr="00F81B96">
        <w:rPr>
          <w:rFonts w:ascii="Arial" w:hAnsi="Arial" w:cs="Arial"/>
          <w:color w:val="000000"/>
          <w:sz w:val="20"/>
          <w:szCs w:val="20"/>
        </w:rPr>
        <w:t xml:space="preserve">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Costi</w:t>
      </w:r>
      <w:proofErr w:type="spellEnd"/>
      <w:r w:rsidRPr="00F81B96">
        <w:rPr>
          <w:rFonts w:ascii="Arial" w:hAnsi="Arial" w:cs="Arial"/>
          <w:color w:val="000000"/>
          <w:sz w:val="20"/>
          <w:szCs w:val="20"/>
        </w:rPr>
        <w:t xml:space="preserve"> (1987) 48 SASR 269, 271 - alternative hypothesis}, the </w:t>
      </w:r>
      <w:proofErr w:type="spellStart"/>
      <w:r w:rsidRPr="00F81B96">
        <w:rPr>
          <w:rFonts w:ascii="Arial" w:hAnsi="Arial" w:cs="Arial"/>
          <w:color w:val="000000"/>
          <w:sz w:val="20"/>
          <w:szCs w:val="20"/>
        </w:rPr>
        <w:t>puttage</w:t>
      </w:r>
      <w:proofErr w:type="spellEnd"/>
      <w:r w:rsidRPr="00F81B96">
        <w:rPr>
          <w:rFonts w:ascii="Arial" w:hAnsi="Arial" w:cs="Arial"/>
          <w:color w:val="000000"/>
          <w:sz w:val="20"/>
          <w:szCs w:val="20"/>
        </w:rPr>
        <w:t xml:space="preserve"> may not need go far and, possibly, may not be necessary at all if defence counsel has made clear from 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6320073E"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 xml:space="preserve">R v Edward </w:t>
      </w:r>
      <w:proofErr w:type="spellStart"/>
      <w:r w:rsidR="004F16FC" w:rsidRPr="00EE27CA">
        <w:rPr>
          <w:rFonts w:ascii="Arial" w:hAnsi="Arial" w:cs="Arial"/>
          <w:i/>
          <w:color w:val="000000"/>
          <w:sz w:val="20"/>
        </w:rPr>
        <w:t>Drash</w:t>
      </w:r>
      <w:proofErr w:type="spellEnd"/>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i/>
          <w:color w:val="000000"/>
          <w:sz w:val="20"/>
          <w:szCs w:val="20"/>
        </w:rPr>
        <w:t xml:space="preserve"> v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color w:val="000000"/>
          <w:sz w:val="20"/>
          <w:szCs w:val="20"/>
        </w:rPr>
        <w:t xml:space="preserve"> [2013] VSCA 16 at [177] &amp; [221]-[273]</w:t>
      </w:r>
      <w:r w:rsidR="007A4837">
        <w:rPr>
          <w:rFonts w:ascii="Arial" w:hAnsi="Arial" w:cs="Arial"/>
          <w:color w:val="000000"/>
          <w:sz w:val="20"/>
          <w:szCs w:val="20"/>
        </w:rPr>
        <w:t xml:space="preserve">; </w:t>
      </w:r>
      <w:r w:rsidR="00F62AFF" w:rsidRPr="00F62AFF">
        <w:rPr>
          <w:rFonts w:ascii="Arial" w:hAnsi="Arial" w:cs="Arial"/>
          <w:i/>
          <w:iCs/>
          <w:color w:val="000000"/>
          <w:sz w:val="20"/>
        </w:rPr>
        <w:t>Gant v The Queen; Siddique v The Queen</w:t>
      </w:r>
      <w:r w:rsidR="00F62AFF">
        <w:rPr>
          <w:rFonts w:ascii="Arial" w:hAnsi="Arial" w:cs="Arial"/>
          <w:color w:val="000000"/>
          <w:sz w:val="20"/>
        </w:rPr>
        <w:t xml:space="preserve"> [2017] VSCA 104 at [59] &amp; [113]; </w:t>
      </w:r>
      <w:r w:rsidR="007A4837" w:rsidRPr="007A4837">
        <w:rPr>
          <w:rFonts w:ascii="Arial" w:hAnsi="Arial" w:cs="Arial"/>
          <w:i/>
          <w:iCs/>
          <w:color w:val="000000"/>
          <w:sz w:val="20"/>
          <w:szCs w:val="20"/>
        </w:rPr>
        <w:t>Hofer v The Queen</w:t>
      </w:r>
      <w:r w:rsidR="007A4837">
        <w:rPr>
          <w:rFonts w:ascii="Arial" w:hAnsi="Arial" w:cs="Arial"/>
          <w:color w:val="000000"/>
          <w:sz w:val="20"/>
          <w:szCs w:val="20"/>
        </w:rPr>
        <w:t xml:space="preserve"> [2021] HCA 36 at [26]-[28] &amp; [74]</w:t>
      </w:r>
      <w:r w:rsidRPr="00EE27CA">
        <w:rPr>
          <w:rFonts w:ascii="Arial" w:hAnsi="Arial" w:cs="Arial"/>
          <w:color w:val="000000"/>
          <w:sz w:val="20"/>
        </w:rPr>
        <w:t xml:space="preserve">.  See also </w:t>
      </w:r>
      <w:r w:rsidR="0045772C" w:rsidRPr="00EE27CA">
        <w:rPr>
          <w:rFonts w:ascii="Arial" w:hAnsi="Arial" w:cs="Arial"/>
          <w:i/>
          <w:color w:val="000000"/>
          <w:sz w:val="20"/>
        </w:rPr>
        <w:t>R</w:t>
      </w:r>
      <w:r w:rsidR="004F16FC" w:rsidRPr="00EE27CA">
        <w:rPr>
          <w:rFonts w:ascii="Arial" w:hAnsi="Arial" w:cs="Arial"/>
          <w:i/>
          <w:color w:val="000000"/>
          <w:sz w:val="20"/>
        </w:rPr>
        <w:t> </w:t>
      </w:r>
      <w:r w:rsidR="0045772C" w:rsidRPr="00EE27CA">
        <w:rPr>
          <w:rFonts w:ascii="Arial" w:hAnsi="Arial" w:cs="Arial"/>
          <w:i/>
          <w:color w:val="000000"/>
          <w:sz w:val="20"/>
        </w:rPr>
        <w:t>v Morrow</w:t>
      </w:r>
      <w:r w:rsidR="0045772C" w:rsidRPr="00EE27CA">
        <w:rPr>
          <w:rFonts w:ascii="Arial" w:hAnsi="Arial" w:cs="Arial"/>
          <w:color w:val="000000"/>
          <w:sz w:val="20"/>
        </w:rPr>
        <w:t xml:space="preserve"> [2009] VSCA 291 at [2]-[6] per Nettle JA, [36]-[71] per Redlich JA and in particular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w:t>
      </w:r>
      <w:proofErr w:type="spellStart"/>
      <w:r w:rsidRPr="0045772C">
        <w:rPr>
          <w:rFonts w:ascii="Arial" w:hAnsi="Arial" w:cs="Arial"/>
          <w:i/>
          <w:sz w:val="20"/>
          <w:szCs w:val="20"/>
        </w:rPr>
        <w:t>Rajakaruna</w:t>
      </w:r>
      <w:proofErr w:type="spellEnd"/>
      <w:r w:rsidRPr="0045772C">
        <w:rPr>
          <w:rFonts w:ascii="Arial" w:hAnsi="Arial" w:cs="Arial"/>
          <w:i/>
          <w:sz w:val="20"/>
          <w:szCs w:val="20"/>
        </w:rPr>
        <w:t xml:space="preserve">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 xml:space="preserve">Advanced Wire &amp; Cable Pty Ltd v </w:t>
      </w:r>
      <w:proofErr w:type="spellStart"/>
      <w:r w:rsidRPr="0045772C">
        <w:rPr>
          <w:rFonts w:ascii="Arial" w:hAnsi="Arial" w:cs="Arial"/>
          <w:i/>
          <w:color w:val="000000"/>
          <w:sz w:val="20"/>
          <w:szCs w:val="20"/>
        </w:rPr>
        <w:t>Abdulle</w:t>
      </w:r>
      <w:proofErr w:type="spellEnd"/>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bookmarkStart w:id="764" w:name="_3.5.14_The_rule"/>
      <w:bookmarkStart w:id="765" w:name="B3514"/>
      <w:bookmarkEnd w:id="764"/>
      <w:bookmarkEnd w:id="765"/>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DD21E8">
      <w:pPr>
        <w:spacing w:before="12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 xml:space="preserve">that the absence of the defendant </w:t>
      </w:r>
      <w:proofErr w:type="spellStart"/>
      <w:r w:rsidRPr="008C3BC8">
        <w:rPr>
          <w:rFonts w:ascii="Arial" w:hAnsi="Arial" w:cs="Arial"/>
          <w:color w:val="000000"/>
          <w:sz w:val="20"/>
          <w:szCs w:val="20"/>
        </w:rPr>
        <w:t>Hegedus</w:t>
      </w:r>
      <w:proofErr w:type="spellEnd"/>
      <w:r w:rsidRPr="008C3BC8">
        <w:rPr>
          <w:rFonts w:ascii="Arial" w:hAnsi="Arial" w:cs="Arial"/>
          <w:color w:val="000000"/>
          <w:sz w:val="20"/>
          <w:szCs w:val="20"/>
        </w:rPr>
        <w:t xml:space="preserve"> as a witness cannot be used to make up any deficiency of evidence;</w:t>
      </w:r>
    </w:p>
    <w:p w14:paraId="6BF6841C" w14:textId="77777777" w:rsidR="00DD21E8"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lastRenderedPageBreak/>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Pr="008C3BC8" w:rsidRDefault="00B8085D" w:rsidP="00B8085D">
      <w:pPr>
        <w:jc w:val="both"/>
        <w:rPr>
          <w:rFonts w:ascii="Arial" w:hAnsi="Arial" w:cs="Arial"/>
          <w:color w:val="000000"/>
          <w:sz w:val="20"/>
        </w:rPr>
      </w:pPr>
    </w:p>
    <w:p w14:paraId="3B8D0195" w14:textId="77777777" w:rsidR="00B45D30" w:rsidRPr="008C3BC8" w:rsidRDefault="00B45D30" w:rsidP="00A33764">
      <w:pPr>
        <w:keepNext/>
        <w:keepLines/>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proofErr w:type="spellStart"/>
      <w:r w:rsidR="002F575D" w:rsidRPr="008C3BC8">
        <w:rPr>
          <w:rFonts w:ascii="Arial" w:hAnsi="Arial" w:cs="Arial"/>
          <w:i/>
          <w:color w:val="000000"/>
          <w:sz w:val="20"/>
          <w:szCs w:val="20"/>
        </w:rPr>
        <w:t>Blatch</w:t>
      </w:r>
      <w:proofErr w:type="spellEnd"/>
      <w:r w:rsidR="002F575D" w:rsidRPr="008C3BC8">
        <w:rPr>
          <w:rFonts w:ascii="Arial" w:hAnsi="Arial" w:cs="Arial"/>
          <w:i/>
          <w:color w:val="000000"/>
          <w:sz w:val="20"/>
          <w:szCs w:val="20"/>
        </w:rPr>
        <w:t xml:space="preserve"> v Archer</w:t>
      </w:r>
      <w:r w:rsidR="002F575D" w:rsidRPr="008C3BC8">
        <w:rPr>
          <w:rFonts w:ascii="Arial" w:hAnsi="Arial" w:cs="Arial"/>
          <w:color w:val="000000"/>
          <w:sz w:val="20"/>
          <w:szCs w:val="20"/>
        </w:rPr>
        <w:t xml:space="preserve"> (1774) 98 ER 969, 970 (Lord Mansfield); followed and applied in </w:t>
      </w:r>
      <w:proofErr w:type="spellStart"/>
      <w:r w:rsidR="002F575D" w:rsidRPr="008C3BC8">
        <w:rPr>
          <w:rFonts w:ascii="Arial" w:hAnsi="Arial" w:cs="Arial"/>
          <w:i/>
          <w:color w:val="000000"/>
          <w:sz w:val="20"/>
          <w:szCs w:val="20"/>
        </w:rPr>
        <w:t>Weissensteiner</w:t>
      </w:r>
      <w:proofErr w:type="spellEnd"/>
      <w:r w:rsidR="002F575D" w:rsidRPr="008C3BC8">
        <w:rPr>
          <w:rFonts w:ascii="Arial" w:hAnsi="Arial" w:cs="Arial"/>
          <w:i/>
          <w:color w:val="000000"/>
          <w:sz w:val="20"/>
          <w:szCs w:val="20"/>
        </w:rPr>
        <w:t xml:space="preserve">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35EE7E54"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 xml:space="preserve">Brandi v </w:t>
      </w:r>
      <w:proofErr w:type="spellStart"/>
      <w:r w:rsidRPr="008C3BC8">
        <w:rPr>
          <w:rFonts w:ascii="Arial" w:hAnsi="Arial" w:cs="Arial"/>
          <w:i/>
          <w:color w:val="000000"/>
          <w:sz w:val="20"/>
          <w:szCs w:val="20"/>
        </w:rPr>
        <w:t>Mingot</w:t>
      </w:r>
      <w:proofErr w:type="spellEnd"/>
      <w:r w:rsidRPr="008C3BC8">
        <w:rPr>
          <w:rFonts w:ascii="Arial" w:hAnsi="Arial" w:cs="Arial"/>
          <w:color w:val="000000"/>
          <w:sz w:val="20"/>
          <w:szCs w:val="20"/>
        </w:rPr>
        <w:t xml:space="preserve"> (1976) 12 ALR 551, 559 (Gibbs ACJ, Stephen, Mason and </w:t>
      </w:r>
      <w:proofErr w:type="spellStart"/>
      <w:r w:rsidRPr="008C3BC8">
        <w:rPr>
          <w:rFonts w:ascii="Arial" w:hAnsi="Arial" w:cs="Arial"/>
          <w:color w:val="000000"/>
          <w:sz w:val="20"/>
          <w:szCs w:val="20"/>
        </w:rPr>
        <w:t>Aicken</w:t>
      </w:r>
      <w:proofErr w:type="spellEnd"/>
      <w:r w:rsidRPr="008C3BC8">
        <w:rPr>
          <w:rFonts w:ascii="Arial" w:hAnsi="Arial" w:cs="Arial"/>
          <w:color w:val="000000"/>
          <w:sz w:val="20"/>
          <w:szCs w:val="20"/>
        </w:rPr>
        <w:t xml:space="preserve"> JJ.</w:t>
      </w:r>
      <w:r w:rsidR="00CE083F">
        <w:rPr>
          <w:rFonts w:ascii="Arial" w:hAnsi="Arial" w:cs="Arial"/>
          <w:color w:val="000000"/>
          <w:sz w:val="20"/>
          <w:szCs w:val="20"/>
        </w:rPr>
        <w:t>”</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[W]here a party without explanation fails to call as a witness a person whom he might reasonably be expected to call, if that person’s evidence would be favourable to him, then, although the jury may not treat as evidence what they may as a matter of speculation think 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B6441">
      <w:pPr>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proofErr w:type="spellStart"/>
      <w:r w:rsidRPr="008C3BC8">
        <w:rPr>
          <w:rFonts w:ascii="Arial" w:hAnsi="Arial" w:cs="Arial"/>
          <w:i/>
          <w:color w:val="000000"/>
          <w:sz w:val="20"/>
          <w:szCs w:val="20"/>
        </w:rPr>
        <w:t>Weissensteiner</w:t>
      </w:r>
      <w:proofErr w:type="spellEnd"/>
      <w:r w:rsidRPr="008C3BC8">
        <w:rPr>
          <w:rFonts w:ascii="Arial" w:hAnsi="Arial" w:cs="Arial"/>
          <w:i/>
          <w:color w:val="000000"/>
          <w:sz w:val="20"/>
          <w:szCs w:val="20"/>
        </w:rPr>
        <w:t xml:space="preserve">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8C3BC8" w:rsidRDefault="00BB66CE" w:rsidP="00306886">
      <w:pPr>
        <w:pStyle w:val="Quote1"/>
        <w:widowControl/>
        <w:spacing w:after="0" w:line="240" w:lineRule="auto"/>
        <w:ind w:left="1134" w:right="1134" w:firstLine="0"/>
        <w:rPr>
          <w:rFonts w:ascii="Arial" w:hAnsi="Arial" w:cs="Arial"/>
          <w:color w:val="000000"/>
          <w:sz w:val="20"/>
        </w:rPr>
      </w:pPr>
      <w:r w:rsidRPr="008C3BC8">
        <w:rPr>
          <w:rFonts w:ascii="Arial" w:hAnsi="Arial" w:cs="Arial"/>
          <w:color w:val="000000"/>
          <w:sz w:val="20"/>
        </w:rPr>
        <w:t>“</w:t>
      </w:r>
      <w:r w:rsidR="002F575D" w:rsidRPr="008C3BC8">
        <w:rPr>
          <w:rFonts w:ascii="Arial" w:hAnsi="Arial" w:cs="Arial"/>
          <w:color w:val="000000"/>
          <w:sz w:val="20"/>
        </w:rPr>
        <w:t>Doubts about the reliability of witnesses or about the inferences to be drawn from the evidence may be more readily discounted in the absence of contradictory evidence from a party who might have been expected to give or call it.</w:t>
      </w:r>
      <w:r w:rsidRPr="008C3BC8">
        <w:rPr>
          <w:rFonts w:ascii="Arial" w:hAnsi="Arial" w:cs="Arial"/>
          <w:color w:val="000000"/>
          <w:sz w:val="20"/>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lastRenderedPageBreak/>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166A93">
      <w:pPr>
        <w:pStyle w:val="Quote1"/>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 xml:space="preserve">Tenth </w:t>
      </w:r>
      <w:proofErr w:type="spellStart"/>
      <w:r w:rsidRPr="004F1D2B">
        <w:rPr>
          <w:rFonts w:ascii="Arial" w:hAnsi="Arial" w:cs="Arial"/>
          <w:i/>
          <w:color w:val="000000"/>
          <w:sz w:val="20"/>
        </w:rPr>
        <w:t>Vandy</w:t>
      </w:r>
      <w:proofErr w:type="spellEnd"/>
      <w:r w:rsidRPr="004F1D2B">
        <w:rPr>
          <w:rFonts w:ascii="Arial" w:hAnsi="Arial" w:cs="Arial"/>
          <w:i/>
          <w:color w:val="000000"/>
          <w:sz w:val="20"/>
        </w:rPr>
        <w:t xml:space="preserve"> Pty Ltd &amp; Anor v </w:t>
      </w:r>
      <w:proofErr w:type="spellStart"/>
      <w:r w:rsidRPr="004F1D2B">
        <w:rPr>
          <w:rFonts w:ascii="Arial" w:hAnsi="Arial" w:cs="Arial"/>
          <w:i/>
          <w:color w:val="000000"/>
          <w:sz w:val="20"/>
        </w:rPr>
        <w:t>Natwest</w:t>
      </w:r>
      <w:proofErr w:type="spellEnd"/>
      <w:r w:rsidRPr="004F1D2B">
        <w:rPr>
          <w:rFonts w:ascii="Arial" w:hAnsi="Arial" w:cs="Arial"/>
          <w:i/>
          <w:color w:val="000000"/>
          <w:sz w:val="20"/>
        </w:rPr>
        <w:t xml:space="preserve">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66A0B47A" w14:textId="77777777" w:rsidR="001357C7" w:rsidRPr="004F1D2B" w:rsidRDefault="001357C7" w:rsidP="001357C7">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xml:space="preserve">,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throughout: (2002) 210 CLR 285 at [9]-[10] per </w:t>
      </w:r>
      <w:proofErr w:type="spellStart"/>
      <w:r w:rsidRPr="004F1D2B">
        <w:rPr>
          <w:rFonts w:ascii="Arial" w:hAnsi="Arial" w:cs="Arial"/>
          <w:color w:val="000000"/>
          <w:sz w:val="20"/>
        </w:rPr>
        <w:t>Gaudron</w:t>
      </w:r>
      <w:proofErr w:type="spellEnd"/>
      <w:r w:rsidRPr="004F1D2B">
        <w:rPr>
          <w:rFonts w:ascii="Arial" w:hAnsi="Arial" w:cs="Arial"/>
          <w:color w:val="000000"/>
          <w:sz w:val="20"/>
        </w:rPr>
        <w:t xml:space="preserve"> and Hayne JJ, [52]-[53] per Kirby J, [121] per </w:t>
      </w:r>
      <w:proofErr w:type="spellStart"/>
      <w:r w:rsidRPr="004F1D2B">
        <w:rPr>
          <w:rFonts w:ascii="Arial" w:hAnsi="Arial" w:cs="Arial"/>
          <w:color w:val="000000"/>
          <w:sz w:val="20"/>
        </w:rPr>
        <w:t>Callinan</w:t>
      </w:r>
      <w:proofErr w:type="spellEnd"/>
      <w:r w:rsidRPr="004F1D2B">
        <w:rPr>
          <w:rFonts w:ascii="Arial" w:hAnsi="Arial" w:cs="Arial"/>
          <w:color w:val="000000"/>
          <w:sz w:val="20"/>
        </w:rPr>
        <w:t xml:space="preserve"> J.”</w:t>
      </w:r>
    </w:p>
    <w:p w14:paraId="3E3889C2" w14:textId="51A38155" w:rsidR="001357C7" w:rsidRDefault="001357C7" w:rsidP="00DE0CC3">
      <w:pPr>
        <w:jc w:val="both"/>
        <w:rPr>
          <w:rFonts w:ascii="Arial" w:hAnsi="Arial" w:cs="Arial"/>
          <w:color w:val="000000"/>
          <w:sz w:val="20"/>
        </w:rPr>
      </w:pPr>
    </w:p>
    <w:p w14:paraId="79739108" w14:textId="25C0BC81" w:rsidR="006B6441" w:rsidRDefault="006B6441" w:rsidP="00DE0CC3">
      <w:pPr>
        <w:jc w:val="both"/>
        <w:rPr>
          <w:rFonts w:ascii="Arial" w:hAnsi="Arial" w:cs="Arial"/>
          <w:color w:val="000000"/>
          <w:sz w:val="20"/>
        </w:rPr>
      </w:pPr>
      <w:r>
        <w:rPr>
          <w:rFonts w:ascii="Arial" w:hAnsi="Arial" w:cs="Arial"/>
          <w:color w:val="000000"/>
          <w:sz w:val="20"/>
        </w:rPr>
        <w:t xml:space="preserve">See also </w:t>
      </w:r>
      <w:proofErr w:type="spellStart"/>
      <w:r w:rsidRPr="006B6441">
        <w:rPr>
          <w:rFonts w:ascii="Arial" w:hAnsi="Arial" w:cs="Arial"/>
          <w:i/>
          <w:iCs/>
          <w:color w:val="000000"/>
          <w:sz w:val="20"/>
        </w:rPr>
        <w:t>Cayford</w:t>
      </w:r>
      <w:proofErr w:type="spellEnd"/>
      <w:r w:rsidRPr="006B6441">
        <w:rPr>
          <w:rFonts w:ascii="Arial" w:hAnsi="Arial" w:cs="Arial"/>
          <w:i/>
          <w:iCs/>
          <w:color w:val="000000"/>
          <w:sz w:val="20"/>
        </w:rPr>
        <w:t xml:space="preserve"> v Let Danny Do It Pty Ltd</w:t>
      </w:r>
      <w:r>
        <w:rPr>
          <w:rFonts w:ascii="Arial" w:hAnsi="Arial" w:cs="Arial"/>
          <w:color w:val="000000"/>
          <w:sz w:val="20"/>
        </w:rPr>
        <w:t xml:space="preserve"> [2021] VSC 707</w:t>
      </w:r>
      <w:r w:rsidR="00EF2FCA">
        <w:rPr>
          <w:rFonts w:ascii="Arial" w:hAnsi="Arial" w:cs="Arial"/>
          <w:color w:val="000000"/>
          <w:sz w:val="20"/>
        </w:rPr>
        <w:t xml:space="preserve">; </w:t>
      </w:r>
      <w:r w:rsidR="00EF2FCA" w:rsidRPr="00EF2FCA">
        <w:rPr>
          <w:rFonts w:ascii="Arial" w:hAnsi="Arial" w:cs="Arial"/>
          <w:i/>
          <w:iCs/>
          <w:color w:val="000000"/>
          <w:sz w:val="20"/>
        </w:rPr>
        <w:t>Archer v Garcia</w:t>
      </w:r>
      <w:r w:rsidR="00EF2FCA">
        <w:rPr>
          <w:rFonts w:ascii="Arial" w:hAnsi="Arial" w:cs="Arial"/>
          <w:color w:val="000000"/>
          <w:sz w:val="20"/>
        </w:rPr>
        <w:t xml:space="preserve"> [2022] VSC 57 at [</w:t>
      </w:r>
      <w:proofErr w:type="gramStart"/>
      <w:r w:rsidR="00EF2FCA">
        <w:rPr>
          <w:rFonts w:ascii="Arial" w:hAnsi="Arial" w:cs="Arial"/>
          <w:color w:val="000000"/>
          <w:sz w:val="20"/>
        </w:rPr>
        <w:t>73]</w:t>
      </w:r>
      <w:r w:rsidR="00EF2FCA">
        <w:rPr>
          <w:rFonts w:ascii="Arial" w:hAnsi="Arial" w:cs="Arial"/>
          <w:color w:val="000000"/>
          <w:sz w:val="20"/>
        </w:rPr>
        <w:noBreakHyphen/>
      </w:r>
      <w:proofErr w:type="gramEnd"/>
      <w:r w:rsidR="00F62AFF">
        <w:rPr>
          <w:rFonts w:ascii="Arial" w:hAnsi="Arial" w:cs="Arial"/>
          <w:color w:val="000000"/>
          <w:sz w:val="20"/>
        </w:rPr>
        <w:t>[</w:t>
      </w:r>
      <w:r w:rsidR="00EF2FCA">
        <w:rPr>
          <w:rFonts w:ascii="Arial" w:hAnsi="Arial" w:cs="Arial"/>
          <w:color w:val="000000"/>
          <w:sz w:val="20"/>
        </w:rPr>
        <w:t>86]</w:t>
      </w:r>
      <w:r w:rsidR="00551DD9">
        <w:rPr>
          <w:rFonts w:ascii="Arial" w:hAnsi="Arial" w:cs="Arial"/>
          <w:color w:val="000000"/>
          <w:sz w:val="20"/>
        </w:rPr>
        <w:t xml:space="preserve">; </w:t>
      </w:r>
      <w:r w:rsidR="00551DD9" w:rsidRPr="001C577A">
        <w:rPr>
          <w:rFonts w:ascii="Arial" w:hAnsi="Arial" w:cs="Arial"/>
          <w:i/>
          <w:iCs/>
          <w:sz w:val="20"/>
          <w:szCs w:val="20"/>
        </w:rPr>
        <w:t xml:space="preserve">Re </w:t>
      </w:r>
      <w:proofErr w:type="spellStart"/>
      <w:r w:rsidR="00551DD9" w:rsidRPr="001C577A">
        <w:rPr>
          <w:rFonts w:ascii="Arial" w:hAnsi="Arial" w:cs="Arial"/>
          <w:i/>
          <w:iCs/>
          <w:sz w:val="20"/>
          <w:szCs w:val="20"/>
        </w:rPr>
        <w:t>Cassar</w:t>
      </w:r>
      <w:proofErr w:type="spellEnd"/>
      <w:r w:rsidR="00551DD9">
        <w:rPr>
          <w:rFonts w:ascii="Arial" w:hAnsi="Arial" w:cs="Arial"/>
          <w:sz w:val="20"/>
          <w:szCs w:val="20"/>
        </w:rPr>
        <w:t xml:space="preserve"> [2022] VSC 126 at [282]-[290]</w:t>
      </w:r>
      <w:r w:rsidR="00FC55B7">
        <w:rPr>
          <w:rFonts w:ascii="Arial" w:hAnsi="Arial" w:cs="Arial"/>
          <w:sz w:val="20"/>
          <w:szCs w:val="20"/>
        </w:rPr>
        <w:t xml:space="preserve">; </w:t>
      </w:r>
      <w:r w:rsidR="00FC55B7" w:rsidRPr="00FC55B7">
        <w:rPr>
          <w:rFonts w:ascii="Arial" w:hAnsi="Arial" w:cs="Arial"/>
          <w:i/>
          <w:iCs/>
          <w:sz w:val="20"/>
          <w:szCs w:val="20"/>
        </w:rPr>
        <w:t>Reynolds v Patel</w:t>
      </w:r>
      <w:r w:rsidR="00FC55B7">
        <w:rPr>
          <w:rFonts w:ascii="Arial" w:hAnsi="Arial" w:cs="Arial"/>
          <w:sz w:val="20"/>
          <w:szCs w:val="20"/>
        </w:rPr>
        <w:t xml:space="preserve"> [2022] VSC 211 at [31]-[52]</w:t>
      </w:r>
      <w:r w:rsidR="004045F7">
        <w:rPr>
          <w:rFonts w:ascii="Arial" w:hAnsi="Arial" w:cs="Arial"/>
          <w:sz w:val="20"/>
          <w:szCs w:val="20"/>
        </w:rPr>
        <w:t xml:space="preserve">; </w:t>
      </w:r>
      <w:bookmarkStart w:id="766" w:name="_Hlk106622075"/>
      <w:r w:rsidR="004045F7" w:rsidRPr="004045F7">
        <w:rPr>
          <w:rFonts w:ascii="Arial" w:hAnsi="Arial" w:cs="Arial"/>
          <w:i/>
          <w:iCs/>
          <w:sz w:val="20"/>
          <w:szCs w:val="20"/>
        </w:rPr>
        <w:t xml:space="preserve">National Express Group Australia (Bayside Trains) </w:t>
      </w:r>
      <w:r w:rsidR="004045F7">
        <w:rPr>
          <w:rFonts w:ascii="Arial" w:hAnsi="Arial" w:cs="Arial"/>
          <w:i/>
          <w:iCs/>
          <w:sz w:val="20"/>
          <w:szCs w:val="20"/>
        </w:rPr>
        <w:t xml:space="preserve">Pty Ltd </w:t>
      </w:r>
      <w:r w:rsidR="004045F7" w:rsidRPr="004045F7">
        <w:rPr>
          <w:rFonts w:ascii="Arial" w:hAnsi="Arial" w:cs="Arial"/>
          <w:i/>
          <w:iCs/>
          <w:sz w:val="20"/>
          <w:szCs w:val="20"/>
        </w:rPr>
        <w:t xml:space="preserve">v McDonald </w:t>
      </w:r>
      <w:r w:rsidR="004045F7">
        <w:rPr>
          <w:rFonts w:ascii="Arial" w:hAnsi="Arial" w:cs="Arial"/>
          <w:sz w:val="20"/>
          <w:szCs w:val="20"/>
        </w:rPr>
        <w:t>[2022] VSCA 109 at [39]-[41]</w:t>
      </w:r>
      <w:r w:rsidR="00EF2FCA">
        <w:rPr>
          <w:rFonts w:ascii="Arial" w:hAnsi="Arial" w:cs="Arial"/>
          <w:color w:val="000000"/>
          <w:sz w:val="20"/>
        </w:rPr>
        <w:t>.</w:t>
      </w:r>
      <w:bookmarkEnd w:id="766"/>
    </w:p>
    <w:p w14:paraId="66A6CE93" w14:textId="77777777" w:rsidR="006B6441" w:rsidRPr="004F1D2B" w:rsidRDefault="006B6441"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767" w:name="_3.5.15_Unfavourable_witnesses"/>
      <w:bookmarkStart w:id="768" w:name="B3515"/>
      <w:bookmarkEnd w:id="767"/>
      <w:bookmarkEnd w:id="768"/>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2F6DE02D"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A82F40">
        <w:rPr>
          <w:rFonts w:ascii="Arial" w:hAnsi="Arial" w:cs="Arial"/>
          <w:i/>
          <w:iCs/>
          <w:color w:val="000000"/>
          <w:sz w:val="20"/>
        </w:rPr>
        <w:t>Evidence Act 2008</w:t>
      </w:r>
      <w:r w:rsidR="00A82F40">
        <w:rPr>
          <w:rFonts w:ascii="Arial" w:hAnsi="Arial" w:cs="Arial"/>
          <w:color w:val="000000"/>
          <w:sz w:val="20"/>
        </w:rPr>
        <w:t xml:space="preserve"> </w:t>
      </w:r>
      <w:r w:rsidRPr="008C3BC8">
        <w:rPr>
          <w:rFonts w:ascii="Arial" w:hAnsi="Arial" w:cs="Arial"/>
          <w:color w:val="000000"/>
          <w:sz w:val="20"/>
        </w:rPr>
        <w:t>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 xml:space="preserve">R v </w:t>
      </w:r>
      <w:proofErr w:type="spellStart"/>
      <w:r w:rsidRPr="008C3BC8">
        <w:rPr>
          <w:rFonts w:ascii="Arial" w:hAnsi="Arial" w:cs="Arial"/>
          <w:i/>
          <w:color w:val="000000"/>
          <w:sz w:val="20"/>
        </w:rPr>
        <w:t>Souleyman</w:t>
      </w:r>
      <w:proofErr w:type="spellEnd"/>
      <w:r w:rsidRPr="008C3BC8">
        <w:rPr>
          <w:rFonts w:ascii="Arial" w:hAnsi="Arial" w:cs="Arial"/>
          <w:color w:val="000000"/>
          <w:sz w:val="20"/>
        </w:rPr>
        <w:t xml:space="preserve"> (1996) 40 NSWLR 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77777777" w:rsidR="00AD17E2" w:rsidRPr="00164487" w:rsidRDefault="00AD17E2" w:rsidP="00C1540D">
      <w:pPr>
        <w:jc w:val="both"/>
        <w:rPr>
          <w:rFonts w:ascii="Arial" w:hAnsi="Arial" w:cs="Arial"/>
          <w:color w:val="000000"/>
          <w:sz w:val="20"/>
        </w:rPr>
      </w:pPr>
    </w:p>
    <w:p w14:paraId="05DB9D93" w14:textId="77777777" w:rsidR="00B21DA4" w:rsidRDefault="00B21DA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The above is a simplified summary of the Court process.  For more details about Court hearings, see </w:t>
      </w:r>
      <w:smartTag w:uri="urn:schemas-microsoft-com:office:smarttags" w:element="address">
        <w:smartTag w:uri="urn:schemas-microsoft-com:office:smarttags" w:element="Street">
          <w:r>
            <w:rPr>
              <w:rFonts w:ascii="Arial" w:hAnsi="Arial" w:cs="Arial"/>
              <w:b/>
              <w:bCs/>
              <w:sz w:val="20"/>
            </w:rPr>
            <w:t>4.9 Family Division Court</w:t>
          </w:r>
        </w:smartTag>
      </w:smartTag>
      <w:r>
        <w:rPr>
          <w:rFonts w:ascii="Arial" w:hAnsi="Arial" w:cs="Arial"/>
          <w:b/>
          <w:bCs/>
          <w:sz w:val="20"/>
        </w:rPr>
        <w:t xml:space="preserve"> hearings</w:t>
      </w:r>
      <w:r>
        <w:rPr>
          <w:rFonts w:ascii="Arial" w:hAnsi="Arial" w:cs="Arial"/>
          <w:sz w:val="20"/>
        </w:rPr>
        <w:t xml:space="preserve"> or </w:t>
      </w:r>
      <w:r>
        <w:rPr>
          <w:rFonts w:ascii="Arial" w:hAnsi="Arial" w:cs="Arial"/>
          <w:b/>
          <w:bCs/>
          <w:sz w:val="20"/>
        </w:rPr>
        <w:t>10.3 Criminal Division summary proceedings</w:t>
      </w:r>
      <w:r>
        <w:rPr>
          <w:rFonts w:ascii="Arial" w:hAnsi="Arial" w:cs="Arial"/>
          <w:sz w:val="20"/>
        </w:rPr>
        <w:t>.</w:t>
      </w:r>
    </w:p>
    <w:p w14:paraId="64F58E4D" w14:textId="77777777" w:rsidR="002C0A9F" w:rsidRDefault="002C0A9F" w:rsidP="002C0A9F">
      <w:pPr>
        <w:jc w:val="both"/>
        <w:rPr>
          <w:rFonts w:ascii="Arial" w:hAnsi="Arial" w:cs="Arial"/>
          <w:sz w:val="20"/>
        </w:rPr>
      </w:pPr>
      <w:bookmarkStart w:id="769" w:name="_3.6_Statutory_interpretation"/>
      <w:bookmarkStart w:id="770" w:name="B36"/>
      <w:bookmarkStart w:id="771" w:name="_Toc30608808"/>
      <w:bookmarkStart w:id="772" w:name="_Toc30610022"/>
      <w:bookmarkStart w:id="773" w:name="_Toc30610266"/>
      <w:bookmarkStart w:id="774" w:name="_Toc30638420"/>
      <w:bookmarkStart w:id="775" w:name="_Toc30644229"/>
      <w:bookmarkStart w:id="776" w:name="_Toc30644632"/>
      <w:bookmarkStart w:id="777" w:name="_Toc30645182"/>
      <w:bookmarkStart w:id="778" w:name="_Toc30646393"/>
      <w:bookmarkStart w:id="779" w:name="_Toc30646688"/>
      <w:bookmarkStart w:id="780" w:name="_Toc30646799"/>
      <w:bookmarkStart w:id="781" w:name="_Toc30648156"/>
      <w:bookmarkStart w:id="782" w:name="_Toc30649054"/>
      <w:bookmarkStart w:id="783" w:name="_Toc30649130"/>
      <w:bookmarkStart w:id="784" w:name="_Toc30649391"/>
      <w:bookmarkStart w:id="785" w:name="_Toc30649716"/>
      <w:bookmarkStart w:id="786" w:name="_Toc30651656"/>
      <w:bookmarkStart w:id="787" w:name="_Toc30652640"/>
      <w:bookmarkStart w:id="788" w:name="_Toc30652738"/>
      <w:bookmarkStart w:id="789" w:name="_Toc30654083"/>
      <w:bookmarkStart w:id="790" w:name="_Toc30654434"/>
      <w:bookmarkStart w:id="791" w:name="_Toc30655053"/>
      <w:bookmarkStart w:id="792" w:name="_Toc30655310"/>
      <w:bookmarkStart w:id="793" w:name="_Toc30656988"/>
      <w:bookmarkStart w:id="794" w:name="_Toc30661737"/>
      <w:bookmarkStart w:id="795" w:name="_Toc30666425"/>
      <w:bookmarkStart w:id="796" w:name="_Toc30666655"/>
      <w:bookmarkStart w:id="797" w:name="_Toc30667830"/>
      <w:bookmarkStart w:id="798" w:name="_Toc30669208"/>
      <w:bookmarkStart w:id="799" w:name="_Toc30671424"/>
      <w:bookmarkStart w:id="800" w:name="_Toc30673951"/>
      <w:bookmarkStart w:id="801" w:name="_Toc30691173"/>
      <w:bookmarkStart w:id="802" w:name="_Toc30691544"/>
      <w:bookmarkStart w:id="803" w:name="_Toc30691924"/>
      <w:bookmarkStart w:id="804" w:name="_Toc30692683"/>
      <w:bookmarkStart w:id="805" w:name="_Toc30693062"/>
      <w:bookmarkStart w:id="806" w:name="_Toc30693440"/>
      <w:bookmarkStart w:id="807" w:name="_Toc30693819"/>
      <w:bookmarkStart w:id="808" w:name="_Toc30694200"/>
      <w:bookmarkStart w:id="809" w:name="_Toc30698789"/>
      <w:bookmarkStart w:id="810" w:name="_Toc30699167"/>
      <w:bookmarkStart w:id="811" w:name="_Toc30699552"/>
      <w:bookmarkStart w:id="812" w:name="_Toc30700707"/>
      <w:bookmarkStart w:id="813" w:name="_Toc30701094"/>
      <w:bookmarkStart w:id="814" w:name="_Toc30743703"/>
      <w:bookmarkStart w:id="815" w:name="_Toc30754525"/>
      <w:bookmarkStart w:id="816" w:name="_Toc30756965"/>
      <w:bookmarkStart w:id="817" w:name="_Toc30757514"/>
      <w:bookmarkStart w:id="818" w:name="_Toc30757914"/>
      <w:bookmarkStart w:id="819" w:name="_Toc30762675"/>
      <w:bookmarkStart w:id="820" w:name="_Toc30767329"/>
      <w:bookmarkStart w:id="821" w:name="_Toc34823345"/>
      <w:bookmarkStart w:id="822" w:name="_Toc58831507"/>
      <w:bookmarkEnd w:id="769"/>
      <w:bookmarkEnd w:id="770"/>
    </w:p>
    <w:p w14:paraId="3B60FB16" w14:textId="77777777" w:rsidR="002C0A9F" w:rsidRPr="00BD3BA0" w:rsidRDefault="002C0A9F" w:rsidP="002C0A9F">
      <w:pPr>
        <w:jc w:val="center"/>
        <w:rPr>
          <w:rFonts w:ascii="Arial" w:hAnsi="Arial" w:cs="Arial"/>
          <w:b/>
          <w:bCs/>
          <w:sz w:val="22"/>
          <w:szCs w:val="28"/>
        </w:rPr>
      </w:pPr>
      <w:r w:rsidRPr="00BD3BA0">
        <w:rPr>
          <w:rFonts w:ascii="Arial" w:hAnsi="Arial" w:cs="Arial"/>
          <w:b/>
          <w:bCs/>
          <w:sz w:val="22"/>
          <w:szCs w:val="28"/>
        </w:rPr>
        <w:t>THE REST OF THIS PAGE IS BLANK</w:t>
      </w:r>
    </w:p>
    <w:p w14:paraId="4BD9288D" w14:textId="77777777" w:rsidR="002C0A9F" w:rsidRDefault="002C0A9F">
      <w:pPr>
        <w:rPr>
          <w:rFonts w:ascii="Arial" w:hAnsi="Arial" w:cs="Arial"/>
          <w:color w:val="000000"/>
          <w:sz w:val="20"/>
        </w:rPr>
      </w:pPr>
    </w:p>
    <w:p w14:paraId="0DA46FF0" w14:textId="56DF33F5" w:rsidR="002C0A9F" w:rsidRDefault="002C0A9F">
      <w:pPr>
        <w:rPr>
          <w:rFonts w:ascii="Arial" w:hAnsi="Arial" w:cs="Arial"/>
          <w:color w:val="000000"/>
          <w:sz w:val="20"/>
        </w:rPr>
      </w:pPr>
      <w:r>
        <w:rPr>
          <w:rFonts w:ascii="Arial" w:hAnsi="Arial" w:cs="Arial"/>
          <w:color w:val="000000"/>
          <w:sz w:val="20"/>
        </w:rPr>
        <w:br w:type="page"/>
      </w:r>
    </w:p>
    <w:p w14:paraId="0BE8A27C" w14:textId="77777777" w:rsidR="00AB3569" w:rsidRDefault="00AB3569" w:rsidP="00190B72">
      <w:pPr>
        <w:pStyle w:val="Heading2"/>
        <w:keepNext/>
        <w:keepLines/>
        <w:tabs>
          <w:tab w:val="left" w:pos="567"/>
        </w:tabs>
        <w:spacing w:line="240" w:lineRule="auto"/>
        <w:rPr>
          <w:rFonts w:ascii="Arial" w:hAnsi="Arial" w:cs="Arial"/>
          <w:b/>
          <w:bCs/>
        </w:rPr>
      </w:pPr>
      <w:bookmarkStart w:id="823" w:name="_3.6_Statutory_interpretation_1"/>
      <w:bookmarkEnd w:id="823"/>
      <w:r>
        <w:rPr>
          <w:rFonts w:ascii="Arial" w:hAnsi="Arial" w:cs="Arial"/>
          <w:b/>
          <w:bCs/>
        </w:rPr>
        <w:lastRenderedPageBreak/>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DFC6EA1"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Children, Youth and Families Act 200</w:t>
      </w:r>
      <w:r w:rsidR="002F664D" w:rsidRPr="00A82F40">
        <w:rPr>
          <w:rFonts w:ascii="Arial" w:hAnsi="Arial" w:cs="Arial"/>
          <w:i/>
          <w:iCs/>
          <w:sz w:val="20"/>
        </w:rPr>
        <w:t>5</w:t>
      </w:r>
    </w:p>
    <w:p w14:paraId="2466B33E" w14:textId="22118D7F"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Violence Protection Act 2008</w:t>
      </w:r>
    </w:p>
    <w:p w14:paraId="12F71749" w14:textId="5FEB4FA2" w:rsidR="00177B34" w:rsidRPr="00A82F40" w:rsidRDefault="002F664D"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Personal Safety</w:t>
      </w:r>
      <w:r w:rsidR="00177B34" w:rsidRPr="00A82F40">
        <w:rPr>
          <w:rFonts w:ascii="Arial" w:hAnsi="Arial" w:cs="Arial"/>
          <w:i/>
          <w:iCs/>
          <w:sz w:val="20"/>
        </w:rPr>
        <w:t xml:space="preserve"> Intervention Orders Act 20</w:t>
      </w:r>
      <w:r w:rsidRPr="00A82F40">
        <w:rPr>
          <w:rFonts w:ascii="Arial" w:hAnsi="Arial" w:cs="Arial"/>
          <w:i/>
          <w:iCs/>
          <w:sz w:val="20"/>
        </w:rPr>
        <w:t>10</w:t>
      </w:r>
    </w:p>
    <w:p w14:paraId="2C45031E" w14:textId="005B4762"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Magistrates’ Court Act 1989</w:t>
      </w:r>
    </w:p>
    <w:p w14:paraId="6E956731" w14:textId="3F79F99A"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Crimes Act 1958 </w:t>
      </w:r>
    </w:p>
    <w:p w14:paraId="74A4C612" w14:textId="51D9BFE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Evidence Act </w:t>
      </w:r>
      <w:r w:rsidR="009A6B9B" w:rsidRPr="00A82F40">
        <w:rPr>
          <w:rFonts w:ascii="Arial" w:hAnsi="Arial" w:cs="Arial"/>
          <w:i/>
          <w:iCs/>
          <w:sz w:val="20"/>
        </w:rPr>
        <w:t>200</w:t>
      </w:r>
      <w:r w:rsidRPr="00A82F40">
        <w:rPr>
          <w:rFonts w:ascii="Arial" w:hAnsi="Arial" w:cs="Arial"/>
          <w:i/>
          <w:iCs/>
          <w:sz w:val="20"/>
        </w:rPr>
        <w:t>8</w:t>
      </w:r>
    </w:p>
    <w:p w14:paraId="704FA9BB" w14:textId="228D27ED" w:rsidR="009A6B9B" w:rsidRPr="00A82F40" w:rsidRDefault="009A6B9B"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Criminal Procedure Act 2009</w:t>
      </w:r>
    </w:p>
    <w:p w14:paraId="3B2F5B40" w14:textId="4D95A821"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Drugs, Poisons and Controlled Substances Act 1981</w:t>
      </w:r>
    </w:p>
    <w:p w14:paraId="22CC8AE1" w14:textId="43F44370"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Road Safety Act 1986</w:t>
      </w:r>
    </w:p>
    <w:p w14:paraId="1BF8B168" w14:textId="5036A95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Summary Offences Act 198</w:t>
      </w:r>
      <w:r w:rsidR="00D32C14" w:rsidRPr="00A82F40">
        <w:rPr>
          <w:rFonts w:ascii="Arial" w:hAnsi="Arial" w:cs="Arial"/>
          <w:i/>
          <w:iCs/>
          <w:sz w:val="20"/>
        </w:rPr>
        <w:t>6</w:t>
      </w:r>
    </w:p>
    <w:p w14:paraId="2EBAAA30" w14:textId="46FFA7A2" w:rsidR="007809A5" w:rsidRPr="00A82F40" w:rsidRDefault="007809A5"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Crimes Act 1914</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p>
    <w:p w14:paraId="4A1FD13F" w14:textId="269538A7"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Law Act 1975</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r w:rsidRPr="00A82F40">
        <w:rPr>
          <w:rFonts w:ascii="Arial" w:hAnsi="Arial" w:cs="Arial"/>
          <w:i/>
          <w:iCs/>
          <w:sz w:val="20"/>
        </w:rPr>
        <w:t>.</w:t>
      </w:r>
    </w:p>
    <w:p w14:paraId="41AB479C" w14:textId="5E7E8731"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w:t>
      </w:r>
      <w:proofErr w:type="spellStart"/>
      <w:r w:rsidR="00177B34">
        <w:rPr>
          <w:rFonts w:ascii="Arial" w:hAnsi="Arial" w:cs="Arial"/>
          <w:sz w:val="20"/>
        </w:rPr>
        <w:t>Dodds</w:t>
      </w:r>
      <w:proofErr w:type="spellEnd"/>
      <w:r w:rsidR="00177B34">
        <w:rPr>
          <w:rFonts w:ascii="Arial" w:hAnsi="Arial" w:cs="Arial"/>
          <w:sz w:val="20"/>
        </w:rPr>
        <w:t xml:space="preserve">-Streeton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w:t>
      </w:r>
      <w:proofErr w:type="spellStart"/>
      <w:r w:rsidRPr="00BC229F">
        <w:rPr>
          <w:rFonts w:ascii="Arial" w:hAnsi="Arial" w:cs="Arial"/>
          <w:i/>
          <w:sz w:val="20"/>
          <w:szCs w:val="20"/>
        </w:rPr>
        <w:t>Fullwood</w:t>
      </w:r>
      <w:proofErr w:type="spellEnd"/>
      <w:r w:rsidRPr="00BC229F">
        <w:rPr>
          <w:rFonts w:ascii="Arial" w:hAnsi="Arial" w:cs="Arial"/>
          <w:i/>
          <w:sz w:val="20"/>
          <w:szCs w:val="20"/>
        </w:rPr>
        <w:t xml:space="preserve"> </w:t>
      </w:r>
      <w:r w:rsidRPr="00BC229F">
        <w:rPr>
          <w:rFonts w:ascii="Arial" w:hAnsi="Arial" w:cs="Arial"/>
          <w:sz w:val="20"/>
          <w:szCs w:val="20"/>
        </w:rPr>
        <w:t xml:space="preserve">(1978) 1 NSWLR 20, [24] approved by McHugh ACJ, </w:t>
      </w:r>
      <w:proofErr w:type="spellStart"/>
      <w:r w:rsidRPr="00BC229F">
        <w:rPr>
          <w:rFonts w:ascii="Arial" w:hAnsi="Arial" w:cs="Arial"/>
          <w:sz w:val="20"/>
          <w:szCs w:val="20"/>
        </w:rPr>
        <w:t>Gummow</w:t>
      </w:r>
      <w:proofErr w:type="spellEnd"/>
      <w:r w:rsidRPr="00BC229F">
        <w:rPr>
          <w:rFonts w:ascii="Arial" w:hAnsi="Arial" w:cs="Arial"/>
          <w:sz w:val="20"/>
          <w:szCs w:val="20"/>
        </w:rPr>
        <w:t xml:space="preserve">,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 xml:space="preserve">McHugh ACJ, </w:t>
      </w:r>
      <w:proofErr w:type="spellStart"/>
      <w:r>
        <w:rPr>
          <w:rFonts w:ascii="Arial" w:hAnsi="Arial" w:cs="Arial"/>
          <w:sz w:val="20"/>
          <w:szCs w:val="20"/>
        </w:rPr>
        <w:t>Gummow</w:t>
      </w:r>
      <w:proofErr w:type="spellEnd"/>
      <w:r>
        <w:rPr>
          <w:rFonts w:ascii="Arial" w:hAnsi="Arial" w:cs="Arial"/>
          <w:sz w:val="20"/>
          <w:szCs w:val="20"/>
        </w:rPr>
        <w:t>, Kirby &amp; Hayne JJ, in their joint judgment, stated:</w:t>
      </w:r>
    </w:p>
    <w:p w14:paraId="61FAFDC6" w14:textId="77777777" w:rsidR="00177B34" w:rsidRDefault="00177B34" w:rsidP="007809A5">
      <w:pPr>
        <w:spacing w:before="60"/>
        <w:ind w:left="1134" w:right="1134"/>
        <w:jc w:val="both"/>
        <w:rPr>
          <w:rFonts w:ascii="Arial" w:hAnsi="Arial" w:cs="Arial"/>
          <w:sz w:val="20"/>
        </w:rPr>
      </w:pPr>
      <w:r>
        <w:rPr>
          <w:rFonts w:ascii="Arial" w:hAnsi="Arial" w:cs="Arial"/>
          <w:sz w:val="20"/>
        </w:rPr>
        <w:t xml:space="preserve">‘[T]he </w:t>
      </w:r>
      <w:r w:rsidRPr="00177B34">
        <w:rPr>
          <w:rFonts w:ascii="Arial" w:hAnsi="Arial" w:cs="Arial"/>
          <w:sz w:val="20"/>
        </w:rPr>
        <w:t xml:space="preserve">primary object of statutory construction is to construe the relevant provision so that it is consistent with the language and purpose of all the provisions of the statute. (See </w:t>
      </w:r>
      <w:r w:rsidRPr="00177B34">
        <w:rPr>
          <w:rFonts w:ascii="Arial" w:hAnsi="Arial" w:cs="Arial"/>
          <w:i/>
          <w:sz w:val="20"/>
        </w:rPr>
        <w:t>Taylor v Public Service Board (NSW)</w:t>
      </w:r>
      <w:r w:rsidRPr="00177B34">
        <w:rPr>
          <w:rFonts w:ascii="Arial" w:hAnsi="Arial" w:cs="Arial"/>
          <w:sz w:val="20"/>
        </w:rPr>
        <w:t xml:space="preserve"> (1976) 137 CLR 208 at 213 per Barwick CJ)</w:t>
      </w:r>
      <w:r>
        <w:rPr>
          <w:rFonts w:ascii="Arial" w:hAnsi="Arial" w:cs="Arial"/>
          <w:sz w:val="20"/>
        </w:rPr>
        <w:t>.</w:t>
      </w:r>
      <w:r w:rsidRPr="00177B34">
        <w:rPr>
          <w:rFonts w:ascii="Arial" w:hAnsi="Arial" w:cs="Arial"/>
          <w:sz w:val="20"/>
        </w:rPr>
        <w:t xml:space="preserve">  The meaning of the provision must be determined “by reference to the language of the instrument viewed as a whole” (</w:t>
      </w:r>
      <w:r w:rsidRPr="00177B34">
        <w:rPr>
          <w:rFonts w:ascii="Arial" w:hAnsi="Arial" w:cs="Arial"/>
          <w:i/>
          <w:sz w:val="20"/>
        </w:rPr>
        <w:t>Cooper Brookes (</w:t>
      </w:r>
      <w:smartTag w:uri="urn:schemas-microsoft-com:office:smarttags" w:element="City">
        <w:smartTag w:uri="urn:schemas-microsoft-com:office:smarttags" w:element="place">
          <w:r w:rsidRPr="00177B34">
            <w:rPr>
              <w:rFonts w:ascii="Arial" w:hAnsi="Arial" w:cs="Arial"/>
              <w:i/>
              <w:sz w:val="20"/>
            </w:rPr>
            <w:t>Wollongong</w:t>
          </w:r>
        </w:smartTag>
      </w:smartTag>
      <w:r w:rsidRPr="00177B34">
        <w:rPr>
          <w:rFonts w:ascii="Arial" w:hAnsi="Arial" w:cs="Arial"/>
          <w:i/>
          <w:sz w:val="20"/>
        </w:rPr>
        <w:t>) Pty Ltd v Federal Commissioner of Taxation</w:t>
      </w:r>
      <w:r w:rsidRPr="00177B34">
        <w:rPr>
          <w:rFonts w:ascii="Arial" w:hAnsi="Arial" w:cs="Arial"/>
          <w:sz w:val="20"/>
        </w:rPr>
        <w:t xml:space="preserve"> (1981) 147 CLR 297 at 320 per Mason and Wilson JJ.  See also </w:t>
      </w:r>
      <w:r w:rsidRPr="00177B34">
        <w:rPr>
          <w:rFonts w:ascii="Arial" w:hAnsi="Arial" w:cs="Arial"/>
          <w:i/>
          <w:sz w:val="20"/>
        </w:rPr>
        <w:t>South West Water Authority v Rumble's</w:t>
      </w:r>
      <w:r w:rsidRPr="00177B34">
        <w:rPr>
          <w:rFonts w:ascii="Arial" w:hAnsi="Arial" w:cs="Arial"/>
          <w:sz w:val="20"/>
        </w:rPr>
        <w:t xml:space="preserve"> [1985] AC 609 at 617 per Lord Scarman, "in the context of the legislation read as a whole".)  In </w:t>
      </w:r>
      <w:r w:rsidRPr="00177B34">
        <w:rPr>
          <w:rFonts w:ascii="Arial" w:hAnsi="Arial" w:cs="Arial"/>
          <w:i/>
          <w:sz w:val="20"/>
        </w:rPr>
        <w:t xml:space="preserve">Commissioner for Railways (NSW) v </w:t>
      </w:r>
      <w:proofErr w:type="spellStart"/>
      <w:r w:rsidRPr="00177B34">
        <w:rPr>
          <w:rFonts w:ascii="Arial" w:hAnsi="Arial" w:cs="Arial"/>
          <w:i/>
          <w:sz w:val="20"/>
        </w:rPr>
        <w:t>Aqalianos</w:t>
      </w:r>
      <w:proofErr w:type="spellEnd"/>
      <w:r w:rsidRPr="00177B34">
        <w:rPr>
          <w:rFonts w:ascii="Arial" w:hAnsi="Arial" w:cs="Arial"/>
          <w:sz w:val="20"/>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177B34">
        <w:rPr>
          <w:rFonts w:ascii="Arial" w:hAnsi="Arial" w:cs="Arial"/>
          <w:i/>
          <w:sz w:val="20"/>
        </w:rPr>
        <w:t>Toronto Suburban Railway Co v Toronto Corporation</w:t>
      </w:r>
      <w:r w:rsidRPr="00177B34">
        <w:rPr>
          <w:rFonts w:ascii="Arial" w:hAnsi="Arial" w:cs="Arial"/>
          <w:sz w:val="20"/>
        </w:rPr>
        <w:t xml:space="preserve"> [1915] AC 590 at 597; </w:t>
      </w:r>
      <w:r w:rsidRPr="00177B34">
        <w:rPr>
          <w:rFonts w:ascii="Arial" w:hAnsi="Arial" w:cs="Arial"/>
          <w:i/>
          <w:sz w:val="20"/>
        </w:rPr>
        <w:t>Minister for Lands (NSW) v Jeremias</w:t>
      </w:r>
      <w:r w:rsidRPr="00177B34">
        <w:rPr>
          <w:rFonts w:ascii="Arial" w:hAnsi="Arial" w:cs="Arial"/>
          <w:sz w:val="20"/>
        </w:rPr>
        <w:t xml:space="preserve"> (1917) 23 CLR 322 at 332; </w:t>
      </w:r>
      <w:r w:rsidRPr="00177B34">
        <w:rPr>
          <w:rFonts w:ascii="Arial" w:hAnsi="Arial" w:cs="Arial"/>
          <w:i/>
          <w:sz w:val="20"/>
        </w:rPr>
        <w:t>K &amp; S Lake City Freighters Pty Ltd v Gordon &amp; Gotch Ltd</w:t>
      </w:r>
      <w:r w:rsidRPr="00177B34">
        <w:rPr>
          <w:rFonts w:ascii="Arial" w:hAnsi="Arial" w:cs="Arial"/>
          <w:sz w:val="20"/>
        </w:rPr>
        <w:t xml:space="preserve"> (1985) 157 CLR 309 at 312 per Gibbs CJ, 31</w:t>
      </w:r>
      <w:r>
        <w:rPr>
          <w:rFonts w:ascii="Arial" w:hAnsi="Arial" w:cs="Arial"/>
          <w:sz w:val="20"/>
        </w:rPr>
        <w:t>5 per Mason J, 321 per Deane J).</w:t>
      </w:r>
    </w:p>
    <w:p w14:paraId="74E68C5D" w14:textId="77777777" w:rsidR="007809A5" w:rsidRDefault="007E32CC" w:rsidP="007809A5">
      <w:pPr>
        <w:spacing w:before="60"/>
        <w:ind w:left="1134" w:right="1134"/>
        <w:jc w:val="both"/>
        <w:rPr>
          <w:rFonts w:ascii="Arial" w:hAnsi="Arial" w:cs="Arial"/>
          <w:sz w:val="20"/>
        </w:rPr>
      </w:pPr>
      <w:r w:rsidRPr="007E32CC">
        <w:rPr>
          <w:rFonts w:ascii="Arial" w:hAnsi="Arial" w:cs="Arial"/>
          <w:sz w:val="20"/>
          <w:szCs w:val="20"/>
        </w:rPr>
        <w:t>A legislative instrument must be construed on the prima facie basis that its provisions are intended to give effect to harmonious goals. (</w:t>
      </w:r>
      <w:r w:rsidRPr="007E32CC">
        <w:rPr>
          <w:rFonts w:ascii="Arial" w:hAnsi="Arial" w:cs="Arial"/>
          <w:i/>
          <w:sz w:val="20"/>
          <w:szCs w:val="20"/>
        </w:rPr>
        <w:t>Ross v The Queen</w:t>
      </w:r>
      <w:r w:rsidRPr="007E32CC">
        <w:rPr>
          <w:rFonts w:ascii="Arial" w:hAnsi="Arial" w:cs="Arial"/>
          <w:sz w:val="20"/>
          <w:szCs w:val="20"/>
        </w:rPr>
        <w:t xml:space="preserve"> (1979) </w:t>
      </w:r>
      <w:r>
        <w:rPr>
          <w:rFonts w:ascii="Arial" w:hAnsi="Arial" w:cs="Arial"/>
          <w:sz w:val="20"/>
          <w:szCs w:val="20"/>
        </w:rPr>
        <w:t>141 CLR 432 at 440 per Gibbs J</w:t>
      </w:r>
      <w:r w:rsidRPr="007E32CC">
        <w:rPr>
          <w:rFonts w:ascii="Arial" w:hAnsi="Arial" w:cs="Arial"/>
          <w:sz w:val="20"/>
          <w:szCs w:val="20"/>
        </w:rPr>
        <w:t>)</w:t>
      </w:r>
      <w:r>
        <w:rPr>
          <w:rFonts w:ascii="Arial" w:hAnsi="Arial" w:cs="Arial"/>
          <w:sz w:val="20"/>
          <w:szCs w:val="20"/>
        </w:rPr>
        <w:t>.</w:t>
      </w:r>
      <w:r w:rsidR="00351A45">
        <w:rPr>
          <w:rFonts w:ascii="Arial" w:hAnsi="Arial" w:cs="Arial"/>
          <w:sz w:val="20"/>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that where provisions of an Act appear, on the basis of their language, to conflict, conflict must be alleviated to the extent possible by adjusting the meaning of the competing provisions to:</w:t>
      </w:r>
    </w:p>
    <w:p w14:paraId="6329596F" w14:textId="77777777" w:rsidR="007E32CC" w:rsidRDefault="00AD587C" w:rsidP="002C0A9F">
      <w:pPr>
        <w:spacing w:before="60"/>
        <w:ind w:left="1134" w:right="1134"/>
        <w:jc w:val="both"/>
        <w:rPr>
          <w:rFonts w:ascii="Arial" w:hAnsi="Arial" w:cs="Arial"/>
          <w:sz w:val="20"/>
        </w:rPr>
      </w:pPr>
      <w:r>
        <w:rPr>
          <w:rFonts w:ascii="Arial" w:hAnsi="Arial" w:cs="Arial"/>
          <w:sz w:val="20"/>
        </w:rPr>
        <w:t>‘</w:t>
      </w:r>
      <w:r w:rsidR="00A87525" w:rsidRPr="007E32CC">
        <w:rPr>
          <w:rFonts w:ascii="Arial" w:hAnsi="Arial" w:cs="Arial"/>
          <w:sz w:val="20"/>
        </w:rPr>
        <w:t xml:space="preserve">best give effect to the purpose and language of those provisions while maintaining the unity of all the statutory provisions.  (See </w:t>
      </w:r>
      <w:r w:rsidR="00A87525" w:rsidRPr="007E32CC">
        <w:rPr>
          <w:rFonts w:ascii="Arial" w:hAnsi="Arial" w:cs="Arial"/>
          <w:i/>
          <w:sz w:val="20"/>
        </w:rPr>
        <w:t>Australian Alliance Assurance Co Ltd v Attorney-General of Queensland</w:t>
      </w:r>
      <w:r w:rsidR="00A87525" w:rsidRPr="007E32CC">
        <w:rPr>
          <w:rFonts w:ascii="Arial" w:hAnsi="Arial" w:cs="Arial"/>
          <w:sz w:val="20"/>
        </w:rPr>
        <w:t xml:space="preserve"> [1916] St R </w:t>
      </w:r>
      <w:proofErr w:type="spellStart"/>
      <w:r w:rsidR="00A87525" w:rsidRPr="007E32CC">
        <w:rPr>
          <w:rFonts w:ascii="Arial" w:hAnsi="Arial" w:cs="Arial"/>
          <w:sz w:val="20"/>
        </w:rPr>
        <w:t>Qd</w:t>
      </w:r>
      <w:proofErr w:type="spellEnd"/>
      <w:r w:rsidR="00A87525" w:rsidRPr="007E32CC">
        <w:rPr>
          <w:rFonts w:ascii="Arial" w:hAnsi="Arial" w:cs="Arial"/>
          <w:sz w:val="20"/>
        </w:rPr>
        <w:t xml:space="preserve"> 135 at </w:t>
      </w:r>
      <w:r w:rsidR="00A87525" w:rsidRPr="007E32CC">
        <w:rPr>
          <w:rFonts w:ascii="Arial" w:hAnsi="Arial" w:cs="Arial"/>
          <w:sz w:val="20"/>
        </w:rPr>
        <w:lastRenderedPageBreak/>
        <w:t xml:space="preserve">161 per Cooper CJ; </w:t>
      </w:r>
      <w:r w:rsidR="00A87525" w:rsidRPr="007E32CC">
        <w:rPr>
          <w:rFonts w:ascii="Arial" w:hAnsi="Arial" w:cs="Arial"/>
          <w:i/>
          <w:sz w:val="20"/>
        </w:rPr>
        <w:t>Minister for Resources v Dover Fisheries</w:t>
      </w:r>
      <w:r w:rsidR="00A87525" w:rsidRPr="007E32CC">
        <w:rPr>
          <w:rFonts w:ascii="Arial" w:hAnsi="Arial" w:cs="Arial"/>
          <w:sz w:val="20"/>
        </w:rPr>
        <w:t xml:space="preserve"> (1993) 43 FCR 565 at 574 per </w:t>
      </w:r>
      <w:proofErr w:type="spellStart"/>
      <w:r w:rsidR="00A87525" w:rsidRPr="007E32CC">
        <w:rPr>
          <w:rFonts w:ascii="Arial" w:hAnsi="Arial" w:cs="Arial"/>
          <w:sz w:val="20"/>
        </w:rPr>
        <w:t>Gummow</w:t>
      </w:r>
      <w:proofErr w:type="spellEnd"/>
      <w:r w:rsidR="00A87525" w:rsidRPr="007E32CC">
        <w:rPr>
          <w:rFonts w:ascii="Arial" w:hAnsi="Arial" w:cs="Arial"/>
          <w:sz w:val="20"/>
        </w:rPr>
        <w:t xml:space="preserve"> J; 116 ALR 54 at 63).</w:t>
      </w:r>
      <w:r>
        <w:rPr>
          <w:rFonts w:ascii="Arial" w:hAnsi="Arial" w:cs="Arial"/>
          <w:sz w:val="20"/>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Default="00AD587C" w:rsidP="00A87525">
      <w:pPr>
        <w:spacing w:before="60"/>
        <w:ind w:left="1134" w:right="1134"/>
        <w:jc w:val="both"/>
        <w:rPr>
          <w:rFonts w:ascii="Arial" w:hAnsi="Arial" w:cs="Arial"/>
          <w:sz w:val="20"/>
        </w:rPr>
      </w:pPr>
      <w:r>
        <w:rPr>
          <w:rFonts w:ascii="Arial" w:hAnsi="Arial" w:cs="Arial"/>
          <w:sz w:val="20"/>
        </w:rPr>
        <w:t>‘</w:t>
      </w:r>
      <w:r w:rsidR="00A87525" w:rsidRPr="00A87525">
        <w:rPr>
          <w:rFonts w:ascii="Arial" w:hAnsi="Arial" w:cs="Arial"/>
          <w:sz w:val="20"/>
        </w:rPr>
        <w:t>a court construing a statutory provision must strive to give meaning to every word of the provision.  (</w:t>
      </w:r>
      <w:r w:rsidR="00A87525" w:rsidRPr="00A87525">
        <w:rPr>
          <w:rFonts w:ascii="Arial" w:hAnsi="Arial" w:cs="Arial"/>
          <w:i/>
          <w:sz w:val="20"/>
        </w:rPr>
        <w:t>The Commonwealth v Baume</w:t>
      </w:r>
      <w:r w:rsidR="00A87525" w:rsidRPr="00A87525">
        <w:rPr>
          <w:rFonts w:ascii="Arial" w:hAnsi="Arial" w:cs="Arial"/>
          <w:sz w:val="20"/>
        </w:rPr>
        <w:t xml:space="preserve"> (1905) 2 CLR 405 at 414 per Griffith CJ, 419 per O'Connor J; </w:t>
      </w:r>
      <w:r w:rsidR="00A87525" w:rsidRPr="00A87525">
        <w:rPr>
          <w:rFonts w:ascii="Arial" w:hAnsi="Arial" w:cs="Arial"/>
          <w:i/>
          <w:sz w:val="20"/>
        </w:rPr>
        <w:t>Chu Kheng Lim v Minister for Immigration</w:t>
      </w:r>
      <w:r w:rsidR="00A87525" w:rsidRPr="00A87525">
        <w:rPr>
          <w:rFonts w:ascii="Arial" w:hAnsi="Arial" w:cs="Arial"/>
          <w:sz w:val="20"/>
        </w:rPr>
        <w:t xml:space="preserve"> (1992) </w:t>
      </w:r>
      <w:r w:rsidR="00A87525">
        <w:rPr>
          <w:rFonts w:ascii="Arial" w:hAnsi="Arial" w:cs="Arial"/>
          <w:sz w:val="20"/>
        </w:rPr>
        <w:t>176 CLR 1 at 12-13 per Mason CJ</w:t>
      </w:r>
      <w:r w:rsidR="00A87525" w:rsidRPr="00A87525">
        <w:rPr>
          <w:rFonts w:ascii="Arial" w:hAnsi="Arial" w:cs="Arial"/>
          <w:sz w:val="20"/>
        </w:rPr>
        <w:t>).</w:t>
      </w:r>
      <w:r>
        <w:rPr>
          <w:rFonts w:ascii="Arial" w:hAnsi="Arial" w:cs="Arial"/>
          <w:sz w:val="20"/>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szCs w:val="20"/>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In particular, as McHugh JA pointed out in </w:t>
      </w:r>
      <w:r w:rsidRPr="00A87525">
        <w:rPr>
          <w:rStyle w:val="italic1"/>
          <w:rFonts w:ascii="Arial" w:hAnsi="Arial" w:cs="Arial"/>
          <w:color w:val="000000"/>
          <w:sz w:val="20"/>
          <w:szCs w:val="20"/>
          <w:lang w:val="en"/>
        </w:rPr>
        <w:t xml:space="preserve">Isherwood v Butler </w:t>
      </w:r>
      <w:proofErr w:type="spellStart"/>
      <w:r w:rsidRPr="00A87525">
        <w:rPr>
          <w:rStyle w:val="italic1"/>
          <w:rFonts w:ascii="Arial" w:hAnsi="Arial" w:cs="Arial"/>
          <w:color w:val="000000"/>
          <w:sz w:val="20"/>
          <w:szCs w:val="20"/>
          <w:lang w:val="en"/>
        </w:rPr>
        <w:t>Pollnow</w:t>
      </w:r>
      <w:proofErr w:type="spellEnd"/>
      <w:r w:rsidRPr="00A87525">
        <w:rPr>
          <w:rStyle w:val="italic1"/>
          <w:rFonts w:ascii="Arial" w:hAnsi="Arial" w:cs="Arial"/>
          <w:color w:val="000000"/>
          <w:sz w:val="20"/>
          <w:szCs w:val="20"/>
          <w:lang w:val="en"/>
        </w:rPr>
        <w:t xml:space="preserve"> Pty Ltd</w:t>
      </w:r>
      <w:r w:rsidRPr="00A87525">
        <w:rPr>
          <w:rStyle w:val="italic1"/>
          <w:rFonts w:ascii="Arial" w:hAnsi="Arial" w:cs="Arial"/>
          <w:i w:val="0"/>
          <w:color w:val="000000"/>
          <w:sz w:val="20"/>
          <w:szCs w:val="20"/>
          <w:lang w:val="en"/>
        </w:rPr>
        <w:t xml:space="preserve"> (1986) 6 NSWLR 363 at 388</w:t>
      </w:r>
      <w:r w:rsidRPr="00A87525">
        <w:rPr>
          <w:rFonts w:ascii="Arial" w:hAnsi="Arial" w:cs="Arial"/>
          <w:sz w:val="20"/>
          <w:szCs w:val="20"/>
          <w:lang w:val="en"/>
        </w:rPr>
        <w:t>,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Pr>
          <w:rFonts w:ascii="Arial" w:hAnsi="Arial" w:cs="Arial"/>
          <w:sz w:val="20"/>
          <w:szCs w:val="20"/>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 xml:space="preserve">McHugh ACJ, </w:t>
      </w:r>
      <w:proofErr w:type="spellStart"/>
      <w:r>
        <w:rPr>
          <w:rFonts w:ascii="Arial" w:hAnsi="Arial" w:cs="Arial"/>
          <w:sz w:val="20"/>
        </w:rPr>
        <w:t>Gummow</w:t>
      </w:r>
      <w:proofErr w:type="spellEnd"/>
      <w:r>
        <w:rPr>
          <w:rFonts w:ascii="Arial" w:hAnsi="Arial" w:cs="Arial"/>
          <w:sz w:val="20"/>
        </w:rPr>
        <w:t>, Kirby &amp; Hayne JJ stated:</w:t>
      </w:r>
    </w:p>
    <w:p w14:paraId="66D28F93"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rPr>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87525">
        <w:rPr>
          <w:rFonts w:ascii="Arial" w:hAnsi="Arial" w:cs="Arial"/>
          <w:i/>
          <w:sz w:val="20"/>
        </w:rPr>
        <w:t>Coco v The Queen</w:t>
      </w:r>
      <w:r w:rsidRPr="00A87525">
        <w:rPr>
          <w:rFonts w:ascii="Arial" w:hAnsi="Arial" w:cs="Arial"/>
          <w:sz w:val="20"/>
        </w:rPr>
        <w:t xml:space="preserve"> (1994) 179 CLR 427 at 437) may require the words of a legislative provision to be read in a way that does not correspond with the literal or grammatical meaning.</w:t>
      </w:r>
      <w:r>
        <w:rPr>
          <w:rFonts w:ascii="Arial" w:hAnsi="Arial" w:cs="Arial"/>
          <w:sz w:val="20"/>
        </w:rPr>
        <w:t>’</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w:t>
      </w:r>
      <w:proofErr w:type="spellStart"/>
      <w:r w:rsidRPr="00B8220E">
        <w:rPr>
          <w:rFonts w:ascii="Arial" w:hAnsi="Arial" w:cs="Arial"/>
          <w:sz w:val="20"/>
          <w:szCs w:val="20"/>
        </w:rPr>
        <w:t>Gummow</w:t>
      </w:r>
      <w:proofErr w:type="spellEnd"/>
      <w:r w:rsidRPr="00B8220E">
        <w:rPr>
          <w:rFonts w:ascii="Arial" w:hAnsi="Arial" w:cs="Arial"/>
          <w:sz w:val="20"/>
          <w:szCs w:val="20"/>
        </w:rPr>
        <w:t xml:space="preserve">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77777777"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smartTag w:uri="urn:schemas-microsoft-com:office:smarttags" w:element="place">
        <w:smartTag w:uri="urn:schemas-microsoft-com:office:smarttags" w:element="PlaceName">
          <w:r w:rsidRPr="00B8220E">
            <w:rPr>
              <w:rFonts w:ascii="Arial" w:hAnsi="Arial" w:cs="Arial"/>
              <w:i/>
              <w:sz w:val="20"/>
            </w:rPr>
            <w:t>Newcastle</w:t>
          </w:r>
        </w:smartTag>
        <w:r w:rsidRPr="00B8220E">
          <w:rPr>
            <w:rFonts w:ascii="Arial" w:hAnsi="Arial" w:cs="Arial"/>
            <w:i/>
            <w:sz w:val="20"/>
          </w:rPr>
          <w:t xml:space="preserve"> </w:t>
        </w:r>
        <w:smartTag w:uri="urn:schemas-microsoft-com:office:smarttags" w:element="PlaceType">
          <w:r w:rsidRPr="00B8220E">
            <w:rPr>
              <w:rFonts w:ascii="Arial" w:hAnsi="Arial" w:cs="Arial"/>
              <w:i/>
              <w:sz w:val="20"/>
            </w:rPr>
            <w:t>City</w:t>
          </w:r>
        </w:smartTag>
      </w:smartTag>
      <w:r w:rsidRPr="00B8220E">
        <w:rPr>
          <w:rFonts w:ascii="Arial" w:hAnsi="Arial" w:cs="Arial"/>
          <w:i/>
          <w:sz w:val="20"/>
        </w:rPr>
        <w:t xml:space="preserve">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p>
    <w:p w14:paraId="4EAB856A" w14:textId="77777777" w:rsidR="00B8220E" w:rsidRDefault="00AD587C" w:rsidP="002C0A9F">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 Court is permitted to have regard to the words used by the legislature in their legal and historical context and, in appropriate cases, to give them a meaning that will give effect to any purpose of the legislation that can be deduced from that context.</w:t>
      </w:r>
      <w:r>
        <w:rPr>
          <w:rFonts w:ascii="Arial" w:hAnsi="Arial" w:cs="Arial"/>
          <w:sz w:val="20"/>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w:t>
      </w:r>
      <w:proofErr w:type="spellStart"/>
      <w:r>
        <w:rPr>
          <w:rFonts w:ascii="Arial" w:hAnsi="Arial" w:cs="Arial"/>
          <w:sz w:val="20"/>
          <w:szCs w:val="20"/>
        </w:rPr>
        <w:t>Callinan</w:t>
      </w:r>
      <w:proofErr w:type="spellEnd"/>
      <w:r>
        <w:rPr>
          <w:rFonts w:ascii="Arial" w:hAnsi="Arial" w:cs="Arial"/>
          <w:sz w:val="20"/>
          <w:szCs w:val="20"/>
        </w:rPr>
        <w:t xml:space="preserve">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77777777"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‘[u]</w:t>
      </w:r>
      <w:proofErr w:type="spellStart"/>
      <w:r w:rsidRPr="00B8220E">
        <w:rPr>
          <w:rFonts w:ascii="Arial" w:hAnsi="Arial" w:cs="Arial"/>
          <w:sz w:val="20"/>
        </w:rPr>
        <w:t>ltimately</w:t>
      </w:r>
      <w:proofErr w:type="spellEnd"/>
      <w:r w:rsidRPr="00B8220E">
        <w:rPr>
          <w:rFonts w:ascii="Arial" w:hAnsi="Arial" w:cs="Arial"/>
          <w:sz w:val="20"/>
        </w:rPr>
        <w:t>, in every case, statutory construction is a text-based activity.  It cannot be otherwise.’</w:t>
      </w:r>
    </w:p>
    <w:p w14:paraId="328644EC" w14:textId="77777777" w:rsidR="00B8220E" w:rsidRPr="00B8220E" w:rsidRDefault="00AD587C" w:rsidP="00130028">
      <w:pPr>
        <w:spacing w:before="120"/>
        <w:ind w:left="567" w:right="567"/>
        <w:jc w:val="both"/>
        <w:rPr>
          <w:rFonts w:ascii="Arial" w:hAnsi="Arial" w:cs="Arial"/>
          <w:sz w:val="20"/>
          <w:szCs w:val="20"/>
        </w:rPr>
      </w:pPr>
      <w:r>
        <w:rPr>
          <w:rFonts w:ascii="Arial" w:hAnsi="Arial" w:cs="Arial"/>
          <w:sz w:val="20"/>
          <w:szCs w:val="20"/>
        </w:rPr>
        <w:t>[82] Simil</w:t>
      </w:r>
      <w:r w:rsidR="00B8220E">
        <w:rPr>
          <w:rFonts w:ascii="Arial" w:hAnsi="Arial" w:cs="Arial"/>
          <w:sz w:val="20"/>
          <w:szCs w:val="20"/>
        </w:rPr>
        <w:t xml:space="preserve">arly </w:t>
      </w:r>
      <w:proofErr w:type="spellStart"/>
      <w:r w:rsidR="00B8220E">
        <w:rPr>
          <w:rFonts w:ascii="Arial" w:hAnsi="Arial" w:cs="Arial"/>
          <w:sz w:val="20"/>
          <w:szCs w:val="20"/>
        </w:rPr>
        <w:t>Callinan</w:t>
      </w:r>
      <w:proofErr w:type="spellEnd"/>
      <w:r w:rsidR="00B8220E">
        <w:rPr>
          <w:rFonts w:ascii="Arial" w:hAnsi="Arial" w:cs="Arial"/>
          <w:sz w:val="20"/>
          <w:szCs w:val="20"/>
        </w:rPr>
        <w:t xml:space="preserve">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7777777" w:rsidR="00B8220E" w:rsidRDefault="00AD587C" w:rsidP="00B8220E">
      <w:pPr>
        <w:spacing w:before="60"/>
        <w:ind w:left="1134" w:right="1134"/>
        <w:jc w:val="both"/>
        <w:rPr>
          <w:rFonts w:ascii="Arial" w:hAnsi="Arial" w:cs="Arial"/>
          <w:sz w:val="20"/>
        </w:rPr>
      </w:pPr>
      <w:r>
        <w:rPr>
          <w:rFonts w:ascii="Arial" w:hAnsi="Arial" w:cs="Arial"/>
          <w:sz w:val="20"/>
        </w:rPr>
        <w:lastRenderedPageBreak/>
        <w:t>‘</w:t>
      </w:r>
      <w:r w:rsidR="00B8220E" w:rsidRPr="00B8220E">
        <w:rPr>
          <w:rFonts w:ascii="Arial" w:hAnsi="Arial" w:cs="Arial"/>
          <w:sz w:val="20"/>
        </w:rPr>
        <w:t>Although a Court is entitled to have regard to the legal and historical context of legislation, and in particular the mischief that it is enacted to cure, care must always be exercised in using all extrinsic material, including in particular assumed historical facts, to ensure that those facts are accurately and relevantly completely stated.</w:t>
      </w:r>
      <w:r>
        <w:rPr>
          <w:rFonts w:ascii="Arial" w:hAnsi="Arial" w:cs="Arial"/>
          <w:sz w:val="20"/>
        </w:rPr>
        <w:t>’</w:t>
      </w:r>
    </w:p>
    <w:p w14:paraId="2A39C60B" w14:textId="77777777" w:rsidR="00803AFF" w:rsidRPr="00B8220E" w:rsidRDefault="00EA77AD" w:rsidP="00803AFF">
      <w:pPr>
        <w:keepNext/>
        <w:keepLines/>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 xml:space="preserve">Mills v </w:t>
      </w:r>
      <w:proofErr w:type="spellStart"/>
      <w:r w:rsidRPr="00EA77AD">
        <w:rPr>
          <w:rFonts w:ascii="Arial" w:hAnsi="Arial" w:cs="Arial"/>
          <w:i/>
          <w:iCs/>
          <w:sz w:val="20"/>
        </w:rPr>
        <w:t>Meeking</w:t>
      </w:r>
      <w:proofErr w:type="spellEnd"/>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1813A6CF" w:rsidR="00EA77AD" w:rsidRDefault="00AD587C" w:rsidP="00EA77AD">
      <w:pPr>
        <w:spacing w:before="60"/>
        <w:ind w:left="1134" w:right="1134"/>
        <w:jc w:val="both"/>
        <w:rPr>
          <w:rFonts w:ascii="Arial" w:hAnsi="Arial" w:cs="Arial"/>
          <w:sz w:val="20"/>
        </w:rPr>
      </w:pPr>
      <w:r>
        <w:rPr>
          <w:rFonts w:ascii="Arial" w:hAnsi="Arial" w:cs="Arial"/>
          <w:sz w:val="20"/>
          <w:szCs w:val="20"/>
          <w:lang w:val="en"/>
        </w:rPr>
        <w:t>‘</w:t>
      </w:r>
      <w:r w:rsidR="00EA77AD" w:rsidRPr="00EA77AD">
        <w:rPr>
          <w:rFonts w:ascii="Arial" w:hAnsi="Arial" w:cs="Arial"/>
          <w:sz w:val="20"/>
          <w:szCs w:val="20"/>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[of the </w:t>
      </w:r>
      <w:r w:rsidR="00EA77AD" w:rsidRPr="00EA77AD">
        <w:rPr>
          <w:rFonts w:ascii="Arial" w:hAnsi="Arial" w:cs="Arial"/>
          <w:i/>
          <w:sz w:val="20"/>
          <w:szCs w:val="20"/>
          <w:lang w:val="en"/>
        </w:rPr>
        <w:t>Interpretation of Legislation Act 1984</w:t>
      </w:r>
      <w:r w:rsidR="00EA77AD" w:rsidRPr="00EA77AD">
        <w:rPr>
          <w:rFonts w:ascii="Arial" w:hAnsi="Arial" w:cs="Arial"/>
          <w:sz w:val="20"/>
          <w:szCs w:val="20"/>
          <w:lang w:val="en"/>
        </w:rPr>
        <w:t>] requires a court to construe an Act, not rewrite it, in the light of its purposes.</w:t>
      </w:r>
      <w:r>
        <w:rPr>
          <w:rFonts w:ascii="Arial" w:hAnsi="Arial" w:cs="Arial"/>
          <w:sz w:val="20"/>
          <w:szCs w:val="20"/>
          <w:lang w:val="en"/>
        </w:rPr>
        <w:t>’</w:t>
      </w:r>
      <w:r w:rsidR="00EA77AD">
        <w:rPr>
          <w:rStyle w:val="FootnoteReference"/>
          <w:rFonts w:ascii="Arial" w:hAnsi="Arial" w:cs="Arial"/>
          <w:sz w:val="20"/>
          <w:szCs w:val="20"/>
          <w:lang w:val="en"/>
        </w:rPr>
        <w:t>”</w:t>
      </w:r>
    </w:p>
    <w:p w14:paraId="1C79D793" w14:textId="65CBD24E" w:rsidR="00177B34" w:rsidRDefault="00177B34" w:rsidP="00177B34">
      <w:pPr>
        <w:jc w:val="both"/>
        <w:rPr>
          <w:rFonts w:ascii="Arial" w:hAnsi="Arial" w:cs="Arial"/>
          <w:sz w:val="20"/>
        </w:rPr>
      </w:pPr>
    </w:p>
    <w:p w14:paraId="436CDFC1" w14:textId="093F6A4C" w:rsidR="007A321D" w:rsidRPr="00130028" w:rsidRDefault="007A321D" w:rsidP="00177B34">
      <w:pPr>
        <w:jc w:val="both"/>
        <w:rPr>
          <w:rFonts w:ascii="Arial" w:hAnsi="Arial" w:cs="Arial"/>
          <w:sz w:val="20"/>
        </w:rPr>
      </w:pPr>
      <w:r>
        <w:rPr>
          <w:rFonts w:ascii="Arial" w:hAnsi="Arial" w:cs="Arial"/>
          <w:sz w:val="20"/>
        </w:rPr>
        <w:t xml:space="preserve">In </w:t>
      </w:r>
      <w:r w:rsidRPr="007A321D">
        <w:rPr>
          <w:rFonts w:ascii="Arial" w:hAnsi="Arial" w:cs="Arial"/>
          <w:i/>
          <w:iCs/>
          <w:sz w:val="20"/>
        </w:rPr>
        <w:t>Azizi v DPP</w:t>
      </w:r>
      <w:r>
        <w:rPr>
          <w:rFonts w:ascii="Arial" w:hAnsi="Arial" w:cs="Arial"/>
          <w:sz w:val="20"/>
        </w:rPr>
        <w:t xml:space="preserve"> [2022] VSCA 71 the Court of Appeal (Priest, T Forrest &amp; Walker JJA) granted leave to appeal but refused the appeal against </w:t>
      </w:r>
      <w:r w:rsidR="00BA6866">
        <w:rPr>
          <w:rFonts w:ascii="Arial" w:hAnsi="Arial" w:cs="Arial"/>
          <w:sz w:val="20"/>
        </w:rPr>
        <w:t xml:space="preserve">a trial judge’s refusal to have the applicant wife’s interest in property excluded from a serious drug offence restraining order made under s.18(1) of the </w:t>
      </w:r>
      <w:r w:rsidR="00BA6866" w:rsidRPr="007A321D">
        <w:rPr>
          <w:rFonts w:ascii="Arial" w:hAnsi="Arial" w:cs="Arial"/>
          <w:i/>
          <w:iCs/>
          <w:sz w:val="20"/>
        </w:rPr>
        <w:t>Confiscation Act 1997</w:t>
      </w:r>
      <w:r w:rsidR="00BA6866">
        <w:rPr>
          <w:rFonts w:ascii="Arial" w:hAnsi="Arial" w:cs="Arial"/>
          <w:sz w:val="20"/>
        </w:rPr>
        <w:t xml:space="preserve">.  The applicant and her accused husband had purchased property and were registered as joint proprietors simultaneously.  </w:t>
      </w:r>
      <w:r w:rsidR="00BA6866" w:rsidRPr="003F031E">
        <w:rPr>
          <w:rFonts w:ascii="Arial" w:hAnsi="Arial" w:cs="Arial"/>
          <w:sz w:val="20"/>
          <w:szCs w:val="20"/>
        </w:rPr>
        <w:t>The property was the family home of the applicant, the accused, their two children, and the accused’s mothe</w:t>
      </w:r>
      <w:r w:rsidR="00BA6866">
        <w:rPr>
          <w:rFonts w:ascii="Arial" w:hAnsi="Arial" w:cs="Arial"/>
          <w:sz w:val="20"/>
          <w:szCs w:val="20"/>
        </w:rPr>
        <w:t xml:space="preserve">r.  </w:t>
      </w:r>
      <w:r w:rsidR="00BA6866">
        <w:rPr>
          <w:rFonts w:ascii="Arial" w:hAnsi="Arial" w:cs="Arial"/>
          <w:sz w:val="20"/>
        </w:rPr>
        <w:t xml:space="preserve">The husband had contributed the entire purchase price.  </w:t>
      </w:r>
      <w:r w:rsidR="00B64671">
        <w:rPr>
          <w:rFonts w:ascii="Arial" w:hAnsi="Arial" w:cs="Arial"/>
          <w:sz w:val="20"/>
        </w:rPr>
        <w:t>The husband was convicted of serious drug offences related to the serious drug offence in reliance of which the restraining order was made.  The wife was not in any way involved in the commission of the serious drug offence by the accused.  S</w:t>
      </w:r>
      <w:r w:rsidR="00BA6866">
        <w:rPr>
          <w:rFonts w:ascii="Arial" w:hAnsi="Arial" w:cs="Arial"/>
          <w:sz w:val="20"/>
        </w:rPr>
        <w:t xml:space="preserve">ection 22A of the Act provides that the court may make an order excluding property from a serious drug offence restraining order if the court is satisfied of various matters, including </w:t>
      </w:r>
      <w:r w:rsidR="00130028">
        <w:rPr>
          <w:rFonts w:ascii="Arial" w:hAnsi="Arial" w:cs="Arial"/>
          <w:sz w:val="20"/>
        </w:rPr>
        <w:t xml:space="preserve">where the applicant had acquired the interest from the accused, directly or indirectly, that it was acquired for sufficient consideration.  </w:t>
      </w:r>
      <w:r w:rsidR="0033471C">
        <w:rPr>
          <w:rFonts w:ascii="Arial" w:hAnsi="Arial" w:cs="Arial"/>
          <w:sz w:val="20"/>
          <w:szCs w:val="20"/>
        </w:rPr>
        <w:t>In</w:t>
      </w:r>
      <w:r w:rsidR="00130028">
        <w:rPr>
          <w:rFonts w:ascii="Arial" w:hAnsi="Arial" w:cs="Arial"/>
          <w:sz w:val="20"/>
          <w:szCs w:val="20"/>
        </w:rPr>
        <w:t> </w:t>
      </w:r>
      <w:r w:rsidR="0033471C">
        <w:rPr>
          <w:rFonts w:ascii="Arial" w:hAnsi="Arial" w:cs="Arial"/>
          <w:sz w:val="20"/>
          <w:szCs w:val="20"/>
        </w:rPr>
        <w:t xml:space="preserve">holding that s.22A(1) of the Act did not require the husband to have had a prior interest in the property and that the applicant had acquired the property indirectly from her accused husband, </w:t>
      </w:r>
      <w:r w:rsidR="00130028">
        <w:rPr>
          <w:rFonts w:ascii="Arial" w:hAnsi="Arial" w:cs="Arial"/>
          <w:sz w:val="20"/>
          <w:szCs w:val="20"/>
        </w:rPr>
        <w:t>the Court of Appeal said at [51]-[56]:</w:t>
      </w:r>
    </w:p>
    <w:p w14:paraId="097EFDBE" w14:textId="0B52504A" w:rsidR="003F031E" w:rsidRDefault="003F031E" w:rsidP="00130028">
      <w:pPr>
        <w:spacing w:before="120"/>
        <w:ind w:left="567" w:right="567"/>
        <w:jc w:val="both"/>
        <w:rPr>
          <w:rFonts w:ascii="Arial" w:hAnsi="Arial" w:cs="Arial"/>
          <w:sz w:val="20"/>
          <w:szCs w:val="20"/>
        </w:rPr>
      </w:pPr>
      <w:r>
        <w:rPr>
          <w:rFonts w:ascii="Arial" w:hAnsi="Arial" w:cs="Arial"/>
          <w:sz w:val="20"/>
        </w:rPr>
        <w:t xml:space="preserve">[51] </w:t>
      </w:r>
      <w:r w:rsidRPr="007A321D">
        <w:rPr>
          <w:rFonts w:ascii="Arial" w:hAnsi="Arial" w:cs="Arial"/>
          <w:sz w:val="20"/>
          <w:szCs w:val="20"/>
        </w:rPr>
        <w:t>In our opinion the respondent’s submissions are to be accepted. A</w:t>
      </w:r>
      <w:r w:rsidR="00130028">
        <w:rPr>
          <w:rFonts w:ascii="Arial" w:hAnsi="Arial" w:cs="Arial"/>
          <w:sz w:val="20"/>
          <w:szCs w:val="20"/>
        </w:rPr>
        <w:t> </w:t>
      </w:r>
      <w:r w:rsidRPr="007A321D">
        <w:rPr>
          <w:rFonts w:ascii="Arial" w:hAnsi="Arial" w:cs="Arial"/>
          <w:sz w:val="20"/>
          <w:szCs w:val="20"/>
        </w:rPr>
        <w:t>consideration of the text, context and purpose of s 22A(1)(c) reveals that the statutory language is sufficiently broad to capture the circumstances of the present case, where the accused contributed the entirety of the purchase price of the property, from funds in which the applicant had no legal or beneficial interest.</w:t>
      </w:r>
    </w:p>
    <w:p w14:paraId="26D99674" w14:textId="10FC9EEE" w:rsidR="003F031E" w:rsidRDefault="003F031E" w:rsidP="00130028">
      <w:pPr>
        <w:spacing w:before="120"/>
        <w:ind w:left="567" w:right="567"/>
        <w:jc w:val="both"/>
        <w:rPr>
          <w:rFonts w:ascii="Arial" w:hAnsi="Arial" w:cs="Arial"/>
          <w:sz w:val="20"/>
          <w:szCs w:val="20"/>
        </w:rPr>
      </w:pPr>
      <w:r>
        <w:rPr>
          <w:rFonts w:ascii="Arial" w:hAnsi="Arial" w:cs="Arial"/>
          <w:sz w:val="20"/>
          <w:szCs w:val="20"/>
        </w:rPr>
        <w:t xml:space="preserve">[52] </w:t>
      </w:r>
      <w:r w:rsidRPr="007A321D">
        <w:rPr>
          <w:rFonts w:ascii="Arial" w:hAnsi="Arial" w:cs="Arial"/>
          <w:sz w:val="20"/>
          <w:szCs w:val="20"/>
        </w:rPr>
        <w:t>Legislation is to be interpreted by reference to its text, context and purpose</w:t>
      </w:r>
      <w:r>
        <w:rPr>
          <w:rFonts w:ascii="Arial" w:hAnsi="Arial" w:cs="Arial"/>
          <w:sz w:val="20"/>
          <w:szCs w:val="20"/>
        </w:rPr>
        <w:t xml:space="preserve">: </w:t>
      </w:r>
      <w:r w:rsidRPr="007A321D">
        <w:rPr>
          <w:rFonts w:ascii="Arial" w:hAnsi="Arial" w:cs="Arial"/>
          <w:sz w:val="20"/>
          <w:szCs w:val="20"/>
        </w:rPr>
        <w:t xml:space="preserve">See, </w:t>
      </w:r>
      <w:proofErr w:type="spellStart"/>
      <w:r w:rsidRPr="007A321D">
        <w:rPr>
          <w:rFonts w:ascii="Arial" w:hAnsi="Arial" w:cs="Arial"/>
          <w:sz w:val="20"/>
          <w:szCs w:val="20"/>
        </w:rPr>
        <w:t>eg</w:t>
      </w:r>
      <w:proofErr w:type="spellEnd"/>
      <w:r w:rsidRPr="007A321D">
        <w:rPr>
          <w:rFonts w:ascii="Arial" w:hAnsi="Arial" w:cs="Arial"/>
          <w:sz w:val="20"/>
          <w:szCs w:val="20"/>
        </w:rPr>
        <w:t xml:space="preserve">, </w:t>
      </w:r>
      <w:r w:rsidRPr="003F031E">
        <w:rPr>
          <w:rFonts w:ascii="Arial" w:hAnsi="Arial" w:cs="Arial"/>
          <w:i/>
          <w:iCs/>
          <w:sz w:val="20"/>
          <w:szCs w:val="20"/>
        </w:rPr>
        <w:t>SAS Trustee Corporation v Miles</w:t>
      </w:r>
      <w:r w:rsidRPr="007A321D">
        <w:rPr>
          <w:rFonts w:ascii="Arial" w:hAnsi="Arial" w:cs="Arial"/>
          <w:sz w:val="20"/>
          <w:szCs w:val="20"/>
        </w:rPr>
        <w:t xml:space="preserve"> (2018) 265 CLR 137, 149 [20]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CJ, Bell and Nettle JJ), 157 [41] (</w:t>
      </w:r>
      <w:proofErr w:type="spellStart"/>
      <w:r w:rsidRPr="007A321D">
        <w:rPr>
          <w:rFonts w:ascii="Arial" w:hAnsi="Arial" w:cs="Arial"/>
          <w:sz w:val="20"/>
          <w:szCs w:val="20"/>
        </w:rPr>
        <w:t>Gageler</w:t>
      </w:r>
      <w:proofErr w:type="spellEnd"/>
      <w:r w:rsidRPr="007A321D">
        <w:rPr>
          <w:rFonts w:ascii="Arial" w:hAnsi="Arial" w:cs="Arial"/>
          <w:sz w:val="20"/>
          <w:szCs w:val="20"/>
        </w:rPr>
        <w:t xml:space="preserve"> J), 162–3 [64] (Edelman J); [2018] HCA 55; </w:t>
      </w:r>
      <w:r w:rsidRPr="003F031E">
        <w:rPr>
          <w:rFonts w:ascii="Arial" w:hAnsi="Arial" w:cs="Arial"/>
          <w:i/>
          <w:iCs/>
          <w:sz w:val="20"/>
          <w:szCs w:val="20"/>
        </w:rPr>
        <w:t>Alcan (NT) Alumina Pty Ltd v Commissioner of Territory Revenue (NT)</w:t>
      </w:r>
      <w:r w:rsidRPr="007A321D">
        <w:rPr>
          <w:rFonts w:ascii="Arial" w:hAnsi="Arial" w:cs="Arial"/>
          <w:sz w:val="20"/>
          <w:szCs w:val="20"/>
        </w:rPr>
        <w:t xml:space="preserve"> (2009) 239 CLR 27, 46–7 [47] (Hayne, </w:t>
      </w:r>
      <w:proofErr w:type="spellStart"/>
      <w:r w:rsidRPr="007A321D">
        <w:rPr>
          <w:rFonts w:ascii="Arial" w:hAnsi="Arial" w:cs="Arial"/>
          <w:sz w:val="20"/>
          <w:szCs w:val="20"/>
        </w:rPr>
        <w:t>Heydon</w:t>
      </w:r>
      <w:proofErr w:type="spellEnd"/>
      <w:r w:rsidRPr="007A321D">
        <w:rPr>
          <w:rFonts w:ascii="Arial" w:hAnsi="Arial" w:cs="Arial"/>
          <w:sz w:val="20"/>
          <w:szCs w:val="20"/>
        </w:rPr>
        <w:t xml:space="preserve">, </w:t>
      </w:r>
      <w:proofErr w:type="spellStart"/>
      <w:r w:rsidRPr="007A321D">
        <w:rPr>
          <w:rFonts w:ascii="Arial" w:hAnsi="Arial" w:cs="Arial"/>
          <w:sz w:val="20"/>
          <w:szCs w:val="20"/>
        </w:rPr>
        <w:t>Crennan</w:t>
      </w:r>
      <w:proofErr w:type="spellEnd"/>
      <w:r w:rsidRPr="007A321D">
        <w:rPr>
          <w:rFonts w:ascii="Arial" w:hAnsi="Arial" w:cs="Arial"/>
          <w:sz w:val="20"/>
          <w:szCs w:val="20"/>
        </w:rPr>
        <w:t xml:space="preserve"> and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JJ); [2009] HCA 41.</w:t>
      </w:r>
      <w:r>
        <w:rPr>
          <w:rFonts w:ascii="Arial" w:hAnsi="Arial" w:cs="Arial"/>
          <w:sz w:val="20"/>
          <w:szCs w:val="20"/>
        </w:rPr>
        <w:t xml:space="preserve">  </w:t>
      </w:r>
      <w:r w:rsidRPr="007A321D">
        <w:rPr>
          <w:rFonts w:ascii="Arial" w:hAnsi="Arial" w:cs="Arial"/>
          <w:sz w:val="20"/>
          <w:szCs w:val="20"/>
        </w:rPr>
        <w:t xml:space="preserve">And, of course, s 35(a) of the </w:t>
      </w:r>
      <w:r w:rsidRPr="003F031E">
        <w:rPr>
          <w:rFonts w:ascii="Arial" w:hAnsi="Arial" w:cs="Arial"/>
          <w:i/>
          <w:iCs/>
          <w:sz w:val="20"/>
          <w:szCs w:val="20"/>
        </w:rPr>
        <w:t>Interpretation of Legislation Act 1984</w:t>
      </w:r>
      <w:r w:rsidRPr="007A321D">
        <w:rPr>
          <w:rFonts w:ascii="Arial" w:hAnsi="Arial" w:cs="Arial"/>
          <w:sz w:val="20"/>
          <w:szCs w:val="20"/>
        </w:rPr>
        <w:t xml:space="preserve"> provides that a construction that would promote the purpose or object underlying the Act shall be preferred to a construction that would not promote that purpose or object. In Victoria it is also necessary to have regard to s 32(1) of the </w:t>
      </w:r>
      <w:r w:rsidRPr="003F031E">
        <w:rPr>
          <w:rFonts w:ascii="Arial" w:hAnsi="Arial" w:cs="Arial"/>
          <w:i/>
          <w:iCs/>
          <w:sz w:val="20"/>
          <w:szCs w:val="20"/>
        </w:rPr>
        <w:t>Charter of Human Rights and Responsibilities Act 2006</w:t>
      </w:r>
      <w:r w:rsidRPr="007A321D">
        <w:rPr>
          <w:rFonts w:ascii="Arial" w:hAnsi="Arial" w:cs="Arial"/>
          <w:sz w:val="20"/>
          <w:szCs w:val="20"/>
        </w:rPr>
        <w:t>, which provides that, so far as it is possible to do so consistently with its purpose, a statutory provision ‘must be interpreted in a way that is compatible with human rights’.</w:t>
      </w:r>
    </w:p>
    <w:p w14:paraId="25230B80" w14:textId="60DDA61F" w:rsidR="003F031E" w:rsidRPr="0033471C" w:rsidRDefault="003F031E" w:rsidP="00130028">
      <w:pPr>
        <w:spacing w:before="120"/>
        <w:ind w:left="567" w:right="567"/>
        <w:jc w:val="both"/>
        <w:rPr>
          <w:rFonts w:ascii="Arial" w:hAnsi="Arial" w:cs="Arial"/>
          <w:sz w:val="20"/>
          <w:szCs w:val="20"/>
        </w:rPr>
      </w:pPr>
      <w:r>
        <w:rPr>
          <w:rFonts w:ascii="Arial" w:hAnsi="Arial" w:cs="Arial"/>
          <w:sz w:val="20"/>
          <w:szCs w:val="20"/>
        </w:rPr>
        <w:t xml:space="preserve">[53] </w:t>
      </w:r>
      <w:r w:rsidRPr="007A321D">
        <w:rPr>
          <w:rFonts w:ascii="Arial" w:hAnsi="Arial" w:cs="Arial"/>
          <w:sz w:val="20"/>
          <w:szCs w:val="20"/>
        </w:rPr>
        <w:t xml:space="preserve">Further, as the plurality observed in </w:t>
      </w:r>
      <w:proofErr w:type="spellStart"/>
      <w:r w:rsidRPr="003F031E">
        <w:rPr>
          <w:rFonts w:ascii="Arial" w:hAnsi="Arial" w:cs="Arial"/>
          <w:i/>
          <w:iCs/>
          <w:sz w:val="20"/>
          <w:szCs w:val="20"/>
        </w:rPr>
        <w:t>Lordianto</w:t>
      </w:r>
      <w:proofErr w:type="spellEnd"/>
      <w:r>
        <w:rPr>
          <w:rFonts w:ascii="Arial" w:hAnsi="Arial" w:cs="Arial"/>
          <w:i/>
          <w:iCs/>
          <w:sz w:val="20"/>
          <w:szCs w:val="20"/>
        </w:rPr>
        <w:t xml:space="preserve"> </w:t>
      </w:r>
      <w:r w:rsidRPr="003F031E">
        <w:rPr>
          <w:rFonts w:ascii="Arial" w:hAnsi="Arial" w:cs="Arial"/>
          <w:sz w:val="20"/>
          <w:szCs w:val="20"/>
        </w:rPr>
        <w:t>(2019) 266 CLR 273, 301–2 [61]–[62] (</w:t>
      </w:r>
      <w:proofErr w:type="spellStart"/>
      <w:r w:rsidRPr="003F031E">
        <w:rPr>
          <w:rFonts w:ascii="Arial" w:hAnsi="Arial" w:cs="Arial"/>
          <w:sz w:val="20"/>
          <w:szCs w:val="20"/>
        </w:rPr>
        <w:t>Kiefel</w:t>
      </w:r>
      <w:proofErr w:type="spellEnd"/>
      <w:r w:rsidRPr="003F031E">
        <w:rPr>
          <w:rFonts w:ascii="Arial" w:hAnsi="Arial" w:cs="Arial"/>
          <w:sz w:val="20"/>
          <w:szCs w:val="20"/>
        </w:rPr>
        <w:t xml:space="preserve"> CJ, Bell, Keane and Gordon JJ); [2019] HCA 39</w:t>
      </w:r>
      <w:r>
        <w:rPr>
          <w:rFonts w:ascii="Arial" w:hAnsi="Arial" w:cs="Arial"/>
          <w:sz w:val="20"/>
          <w:szCs w:val="20"/>
        </w:rPr>
        <w:t xml:space="preserve">, </w:t>
      </w:r>
      <w:r w:rsidRPr="007A321D">
        <w:rPr>
          <w:rFonts w:ascii="Arial" w:hAnsi="Arial" w:cs="Arial"/>
          <w:sz w:val="20"/>
          <w:szCs w:val="20"/>
        </w:rPr>
        <w:t xml:space="preserve">which concerned the Commonwealth analogue to the Act, the </w:t>
      </w:r>
      <w:r w:rsidRPr="003F031E">
        <w:rPr>
          <w:rFonts w:ascii="Arial" w:hAnsi="Arial" w:cs="Arial"/>
          <w:i/>
          <w:iCs/>
          <w:sz w:val="20"/>
          <w:szCs w:val="20"/>
        </w:rPr>
        <w:t>Proceeds of Crime Act 2002 (</w:t>
      </w:r>
      <w:proofErr w:type="spellStart"/>
      <w:r w:rsidRPr="003F031E">
        <w:rPr>
          <w:rFonts w:ascii="Arial" w:hAnsi="Arial" w:cs="Arial"/>
          <w:i/>
          <w:iCs/>
          <w:sz w:val="20"/>
          <w:szCs w:val="20"/>
        </w:rPr>
        <w:t>Cth</w:t>
      </w:r>
      <w:proofErr w:type="spellEnd"/>
      <w:r w:rsidRPr="003F031E">
        <w:rPr>
          <w:rFonts w:ascii="Arial" w:hAnsi="Arial" w:cs="Arial"/>
          <w:i/>
          <w:iCs/>
          <w:sz w:val="20"/>
          <w:szCs w:val="20"/>
        </w:rPr>
        <w:t>)</w:t>
      </w:r>
      <w:r w:rsidRPr="007A321D">
        <w:rPr>
          <w:rFonts w:ascii="Arial" w:hAnsi="Arial" w:cs="Arial"/>
          <w:sz w:val="20"/>
          <w:szCs w:val="20"/>
        </w:rPr>
        <w:t xml:space="preserve"> (‘POCA’), it is not appropriate to interpret a legislative provision as if it ‘comprised separate elements which are to be construed in isolation from one another’. Rather, a legislative provision should ‘be read as a whole and in the context provided by the whole of the statutory framework’.</w:t>
      </w:r>
      <w:r w:rsidR="0033471C">
        <w:rPr>
          <w:rFonts w:ascii="Arial" w:hAnsi="Arial" w:cs="Arial"/>
          <w:sz w:val="20"/>
          <w:szCs w:val="20"/>
        </w:rPr>
        <w:t xml:space="preserve">  </w:t>
      </w:r>
      <w:r w:rsidRPr="003F031E">
        <w:rPr>
          <w:rFonts w:ascii="Arial" w:hAnsi="Arial" w:cs="Arial"/>
          <w:sz w:val="20"/>
          <w:szCs w:val="20"/>
        </w:rPr>
        <w:t>Although their Honours were considering a specific provision of the POCA, these statements reflect general principles of statutory interpretation</w:t>
      </w:r>
      <w:r w:rsidR="0033471C">
        <w:rPr>
          <w:rFonts w:ascii="Arial" w:hAnsi="Arial" w:cs="Arial"/>
          <w:sz w:val="20"/>
          <w:szCs w:val="20"/>
        </w:rPr>
        <w:t>.</w:t>
      </w:r>
    </w:p>
    <w:p w14:paraId="709F2551" w14:textId="77777777" w:rsidR="0033471C" w:rsidRDefault="0033471C" w:rsidP="00130028">
      <w:pPr>
        <w:spacing w:before="120"/>
        <w:ind w:left="567" w:right="567"/>
        <w:jc w:val="both"/>
        <w:rPr>
          <w:rFonts w:ascii="Arial" w:hAnsi="Arial" w:cs="Arial"/>
          <w:sz w:val="20"/>
          <w:szCs w:val="20"/>
        </w:rPr>
      </w:pPr>
      <w:r w:rsidRPr="0033471C">
        <w:rPr>
          <w:rFonts w:ascii="Arial" w:hAnsi="Arial" w:cs="Arial"/>
          <w:sz w:val="20"/>
          <w:szCs w:val="20"/>
        </w:rPr>
        <w:t>…[55] In our opinion the applicant’s submissions require interpreting s</w:t>
      </w:r>
      <w:r>
        <w:rPr>
          <w:rFonts w:ascii="Arial" w:hAnsi="Arial" w:cs="Arial"/>
          <w:sz w:val="20"/>
          <w:szCs w:val="20"/>
        </w:rPr>
        <w:t>.</w:t>
      </w:r>
      <w:r w:rsidRPr="0033471C">
        <w:rPr>
          <w:rFonts w:ascii="Arial" w:hAnsi="Arial" w:cs="Arial"/>
          <w:sz w:val="20"/>
          <w:szCs w:val="20"/>
        </w:rPr>
        <w:t xml:space="preserve">22A(1)(c) in precisely the manner against which the plurality cautioned in </w:t>
      </w:r>
      <w:proofErr w:type="spellStart"/>
      <w:r w:rsidRPr="0033471C">
        <w:rPr>
          <w:rFonts w:ascii="Arial" w:hAnsi="Arial" w:cs="Arial"/>
          <w:i/>
          <w:iCs/>
          <w:sz w:val="20"/>
          <w:szCs w:val="20"/>
        </w:rPr>
        <w:t>Lordianto</w:t>
      </w:r>
      <w:proofErr w:type="spellEnd"/>
      <w:r w:rsidRPr="0033471C">
        <w:rPr>
          <w:rFonts w:ascii="Arial" w:hAnsi="Arial" w:cs="Arial"/>
          <w:sz w:val="20"/>
          <w:szCs w:val="20"/>
        </w:rPr>
        <w:t>.</w:t>
      </w:r>
      <w:r>
        <w:rPr>
          <w:rFonts w:ascii="Arial" w:hAnsi="Arial" w:cs="Arial"/>
          <w:sz w:val="20"/>
          <w:szCs w:val="20"/>
        </w:rPr>
        <w:t xml:space="preserve">  </w:t>
      </w:r>
      <w:r w:rsidRPr="0033471C">
        <w:rPr>
          <w:rFonts w:ascii="Arial" w:hAnsi="Arial" w:cs="Arial"/>
          <w:sz w:val="20"/>
          <w:szCs w:val="20"/>
        </w:rPr>
        <w:t>Although the words ‘directly or indirectly’ appear after the words ‘acquired the interest from the accused’, it is plain that the words ‘directly or indirectly’ apply to the acquisition earlier referred to.</w:t>
      </w:r>
    </w:p>
    <w:p w14:paraId="71448864" w14:textId="10B15BA2" w:rsidR="003F031E" w:rsidRPr="0033471C" w:rsidRDefault="0033471C" w:rsidP="00130028">
      <w:pPr>
        <w:spacing w:before="120"/>
        <w:ind w:left="567" w:right="567"/>
        <w:jc w:val="both"/>
        <w:rPr>
          <w:rFonts w:ascii="Arial" w:hAnsi="Arial" w:cs="Arial"/>
          <w:sz w:val="20"/>
          <w:szCs w:val="20"/>
        </w:rPr>
      </w:pPr>
      <w:r>
        <w:rPr>
          <w:rFonts w:ascii="Arial" w:hAnsi="Arial" w:cs="Arial"/>
          <w:sz w:val="20"/>
          <w:szCs w:val="20"/>
        </w:rPr>
        <w:t xml:space="preserve">[56] </w:t>
      </w:r>
      <w:r w:rsidRPr="0033471C">
        <w:rPr>
          <w:rFonts w:ascii="Arial" w:hAnsi="Arial" w:cs="Arial"/>
          <w:sz w:val="20"/>
          <w:szCs w:val="20"/>
        </w:rPr>
        <w:t>That is, read as a whole, rather than in a piecemeal fashion, s 22A(1)(c) applies in two distinct contexts: (a) first, where the exclusion applicant acquired their interest in the property directly from the accused; and (b) secondly, where the exclusion applicant acquired their interest in the property indirectly from the accused.</w:t>
      </w:r>
      <w:r>
        <w:rPr>
          <w:rFonts w:ascii="Arial" w:hAnsi="Arial" w:cs="Arial"/>
          <w:sz w:val="20"/>
          <w:szCs w:val="20"/>
        </w:rPr>
        <w:t>”</w:t>
      </w:r>
    </w:p>
    <w:p w14:paraId="5E32AC00" w14:textId="0145C580" w:rsidR="007A321D" w:rsidRPr="0033471C" w:rsidRDefault="007A321D" w:rsidP="00177B34">
      <w:pPr>
        <w:jc w:val="both"/>
        <w:rPr>
          <w:rFonts w:ascii="Arial" w:hAnsi="Arial" w:cs="Arial"/>
          <w:sz w:val="20"/>
        </w:rPr>
      </w:pPr>
    </w:p>
    <w:p w14:paraId="094FEADD" w14:textId="77777777" w:rsidR="00B21DA4" w:rsidRDefault="00B21DA4" w:rsidP="00760F63">
      <w:pPr>
        <w:pStyle w:val="Heading2"/>
        <w:keepNext/>
        <w:keepLines/>
        <w:tabs>
          <w:tab w:val="left" w:pos="567"/>
        </w:tabs>
        <w:spacing w:line="240" w:lineRule="auto"/>
        <w:rPr>
          <w:rFonts w:ascii="Arial" w:hAnsi="Arial" w:cs="Arial"/>
          <w:b/>
          <w:bCs/>
        </w:rPr>
      </w:pPr>
      <w:bookmarkStart w:id="824" w:name="_3.7_Judgments_-"/>
      <w:bookmarkStart w:id="825" w:name="B37"/>
      <w:bookmarkEnd w:id="824"/>
      <w:r>
        <w:rPr>
          <w:rFonts w:ascii="Arial" w:hAnsi="Arial" w:cs="Arial"/>
          <w:b/>
          <w:bCs/>
        </w:rPr>
        <w:lastRenderedPageBreak/>
        <w:t>3.</w:t>
      </w:r>
      <w:r w:rsidR="00AB3569">
        <w:rPr>
          <w:rFonts w:ascii="Arial" w:hAnsi="Arial" w:cs="Arial"/>
          <w:b/>
          <w:bCs/>
        </w:rPr>
        <w:t>7</w:t>
      </w:r>
      <w:r>
        <w:rPr>
          <w:rFonts w:ascii="Arial" w:hAnsi="Arial" w:cs="Arial"/>
          <w:b/>
          <w:bCs/>
        </w:rPr>
        <w:tab/>
        <w:t>Judgments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Fonts w:ascii="Arial" w:hAnsi="Arial" w:cs="Arial"/>
          <w:b/>
          <w:bCs/>
        </w:rPr>
        <w:t xml:space="preserve"> - Explanation of and reasons for orders</w:t>
      </w:r>
      <w:bookmarkEnd w:id="822"/>
    </w:p>
    <w:bookmarkEnd w:id="825"/>
    <w:p w14:paraId="59F1C633" w14:textId="77777777" w:rsidR="00B21DA4" w:rsidRDefault="00B21DA4" w:rsidP="00130028">
      <w:pPr>
        <w:keepNext/>
        <w:keepLines/>
        <w:jc w:val="both"/>
        <w:rPr>
          <w:rFonts w:ascii="Arial" w:hAnsi="Arial" w:cs="Arial"/>
          <w:sz w:val="20"/>
        </w:rPr>
      </w:pPr>
    </w:p>
    <w:p w14:paraId="2B4D68EC" w14:textId="77777777" w:rsidR="00B21DA4" w:rsidRDefault="00B21DA4" w:rsidP="00177B34">
      <w:pPr>
        <w:pStyle w:val="Heading3"/>
        <w:spacing w:after="120" w:line="240" w:lineRule="auto"/>
        <w:rPr>
          <w:rFonts w:ascii="Arial" w:hAnsi="Arial" w:cs="Arial"/>
          <w:b/>
          <w:bCs/>
          <w:sz w:val="20"/>
        </w:rPr>
      </w:pPr>
      <w:bookmarkStart w:id="826" w:name="_3.7.1_Explanation_&amp;"/>
      <w:bookmarkStart w:id="827" w:name="B371"/>
      <w:bookmarkStart w:id="828" w:name="_Toc30652642"/>
      <w:bookmarkStart w:id="829" w:name="_Toc30652740"/>
      <w:bookmarkStart w:id="830" w:name="_Toc30654085"/>
      <w:bookmarkStart w:id="831" w:name="_Toc30654436"/>
      <w:bookmarkStart w:id="832" w:name="_Toc30655055"/>
      <w:bookmarkStart w:id="833" w:name="_Toc30655312"/>
      <w:bookmarkStart w:id="834" w:name="_Toc30656990"/>
      <w:bookmarkStart w:id="835" w:name="_Toc30661739"/>
      <w:bookmarkStart w:id="836" w:name="_Toc30666427"/>
      <w:bookmarkStart w:id="837" w:name="_Toc30666657"/>
      <w:bookmarkStart w:id="838" w:name="_Toc30667832"/>
      <w:bookmarkStart w:id="839" w:name="_Toc30669210"/>
      <w:bookmarkStart w:id="840" w:name="_Toc30671426"/>
      <w:bookmarkStart w:id="841" w:name="_Toc30673953"/>
      <w:bookmarkStart w:id="842" w:name="_Toc30691175"/>
      <w:bookmarkStart w:id="843" w:name="_Toc30691546"/>
      <w:bookmarkStart w:id="844" w:name="_Toc30691926"/>
      <w:bookmarkStart w:id="845" w:name="_Toc30692685"/>
      <w:bookmarkStart w:id="846" w:name="_Toc30693064"/>
      <w:bookmarkStart w:id="847" w:name="_Toc30693442"/>
      <w:bookmarkStart w:id="848" w:name="_Toc30693821"/>
      <w:bookmarkStart w:id="849" w:name="_Toc30694202"/>
      <w:bookmarkStart w:id="850" w:name="_Toc30698791"/>
      <w:bookmarkStart w:id="851" w:name="_Toc30699169"/>
      <w:bookmarkStart w:id="852" w:name="_Toc30699554"/>
      <w:bookmarkStart w:id="853" w:name="_Toc30700709"/>
      <w:bookmarkStart w:id="854" w:name="_Toc30701096"/>
      <w:bookmarkStart w:id="855" w:name="_Toc30743705"/>
      <w:bookmarkStart w:id="856" w:name="_Toc30754527"/>
      <w:bookmarkStart w:id="857" w:name="_Toc30756967"/>
      <w:bookmarkStart w:id="858" w:name="_Toc30757516"/>
      <w:bookmarkStart w:id="859" w:name="_Toc30757916"/>
      <w:bookmarkStart w:id="860" w:name="_Toc30762677"/>
      <w:bookmarkStart w:id="861" w:name="_Toc30767331"/>
      <w:bookmarkStart w:id="862" w:name="_Toc34823347"/>
      <w:bookmarkStart w:id="863" w:name="_Toc58831508"/>
      <w:bookmarkEnd w:id="826"/>
      <w:bookmarkEnd w:id="827"/>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00F44596">
        <w:rPr>
          <w:rFonts w:ascii="Arial" w:hAnsi="Arial" w:cs="Arial"/>
          <w:b/>
          <w:bCs/>
          <w:sz w:val="20"/>
        </w:rPr>
        <w:t xml:space="preserve"> &amp; Reasons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77777777" w:rsidR="00B21DA4" w:rsidRDefault="00B21DA4">
      <w:pPr>
        <w:jc w:val="both"/>
        <w:rPr>
          <w:rFonts w:ascii="Arial" w:hAnsi="Arial" w:cs="Arial"/>
          <w:sz w:val="20"/>
        </w:rPr>
      </w:pPr>
    </w:p>
    <w:p w14:paraId="4D1D601C" w14:textId="77777777" w:rsidR="00B21DA4" w:rsidRDefault="00B21DA4">
      <w:pPr>
        <w:jc w:val="both"/>
        <w:rPr>
          <w:rFonts w:ascii="Arial" w:hAnsi="Arial" w:cs="Arial"/>
          <w:sz w:val="20"/>
        </w:rPr>
      </w:pPr>
      <w:r>
        <w:rPr>
          <w:rFonts w:ascii="Arial" w:hAnsi="Arial" w:cs="Arial"/>
          <w:sz w:val="20"/>
        </w:rPr>
        <w:t>The explanation given of an order is neither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 nor part of the reasons for the order [s.</w:t>
      </w:r>
      <w:r w:rsidR="00A46B94">
        <w:rPr>
          <w:rFonts w:ascii="Arial" w:hAnsi="Arial" w:cs="Arial"/>
          <w:sz w:val="20"/>
        </w:rPr>
        <w:t>527</w:t>
      </w:r>
      <w:r>
        <w:rPr>
          <w:rFonts w:ascii="Arial" w:hAnsi="Arial" w:cs="Arial"/>
          <w:sz w:val="20"/>
        </w:rPr>
        <w:t>(1</w:t>
      </w:r>
      <w:r w:rsidR="00A46B94">
        <w:rPr>
          <w:rFonts w:ascii="Arial" w:hAnsi="Arial" w:cs="Arial"/>
          <w:sz w:val="20"/>
        </w:rPr>
        <w:t>1</w:t>
      </w:r>
      <w:r>
        <w:rPr>
          <w:rFonts w:ascii="Arial" w:hAnsi="Arial" w:cs="Arial"/>
          <w:sz w:val="20"/>
        </w:rPr>
        <w:t>)].</w:t>
      </w:r>
    </w:p>
    <w:p w14:paraId="7AFCE677" w14:textId="77777777" w:rsidR="00F44596" w:rsidRDefault="00F44596">
      <w:pPr>
        <w:jc w:val="both"/>
        <w:rPr>
          <w:rFonts w:ascii="Arial" w:hAnsi="Arial" w:cs="Arial"/>
          <w:sz w:val="20"/>
        </w:rPr>
      </w:pPr>
    </w:p>
    <w:p w14:paraId="53224A55" w14:textId="77777777"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64F50B5" w14:textId="77777777" w:rsidR="00B21DA4" w:rsidRDefault="00B21DA4">
      <w:pPr>
        <w:rPr>
          <w:rFonts w:ascii="Arial" w:hAnsi="Arial" w:cs="Arial"/>
          <w:sz w:val="20"/>
        </w:rPr>
      </w:pPr>
      <w:r>
        <w:rPr>
          <w:rFonts w:ascii="Arial" w:hAnsi="Arial" w:cs="Arial"/>
          <w:sz w:val="20"/>
        </w:rPr>
        <w:t>The reasons for an order are not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w:t>
      </w:r>
    </w:p>
    <w:p w14:paraId="1BD7F91C" w14:textId="77777777" w:rsidR="00B21DA4" w:rsidRDefault="00B21DA4">
      <w:pPr>
        <w:rPr>
          <w:rFonts w:ascii="Arial" w:hAnsi="Arial" w:cs="Arial"/>
          <w:sz w:val="20"/>
        </w:rPr>
      </w:pPr>
    </w:p>
    <w:p w14:paraId="477C7A58" w14:textId="77777777" w:rsidR="00B21DA4" w:rsidRDefault="00B21DA4" w:rsidP="00302F4D">
      <w:pPr>
        <w:pStyle w:val="Heading3"/>
        <w:keepNext/>
        <w:keepLines/>
        <w:spacing w:after="120" w:line="240" w:lineRule="auto"/>
        <w:rPr>
          <w:rFonts w:ascii="Arial" w:hAnsi="Arial" w:cs="Arial"/>
          <w:b/>
          <w:bCs/>
          <w:sz w:val="20"/>
        </w:rPr>
      </w:pPr>
      <w:bookmarkStart w:id="864" w:name="_3.7.2_Judgments"/>
      <w:bookmarkStart w:id="865" w:name="B372"/>
      <w:bookmarkStart w:id="866" w:name="_Toc58831510"/>
      <w:bookmarkEnd w:id="864"/>
      <w:bookmarkEnd w:id="865"/>
      <w:r>
        <w:rPr>
          <w:rFonts w:ascii="Arial" w:hAnsi="Arial" w:cs="Arial"/>
          <w:b/>
          <w:bCs/>
          <w:sz w:val="20"/>
        </w:rPr>
        <w:t>3.</w:t>
      </w:r>
      <w:r w:rsidR="00AB3569">
        <w:rPr>
          <w:rFonts w:ascii="Arial" w:hAnsi="Arial" w:cs="Arial"/>
          <w:b/>
          <w:bCs/>
          <w:sz w:val="20"/>
        </w:rPr>
        <w:t>7</w:t>
      </w:r>
      <w:r>
        <w:rPr>
          <w:rFonts w:ascii="Arial" w:hAnsi="Arial" w:cs="Arial"/>
          <w:b/>
          <w:bCs/>
          <w:sz w:val="20"/>
        </w:rPr>
        <w:t>.</w:t>
      </w:r>
      <w:r w:rsidR="00F44596">
        <w:rPr>
          <w:rFonts w:ascii="Arial" w:hAnsi="Arial" w:cs="Arial"/>
          <w:b/>
          <w:bCs/>
          <w:sz w:val="20"/>
        </w:rPr>
        <w:t>2</w:t>
      </w:r>
      <w:r>
        <w:rPr>
          <w:rFonts w:ascii="Arial" w:hAnsi="Arial" w:cs="Arial"/>
          <w:b/>
          <w:bCs/>
          <w:sz w:val="20"/>
        </w:rPr>
        <w:tab/>
        <w:t>Judgments</w:t>
      </w:r>
      <w:bookmarkEnd w:id="866"/>
    </w:p>
    <w:p w14:paraId="0D6E4D46" w14:textId="77777777" w:rsidR="00B21DA4" w:rsidRDefault="00B21DA4">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 reasons are given orally in Court immediately or shortly after the conclusion of the case; or</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77777777" w:rsidR="00B21DA4" w:rsidRDefault="00B21DA4">
      <w:pPr>
        <w:jc w:val="both"/>
        <w:rPr>
          <w:rFonts w:ascii="Arial" w:hAnsi="Arial" w:cs="Arial"/>
          <w:sz w:val="20"/>
        </w:rPr>
      </w:pPr>
    </w:p>
    <w:p w14:paraId="41DA561C" w14:textId="77777777"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 xml:space="preserve">Murray Goulburn Coop Co Limited v </w:t>
      </w:r>
      <w:proofErr w:type="spellStart"/>
      <w:r w:rsidRPr="00232FC7">
        <w:rPr>
          <w:rFonts w:ascii="Arial" w:hAnsi="Arial" w:cs="Arial"/>
          <w:i/>
          <w:color w:val="000000"/>
          <w:sz w:val="20"/>
          <w:szCs w:val="20"/>
        </w:rPr>
        <w:t>Filliponi</w:t>
      </w:r>
      <w:proofErr w:type="spellEnd"/>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proofErr w:type="spellStart"/>
      <w:r w:rsidRPr="00F018D1">
        <w:rPr>
          <w:rFonts w:ascii="Arial" w:hAnsi="Arial" w:cs="Arial"/>
          <w:i/>
          <w:sz w:val="20"/>
        </w:rPr>
        <w:t>Allsmanti</w:t>
      </w:r>
      <w:proofErr w:type="spellEnd"/>
      <w:r w:rsidRPr="00F018D1">
        <w:rPr>
          <w:rFonts w:ascii="Arial" w:hAnsi="Arial" w:cs="Arial"/>
          <w:i/>
          <w:sz w:val="20"/>
        </w:rPr>
        <w:t xml:space="preserve"> Pty Ltd v </w:t>
      </w:r>
      <w:proofErr w:type="spellStart"/>
      <w:r w:rsidRPr="00F018D1">
        <w:rPr>
          <w:rFonts w:ascii="Arial" w:hAnsi="Arial" w:cs="Arial"/>
          <w:i/>
          <w:sz w:val="20"/>
        </w:rPr>
        <w:t>Ernikiolis</w:t>
      </w:r>
      <w:proofErr w:type="spellEnd"/>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 xml:space="preserve">Insurance Manufacturers of Australia Pty Ltd v </w:t>
      </w:r>
      <w:proofErr w:type="spellStart"/>
      <w:r w:rsidRPr="00595D01">
        <w:rPr>
          <w:rFonts w:ascii="Arial" w:hAnsi="Arial" w:cs="Arial"/>
          <w:i/>
          <w:sz w:val="20"/>
        </w:rPr>
        <w:t>Vandermeer</w:t>
      </w:r>
      <w:proofErr w:type="spellEnd"/>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 xml:space="preserve">adequate statement of reasons, namely:  the judge should refer to relevant evidence; the judge should set out any material findings of fact and conclusions or ultimate findings of fact reached; and the judge should provide </w:t>
      </w:r>
      <w:r w:rsidRPr="00595D01">
        <w:rPr>
          <w:rFonts w:ascii="Arial" w:hAnsi="Arial" w:cs="Arial"/>
          <w:sz w:val="20"/>
          <w:szCs w:val="20"/>
        </w:rPr>
        <w:lastRenderedPageBreak/>
        <w:t>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 xml:space="preserve">Kelso v </w:t>
      </w:r>
      <w:proofErr w:type="spellStart"/>
      <w:r w:rsidRPr="00FC6E39">
        <w:rPr>
          <w:rFonts w:ascii="Arial" w:hAnsi="Arial" w:cs="Arial"/>
          <w:i/>
          <w:sz w:val="20"/>
          <w:szCs w:val="20"/>
        </w:rPr>
        <w:t>Tatiara</w:t>
      </w:r>
      <w:proofErr w:type="spellEnd"/>
      <w:r w:rsidRPr="00FC6E39">
        <w:rPr>
          <w:rFonts w:ascii="Arial" w:hAnsi="Arial" w:cs="Arial"/>
          <w:i/>
          <w:sz w:val="20"/>
          <w:szCs w:val="20"/>
        </w:rPr>
        <w:t xml:space="preserve">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9D27CA">
      <w:pPr>
        <w:keepNext/>
        <w:keepLines/>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 xml:space="preserve">Mutual Cleaning &amp; Maintenance Pty Ltd v </w:t>
      </w:r>
      <w:proofErr w:type="spellStart"/>
      <w:r w:rsidRPr="00FC6E39">
        <w:rPr>
          <w:rFonts w:ascii="Arial" w:hAnsi="Arial" w:cs="Arial"/>
          <w:i/>
          <w:sz w:val="20"/>
          <w:lang w:val="en"/>
        </w:rPr>
        <w:t>Stamboulakis</w:t>
      </w:r>
      <w:proofErr w:type="spellEnd"/>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P stated that the obligation to give adequate reasons entailed a rational explanation for 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 xml:space="preserve">[2006] VSCA 48 at [65], again </w:t>
      </w:r>
      <w:proofErr w:type="spellStart"/>
      <w:r w:rsidRPr="00FC6E39">
        <w:rPr>
          <w:rFonts w:ascii="Arial" w:hAnsi="Arial" w:cs="Arial"/>
          <w:sz w:val="20"/>
          <w:lang w:val="en"/>
        </w:rPr>
        <w:t>emphasised</w:t>
      </w:r>
      <w:proofErr w:type="spellEnd"/>
      <w:r w:rsidRPr="00FC6E39">
        <w:rPr>
          <w:rFonts w:ascii="Arial" w:hAnsi="Arial" w:cs="Arial"/>
          <w:sz w:val="20"/>
          <w:lang w:val="en"/>
        </w:rPr>
        <w:t xml:space="preserve">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place">
        <w:smartTag w:uri="urn:schemas-microsoft-com:office:smarttags" w:element="Stat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9D27CA">
      <w:pPr>
        <w:keepNext/>
        <w:keepLines/>
        <w:spacing w:before="60"/>
        <w:ind w:left="567" w:right="567"/>
        <w:jc w:val="both"/>
        <w:rPr>
          <w:rFonts w:ascii="Arial" w:hAnsi="Arial" w:cs="Arial"/>
          <w:sz w:val="20"/>
        </w:rPr>
      </w:pPr>
      <w:r>
        <w:rPr>
          <w:rFonts w:ascii="Arial" w:hAnsi="Arial" w:cs="Arial"/>
          <w:sz w:val="20"/>
        </w:rPr>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proofErr w:type="spellStart"/>
      <w:r>
        <w:rPr>
          <w:rFonts w:ascii="Arial" w:hAnsi="Arial" w:cs="Arial"/>
          <w:i/>
          <w:sz w:val="20"/>
        </w:rPr>
        <w:t>Soulemezis</w:t>
      </w:r>
      <w:proofErr w:type="spellEnd"/>
      <w:r>
        <w:rPr>
          <w:rFonts w:ascii="Arial" w:hAnsi="Arial" w:cs="Arial"/>
          <w:i/>
          <w:sz w:val="20"/>
        </w:rPr>
        <w:t xml:space="preserve">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 xml:space="preserve">[2002] VSCA 189 the Court of Appeal (Charles, Buchanan &amp; </w:t>
      </w:r>
      <w:proofErr w:type="spellStart"/>
      <w:r>
        <w:rPr>
          <w:rFonts w:ascii="Arial" w:hAnsi="Arial" w:cs="Arial"/>
          <w:sz w:val="20"/>
        </w:rPr>
        <w:t>Chernov</w:t>
      </w:r>
      <w:proofErr w:type="spellEnd"/>
      <w:r>
        <w:rPr>
          <w:rFonts w:ascii="Arial" w:hAnsi="Arial" w:cs="Arial"/>
          <w:sz w:val="20"/>
        </w:rPr>
        <w:t xml:space="preserve"> JJA) extensively reviewed the case law and held:</w:t>
      </w:r>
    </w:p>
    <w:p w14:paraId="4CA08295" w14:textId="77777777" w:rsidR="00B21DA4" w:rsidRDefault="00B21DA4" w:rsidP="00212E38">
      <w:pPr>
        <w:keepNext/>
        <w:keepLines/>
        <w:numPr>
          <w:ilvl w:val="0"/>
          <w:numId w:val="11"/>
        </w:numPr>
        <w:jc w:val="both"/>
        <w:rPr>
          <w:rFonts w:ascii="Arial" w:hAnsi="Arial" w:cs="Arial"/>
          <w:sz w:val="20"/>
        </w:rPr>
      </w:pPr>
      <w:r>
        <w:rPr>
          <w:rFonts w:ascii="Arial" w:hAnsi="Arial" w:cs="Arial"/>
          <w:sz w:val="20"/>
        </w:rPr>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 xml:space="preserve">Sun Alliance Insurance Ltd v </w:t>
      </w:r>
      <w:proofErr w:type="spellStart"/>
      <w:r>
        <w:rPr>
          <w:rFonts w:ascii="Arial" w:hAnsi="Arial" w:cs="Arial"/>
          <w:i/>
          <w:iCs/>
          <w:sz w:val="20"/>
        </w:rPr>
        <w:t>Massoud</w:t>
      </w:r>
      <w:proofErr w:type="spellEnd"/>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212E38">
      <w:pPr>
        <w:numPr>
          <w:ilvl w:val="0"/>
          <w:numId w:val="11"/>
        </w:numPr>
        <w:jc w:val="both"/>
        <w:rPr>
          <w:rFonts w:ascii="Arial" w:hAnsi="Arial" w:cs="Arial"/>
          <w:sz w:val="20"/>
        </w:rPr>
      </w:pPr>
      <w:r>
        <w:rPr>
          <w:rFonts w:ascii="Arial" w:hAnsi="Arial" w:cs="Arial"/>
          <w:sz w:val="20"/>
        </w:rPr>
        <w:lastRenderedPageBreak/>
        <w:t xml:space="preserve">At [103]: The failure of a judge or magistrate to refer to relevant evidence may result in an appeal court properly drawing the inference that it was overlooked or ignored: </w:t>
      </w:r>
      <w:proofErr w:type="spellStart"/>
      <w:r>
        <w:rPr>
          <w:rFonts w:ascii="Arial" w:hAnsi="Arial" w:cs="Arial"/>
          <w:i/>
          <w:iCs/>
          <w:sz w:val="20"/>
        </w:rPr>
        <w:t>Yendall</w:t>
      </w:r>
      <w:proofErr w:type="spellEnd"/>
      <w:r>
        <w:rPr>
          <w:rFonts w:ascii="Arial" w:hAnsi="Arial" w:cs="Arial"/>
          <w:i/>
          <w:iCs/>
          <w:sz w:val="20"/>
        </w:rPr>
        <w:t xml:space="preserve"> v Smith Mitchell &amp; Co Ltd</w:t>
      </w:r>
      <w:r>
        <w:rPr>
          <w:rFonts w:ascii="Arial" w:hAnsi="Arial" w:cs="Arial"/>
          <w:sz w:val="20"/>
        </w:rPr>
        <w:t xml:space="preserve"> [1953] VLR 369 at 379; </w:t>
      </w:r>
      <w:r>
        <w:rPr>
          <w:rFonts w:ascii="Arial" w:hAnsi="Arial" w:cs="Arial"/>
          <w:i/>
          <w:iCs/>
          <w:sz w:val="20"/>
        </w:rPr>
        <w:t xml:space="preserve">Sun Alliance Insurance v </w:t>
      </w:r>
      <w:proofErr w:type="spellStart"/>
      <w:r>
        <w:rPr>
          <w:rFonts w:ascii="Arial" w:hAnsi="Arial" w:cs="Arial"/>
          <w:i/>
          <w:iCs/>
          <w:sz w:val="20"/>
        </w:rPr>
        <w:t>Massoud</w:t>
      </w:r>
      <w:proofErr w:type="spellEnd"/>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C0A9F">
      <w:pPr>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w:t>
      </w:r>
      <w:proofErr w:type="spellStart"/>
      <w:r>
        <w:rPr>
          <w:rFonts w:ascii="Arial" w:hAnsi="Arial" w:cs="Arial"/>
          <w:sz w:val="20"/>
        </w:rPr>
        <w:t>Cussen</w:t>
      </w:r>
      <w:proofErr w:type="spellEnd"/>
      <w:r>
        <w:rPr>
          <w:rFonts w:ascii="Arial" w:hAnsi="Arial" w:cs="Arial"/>
          <w:sz w:val="20"/>
        </w:rPr>
        <w:t xml:space="preserve">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pPr>
        <w:spacing w:before="60"/>
        <w:ind w:left="567" w:right="567"/>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proofErr w:type="spellStart"/>
      <w:r>
        <w:rPr>
          <w:rFonts w:ascii="Arial" w:hAnsi="Arial" w:cs="Arial"/>
          <w:i/>
          <w:iCs/>
          <w:sz w:val="20"/>
        </w:rPr>
        <w:t>Soulemezis</w:t>
      </w:r>
      <w:proofErr w:type="spellEnd"/>
      <w:r>
        <w:rPr>
          <w:rFonts w:ascii="Arial" w:hAnsi="Arial" w:cs="Arial"/>
          <w:i/>
          <w:iCs/>
          <w:sz w:val="20"/>
        </w:rPr>
        <w:t xml:space="preserve">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2C0A9F">
      <w:pPr>
        <w:spacing w:before="60"/>
        <w:ind w:left="567" w:right="567"/>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7572D2">
        <w:rPr>
          <w:rFonts w:ascii="Arial" w:hAnsi="Arial" w:cs="Arial"/>
          <w:i/>
          <w:iCs/>
          <w:color w:val="000000"/>
          <w:sz w:val="20"/>
          <w:u w:val="single"/>
          <w14:shadow w14:blurRad="50800" w14:dist="38100" w14:dir="2700000" w14:sx="100000" w14:sy="100000" w14:kx="0" w14:ky="0" w14:algn="tl">
            <w14:srgbClr w14:val="000000">
              <w14:alpha w14:val="60000"/>
            </w14:srgbClr>
          </w14:shadow>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867" w:name="_Toc30608810"/>
      <w:bookmarkStart w:id="868" w:name="_Toc30610024"/>
      <w:bookmarkStart w:id="869" w:name="_Toc30610268"/>
      <w:bookmarkStart w:id="870" w:name="_Toc30638422"/>
      <w:bookmarkStart w:id="871" w:name="_Toc30644231"/>
      <w:bookmarkStart w:id="872" w:name="_Toc30644634"/>
      <w:bookmarkStart w:id="873" w:name="_Toc30645184"/>
      <w:bookmarkStart w:id="874" w:name="_Toc30646395"/>
      <w:bookmarkStart w:id="875" w:name="_Toc30646690"/>
      <w:bookmarkStart w:id="876" w:name="_Toc30646801"/>
      <w:bookmarkStart w:id="877" w:name="_Toc30648158"/>
      <w:bookmarkStart w:id="878" w:name="_Toc30649056"/>
      <w:bookmarkStart w:id="879" w:name="_Toc30649132"/>
      <w:bookmarkStart w:id="880" w:name="_Toc30649393"/>
      <w:bookmarkStart w:id="881" w:name="_Toc30649718"/>
      <w:bookmarkStart w:id="882" w:name="_Toc30651658"/>
      <w:bookmarkStart w:id="883" w:name="_Toc30652644"/>
      <w:bookmarkStart w:id="884" w:name="_Toc30652742"/>
      <w:bookmarkStart w:id="885" w:name="_Toc30654087"/>
      <w:bookmarkStart w:id="886" w:name="_Toc30654438"/>
      <w:bookmarkStart w:id="887" w:name="_Toc30655057"/>
      <w:bookmarkStart w:id="888" w:name="_Toc30655314"/>
      <w:bookmarkStart w:id="889" w:name="_Toc30656992"/>
      <w:bookmarkStart w:id="890" w:name="_Toc30661741"/>
      <w:bookmarkStart w:id="891" w:name="_Toc30666429"/>
      <w:bookmarkStart w:id="892" w:name="_Toc30666659"/>
      <w:bookmarkStart w:id="893" w:name="_Toc30667834"/>
      <w:bookmarkStart w:id="894" w:name="_Toc30669212"/>
      <w:bookmarkStart w:id="895" w:name="_Toc30671428"/>
      <w:bookmarkStart w:id="896" w:name="_Toc30673955"/>
      <w:bookmarkStart w:id="897" w:name="_Toc30691177"/>
      <w:bookmarkStart w:id="898" w:name="_Toc30691548"/>
      <w:bookmarkStart w:id="899" w:name="_Toc30691928"/>
      <w:bookmarkStart w:id="900" w:name="_Toc30692687"/>
      <w:bookmarkStart w:id="901" w:name="_Toc30693066"/>
      <w:bookmarkStart w:id="902" w:name="_Toc30693444"/>
      <w:bookmarkStart w:id="903" w:name="_Toc30693823"/>
      <w:bookmarkStart w:id="904" w:name="_Toc30694204"/>
      <w:bookmarkStart w:id="905" w:name="_Toc30698793"/>
      <w:bookmarkStart w:id="906" w:name="_Toc30699171"/>
      <w:bookmarkStart w:id="907" w:name="_Toc30699556"/>
      <w:bookmarkStart w:id="908" w:name="_Toc30700711"/>
      <w:bookmarkStart w:id="909" w:name="_Toc30701098"/>
      <w:bookmarkStart w:id="910" w:name="_Toc30743707"/>
      <w:bookmarkStart w:id="911" w:name="_Toc30754529"/>
      <w:bookmarkStart w:id="912" w:name="_Toc30756969"/>
      <w:bookmarkStart w:id="913" w:name="_Toc30757518"/>
      <w:bookmarkStart w:id="914" w:name="_Toc30757918"/>
      <w:bookmarkStart w:id="915" w:name="_Toc30762679"/>
      <w:bookmarkStart w:id="916" w:name="_Toc30767333"/>
      <w:bookmarkStart w:id="917" w:name="_Toc34823349"/>
      <w:bookmarkStart w:id="918"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1C1A52">
      <w:pPr>
        <w:spacing w:before="80"/>
        <w:ind w:left="567" w:right="567"/>
        <w:jc w:val="both"/>
        <w:rPr>
          <w:rFonts w:ascii="Arial" w:hAnsi="Arial" w:cs="Arial"/>
          <w:sz w:val="20"/>
        </w:rPr>
      </w:pPr>
      <w:r>
        <w:rPr>
          <w:rFonts w:ascii="Arial" w:hAnsi="Arial" w:cs="Arial"/>
          <w:sz w:val="20"/>
        </w:rPr>
        <w:t>“</w:t>
      </w:r>
      <w:r w:rsidRPr="001E2974">
        <w:rPr>
          <w:rFonts w:ascii="Arial" w:hAnsi="Arial" w:cs="Arial"/>
          <w:sz w:val="20"/>
          <w:szCs w:val="20"/>
        </w:rPr>
        <w:t>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tribunals are expected to deliver justice with speed and economy, and against these imperatives must in their judgments be as brie</w:t>
      </w:r>
      <w:r>
        <w:rPr>
          <w:rFonts w:ascii="Arial" w:hAnsi="Arial" w:cs="Arial"/>
          <w:sz w:val="20"/>
          <w:szCs w:val="20"/>
        </w:rPr>
        <w:t>f as the circumstances permit.”</w:t>
      </w:r>
    </w:p>
    <w:p w14:paraId="5518DF7D" w14:textId="4946C469" w:rsidR="00B46278" w:rsidRDefault="00B46278" w:rsidP="00B46278">
      <w:pPr>
        <w:jc w:val="both"/>
        <w:rPr>
          <w:rFonts w:ascii="Arial" w:hAnsi="Arial" w:cs="Arial"/>
          <w:sz w:val="20"/>
        </w:rPr>
      </w:pPr>
    </w:p>
    <w:p w14:paraId="3AE9DD64" w14:textId="5DD9508B" w:rsidR="001C5874" w:rsidRDefault="001C1A52" w:rsidP="00B46278">
      <w:pPr>
        <w:jc w:val="both"/>
        <w:rPr>
          <w:rFonts w:ascii="Arial" w:hAnsi="Arial" w:cs="Arial"/>
          <w:sz w:val="20"/>
        </w:rPr>
      </w:pPr>
      <w:r>
        <w:rPr>
          <w:rFonts w:ascii="Arial" w:hAnsi="Arial" w:cs="Arial"/>
          <w:sz w:val="20"/>
        </w:rPr>
        <w:t xml:space="preserve">In </w:t>
      </w:r>
      <w:r w:rsidR="001C5874" w:rsidRPr="001C1A52">
        <w:rPr>
          <w:rFonts w:ascii="Arial" w:hAnsi="Arial" w:cs="Arial"/>
          <w:i/>
          <w:iCs/>
          <w:sz w:val="20"/>
        </w:rPr>
        <w:t xml:space="preserve">Warburton </w:t>
      </w:r>
      <w:r w:rsidRPr="001C1A52">
        <w:rPr>
          <w:rFonts w:ascii="Arial" w:hAnsi="Arial" w:cs="Arial"/>
          <w:i/>
          <w:iCs/>
          <w:sz w:val="20"/>
        </w:rPr>
        <w:t xml:space="preserve">Environment Inc v </w:t>
      </w:r>
      <w:proofErr w:type="spellStart"/>
      <w:r w:rsidRPr="001C1A52">
        <w:rPr>
          <w:rFonts w:ascii="Arial" w:hAnsi="Arial" w:cs="Arial"/>
          <w:i/>
          <w:iCs/>
          <w:sz w:val="20"/>
        </w:rPr>
        <w:t>VicForests</w:t>
      </w:r>
      <w:proofErr w:type="spellEnd"/>
      <w:r>
        <w:rPr>
          <w:rFonts w:ascii="Arial" w:hAnsi="Arial" w:cs="Arial"/>
          <w:sz w:val="20"/>
        </w:rPr>
        <w:t xml:space="preserve"> [2021] VSCA 194 – holding that the reasons of Garde J in [2021] VSC 35 were adequate – the Court of Appeal (Niall, Emerton &amp; Kennedy JJA) held at [</w:t>
      </w:r>
      <w:r w:rsidR="007C4A9F">
        <w:rPr>
          <w:rFonts w:ascii="Arial" w:hAnsi="Arial" w:cs="Arial"/>
          <w:sz w:val="20"/>
        </w:rPr>
        <w:t>8</w:t>
      </w:r>
      <w:r>
        <w:rPr>
          <w:rFonts w:ascii="Arial" w:hAnsi="Arial" w:cs="Arial"/>
          <w:sz w:val="20"/>
        </w:rPr>
        <w:t>9]-[</w:t>
      </w:r>
      <w:r w:rsidR="007C4A9F">
        <w:rPr>
          <w:rFonts w:ascii="Arial" w:hAnsi="Arial" w:cs="Arial"/>
          <w:sz w:val="20"/>
        </w:rPr>
        <w:t>9</w:t>
      </w:r>
      <w:r w:rsidR="004A50B3">
        <w:rPr>
          <w:rFonts w:ascii="Arial" w:hAnsi="Arial" w:cs="Arial"/>
          <w:sz w:val="20"/>
        </w:rPr>
        <w:t>4</w:t>
      </w:r>
      <w:r>
        <w:rPr>
          <w:rFonts w:ascii="Arial" w:hAnsi="Arial" w:cs="Arial"/>
          <w:sz w:val="20"/>
        </w:rPr>
        <w:t>]:</w:t>
      </w:r>
    </w:p>
    <w:p w14:paraId="38E39EAA" w14:textId="47EAA31E" w:rsidR="001C1A52" w:rsidRPr="001C1A52" w:rsidRDefault="001C1A52" w:rsidP="001C1A52">
      <w:pPr>
        <w:spacing w:before="80"/>
        <w:ind w:left="567" w:right="567"/>
        <w:jc w:val="both"/>
        <w:rPr>
          <w:rFonts w:ascii="Arial" w:hAnsi="Arial" w:cs="Arial"/>
          <w:sz w:val="20"/>
          <w:szCs w:val="20"/>
        </w:rPr>
      </w:pPr>
      <w:r>
        <w:rPr>
          <w:rFonts w:ascii="Arial" w:hAnsi="Arial" w:cs="Arial"/>
          <w:sz w:val="20"/>
        </w:rPr>
        <w:t>[</w:t>
      </w:r>
      <w:r w:rsidR="007C4A9F">
        <w:rPr>
          <w:rFonts w:ascii="Arial" w:hAnsi="Arial" w:cs="Arial"/>
          <w:sz w:val="20"/>
        </w:rPr>
        <w:t>8</w:t>
      </w:r>
      <w:r>
        <w:rPr>
          <w:rFonts w:ascii="Arial" w:hAnsi="Arial" w:cs="Arial"/>
          <w:sz w:val="20"/>
        </w:rPr>
        <w:t>9] “</w:t>
      </w:r>
      <w:r w:rsidRPr="001C1A52">
        <w:rPr>
          <w:rFonts w:ascii="Arial" w:hAnsi="Arial" w:cs="Arial"/>
          <w:sz w:val="20"/>
          <w:szCs w:val="20"/>
        </w:rPr>
        <w:t>The obligation to give reasons for a decision is a hallmark of the exercise of judicial power.  It is well established that the nature of the obligation and the content of the duty to give reasons depends on the nature of the hearing and the issues that must be determined.  In</w:t>
      </w:r>
      <w:r>
        <w:rPr>
          <w:rFonts w:ascii="Arial" w:hAnsi="Arial" w:cs="Arial"/>
          <w:sz w:val="20"/>
          <w:szCs w:val="20"/>
        </w:rPr>
        <w:t> </w:t>
      </w:r>
      <w:r w:rsidRPr="001C1A52">
        <w:rPr>
          <w:rFonts w:ascii="Arial" w:hAnsi="Arial" w:cs="Arial"/>
          <w:sz w:val="20"/>
          <w:szCs w:val="20"/>
        </w:rPr>
        <w:t>the context of a decision in a criminal trial before a judge</w:t>
      </w:r>
      <w:r>
        <w:rPr>
          <w:rFonts w:ascii="Arial" w:hAnsi="Arial" w:cs="Arial"/>
          <w:sz w:val="20"/>
          <w:szCs w:val="20"/>
        </w:rPr>
        <w:t xml:space="preserve"> alone Nettle J said in </w:t>
      </w:r>
      <w:r w:rsidRPr="001C1A52">
        <w:rPr>
          <w:rFonts w:ascii="Arial" w:hAnsi="Arial" w:cs="Arial"/>
          <w:i/>
          <w:iCs/>
          <w:sz w:val="20"/>
        </w:rPr>
        <w:t xml:space="preserve">DL v The </w:t>
      </w:r>
      <w:r w:rsidRPr="001C1A52">
        <w:rPr>
          <w:rFonts w:ascii="Arial" w:hAnsi="Arial" w:cs="Arial"/>
          <w:i/>
          <w:iCs/>
          <w:sz w:val="20"/>
          <w:szCs w:val="20"/>
        </w:rPr>
        <w:t>Queen</w:t>
      </w:r>
      <w:r w:rsidRPr="001C1A52">
        <w:rPr>
          <w:rFonts w:ascii="Arial" w:hAnsi="Arial" w:cs="Arial"/>
          <w:sz w:val="20"/>
          <w:szCs w:val="20"/>
        </w:rPr>
        <w:t xml:space="preserve"> (2018) 266 CLR 1, 44</w:t>
      </w:r>
      <w:r w:rsidRPr="001C1A52">
        <w:rPr>
          <w:rFonts w:ascii="Arial" w:eastAsia="Book Antiqua" w:hAnsi="Arial" w:cs="Arial"/>
          <w:sz w:val="20"/>
          <w:szCs w:val="20"/>
        </w:rPr>
        <w:t>–</w:t>
      </w:r>
      <w:r w:rsidRPr="001C1A52">
        <w:rPr>
          <w:rFonts w:ascii="Arial" w:hAnsi="Arial" w:cs="Arial"/>
          <w:sz w:val="20"/>
          <w:szCs w:val="20"/>
        </w:rPr>
        <w:t>5 [131]; [2018] HCA 26 (citations omitted)</w:t>
      </w:r>
      <w:r>
        <w:rPr>
          <w:rFonts w:ascii="Arial" w:hAnsi="Arial" w:cs="Arial"/>
          <w:sz w:val="20"/>
          <w:szCs w:val="20"/>
        </w:rPr>
        <w:t>:</w:t>
      </w:r>
    </w:p>
    <w:p w14:paraId="08325BF2" w14:textId="7C12229C" w:rsidR="001C1A52" w:rsidRPr="001C1A52" w:rsidRDefault="001C1A52" w:rsidP="001C1A52">
      <w:pPr>
        <w:ind w:left="1021" w:right="1021"/>
        <w:jc w:val="both"/>
        <w:rPr>
          <w:rFonts w:ascii="Arial" w:hAnsi="Arial" w:cs="Arial"/>
          <w:sz w:val="20"/>
        </w:rPr>
      </w:pPr>
      <w:r w:rsidRPr="001C1A52">
        <w:rPr>
          <w:rFonts w:ascii="Arial" w:hAnsi="Arial" w:cs="Arial"/>
          <w:sz w:val="18"/>
          <w:szCs w:val="20"/>
        </w:rPr>
        <w:t>‘Since parties must be able to see the extent to which their cases have been understood and accepted, a trial judge will ordinarily be expected to expose his or her reasoning on points critical to the contest between the parties.  This applies both to evidence and to argument.  If a party relies on relevant and cogent evidence which the judge rejects, the judge should provide a reasoned explanation for the rejection of that evidence.  If the parties advance conflicting evidence on a matter significant to the outcome, both sets of evidence should be referred to and reasons provided for why the judge prefers one set of evidence to the other.  Similarly, while a judge is not required to deal with every argument and issue that might arise in the course of a trial, if a party raises a substantial argument which the judge rejects, the judge should refer to it and assign reasons for its rejection.  And in providing reasons, the judge is required to make apparent the steps he or she has taken in reaching the conclusion expressed, for reasons are not intelligible if they leave the reader to speculate as to which of a number of possible paths of reasoning the judge may have taken to that conclusion.  Failure sufficiently to expose the path of reasoning is therefore an error of law.</w:t>
      </w:r>
      <w:r>
        <w:rPr>
          <w:rFonts w:ascii="Arial" w:hAnsi="Arial" w:cs="Arial"/>
          <w:sz w:val="18"/>
          <w:szCs w:val="20"/>
        </w:rPr>
        <w:t>’</w:t>
      </w:r>
    </w:p>
    <w:p w14:paraId="6DC6341A" w14:textId="53648854" w:rsidR="001C1A52" w:rsidRDefault="001C1A52"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0] </w:t>
      </w:r>
      <w:r w:rsidRPr="001C1A52">
        <w:rPr>
          <w:rFonts w:ascii="Arial" w:hAnsi="Arial" w:cs="Arial"/>
          <w:sz w:val="20"/>
          <w:szCs w:val="20"/>
        </w:rPr>
        <w:t>In the paragraph preceding the one just quoted, Nettle J said that the extent of the obligation may depend on the circumstances of the case, but that reasons must identify the relevant principles of law, refer to relevant evidence, state the judge's findings upon material questions of fact, and provide an explanation for those findings and the ultimate conclusions reached by the judge.</w:t>
      </w:r>
    </w:p>
    <w:p w14:paraId="5EDF1EA3" w14:textId="675709CF" w:rsidR="001C1A52" w:rsidRDefault="001C1A52" w:rsidP="001C1A52">
      <w:pPr>
        <w:spacing w:before="80"/>
        <w:ind w:left="567" w:right="567"/>
        <w:jc w:val="both"/>
        <w:rPr>
          <w:rFonts w:ascii="Arial" w:hAnsi="Arial" w:cs="Arial"/>
          <w:sz w:val="20"/>
          <w:szCs w:val="20"/>
        </w:rPr>
      </w:pPr>
      <w:r>
        <w:rPr>
          <w:rFonts w:ascii="Arial" w:hAnsi="Arial" w:cs="Arial"/>
          <w:sz w:val="20"/>
          <w:szCs w:val="20"/>
        </w:rPr>
        <w:lastRenderedPageBreak/>
        <w:t>[</w:t>
      </w:r>
      <w:r w:rsidR="007C4A9F">
        <w:rPr>
          <w:rFonts w:ascii="Arial" w:hAnsi="Arial" w:cs="Arial"/>
          <w:sz w:val="20"/>
          <w:szCs w:val="20"/>
        </w:rPr>
        <w:t>9</w:t>
      </w:r>
      <w:r>
        <w:rPr>
          <w:rFonts w:ascii="Arial" w:hAnsi="Arial" w:cs="Arial"/>
          <w:sz w:val="20"/>
          <w:szCs w:val="20"/>
        </w:rPr>
        <w:t xml:space="preserve">1] </w:t>
      </w:r>
      <w:r w:rsidRPr="001C1A52">
        <w:rPr>
          <w:rFonts w:ascii="Arial" w:hAnsi="Arial" w:cs="Arial"/>
          <w:sz w:val="20"/>
          <w:szCs w:val="20"/>
        </w:rPr>
        <w:t xml:space="preserve">In considering an argument about the adequacy of </w:t>
      </w:r>
      <w:r w:rsidRPr="001C1A52">
        <w:rPr>
          <w:rFonts w:ascii="Arial" w:eastAsia="Book Antiqua" w:hAnsi="Arial" w:cs="Arial"/>
          <w:sz w:val="20"/>
          <w:szCs w:val="20"/>
        </w:rPr>
        <w:t xml:space="preserve">a judge’s reasons in a </w:t>
      </w:r>
      <w:r w:rsidRPr="001C1A52">
        <w:rPr>
          <w:rFonts w:ascii="Arial" w:hAnsi="Arial" w:cs="Arial"/>
          <w:sz w:val="20"/>
          <w:szCs w:val="20"/>
        </w:rPr>
        <w:t xml:space="preserve">serious injury application under the s 134AB of the </w:t>
      </w:r>
      <w:r w:rsidRPr="001C1A52">
        <w:rPr>
          <w:rFonts w:ascii="Arial" w:eastAsia="Book Antiqua" w:hAnsi="Arial" w:cs="Arial"/>
          <w:i/>
          <w:sz w:val="20"/>
          <w:szCs w:val="20"/>
        </w:rPr>
        <w:t>Accident Compensation Act 1986</w:t>
      </w:r>
      <w:r w:rsidRPr="001C1A52">
        <w:rPr>
          <w:rFonts w:ascii="Arial" w:hAnsi="Arial" w:cs="Arial"/>
          <w:sz w:val="20"/>
          <w:szCs w:val="20"/>
        </w:rPr>
        <w:t xml:space="preserve">, Kaye JA emphasised the importance of the nature of the exercise, and the manner in which the hearing is conducted, to any assessment of the adequacy of reasons: </w:t>
      </w:r>
      <w:r w:rsidRPr="001C1A52">
        <w:rPr>
          <w:rFonts w:ascii="Arial" w:eastAsia="Book Antiqua" w:hAnsi="Arial" w:cs="Arial"/>
          <w:i/>
          <w:sz w:val="20"/>
          <w:szCs w:val="20"/>
        </w:rPr>
        <w:t xml:space="preserve">Woolworths Ltd v </w:t>
      </w:r>
      <w:proofErr w:type="spellStart"/>
      <w:r w:rsidRPr="001C1A52">
        <w:rPr>
          <w:rFonts w:ascii="Arial" w:eastAsia="Book Antiqua" w:hAnsi="Arial" w:cs="Arial"/>
          <w:i/>
          <w:sz w:val="20"/>
          <w:szCs w:val="20"/>
        </w:rPr>
        <w:t>Warfe</w:t>
      </w:r>
      <w:proofErr w:type="spellEnd"/>
      <w:r w:rsidRPr="001C1A52">
        <w:rPr>
          <w:rFonts w:ascii="Arial" w:hAnsi="Arial" w:cs="Arial"/>
          <w:sz w:val="20"/>
          <w:szCs w:val="20"/>
        </w:rPr>
        <w:t xml:space="preserve"> [2013] VSCA 22; </w:t>
      </w:r>
      <w:proofErr w:type="spellStart"/>
      <w:r w:rsidRPr="001C1A52">
        <w:rPr>
          <w:rFonts w:ascii="Arial" w:eastAsia="Book Antiqua" w:hAnsi="Arial" w:cs="Arial"/>
          <w:i/>
          <w:sz w:val="20"/>
          <w:szCs w:val="20"/>
        </w:rPr>
        <w:t>Bedeux</w:t>
      </w:r>
      <w:proofErr w:type="spellEnd"/>
      <w:r w:rsidRPr="001C1A52">
        <w:rPr>
          <w:rFonts w:ascii="Arial" w:eastAsia="Book Antiqua" w:hAnsi="Arial" w:cs="Arial"/>
          <w:i/>
          <w:sz w:val="20"/>
          <w:szCs w:val="20"/>
        </w:rPr>
        <w:t xml:space="preserve"> v Transport Accident Commission </w:t>
      </w:r>
      <w:r w:rsidRPr="001C1A52">
        <w:rPr>
          <w:rFonts w:ascii="Arial" w:hAnsi="Arial" w:cs="Arial"/>
          <w:sz w:val="20"/>
          <w:szCs w:val="20"/>
        </w:rPr>
        <w:t>(2016) 76 MVR 50; [2016] VSCA 127.</w:t>
      </w:r>
      <w:r>
        <w:rPr>
          <w:rFonts w:ascii="Arial" w:hAnsi="Arial" w:cs="Arial"/>
          <w:sz w:val="20"/>
          <w:szCs w:val="20"/>
        </w:rPr>
        <w:t xml:space="preserve"> </w:t>
      </w:r>
      <w:r w:rsidRPr="001C1A52">
        <w:rPr>
          <w:rFonts w:ascii="Arial" w:hAnsi="Arial" w:cs="Arial"/>
          <w:sz w:val="20"/>
          <w:szCs w:val="20"/>
        </w:rPr>
        <w:t xml:space="preserve"> After setting out a passage from the oft cited reasons of Nettle JA in </w:t>
      </w:r>
      <w:r w:rsidRPr="004A50B3">
        <w:rPr>
          <w:rFonts w:ascii="Arial" w:eastAsia="Book Antiqua" w:hAnsi="Arial" w:cs="Arial"/>
          <w:i/>
          <w:sz w:val="20"/>
          <w:szCs w:val="20"/>
        </w:rPr>
        <w:t>Hunter</w:t>
      </w:r>
      <w:r w:rsidR="004A50B3" w:rsidRPr="004A50B3">
        <w:rPr>
          <w:rFonts w:ascii="Arial" w:eastAsia="Book Antiqua" w:hAnsi="Arial" w:cs="Arial"/>
          <w:i/>
          <w:sz w:val="20"/>
          <w:szCs w:val="20"/>
        </w:rPr>
        <w:t xml:space="preserve"> v Transport Accident Commission </w:t>
      </w:r>
      <w:r w:rsidR="004A50B3" w:rsidRPr="004A50B3">
        <w:rPr>
          <w:rFonts w:ascii="Arial" w:hAnsi="Arial" w:cs="Arial"/>
          <w:sz w:val="20"/>
          <w:szCs w:val="20"/>
        </w:rPr>
        <w:t xml:space="preserve">[2005] VSCA 1 at [21], </w:t>
      </w:r>
      <w:r w:rsidRPr="004A50B3">
        <w:rPr>
          <w:rFonts w:ascii="Arial" w:hAnsi="Arial" w:cs="Arial"/>
          <w:sz w:val="20"/>
          <w:szCs w:val="20"/>
        </w:rPr>
        <w:t>Kaye JA referred</w:t>
      </w:r>
      <w:r w:rsidRPr="001C1A52">
        <w:rPr>
          <w:rFonts w:ascii="Arial" w:hAnsi="Arial" w:cs="Arial"/>
          <w:sz w:val="20"/>
          <w:szCs w:val="20"/>
        </w:rPr>
        <w:t xml:space="preserve"> to the fact that in a serious injury application there is often little cross examination, and the legal test of serious injury is highly evaluative and does not finally determine rights.  He went on to say that, in an appropriate case, reasons can be assessed to be adequate by a combination of what is expressly stated, and the inferences that necessarily arise from what is expressly stated.</w:t>
      </w:r>
    </w:p>
    <w:p w14:paraId="74DC34FF" w14:textId="7271A5FD" w:rsidR="001C1A52" w:rsidRPr="004A50B3" w:rsidRDefault="001C1A52"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 xml:space="preserve">2] </w:t>
      </w:r>
      <w:r w:rsidR="004A50B3" w:rsidRPr="004A50B3">
        <w:rPr>
          <w:rFonts w:ascii="Arial" w:hAnsi="Arial" w:cs="Arial"/>
          <w:sz w:val="20"/>
          <w:szCs w:val="20"/>
        </w:rPr>
        <w:t xml:space="preserve">As Warburton accepted, the level of detail and analysis that is expected of reasons following a trial may not be required in reasons for interlocutory decisions.  Indeed, reasons may not be required at all for certain evidentiary rulings and procedural applications: </w:t>
      </w:r>
      <w:proofErr w:type="spellStart"/>
      <w:r w:rsidR="004A50B3" w:rsidRPr="004A50B3">
        <w:rPr>
          <w:rFonts w:ascii="Arial" w:eastAsia="Book Antiqua" w:hAnsi="Arial" w:cs="Arial"/>
          <w:i/>
          <w:sz w:val="20"/>
          <w:szCs w:val="20"/>
        </w:rPr>
        <w:t>Soulemezis</w:t>
      </w:r>
      <w:proofErr w:type="spellEnd"/>
      <w:r w:rsidR="004A50B3" w:rsidRPr="004A50B3">
        <w:rPr>
          <w:rFonts w:ascii="Arial" w:eastAsia="Book Antiqua" w:hAnsi="Arial" w:cs="Arial"/>
          <w:i/>
          <w:sz w:val="20"/>
          <w:szCs w:val="20"/>
        </w:rPr>
        <w:t xml:space="preserve"> v Dudley (Holdings) Pty Ltd</w:t>
      </w:r>
      <w:r w:rsidR="004A50B3" w:rsidRPr="004A50B3">
        <w:rPr>
          <w:rFonts w:ascii="Arial" w:hAnsi="Arial" w:cs="Arial"/>
          <w:sz w:val="20"/>
          <w:szCs w:val="20"/>
        </w:rPr>
        <w:t xml:space="preserve"> (1987) 10 NSWLR 247, 270 (Mahoney JA), 279 (McHugh JA).</w:t>
      </w:r>
    </w:p>
    <w:p w14:paraId="697271F7" w14:textId="1EBC2420" w:rsidR="004A50B3" w:rsidRDefault="004A50B3"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3] </w:t>
      </w:r>
      <w:r w:rsidRPr="004A50B3">
        <w:rPr>
          <w:rFonts w:ascii="Arial" w:hAnsi="Arial" w:cs="Arial"/>
          <w:sz w:val="20"/>
          <w:szCs w:val="20"/>
        </w:rPr>
        <w:t>It may be accepted that, absent some special reason, a judge is required to give reasons for granting or refusing an interlocutory injunction.  Those reasons should address the critical issues in the application, which will usually revolve around whether the plaintiff has established a serious question to be tried and explain where the balance of convenience lies.  Without wishing to be prescriptive, reasons on an injunction application are unlikely to require any detailed recitation of the evidence and, having regard to the nature of the exercise, there may be no occasion to resolve factual questions.  It will generally be necessary for the reasons to disclose an understanding of the allegations and the basis on which the serious question arises, identify the status quo, and give a brief explanation for why the order is made.  It will also usually be important that the judge reveal, through his or her reasons, an understanding of the impact that the making or refusal of the injunction is likely to have on the affected party.</w:t>
      </w:r>
    </w:p>
    <w:p w14:paraId="3724BE68" w14:textId="64B4632E" w:rsidR="004A50B3" w:rsidRPr="004A50B3" w:rsidRDefault="004A50B3"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4] Of course, these general observations have to be seen in the light of individual circumstances…”</w:t>
      </w:r>
    </w:p>
    <w:p w14:paraId="526C6970" w14:textId="77777777" w:rsidR="001C1A52" w:rsidRDefault="001C1A52"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w:t>
      </w:r>
      <w:proofErr w:type="spellStart"/>
      <w:r>
        <w:rPr>
          <w:rFonts w:ascii="Arial" w:hAnsi="Arial" w:cs="Arial"/>
          <w:sz w:val="20"/>
        </w:rPr>
        <w:t>Balmford</w:t>
      </w:r>
      <w:proofErr w:type="spellEnd"/>
      <w:r>
        <w:rPr>
          <w:rFonts w:ascii="Arial" w:hAnsi="Arial" w:cs="Arial"/>
          <w:sz w:val="20"/>
        </w:rPr>
        <w:t xml:space="preserve"> J. discussed the authorities generally and at [16] adopted the following dicta of the Court of Appeal in </w:t>
      </w:r>
      <w:r>
        <w:rPr>
          <w:rFonts w:ascii="Arial" w:hAnsi="Arial" w:cs="Arial"/>
          <w:i/>
          <w:sz w:val="20"/>
        </w:rPr>
        <w:t xml:space="preserve">English v Emery </w:t>
      </w:r>
      <w:proofErr w:type="spellStart"/>
      <w:r>
        <w:rPr>
          <w:rFonts w:ascii="Arial" w:hAnsi="Arial" w:cs="Arial"/>
          <w:i/>
          <w:sz w:val="20"/>
        </w:rPr>
        <w:t>Reimbold</w:t>
      </w:r>
      <w:proofErr w:type="spellEnd"/>
      <w:r>
        <w:rPr>
          <w:rFonts w:ascii="Arial" w:hAnsi="Arial" w:cs="Arial"/>
          <w:i/>
          <w:sz w:val="20"/>
        </w:rPr>
        <w:t xml:space="preserve"> &amp; Strick Ltd </w:t>
      </w:r>
      <w:r>
        <w:rPr>
          <w:rFonts w:ascii="Arial" w:hAnsi="Arial" w:cs="Arial"/>
          <w:iCs/>
          <w:sz w:val="20"/>
        </w:rPr>
        <w:t>[2002] 1 WLR 2409 (Lord Phillips of Worth Matravers MR, Latham &amp; Arden LJJ) at 2419-20:</w:t>
      </w:r>
    </w:p>
    <w:p w14:paraId="3413FE35" w14:textId="77777777" w:rsidR="00B21DA4" w:rsidRDefault="00B21DA4">
      <w:pPr>
        <w:spacing w:before="60"/>
        <w:ind w:left="567" w:right="567"/>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 xml:space="preserve">Brent London BC v </w:t>
      </w:r>
      <w:proofErr w:type="spellStart"/>
      <w:r>
        <w:rPr>
          <w:rFonts w:ascii="Arial" w:hAnsi="Arial" w:cs="Arial"/>
          <w:i/>
          <w:iCs/>
          <w:sz w:val="20"/>
        </w:rPr>
        <w:t>Aniedobe</w:t>
      </w:r>
      <w:proofErr w:type="spellEnd"/>
      <w:r>
        <w:rPr>
          <w:rFonts w:ascii="Arial" w:hAnsi="Arial" w:cs="Arial"/>
          <w:sz w:val="20"/>
        </w:rPr>
        <w:t xml:space="preserve"> [1999] CA Transcript 2003, in relation to an appeal against an order for costs:</w:t>
      </w:r>
    </w:p>
    <w:p w14:paraId="7E0C06D3" w14:textId="77777777" w:rsidR="00B21DA4" w:rsidRDefault="00B21DA4" w:rsidP="004A50B3">
      <w:pPr>
        <w:spacing w:before="60"/>
        <w:ind w:left="1134" w:right="1134"/>
        <w:jc w:val="both"/>
        <w:rPr>
          <w:rFonts w:ascii="Arial" w:hAnsi="Arial" w:cs="Arial"/>
          <w:sz w:val="20"/>
        </w:rPr>
      </w:pPr>
      <w:r>
        <w:rPr>
          <w:rFonts w:ascii="Arial" w:hAnsi="Arial" w:cs="Arial"/>
          <w:sz w:val="20"/>
        </w:rPr>
        <w:t>'…this court must be slow to interfere with the exercise of a judge's discretion, when the judge has heard the evidence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event) it is, in my judgment, incumbent on him to give reasons, albeit short reasons, for taking that unusual course.'</w:t>
      </w:r>
    </w:p>
    <w:p w14:paraId="2E6EC91C" w14:textId="77777777" w:rsidR="00B21DA4" w:rsidRDefault="00B21DA4">
      <w:pPr>
        <w:spacing w:before="60"/>
        <w:ind w:left="567" w:right="567"/>
        <w:jc w:val="both"/>
        <w:rPr>
          <w:rFonts w:ascii="Arial" w:hAnsi="Arial" w:cs="Arial"/>
          <w:sz w:val="20"/>
        </w:rPr>
      </w:pPr>
      <w:r>
        <w:rPr>
          <w:rFonts w:ascii="Arial" w:hAnsi="Arial" w:cs="Arial"/>
          <w:sz w:val="20"/>
        </w:rPr>
        <w:t>[28]  It is, in general, in the interests of justice that a judge should be free to dispose of applications as to costs in a speedy and uncomplicated way…</w:t>
      </w:r>
    </w:p>
    <w:p w14:paraId="6B2605C5" w14:textId="77777777" w:rsidR="00B21DA4" w:rsidRDefault="00B21DA4" w:rsidP="002C0A9F">
      <w:pPr>
        <w:spacing w:before="60"/>
        <w:ind w:left="567" w:right="567"/>
        <w:jc w:val="both"/>
        <w:rPr>
          <w:rFonts w:ascii="Arial" w:hAnsi="Arial" w:cs="Arial"/>
          <w:sz w:val="20"/>
        </w:rPr>
      </w:pPr>
      <w:r>
        <w:rPr>
          <w:rFonts w:ascii="Arial" w:hAnsi="Arial" w:cs="Arial"/>
          <w:sz w:val="20"/>
        </w:rPr>
        <w:t xml:space="preserve">[30]  Where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City">
        <w:smartTag w:uri="urn:schemas-microsoft-com:office:smarttags" w:element="place">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t>
      </w:r>
      <w:r>
        <w:rPr>
          <w:rFonts w:ascii="Arial" w:hAnsi="Arial" w:cs="Arial"/>
          <w:sz w:val="20"/>
        </w:rPr>
        <w:lastRenderedPageBreak/>
        <w:t>with neither reasons nor any obvious explanation for the order that it is likely to be 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r w:rsidRPr="00986720">
        <w:rPr>
          <w:rFonts w:ascii="Arial" w:hAnsi="Arial" w:cs="Arial"/>
          <w:color w:val="000000"/>
          <w:sz w:val="20"/>
        </w:rPr>
        <w:t xml:space="preserve">Depending on the nature of an impugned decision, there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65F7EA3E"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rPr>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[81].</w:t>
      </w:r>
    </w:p>
    <w:p w14:paraId="72E235CB"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6B36B4D0"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2CC38A5F"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smartTag w:uri="urn:schemas-microsoft-com:office:smarttags" w:element="place">
        <w:smartTag w:uri="urn:schemas-microsoft-com:office:smarttags" w:element="City">
          <w:r w:rsidRPr="00986720">
            <w:rPr>
              <w:rFonts w:ascii="Arial" w:hAnsi="Arial" w:cs="Arial"/>
              <w:i/>
              <w:color w:val="000000"/>
              <w:sz w:val="20"/>
              <w:szCs w:val="20"/>
            </w:rPr>
            <w:t>Anderson</w:t>
          </w:r>
        </w:smartTag>
      </w:smartTag>
      <w:r w:rsidRPr="00986720">
        <w:rPr>
          <w:rFonts w:ascii="Arial" w:hAnsi="Arial" w:cs="Arial"/>
          <w:i/>
          <w:color w:val="000000"/>
          <w:sz w:val="20"/>
          <w:szCs w:val="20"/>
        </w:rPr>
        <w:t xml:space="preserve">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w:t>
      </w:r>
    </w:p>
    <w:p w14:paraId="64A02D42"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Beale 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w:t>
      </w:r>
      <w:proofErr w:type="spellStart"/>
      <w:r w:rsidR="00D6698D">
        <w:rPr>
          <w:rFonts w:ascii="Arial" w:hAnsi="Arial" w:cs="Arial"/>
          <w:color w:val="000000"/>
          <w:sz w:val="20"/>
        </w:rPr>
        <w:t>Sholl</w:t>
      </w:r>
      <w:proofErr w:type="spellEnd"/>
      <w:r w:rsidR="00D6698D">
        <w:rPr>
          <w:rFonts w:ascii="Arial" w:hAnsi="Arial" w:cs="Arial"/>
          <w:color w:val="000000"/>
          <w:sz w:val="20"/>
        </w:rPr>
        <w:t xml:space="preserve"> J in </w:t>
      </w:r>
      <w:r w:rsidR="00D6698D" w:rsidRPr="00D6698D">
        <w:rPr>
          <w:rFonts w:ascii="Arial" w:hAnsi="Arial" w:cs="Arial"/>
          <w:i/>
          <w:iCs/>
          <w:color w:val="000000"/>
          <w:sz w:val="20"/>
        </w:rPr>
        <w:t xml:space="preserve">Sandhurst and Northern District Trustees Executors &amp; Agency Co Ltd v </w:t>
      </w:r>
      <w:proofErr w:type="spellStart"/>
      <w:r w:rsidR="00D6698D" w:rsidRPr="00D6698D">
        <w:rPr>
          <w:rFonts w:ascii="Arial" w:hAnsi="Arial" w:cs="Arial"/>
          <w:i/>
          <w:iCs/>
          <w:color w:val="000000"/>
          <w:sz w:val="20"/>
        </w:rPr>
        <w:t>Auldridge</w:t>
      </w:r>
      <w:proofErr w:type="spellEnd"/>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3B64476D" w14:textId="77777777" w:rsidR="00AB27F6" w:rsidRPr="00986720" w:rsidRDefault="00AB27F6" w:rsidP="00AB27F6">
      <w:pPr>
        <w:spacing w:before="60"/>
        <w:ind w:left="567" w:right="567"/>
        <w:jc w:val="both"/>
        <w:rPr>
          <w:rFonts w:ascii="Arial" w:hAnsi="Arial" w:cs="Arial"/>
          <w:color w:val="000000"/>
          <w:sz w:val="20"/>
          <w:szCs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Default="00211B03" w:rsidP="002C0A9F">
      <w:pPr>
        <w:ind w:left="1021" w:right="1021"/>
        <w:jc w:val="both"/>
        <w:rPr>
          <w:rFonts w:ascii="Arial" w:hAnsi="Arial" w:cs="Arial"/>
          <w:color w:val="000000"/>
          <w:sz w:val="20"/>
        </w:rPr>
      </w:pPr>
      <w:r>
        <w:rPr>
          <w:rFonts w:ascii="Arial" w:hAnsi="Arial" w:cs="Arial"/>
          <w:color w:val="000000"/>
          <w:sz w:val="20"/>
        </w:rPr>
        <w:t>‘</w:t>
      </w:r>
      <w:r w:rsidRPr="00501614">
        <w:rPr>
          <w:rFonts w:ascii="Arial" w:hAnsi="Arial" w:cs="Arial"/>
          <w:color w:val="000000"/>
          <w:sz w:val="20"/>
        </w:rPr>
        <w:t>This case is another instance of the embarrassment which is caused to the Court, by the refusal of justices to give reasons for their decisions … I have to repeat again that, in the exercise of their judicial functions, justices are not exempt from the duty which attaches to every judicial officer to state, to the best of his</w:t>
      </w:r>
      <w:r>
        <w:rPr>
          <w:rFonts w:ascii="Arial" w:hAnsi="Arial" w:cs="Arial"/>
          <w:color w:val="000000"/>
          <w:sz w:val="20"/>
        </w:rPr>
        <w:t xml:space="preserve"> </w:t>
      </w:r>
      <w:r w:rsidRPr="00501614">
        <w:rPr>
          <w:rFonts w:ascii="Arial" w:hAnsi="Arial" w:cs="Arial"/>
          <w:color w:val="000000"/>
          <w:sz w:val="20"/>
        </w:rPr>
        <w:t>ability, the facts he finds, and the reasons for his decision.  The result here is that the justices have made an order leaving it entirely uncertain on what grounds, and on what findings of fact, that order is based.</w:t>
      </w:r>
      <w:r>
        <w:rPr>
          <w:rFonts w:ascii="Arial" w:hAnsi="Arial" w:cs="Arial"/>
          <w:color w:val="000000"/>
          <w:sz w:val="20"/>
        </w:rPr>
        <w:t>’</w:t>
      </w:r>
    </w:p>
    <w:p w14:paraId="6965F40F" w14:textId="77777777" w:rsidR="00262368" w:rsidRDefault="00262368" w:rsidP="00262368">
      <w:pPr>
        <w:spacing w:before="60"/>
        <w:ind w:left="567" w:right="567"/>
        <w:jc w:val="both"/>
        <w:rPr>
          <w:rFonts w:ascii="Arial" w:hAnsi="Arial" w:cs="Arial"/>
          <w:color w:val="000000"/>
          <w:sz w:val="20"/>
        </w:rPr>
      </w:pPr>
      <w:r>
        <w:rPr>
          <w:rFonts w:ascii="Arial" w:hAnsi="Arial" w:cs="Arial"/>
          <w:color w:val="000000"/>
          <w:sz w:val="20"/>
          <w:szCs w:val="20"/>
        </w:rPr>
        <w:t xml:space="preserve">[24] </w:t>
      </w:r>
      <w:r w:rsidRPr="00501614">
        <w:rPr>
          <w:rFonts w:ascii="Arial" w:hAnsi="Arial" w:cs="Arial"/>
          <w:color w:val="000000"/>
          <w:sz w:val="20"/>
        </w:rPr>
        <w:t xml:space="preserve">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w:t>
      </w:r>
      <w:r w:rsidRPr="00501614">
        <w:rPr>
          <w:rFonts w:ascii="Arial" w:hAnsi="Arial" w:cs="Arial"/>
          <w:color w:val="000000"/>
          <w:sz w:val="20"/>
        </w:rPr>
        <w:lastRenderedPageBreak/>
        <w:t>things, it is necessary that a magistrate’s reasons be adequate to enable this court 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0750E262" w14:textId="77777777" w:rsidR="00262368" w:rsidRPr="00986720" w:rsidRDefault="00262368" w:rsidP="00262368">
      <w:pPr>
        <w:spacing w:before="60"/>
        <w:ind w:left="567" w:right="567"/>
        <w:jc w:val="both"/>
        <w:rPr>
          <w:rFonts w:ascii="Arial" w:hAnsi="Arial" w:cs="Arial"/>
          <w:color w:val="000000"/>
          <w:sz w:val="20"/>
          <w:szCs w:val="20"/>
        </w:rPr>
      </w:pPr>
      <w:r>
        <w:rPr>
          <w:rFonts w:ascii="Arial" w:hAnsi="Arial" w:cs="Arial"/>
          <w:color w:val="000000"/>
          <w:sz w:val="20"/>
        </w:rPr>
        <w:t>[27] [A]</w:t>
      </w:r>
      <w:proofErr w:type="spellStart"/>
      <w:r w:rsidRPr="00501614">
        <w:rPr>
          <w:rFonts w:ascii="Arial" w:hAnsi="Arial" w:cs="Arial"/>
          <w:color w:val="000000"/>
          <w:sz w:val="20"/>
        </w:rPr>
        <w:t>lthough</w:t>
      </w:r>
      <w:proofErr w:type="spellEnd"/>
      <w:r w:rsidRPr="00501614">
        <w:rPr>
          <w:rFonts w:ascii="Arial" w:hAnsi="Arial" w:cs="Arial"/>
          <w:color w:val="000000"/>
          <w:sz w:val="20"/>
        </w:rPr>
        <w:t xml:space="preserve">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77777777" w:rsidR="00262368" w:rsidRDefault="00262368" w:rsidP="001D1B06">
      <w:pPr>
        <w:jc w:val="both"/>
        <w:rPr>
          <w:rFonts w:ascii="Arial" w:hAnsi="Arial" w:cs="Arial"/>
          <w:color w:val="000000"/>
          <w:sz w:val="20"/>
        </w:rPr>
      </w:pPr>
    </w:p>
    <w:p w14:paraId="16558DDB" w14:textId="2FCDA96C" w:rsidR="00B21DA4" w:rsidRPr="00986720" w:rsidRDefault="001B1B22" w:rsidP="001D1B06">
      <w:pPr>
        <w:jc w:val="both"/>
        <w:rPr>
          <w:rFonts w:ascii="Arial" w:hAnsi="Arial" w:cs="Arial"/>
          <w:color w:val="000000"/>
          <w:sz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 xml:space="preserve">Sun Alliance Insurance v </w:t>
      </w:r>
      <w:proofErr w:type="spellStart"/>
      <w:r w:rsidR="00B21DA4" w:rsidRPr="00986720">
        <w:rPr>
          <w:rFonts w:ascii="Arial" w:hAnsi="Arial" w:cs="Arial"/>
          <w:i/>
          <w:iCs/>
          <w:color w:val="000000"/>
          <w:sz w:val="20"/>
        </w:rPr>
        <w:t>Massoud</w:t>
      </w:r>
      <w:proofErr w:type="spellEnd"/>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 xml:space="preserve">Sam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v Franco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 xml:space="preserve">The Royal Dental Hospital of Melbourne v </w:t>
      </w:r>
      <w:proofErr w:type="spellStart"/>
      <w:r w:rsidR="00B21DA4" w:rsidRPr="00986720">
        <w:rPr>
          <w:rFonts w:ascii="Arial" w:hAnsi="Arial" w:cs="Arial"/>
          <w:i/>
          <w:iCs/>
          <w:color w:val="000000"/>
          <w:sz w:val="20"/>
        </w:rPr>
        <w:t>Birsel</w:t>
      </w:r>
      <w:proofErr w:type="spellEnd"/>
      <w:r w:rsidR="00B21DA4" w:rsidRPr="00986720">
        <w:rPr>
          <w:rFonts w:ascii="Arial" w:hAnsi="Arial" w:cs="Arial"/>
          <w:i/>
          <w:iCs/>
          <w:color w:val="000000"/>
          <w:sz w:val="20"/>
        </w:rPr>
        <w:t xml:space="preserve"> </w:t>
      </w:r>
      <w:proofErr w:type="spellStart"/>
      <w:r w:rsidR="00B21DA4" w:rsidRPr="00986720">
        <w:rPr>
          <w:rFonts w:ascii="Arial" w:hAnsi="Arial" w:cs="Arial"/>
          <w:i/>
          <w:iCs/>
          <w:color w:val="000000"/>
          <w:sz w:val="20"/>
        </w:rPr>
        <w:t>Akbulut</w:t>
      </w:r>
      <w:proofErr w:type="spellEnd"/>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 xml:space="preserve">Dura (Australia) Constructions v </w:t>
      </w:r>
      <w:proofErr w:type="spellStart"/>
      <w:r w:rsidR="00B21DA4" w:rsidRPr="00986720">
        <w:rPr>
          <w:rFonts w:ascii="Arial" w:hAnsi="Arial" w:cs="Arial"/>
          <w:i/>
          <w:iCs/>
          <w:color w:val="000000"/>
          <w:sz w:val="20"/>
        </w:rPr>
        <w:t>Girgin</w:t>
      </w:r>
      <w:proofErr w:type="spellEnd"/>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w:t>
      </w:r>
      <w:proofErr w:type="spellStart"/>
      <w:r w:rsidR="00B21DA4" w:rsidRPr="00986720">
        <w:rPr>
          <w:rFonts w:ascii="Arial" w:hAnsi="Arial" w:cs="Arial"/>
          <w:i/>
          <w:iCs/>
          <w:color w:val="000000"/>
          <w:sz w:val="20"/>
        </w:rPr>
        <w:t>Murrundindi</w:t>
      </w:r>
      <w:proofErr w:type="spellEnd"/>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w:t>
      </w:r>
      <w:proofErr w:type="spellStart"/>
      <w:r w:rsidR="00B21DA4" w:rsidRPr="00986720">
        <w:rPr>
          <w:rFonts w:ascii="Arial" w:hAnsi="Arial" w:cs="Arial"/>
          <w:i/>
          <w:iCs/>
          <w:color w:val="000000"/>
          <w:sz w:val="20"/>
        </w:rPr>
        <w:t>Electronik</w:t>
      </w:r>
      <w:proofErr w:type="spellEnd"/>
      <w:r w:rsidR="00B21DA4" w:rsidRPr="00986720">
        <w:rPr>
          <w:rFonts w:ascii="Arial" w:hAnsi="Arial" w:cs="Arial"/>
          <w:i/>
          <w:iCs/>
          <w:color w:val="000000"/>
          <w:sz w:val="20"/>
        </w:rPr>
        <w:t xml:space="preserve">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w:t>
      </w:r>
      <w:proofErr w:type="spellStart"/>
      <w:r w:rsidR="009B37E3" w:rsidRPr="00986720">
        <w:rPr>
          <w:rFonts w:ascii="Arial" w:hAnsi="Arial" w:cs="Arial"/>
          <w:color w:val="000000"/>
          <w:sz w:val="20"/>
        </w:rPr>
        <w:t>esp</w:t>
      </w:r>
      <w:proofErr w:type="spellEnd"/>
      <w:r w:rsidR="009B37E3" w:rsidRPr="00986720">
        <w:rPr>
          <w:rFonts w:ascii="Arial" w:hAnsi="Arial" w:cs="Arial"/>
          <w:color w:val="000000"/>
          <w:sz w:val="20"/>
        </w:rPr>
        <w:t xml:space="preserve">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w:t>
      </w:r>
      <w:proofErr w:type="spellStart"/>
      <w:r w:rsidR="00872620" w:rsidRPr="00986720">
        <w:rPr>
          <w:rFonts w:ascii="Arial" w:hAnsi="Arial" w:cs="Arial"/>
          <w:i/>
          <w:color w:val="000000"/>
          <w:sz w:val="20"/>
        </w:rPr>
        <w:t>Ors</w:t>
      </w:r>
      <w:proofErr w:type="spellEnd"/>
      <w:r w:rsidR="00872620" w:rsidRPr="00986720">
        <w:rPr>
          <w:rFonts w:ascii="Arial" w:hAnsi="Arial" w:cs="Arial"/>
          <w:i/>
          <w:color w:val="000000"/>
          <w:sz w:val="20"/>
        </w:rPr>
        <w:t xml:space="preserve">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w:t>
      </w:r>
      <w:proofErr w:type="spellStart"/>
      <w:r w:rsidR="005E3379" w:rsidRPr="00986720">
        <w:rPr>
          <w:rFonts w:ascii="Arial" w:hAnsi="Arial" w:cs="Arial"/>
          <w:color w:val="000000"/>
          <w:sz w:val="20"/>
        </w:rPr>
        <w:t>esp</w:t>
      </w:r>
      <w:proofErr w:type="spellEnd"/>
      <w:r w:rsidR="005E3379" w:rsidRPr="00986720">
        <w:rPr>
          <w:rFonts w:ascii="Arial" w:hAnsi="Arial" w:cs="Arial"/>
          <w:color w:val="000000"/>
          <w:sz w:val="20"/>
        </w:rPr>
        <w:t xml:space="preserve"> at [13]</w:t>
      </w:r>
      <w:r w:rsidR="00956222" w:rsidRPr="00986720">
        <w:rPr>
          <w:rFonts w:ascii="Arial" w:hAnsi="Arial" w:cs="Arial"/>
          <w:color w:val="000000"/>
          <w:sz w:val="20"/>
        </w:rPr>
        <w:t xml:space="preserve">; </w:t>
      </w:r>
      <w:r w:rsidR="00956222" w:rsidRPr="00986720">
        <w:rPr>
          <w:rFonts w:ascii="Arial" w:hAnsi="Arial" w:cs="Arial"/>
          <w:i/>
          <w:color w:val="000000"/>
          <w:sz w:val="20"/>
        </w:rPr>
        <w:t>Hamidi v KAB Seating Pty Ltd</w:t>
      </w:r>
      <w:r w:rsidR="00956222" w:rsidRPr="00986720">
        <w:rPr>
          <w:rFonts w:ascii="Arial" w:hAnsi="Arial" w:cs="Arial"/>
          <w:color w:val="000000"/>
          <w:sz w:val="20"/>
        </w:rPr>
        <w:t xml:space="preserve"> [2007] VSCA 151 at [32] per Ashley JA</w:t>
      </w:r>
      <w:r w:rsidR="008F4302" w:rsidRPr="00986720">
        <w:rPr>
          <w:rFonts w:ascii="Arial" w:hAnsi="Arial" w:cs="Arial"/>
          <w:color w:val="000000"/>
          <w:sz w:val="20"/>
        </w:rPr>
        <w:t xml:space="preserve">; </w:t>
      </w:r>
      <w:r w:rsidR="008F4302" w:rsidRPr="00986720">
        <w:rPr>
          <w:rFonts w:ascii="Arial" w:hAnsi="Arial" w:cs="Arial"/>
          <w:i/>
          <w:color w:val="000000"/>
          <w:sz w:val="20"/>
        </w:rPr>
        <w:t xml:space="preserve">Collins v Nave &amp; </w:t>
      </w:r>
      <w:proofErr w:type="spellStart"/>
      <w:r w:rsidR="008F4302" w:rsidRPr="00986720">
        <w:rPr>
          <w:rFonts w:ascii="Arial" w:hAnsi="Arial" w:cs="Arial"/>
          <w:i/>
          <w:color w:val="000000"/>
          <w:sz w:val="20"/>
        </w:rPr>
        <w:t>Ors</w:t>
      </w:r>
      <w:proofErr w:type="spellEnd"/>
      <w:r w:rsidR="008F4302" w:rsidRPr="00986720">
        <w:rPr>
          <w:rFonts w:ascii="Arial" w:hAnsi="Arial" w:cs="Arial"/>
          <w:i/>
          <w:color w:val="000000"/>
          <w:sz w:val="20"/>
        </w:rPr>
        <w:t xml:space="preserve"> </w:t>
      </w:r>
      <w:r w:rsidR="008F4302" w:rsidRPr="00986720">
        <w:rPr>
          <w:rFonts w:ascii="Arial" w:hAnsi="Arial" w:cs="Arial"/>
          <w:color w:val="000000"/>
          <w:sz w:val="20"/>
        </w:rPr>
        <w:t>[2008] VSC 85 at [31]-[34]</w:t>
      </w:r>
      <w:r w:rsidR="00716457" w:rsidRPr="00986720">
        <w:rPr>
          <w:rFonts w:ascii="Arial" w:hAnsi="Arial" w:cs="Arial"/>
          <w:color w:val="000000"/>
          <w:sz w:val="20"/>
        </w:rPr>
        <w:t xml:space="preserve">; </w:t>
      </w:r>
      <w:r w:rsidR="00716457" w:rsidRPr="00986720">
        <w:rPr>
          <w:rFonts w:ascii="Arial" w:hAnsi="Arial" w:cs="Arial"/>
          <w:i/>
          <w:color w:val="000000"/>
          <w:sz w:val="20"/>
        </w:rPr>
        <w:t>BR v VOCAT</w:t>
      </w:r>
      <w:r w:rsidR="00716457" w:rsidRPr="00986720">
        <w:rPr>
          <w:rFonts w:ascii="Arial" w:hAnsi="Arial" w:cs="Arial"/>
          <w:color w:val="000000"/>
          <w:sz w:val="20"/>
        </w:rPr>
        <w:t xml:space="preserve"> [2009] VSC 152 at [25]-[36] per Kaye J</w:t>
      </w:r>
      <w:r w:rsidR="004C2D7E" w:rsidRPr="00986720">
        <w:rPr>
          <w:rFonts w:ascii="Arial" w:hAnsi="Arial" w:cs="Arial"/>
          <w:color w:val="000000"/>
          <w:sz w:val="20"/>
        </w:rPr>
        <w:t xml:space="preserve">; </w:t>
      </w:r>
      <w:proofErr w:type="spellStart"/>
      <w:r w:rsidR="004C2D7E" w:rsidRPr="00986720">
        <w:rPr>
          <w:rFonts w:ascii="Arial" w:hAnsi="Arial" w:cs="Arial"/>
          <w:i/>
          <w:color w:val="000000"/>
          <w:sz w:val="20"/>
          <w:szCs w:val="20"/>
        </w:rPr>
        <w:t>Dimatos</w:t>
      </w:r>
      <w:proofErr w:type="spellEnd"/>
      <w:r w:rsidR="004C2D7E" w:rsidRPr="00986720">
        <w:rPr>
          <w:rFonts w:ascii="Arial" w:hAnsi="Arial" w:cs="Arial"/>
          <w:i/>
          <w:color w:val="000000"/>
          <w:sz w:val="20"/>
          <w:szCs w:val="20"/>
        </w:rPr>
        <w:t xml:space="preserve"> v Coombe &amp; </w:t>
      </w:r>
      <w:proofErr w:type="spellStart"/>
      <w:r w:rsidR="004C2D7E" w:rsidRPr="00986720">
        <w:rPr>
          <w:rFonts w:ascii="Arial" w:hAnsi="Arial" w:cs="Arial"/>
          <w:i/>
          <w:color w:val="000000"/>
          <w:sz w:val="20"/>
          <w:szCs w:val="20"/>
        </w:rPr>
        <w:t>Ors</w:t>
      </w:r>
      <w:proofErr w:type="spellEnd"/>
      <w:r w:rsidR="004C2D7E" w:rsidRPr="00986720">
        <w:rPr>
          <w:rFonts w:ascii="Arial" w:hAnsi="Arial" w:cs="Arial"/>
          <w:i/>
          <w:color w:val="000000"/>
          <w:sz w:val="20"/>
          <w:szCs w:val="20"/>
        </w:rPr>
        <w:t xml:space="preserve"> </w:t>
      </w:r>
      <w:r w:rsidR="004C2D7E" w:rsidRPr="00986720">
        <w:rPr>
          <w:rFonts w:ascii="Arial" w:hAnsi="Arial" w:cs="Arial"/>
          <w:color w:val="000000"/>
          <w:sz w:val="20"/>
          <w:szCs w:val="20"/>
        </w:rPr>
        <w:t>[2011] VSC 619 at [20]-[25] per Beach J</w:t>
      </w:r>
      <w:r w:rsidR="007A7235" w:rsidRPr="00986720">
        <w:rPr>
          <w:rFonts w:ascii="Arial" w:hAnsi="Arial" w:cs="Arial"/>
          <w:color w:val="000000"/>
          <w:sz w:val="20"/>
          <w:szCs w:val="20"/>
        </w:rPr>
        <w:t xml:space="preserve">; </w:t>
      </w:r>
      <w:r w:rsidR="007A7235" w:rsidRPr="00986720">
        <w:rPr>
          <w:rFonts w:ascii="Arial" w:hAnsi="Arial" w:cs="Arial"/>
          <w:i/>
          <w:color w:val="000000"/>
          <w:sz w:val="20"/>
          <w:szCs w:val="20"/>
        </w:rPr>
        <w:t>Ta v Thompson &amp; Anor</w:t>
      </w:r>
      <w:r w:rsidR="007A7235" w:rsidRPr="00986720">
        <w:rPr>
          <w:rFonts w:ascii="Arial" w:hAnsi="Arial" w:cs="Arial"/>
          <w:color w:val="000000"/>
          <w:sz w:val="20"/>
          <w:szCs w:val="20"/>
        </w:rPr>
        <w:t xml:space="preserve"> [2012] VSC 446 per Whelan J</w:t>
      </w:r>
      <w:r w:rsidR="009360E7" w:rsidRPr="009360E7">
        <w:rPr>
          <w:rFonts w:ascii="Arial" w:hAnsi="Arial" w:cs="Arial"/>
          <w:color w:val="FF0000"/>
          <w:sz w:val="20"/>
          <w:szCs w:val="20"/>
        </w:rPr>
        <w:t>;</w:t>
      </w:r>
      <w:r w:rsidR="009360E7">
        <w:rPr>
          <w:rFonts w:ascii="Arial" w:hAnsi="Arial" w:cs="Arial"/>
          <w:color w:val="000000"/>
          <w:sz w:val="20"/>
          <w:szCs w:val="20"/>
        </w:rPr>
        <w:t xml:space="preserve"> </w:t>
      </w:r>
      <w:proofErr w:type="spellStart"/>
      <w:r w:rsidR="009360E7" w:rsidRPr="00232FC7">
        <w:rPr>
          <w:rFonts w:ascii="Arial" w:hAnsi="Arial" w:cs="Arial"/>
          <w:i/>
          <w:color w:val="000000"/>
          <w:sz w:val="20"/>
        </w:rPr>
        <w:t>Helou</w:t>
      </w:r>
      <w:proofErr w:type="spellEnd"/>
      <w:r w:rsidR="009360E7" w:rsidRPr="00232FC7">
        <w:rPr>
          <w:rFonts w:ascii="Arial" w:hAnsi="Arial" w:cs="Arial"/>
          <w:i/>
          <w:color w:val="000000"/>
          <w:sz w:val="20"/>
        </w:rPr>
        <w:t xml:space="preserve"> v Shaya</w:t>
      </w:r>
      <w:r w:rsidR="009360E7" w:rsidRPr="00232FC7">
        <w:rPr>
          <w:rFonts w:ascii="Arial" w:hAnsi="Arial" w:cs="Arial"/>
          <w:color w:val="000000"/>
          <w:sz w:val="20"/>
        </w:rPr>
        <w:t xml:space="preserve"> [2013] VSC 297 at [23]-[27] per Beach J:</w:t>
      </w:r>
      <w:r w:rsidR="009F312C">
        <w:rPr>
          <w:rFonts w:ascii="Arial" w:hAnsi="Arial" w:cs="Arial"/>
          <w:color w:val="000000"/>
          <w:sz w:val="20"/>
        </w:rPr>
        <w:t xml:space="preserve"> </w:t>
      </w:r>
      <w:r w:rsidR="009F312C" w:rsidRPr="009F312C">
        <w:rPr>
          <w:rFonts w:ascii="Arial" w:hAnsi="Arial" w:cs="Arial"/>
          <w:i/>
          <w:color w:val="000000"/>
          <w:sz w:val="20"/>
        </w:rPr>
        <w:t>LG v Melbourne Health</w:t>
      </w:r>
      <w:r w:rsidR="009F312C">
        <w:rPr>
          <w:rFonts w:ascii="Arial" w:hAnsi="Arial" w:cs="Arial"/>
          <w:color w:val="000000"/>
          <w:sz w:val="20"/>
        </w:rPr>
        <w:t xml:space="preserve"> [2019] VSC 183 at [42]-[54] per Richards J</w:t>
      </w:r>
      <w:r w:rsidR="00E32EC1">
        <w:rPr>
          <w:rFonts w:ascii="Arial" w:hAnsi="Arial" w:cs="Arial"/>
          <w:color w:val="000000"/>
          <w:sz w:val="20"/>
        </w:rPr>
        <w:t xml:space="preserve">; </w:t>
      </w:r>
      <w:r w:rsidR="00E32EC1" w:rsidRPr="00E32EC1">
        <w:rPr>
          <w:rFonts w:ascii="Arial" w:hAnsi="Arial" w:cs="Arial"/>
          <w:i/>
          <w:iCs/>
          <w:color w:val="000000"/>
          <w:sz w:val="20"/>
        </w:rPr>
        <w:t xml:space="preserve">Ata </w:t>
      </w:r>
      <w:proofErr w:type="spellStart"/>
      <w:r w:rsidR="00E32EC1" w:rsidRPr="00E32EC1">
        <w:rPr>
          <w:rFonts w:ascii="Arial" w:hAnsi="Arial" w:cs="Arial"/>
          <w:i/>
          <w:iCs/>
          <w:color w:val="000000"/>
          <w:sz w:val="20"/>
        </w:rPr>
        <w:t>Dundar</w:t>
      </w:r>
      <w:proofErr w:type="spellEnd"/>
      <w:r w:rsidR="00E32EC1" w:rsidRPr="00E32EC1">
        <w:rPr>
          <w:rFonts w:ascii="Arial" w:hAnsi="Arial" w:cs="Arial"/>
          <w:i/>
          <w:iCs/>
          <w:color w:val="000000"/>
          <w:sz w:val="20"/>
        </w:rPr>
        <w:t xml:space="preserve"> v. </w:t>
      </w:r>
      <w:proofErr w:type="spellStart"/>
      <w:r w:rsidR="00E32EC1" w:rsidRPr="00E32EC1">
        <w:rPr>
          <w:rFonts w:ascii="Arial" w:hAnsi="Arial" w:cs="Arial"/>
          <w:i/>
          <w:iCs/>
          <w:color w:val="000000"/>
          <w:sz w:val="20"/>
        </w:rPr>
        <w:t>Yucel</w:t>
      </w:r>
      <w:proofErr w:type="spellEnd"/>
      <w:r w:rsidR="00E32EC1" w:rsidRPr="00E32EC1">
        <w:rPr>
          <w:rFonts w:ascii="Arial" w:hAnsi="Arial" w:cs="Arial"/>
          <w:i/>
          <w:iCs/>
          <w:color w:val="000000"/>
          <w:sz w:val="20"/>
        </w:rPr>
        <w:t xml:space="preserve"> Bas (trading as Bas Brothers Marble and Granite) &amp; </w:t>
      </w:r>
      <w:proofErr w:type="spellStart"/>
      <w:r w:rsidR="00E32EC1" w:rsidRPr="00E32EC1">
        <w:rPr>
          <w:rFonts w:ascii="Arial" w:hAnsi="Arial" w:cs="Arial"/>
          <w:i/>
          <w:iCs/>
          <w:color w:val="000000"/>
          <w:sz w:val="20"/>
        </w:rPr>
        <w:t>Ors</w:t>
      </w:r>
      <w:proofErr w:type="spellEnd"/>
      <w:r w:rsidR="00E32EC1">
        <w:rPr>
          <w:rFonts w:ascii="Arial" w:hAnsi="Arial" w:cs="Arial"/>
          <w:color w:val="000000"/>
          <w:sz w:val="20"/>
        </w:rPr>
        <w:t xml:space="preserve"> [2019] VSCA 315 at [44]-[73</w:t>
      </w:r>
      <w:r w:rsidR="00046CCA">
        <w:rPr>
          <w:rFonts w:ascii="Arial" w:hAnsi="Arial" w:cs="Arial"/>
          <w:color w:val="000000"/>
          <w:sz w:val="20"/>
        </w:rPr>
        <w:t xml:space="preserve">]; </w:t>
      </w:r>
      <w:r w:rsidR="00046CCA" w:rsidRPr="00046CCA">
        <w:rPr>
          <w:rFonts w:ascii="Arial" w:hAnsi="Arial" w:cs="Arial"/>
          <w:i/>
          <w:iCs/>
          <w:color w:val="000000"/>
          <w:sz w:val="20"/>
        </w:rPr>
        <w:t xml:space="preserve">Celsius Fire Services Pty Ltd v Magistrates’ Court of Victoria &amp; </w:t>
      </w:r>
      <w:proofErr w:type="spellStart"/>
      <w:r w:rsidR="00046CCA" w:rsidRPr="00046CCA">
        <w:rPr>
          <w:rFonts w:ascii="Arial" w:hAnsi="Arial" w:cs="Arial"/>
          <w:i/>
          <w:iCs/>
          <w:color w:val="000000"/>
          <w:sz w:val="20"/>
        </w:rPr>
        <w:t>anor</w:t>
      </w:r>
      <w:proofErr w:type="spellEnd"/>
      <w:r w:rsidR="00046CCA" w:rsidRPr="00046CCA">
        <w:rPr>
          <w:rFonts w:ascii="Arial" w:hAnsi="Arial" w:cs="Arial"/>
          <w:color w:val="000000"/>
          <w:sz w:val="20"/>
        </w:rPr>
        <w:t xml:space="preserve"> </w:t>
      </w:r>
      <w:r w:rsidR="00046CCA">
        <w:rPr>
          <w:rFonts w:ascii="Arial" w:hAnsi="Arial" w:cs="Arial"/>
          <w:color w:val="000000"/>
          <w:sz w:val="20"/>
        </w:rPr>
        <w:t>[2019] VSC 835 at [25]-[35]</w:t>
      </w:r>
      <w:r w:rsidR="00411410">
        <w:rPr>
          <w:rFonts w:ascii="Arial" w:hAnsi="Arial" w:cs="Arial"/>
          <w:color w:val="000000"/>
          <w:sz w:val="20"/>
        </w:rPr>
        <w:t xml:space="preserve">; </w:t>
      </w:r>
      <w:proofErr w:type="spellStart"/>
      <w:r w:rsidR="00411410" w:rsidRPr="00411410">
        <w:rPr>
          <w:rFonts w:ascii="Arial" w:hAnsi="Arial" w:cs="Arial"/>
          <w:i/>
          <w:iCs/>
          <w:color w:val="000000"/>
          <w:sz w:val="20"/>
        </w:rPr>
        <w:t>Makeham</w:t>
      </w:r>
      <w:proofErr w:type="spellEnd"/>
      <w:r w:rsidR="00411410" w:rsidRPr="00411410">
        <w:rPr>
          <w:rFonts w:ascii="Arial" w:hAnsi="Arial" w:cs="Arial"/>
          <w:i/>
          <w:iCs/>
          <w:color w:val="000000"/>
          <w:sz w:val="20"/>
        </w:rPr>
        <w:t xml:space="preserve"> v S</w:t>
      </w:r>
      <w:r w:rsidR="00411410">
        <w:rPr>
          <w:rFonts w:ascii="Arial" w:hAnsi="Arial" w:cs="Arial"/>
          <w:i/>
          <w:iCs/>
          <w:color w:val="000000"/>
          <w:sz w:val="20"/>
        </w:rPr>
        <w:t>heppard</w:t>
      </w:r>
      <w:r w:rsidR="00411410">
        <w:rPr>
          <w:rFonts w:ascii="Arial" w:hAnsi="Arial" w:cs="Arial"/>
          <w:color w:val="000000"/>
          <w:sz w:val="20"/>
        </w:rPr>
        <w:t xml:space="preserve"> [2020] VSCA 242</w:t>
      </w:r>
      <w:r w:rsidR="004B4C42">
        <w:rPr>
          <w:rFonts w:ascii="Arial" w:hAnsi="Arial" w:cs="Arial"/>
          <w:color w:val="000000"/>
          <w:sz w:val="20"/>
        </w:rPr>
        <w:t>;</w:t>
      </w:r>
      <w:r w:rsidR="004B4C42" w:rsidRPr="004B4C42">
        <w:rPr>
          <w:rFonts w:ascii="Arial" w:hAnsi="Arial" w:cs="Arial"/>
          <w:i/>
          <w:iCs/>
          <w:sz w:val="20"/>
          <w:szCs w:val="20"/>
        </w:rPr>
        <w:t xml:space="preserve"> </w:t>
      </w:r>
      <w:r w:rsidR="004B4C42" w:rsidRPr="001773EE">
        <w:rPr>
          <w:rFonts w:ascii="Arial" w:hAnsi="Arial" w:cs="Arial"/>
          <w:i/>
          <w:iCs/>
          <w:sz w:val="20"/>
          <w:szCs w:val="20"/>
        </w:rPr>
        <w:t xml:space="preserve">A &amp; L Windows Pty Ltd v </w:t>
      </w:r>
      <w:proofErr w:type="spellStart"/>
      <w:r w:rsidR="004B4C42" w:rsidRPr="001773EE">
        <w:rPr>
          <w:rFonts w:ascii="Arial" w:hAnsi="Arial" w:cs="Arial"/>
          <w:i/>
          <w:iCs/>
          <w:sz w:val="20"/>
          <w:szCs w:val="20"/>
        </w:rPr>
        <w:t>Yildrim</w:t>
      </w:r>
      <w:proofErr w:type="spellEnd"/>
      <w:r w:rsidR="004B4C42" w:rsidRPr="001773EE">
        <w:rPr>
          <w:rFonts w:ascii="Arial" w:hAnsi="Arial" w:cs="Arial"/>
          <w:i/>
          <w:iCs/>
          <w:sz w:val="20"/>
          <w:szCs w:val="20"/>
        </w:rPr>
        <w:t xml:space="preserve"> &amp; </w:t>
      </w:r>
      <w:proofErr w:type="spellStart"/>
      <w:r w:rsidR="004B4C42" w:rsidRPr="001773EE">
        <w:rPr>
          <w:rFonts w:ascii="Arial" w:hAnsi="Arial" w:cs="Arial"/>
          <w:i/>
          <w:iCs/>
          <w:sz w:val="20"/>
          <w:szCs w:val="20"/>
        </w:rPr>
        <w:t>Ors</w:t>
      </w:r>
      <w:proofErr w:type="spellEnd"/>
      <w:r w:rsidR="004B4C42" w:rsidRPr="001773EE">
        <w:rPr>
          <w:rFonts w:ascii="Arial" w:hAnsi="Arial" w:cs="Arial"/>
          <w:color w:val="000000"/>
          <w:sz w:val="20"/>
          <w:szCs w:val="20"/>
        </w:rPr>
        <w:t xml:space="preserve"> [2022] VSCA 46 at [29]-[44]</w:t>
      </w:r>
      <w:r w:rsidR="00411410">
        <w:rPr>
          <w:rFonts w:ascii="Arial" w:hAnsi="Arial" w:cs="Arial"/>
          <w:color w:val="000000"/>
          <w:sz w:val="20"/>
        </w:rPr>
        <w:t xml:space="preserve">.  </w:t>
      </w:r>
      <w:r w:rsidR="00B21DA4" w:rsidRPr="00232FC7">
        <w:rPr>
          <w:rFonts w:ascii="Arial" w:hAnsi="Arial" w:cs="Arial"/>
          <w:color w:val="000000"/>
          <w:sz w:val="20"/>
        </w:rPr>
        <w:t xml:space="preserve">See also a paper by Kirby J: "Reasons for Judgment: Always </w:t>
      </w:r>
      <w:r w:rsidR="00B21DA4" w:rsidRPr="00986720">
        <w:rPr>
          <w:rFonts w:ascii="Arial" w:hAnsi="Arial" w:cs="Arial"/>
          <w:color w:val="000000"/>
          <w:sz w:val="20"/>
        </w:rPr>
        <w:t>Permissible, Usually Desirable and Often Obligatory" (199</w:t>
      </w:r>
      <w:r w:rsidR="003E2745">
        <w:rPr>
          <w:rFonts w:ascii="Arial" w:hAnsi="Arial" w:cs="Arial"/>
          <w:color w:val="000000"/>
          <w:sz w:val="20"/>
        </w:rPr>
        <w:t>4) 12 Au</w:t>
      </w:r>
      <w:r w:rsidR="003E2745" w:rsidRPr="003E2745">
        <w:rPr>
          <w:rFonts w:ascii="Arial" w:hAnsi="Arial" w:cs="Arial"/>
          <w:color w:val="000000"/>
          <w:sz w:val="20"/>
          <w:szCs w:val="20"/>
        </w:rPr>
        <w:t>stralian Bar Review 121</w:t>
      </w:r>
      <w:r w:rsidR="003E2745">
        <w:rPr>
          <w:rFonts w:ascii="Arial" w:hAnsi="Arial" w:cs="Arial"/>
          <w:color w:val="000000"/>
          <w:sz w:val="20"/>
          <w:szCs w:val="20"/>
        </w:rPr>
        <w:t>;</w:t>
      </w:r>
      <w:r w:rsidR="003E2745" w:rsidRPr="003E2745">
        <w:rPr>
          <w:rFonts w:ascii="Arial" w:hAnsi="Arial" w:cs="Arial"/>
          <w:color w:val="000000"/>
          <w:sz w:val="20"/>
          <w:szCs w:val="20"/>
        </w:rPr>
        <w:t xml:space="preserve"> </w:t>
      </w:r>
      <w:r w:rsidR="003E2745" w:rsidRPr="00423D61">
        <w:rPr>
          <w:rFonts w:ascii="Arial" w:hAnsi="Arial" w:cs="Arial"/>
          <w:i/>
          <w:color w:val="000000"/>
          <w:sz w:val="20"/>
          <w:szCs w:val="20"/>
        </w:rPr>
        <w:t xml:space="preserve">Gray v </w:t>
      </w:r>
      <w:proofErr w:type="spellStart"/>
      <w:r w:rsidR="003E2745" w:rsidRPr="00423D61">
        <w:rPr>
          <w:rFonts w:ascii="Arial" w:hAnsi="Arial" w:cs="Arial"/>
          <w:i/>
          <w:color w:val="000000"/>
          <w:sz w:val="20"/>
          <w:szCs w:val="20"/>
        </w:rPr>
        <w:t>Brimbank</w:t>
      </w:r>
      <w:proofErr w:type="spellEnd"/>
      <w:r w:rsidR="003E2745" w:rsidRPr="00423D61">
        <w:rPr>
          <w:rFonts w:ascii="Arial" w:hAnsi="Arial" w:cs="Arial"/>
          <w:i/>
          <w:color w:val="000000"/>
          <w:sz w:val="20"/>
          <w:szCs w:val="20"/>
        </w:rPr>
        <w:t xml:space="preserve"> City Council</w:t>
      </w:r>
      <w:r w:rsidR="003E2745" w:rsidRPr="00423D61">
        <w:rPr>
          <w:rFonts w:ascii="Arial" w:hAnsi="Arial" w:cs="Arial"/>
          <w:color w:val="000000"/>
          <w:sz w:val="20"/>
          <w:szCs w:val="20"/>
        </w:rPr>
        <w:t xml:space="preserve"> [2014] VSC 13 at [35]-[56] per Rush J.</w:t>
      </w:r>
    </w:p>
    <w:p w14:paraId="6B2FD26A" w14:textId="206AC136" w:rsidR="00E32EC1" w:rsidRPr="00986720" w:rsidRDefault="00E32EC1">
      <w:pPr>
        <w:jc w:val="both"/>
        <w:rPr>
          <w:rFonts w:ascii="Arial" w:hAnsi="Arial" w:cs="Arial"/>
          <w:color w:val="000000"/>
          <w:sz w:val="20"/>
        </w:rPr>
      </w:pPr>
      <w:bookmarkStart w:id="919" w:name="COVvs1"/>
      <w:bookmarkEnd w:id="919"/>
    </w:p>
    <w:p w14:paraId="24A80DC4" w14:textId="77777777"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proofErr w:type="spellStart"/>
      <w:r w:rsidR="00757619" w:rsidRPr="00757619">
        <w:rPr>
          <w:rFonts w:ascii="Arial" w:hAnsi="Arial" w:cs="Arial"/>
          <w:i/>
          <w:sz w:val="20"/>
        </w:rPr>
        <w:t>Nais</w:t>
      </w:r>
      <w:proofErr w:type="spellEnd"/>
      <w:r w:rsidR="00757619" w:rsidRPr="00757619">
        <w:rPr>
          <w:rFonts w:ascii="Arial" w:hAnsi="Arial" w:cs="Arial"/>
          <w:i/>
          <w:sz w:val="20"/>
        </w:rPr>
        <w:t xml:space="preserve"> v Minister</w:t>
      </w:r>
      <w:r w:rsidR="00757619">
        <w:rPr>
          <w:rFonts w:ascii="Arial" w:hAnsi="Arial" w:cs="Arial"/>
          <w:sz w:val="20"/>
        </w:rPr>
        <w:t xml:space="preserve"> [2005] HCA 7</w:t>
      </w:r>
      <w:r w:rsidR="00864915">
        <w:rPr>
          <w:rFonts w:ascii="Arial" w:hAnsi="Arial" w:cs="Arial"/>
          <w:sz w:val="20"/>
        </w:rPr>
        <w:t>7 [delay of nearly 6 years].</w:t>
      </w:r>
    </w:p>
    <w:p w14:paraId="5E24E959" w14:textId="77777777" w:rsidR="00864915" w:rsidRDefault="00864915" w:rsidP="00864915">
      <w:pPr>
        <w:jc w:val="both"/>
        <w:rPr>
          <w:rFonts w:ascii="Arial" w:hAnsi="Arial" w:cs="Arial"/>
          <w:sz w:val="20"/>
        </w:rPr>
      </w:pPr>
    </w:p>
    <w:p w14:paraId="4918F0AB"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 xml:space="preserve">See per </w:t>
      </w:r>
      <w:proofErr w:type="spellStart"/>
      <w:r>
        <w:rPr>
          <w:rFonts w:ascii="Arial" w:hAnsi="Arial" w:cs="Arial"/>
          <w:sz w:val="20"/>
        </w:rPr>
        <w:t>Chernov</w:t>
      </w:r>
      <w:proofErr w:type="spellEnd"/>
      <w:r>
        <w:rPr>
          <w:rFonts w:ascii="Arial" w:hAnsi="Arial" w:cs="Arial"/>
          <w:sz w:val="20"/>
        </w:rPr>
        <w:t xml:space="preserve">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w:t>
      </w:r>
      <w:proofErr w:type="spellStart"/>
      <w:r>
        <w:rPr>
          <w:rFonts w:ascii="Arial" w:hAnsi="Arial" w:cs="Arial"/>
          <w:sz w:val="20"/>
        </w:rPr>
        <w:t>Chernov</w:t>
      </w:r>
      <w:proofErr w:type="spellEnd"/>
      <w:r>
        <w:rPr>
          <w:rFonts w:ascii="Arial" w:hAnsi="Arial" w:cs="Arial"/>
          <w:sz w:val="20"/>
        </w:rPr>
        <w:t xml:space="preserve"> JA at [38] &amp; [40], citing with approval dicta of Mahoney JA in </w:t>
      </w:r>
      <w:proofErr w:type="spellStart"/>
      <w:r>
        <w:rPr>
          <w:rFonts w:ascii="Arial" w:hAnsi="Arial" w:cs="Arial"/>
          <w:i/>
          <w:iCs/>
          <w:sz w:val="20"/>
        </w:rPr>
        <w:t>Mulvena</w:t>
      </w:r>
      <w:proofErr w:type="spellEnd"/>
      <w:r>
        <w:rPr>
          <w:rFonts w:ascii="Arial" w:hAnsi="Arial" w:cs="Arial"/>
          <w:i/>
          <w:iCs/>
          <w:sz w:val="20"/>
        </w:rPr>
        <w:t xml:space="preserve"> v Government Insurance Office of NSW</w:t>
      </w:r>
      <w:r>
        <w:rPr>
          <w:rFonts w:ascii="Arial" w:hAnsi="Arial" w:cs="Arial"/>
          <w:sz w:val="20"/>
        </w:rPr>
        <w:t xml:space="preserve"> [Court of Appeal NSW, unreported, 16/06/1992] at p.11.  </w:t>
      </w:r>
      <w:proofErr w:type="spellStart"/>
      <w:r>
        <w:rPr>
          <w:rFonts w:ascii="Arial" w:hAnsi="Arial" w:cs="Arial"/>
          <w:sz w:val="20"/>
        </w:rPr>
        <w:t>Chernov</w:t>
      </w:r>
      <w:proofErr w:type="spellEnd"/>
      <w:r>
        <w:rPr>
          <w:rFonts w:ascii="Arial" w:hAnsi="Arial" w:cs="Arial"/>
          <w:sz w:val="20"/>
        </w:rPr>
        <w:t xml:space="preserve"> JA added at [38]:</w:t>
      </w:r>
    </w:p>
    <w:p w14:paraId="3F0F123B" w14:textId="77777777" w:rsidR="00B21DA4" w:rsidRDefault="00B21DA4">
      <w:pPr>
        <w:ind w:left="851" w:right="567"/>
        <w:jc w:val="both"/>
        <w:rPr>
          <w:rFonts w:ascii="Arial" w:hAnsi="Arial" w:cs="Arial"/>
          <w:sz w:val="20"/>
        </w:rPr>
      </w:pPr>
      <w:r>
        <w:rPr>
          <w:rFonts w:ascii="Arial" w:hAnsi="Arial" w:cs="Arial"/>
          <w:sz w:val="20"/>
        </w:rPr>
        <w:t xml:space="preserve">"Judges are frequently requested to grant relief as a matter of urgency.  Many such applications raise difficult issues and call for complex reasons for the decision to grant or 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w:t>
      </w:r>
      <w:r>
        <w:rPr>
          <w:rFonts w:ascii="Arial" w:hAnsi="Arial" w:cs="Arial"/>
          <w:sz w:val="20"/>
        </w:rPr>
        <w:lastRenderedPageBreak/>
        <w:t>the relief sought and to deliver reasons for it later.  That this is an accepted practice in civil and 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w:t>
      </w:r>
      <w:proofErr w:type="spellStart"/>
      <w:r>
        <w:rPr>
          <w:rFonts w:ascii="Arial" w:hAnsi="Arial" w:cs="Arial"/>
          <w:sz w:val="20"/>
        </w:rPr>
        <w:t>Chernov</w:t>
      </w:r>
      <w:proofErr w:type="spellEnd"/>
      <w:r>
        <w:rPr>
          <w:rFonts w:ascii="Arial" w:hAnsi="Arial" w:cs="Arial"/>
          <w:sz w:val="20"/>
        </w:rPr>
        <w:t xml:space="preserve">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w:t>
      </w:r>
      <w:proofErr w:type="spellStart"/>
      <w:r>
        <w:rPr>
          <w:rFonts w:ascii="Arial" w:hAnsi="Arial" w:cs="Arial"/>
          <w:sz w:val="20"/>
        </w:rPr>
        <w:t>Chernov</w:t>
      </w:r>
      <w:proofErr w:type="spellEnd"/>
      <w:r>
        <w:rPr>
          <w:rFonts w:ascii="Arial" w:hAnsi="Arial" w:cs="Arial"/>
          <w:sz w:val="20"/>
        </w:rPr>
        <w:t xml:space="preserve"> JA said at [49] that this</w:t>
      </w:r>
    </w:p>
    <w:p w14:paraId="22E81724" w14:textId="77777777" w:rsidR="00B21DA4" w:rsidRDefault="00B21DA4" w:rsidP="001D1B06">
      <w:pPr>
        <w:ind w:left="851" w:right="567"/>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w:t>
      </w:r>
      <w:proofErr w:type="spellStart"/>
      <w:r>
        <w:rPr>
          <w:rFonts w:ascii="Arial" w:hAnsi="Arial" w:cs="Arial"/>
          <w:i/>
          <w:sz w:val="20"/>
        </w:rPr>
        <w:t>Mulvena</w:t>
      </w:r>
      <w:proofErr w:type="spellEnd"/>
      <w:r>
        <w:rPr>
          <w:rFonts w:ascii="Arial" w:hAnsi="Arial" w:cs="Arial"/>
          <w:i/>
          <w:sz w:val="20"/>
        </w:rPr>
        <w:t xml:space="preserve">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t>
      </w:r>
      <w:proofErr w:type="spellStart"/>
      <w:r>
        <w:rPr>
          <w:rFonts w:ascii="Arial" w:hAnsi="Arial" w:cs="Arial"/>
          <w:sz w:val="20"/>
        </w:rPr>
        <w:t>Willmer</w:t>
      </w:r>
      <w:proofErr w:type="spellEnd"/>
      <w:r>
        <w:rPr>
          <w:rFonts w:ascii="Arial" w:hAnsi="Arial" w:cs="Arial"/>
          <w:sz w:val="20"/>
        </w:rPr>
        <w:t xml:space="preserve">,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proofErr w:type="spellStart"/>
      <w:r>
        <w:rPr>
          <w:rFonts w:ascii="Arial" w:hAnsi="Arial" w:cs="Arial"/>
          <w:i/>
          <w:sz w:val="20"/>
        </w:rPr>
        <w:t>Nakhla</w:t>
      </w:r>
      <w:proofErr w:type="spellEnd"/>
      <w:r>
        <w:rPr>
          <w:rFonts w:ascii="Arial" w:hAnsi="Arial" w:cs="Arial"/>
          <w:i/>
          <w:sz w:val="20"/>
        </w:rPr>
        <w:t xml:space="preserve">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77777777" w:rsidR="00B21DA4" w:rsidRDefault="00B21DA4" w:rsidP="00212E38">
      <w:pPr>
        <w:numPr>
          <w:ilvl w:val="0"/>
          <w:numId w:val="9"/>
        </w:numPr>
        <w:jc w:val="both"/>
        <w:rPr>
          <w:rFonts w:ascii="Arial" w:hAnsi="Arial" w:cs="Arial"/>
          <w:sz w:val="20"/>
        </w:rPr>
      </w:pPr>
      <w:r>
        <w:rPr>
          <w:rFonts w:ascii="Arial" w:hAnsi="Arial" w:cs="Arial"/>
          <w:i/>
          <w:iCs/>
          <w:sz w:val="20"/>
        </w:rPr>
        <w:t xml:space="preserve">Bar Mordecai v </w:t>
      </w:r>
      <w:proofErr w:type="spellStart"/>
      <w:r>
        <w:rPr>
          <w:rFonts w:ascii="Arial" w:hAnsi="Arial" w:cs="Arial"/>
          <w:i/>
          <w:iCs/>
          <w:sz w:val="20"/>
        </w:rPr>
        <w:t>Rotman</w:t>
      </w:r>
      <w:proofErr w:type="spellEnd"/>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48B7FF38" w14:textId="77777777" w:rsidR="00B21DA4" w:rsidRDefault="00B21DA4" w:rsidP="00212E38">
      <w:pPr>
        <w:numPr>
          <w:ilvl w:val="0"/>
          <w:numId w:val="9"/>
        </w:numPr>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14E0ADA5" w:rsidR="00B21DA4" w:rsidRDefault="00B21DA4">
      <w:pPr>
        <w:rPr>
          <w:rFonts w:ascii="Arial" w:hAnsi="Arial" w:cs="Arial"/>
          <w:sz w:val="20"/>
        </w:rPr>
      </w:pPr>
    </w:p>
    <w:p w14:paraId="472A373B" w14:textId="6E942841" w:rsidR="00B21DA4" w:rsidRDefault="004A50B3">
      <w:pPr>
        <w:jc w:val="both"/>
        <w:rPr>
          <w:rFonts w:ascii="Arial" w:hAnsi="Arial" w:cs="Arial"/>
          <w:sz w:val="20"/>
        </w:rPr>
      </w:pPr>
      <w:r>
        <w:rPr>
          <w:rFonts w:ascii="Arial" w:hAnsi="Arial" w:cs="Arial"/>
          <w:sz w:val="20"/>
        </w:rPr>
        <w:t>F</w:t>
      </w:r>
      <w:r w:rsidR="00B21DA4">
        <w:rPr>
          <w:rFonts w:ascii="Arial" w:hAnsi="Arial" w:cs="Arial"/>
          <w:sz w:val="20"/>
        </w:rPr>
        <w:t xml:space="preserve">or examples of cases in which judicial officers have impermissibly changed the reasons for decision see </w:t>
      </w:r>
      <w:r w:rsidR="00B21DA4">
        <w:rPr>
          <w:rFonts w:ascii="Arial" w:hAnsi="Arial" w:cs="Arial"/>
          <w:i/>
          <w:iCs/>
          <w:sz w:val="20"/>
        </w:rPr>
        <w:t xml:space="preserve">Lam v </w:t>
      </w:r>
      <w:proofErr w:type="spellStart"/>
      <w:r w:rsidR="00B21DA4">
        <w:rPr>
          <w:rFonts w:ascii="Arial" w:hAnsi="Arial" w:cs="Arial"/>
          <w:i/>
          <w:iCs/>
          <w:sz w:val="20"/>
        </w:rPr>
        <w:t>Beesley</w:t>
      </w:r>
      <w:proofErr w:type="spellEnd"/>
      <w:r w:rsidR="00B21DA4">
        <w:rPr>
          <w:rFonts w:ascii="Arial" w:hAnsi="Arial" w:cs="Arial"/>
          <w:sz w:val="20"/>
        </w:rPr>
        <w:t xml:space="preserve"> (1992) 7 WAR 88 at 92,94-5; </w:t>
      </w:r>
      <w:proofErr w:type="spellStart"/>
      <w:r w:rsidR="00B21DA4">
        <w:rPr>
          <w:rFonts w:ascii="Arial" w:hAnsi="Arial" w:cs="Arial"/>
          <w:i/>
          <w:iCs/>
          <w:sz w:val="20"/>
        </w:rPr>
        <w:t>Todorovic</w:t>
      </w:r>
      <w:proofErr w:type="spellEnd"/>
      <w:r w:rsidR="00B21DA4">
        <w:rPr>
          <w:rFonts w:ascii="Arial" w:hAnsi="Arial" w:cs="Arial"/>
          <w:i/>
          <w:iCs/>
          <w:sz w:val="20"/>
        </w:rPr>
        <w:t xml:space="preserve"> v Moussa</w:t>
      </w:r>
      <w:r w:rsidR="00B21DA4">
        <w:rPr>
          <w:rFonts w:ascii="Arial" w:hAnsi="Arial" w:cs="Arial"/>
          <w:sz w:val="20"/>
        </w:rPr>
        <w:t xml:space="preserve"> [Supreme Court NSW-Court of Appeal, unreported, 09/04/2001 per Powell &amp; </w:t>
      </w:r>
      <w:proofErr w:type="spellStart"/>
      <w:r w:rsidR="00B21DA4">
        <w:rPr>
          <w:rFonts w:ascii="Arial" w:hAnsi="Arial" w:cs="Arial"/>
          <w:sz w:val="20"/>
        </w:rPr>
        <w:t>Heydon</w:t>
      </w:r>
      <w:proofErr w:type="spellEnd"/>
      <w:r w:rsidR="00B21DA4">
        <w:rPr>
          <w:rFonts w:ascii="Arial" w:hAnsi="Arial" w:cs="Arial"/>
          <w:sz w:val="20"/>
        </w:rPr>
        <w:t xml:space="preserve">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w:t>
      </w:r>
      <w:proofErr w:type="spellStart"/>
      <w:r>
        <w:rPr>
          <w:rFonts w:ascii="Arial" w:hAnsi="Arial" w:cs="Arial"/>
          <w:sz w:val="20"/>
        </w:rPr>
        <w:t>Some time</w:t>
      </w:r>
      <w:proofErr w:type="spellEnd"/>
      <w:r>
        <w:rPr>
          <w:rFonts w:ascii="Arial" w:hAnsi="Arial" w:cs="Arial"/>
          <w:sz w:val="20"/>
        </w:rPr>
        <w:t xml:space="preserv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CD48BB">
      <w:pPr>
        <w:ind w:left="851" w:right="567"/>
        <w:jc w:val="both"/>
        <w:rPr>
          <w:rFonts w:ascii="Arial" w:hAnsi="Arial" w:cs="Arial"/>
          <w:sz w:val="20"/>
        </w:rPr>
      </w:pPr>
      <w:r>
        <w:rPr>
          <w:rFonts w:ascii="Arial" w:hAnsi="Arial" w:cs="Arial"/>
          <w:sz w:val="20"/>
        </w:rPr>
        <w:t>“</w:t>
      </w:r>
      <w:r w:rsidR="00840F82" w:rsidRPr="00840F82">
        <w:rPr>
          <w:rFonts w:ascii="Arial" w:hAnsi="Arial" w:cs="Arial"/>
          <w:sz w:val="20"/>
          <w:szCs w:val="20"/>
        </w:rPr>
        <w:t xml:space="preserve">It must be clearly understood that the Supreme Court of </w:t>
      </w:r>
      <w:smartTag w:uri="urn:schemas-microsoft-com:office:smarttags" w:element="State">
        <w:smartTag w:uri="urn:schemas-microsoft-com:office:smarttags" w:element="plac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Fletcher Construction Australia Ltd v Line 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w:t>
      </w:r>
      <w:r w:rsidR="00840F82" w:rsidRPr="00840F82">
        <w:rPr>
          <w:rFonts w:ascii="Arial" w:hAnsi="Arial" w:cs="Arial"/>
          <w:sz w:val="20"/>
          <w:szCs w:val="20"/>
        </w:rPr>
        <w:lastRenderedPageBreak/>
        <w:t xml:space="preserve">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77777777" w:rsidR="00B2226E" w:rsidRDefault="00B2226E" w:rsidP="00B2226E">
      <w:pPr>
        <w:jc w:val="both"/>
        <w:rPr>
          <w:rFonts w:ascii="Arial" w:hAnsi="Arial" w:cs="Arial"/>
          <w:sz w:val="20"/>
        </w:rPr>
      </w:pPr>
      <w:bookmarkStart w:id="920" w:name="_Toc58831516"/>
    </w:p>
    <w:p w14:paraId="7625129E" w14:textId="33244E75" w:rsidR="00B21DA4" w:rsidRDefault="00B21DA4">
      <w:pPr>
        <w:pStyle w:val="Heading2"/>
        <w:keepNext/>
        <w:keepLines/>
        <w:tabs>
          <w:tab w:val="left" w:pos="567"/>
        </w:tabs>
        <w:spacing w:line="240" w:lineRule="auto"/>
        <w:rPr>
          <w:rFonts w:ascii="Arial" w:hAnsi="Arial" w:cs="Arial"/>
          <w:b/>
          <w:bCs/>
        </w:rPr>
      </w:pPr>
      <w:bookmarkStart w:id="921" w:name="_3.8_Amending_judgments"/>
      <w:bookmarkStart w:id="922" w:name="B38"/>
      <w:bookmarkEnd w:id="921"/>
      <w:bookmarkEnd w:id="922"/>
      <w:r>
        <w:rPr>
          <w:rFonts w:ascii="Arial" w:hAnsi="Arial" w:cs="Arial"/>
          <w:b/>
          <w:bCs/>
        </w:rPr>
        <w:t>3.</w:t>
      </w:r>
      <w:r w:rsidR="00AB3569">
        <w:rPr>
          <w:rFonts w:ascii="Arial" w:hAnsi="Arial" w:cs="Arial"/>
          <w:b/>
          <w:bCs/>
        </w:rPr>
        <w:t>8</w:t>
      </w:r>
      <w:r>
        <w:rPr>
          <w:rFonts w:ascii="Arial" w:hAnsi="Arial" w:cs="Arial"/>
          <w:b/>
          <w:bCs/>
        </w:rPr>
        <w:tab/>
        <w:t xml:space="preserve">Amending judgments </w:t>
      </w:r>
      <w:r w:rsidR="00C417D0">
        <w:rPr>
          <w:rFonts w:ascii="Arial" w:hAnsi="Arial" w:cs="Arial"/>
          <w:b/>
          <w:bCs/>
        </w:rPr>
        <w:t>–</w:t>
      </w:r>
      <w:r>
        <w:rPr>
          <w:rFonts w:ascii="Arial" w:hAnsi="Arial" w:cs="Arial"/>
          <w:b/>
          <w:bCs/>
        </w:rPr>
        <w:t xml:space="preserve"> The</w:t>
      </w:r>
      <w:r w:rsidR="00C417D0">
        <w:rPr>
          <w:rFonts w:ascii="Arial" w:hAnsi="Arial" w:cs="Arial"/>
          <w:b/>
          <w:bCs/>
        </w:rPr>
        <w:t xml:space="preserve"> </w:t>
      </w:r>
      <w:r>
        <w:rPr>
          <w:rFonts w:ascii="Arial" w:hAnsi="Arial" w:cs="Arial"/>
          <w:b/>
          <w:bCs/>
        </w:rPr>
        <w:t>'slip rule'</w:t>
      </w:r>
      <w:bookmarkEnd w:id="920"/>
    </w:p>
    <w:p w14:paraId="074824CC" w14:textId="77777777" w:rsidR="00B21DA4" w:rsidRDefault="00B21DA4">
      <w:pPr>
        <w:keepNext/>
        <w:keepLines/>
        <w:jc w:val="both"/>
        <w:rPr>
          <w:rFonts w:ascii="Arial" w:hAnsi="Arial" w:cs="Arial"/>
          <w:sz w:val="20"/>
        </w:rPr>
      </w:pPr>
    </w:p>
    <w:p w14:paraId="5121535B" w14:textId="703319F0" w:rsidR="00206786" w:rsidRDefault="00206786">
      <w:pPr>
        <w:keepNext/>
        <w:keepLines/>
        <w:jc w:val="both"/>
        <w:rPr>
          <w:rFonts w:ascii="Arial" w:hAnsi="Arial" w:cs="Arial"/>
          <w:sz w:val="20"/>
        </w:rPr>
      </w:pPr>
      <w:r>
        <w:rPr>
          <w:rFonts w:ascii="Arial" w:hAnsi="Arial" w:cs="Arial"/>
          <w:sz w:val="20"/>
        </w:rPr>
        <w:t xml:space="preserve">Section 412 of the </w:t>
      </w:r>
      <w:r w:rsidRPr="00206786">
        <w:rPr>
          <w:rFonts w:ascii="Arial" w:hAnsi="Arial" w:cs="Arial"/>
          <w:i/>
          <w:iCs/>
          <w:sz w:val="20"/>
        </w:rPr>
        <w:t>Criminal Procedure Act 2009</w:t>
      </w:r>
      <w:r>
        <w:rPr>
          <w:rFonts w:ascii="Arial" w:hAnsi="Arial" w:cs="Arial"/>
          <w:sz w:val="20"/>
        </w:rPr>
        <w:t xml:space="preserve"> – which applies in the Children’s Court by virtue of s.528(2)(b) CYFA – provides:</w:t>
      </w:r>
    </w:p>
    <w:p w14:paraId="3868EA51" w14:textId="45C1ADE5" w:rsidR="00206786" w:rsidRDefault="00206786" w:rsidP="00206786">
      <w:pPr>
        <w:spacing w:before="60"/>
        <w:ind w:left="567" w:right="567"/>
        <w:jc w:val="both"/>
        <w:rPr>
          <w:rFonts w:ascii="Arial" w:hAnsi="Arial" w:cs="Arial"/>
          <w:sz w:val="20"/>
        </w:rPr>
      </w:pPr>
      <w:r>
        <w:rPr>
          <w:rFonts w:ascii="Arial" w:hAnsi="Arial" w:cs="Arial"/>
          <w:sz w:val="20"/>
        </w:rPr>
        <w:t>“For the purpose of correcting any defect or error in substance or in form, a court may amend any summons, warrant, plea, judgment or order.”</w:t>
      </w:r>
    </w:p>
    <w:p w14:paraId="1E22EF28" w14:textId="3239126B" w:rsidR="00206786" w:rsidRDefault="00206786" w:rsidP="00206786">
      <w:pPr>
        <w:jc w:val="both"/>
        <w:rPr>
          <w:rFonts w:ascii="Arial" w:hAnsi="Arial" w:cs="Arial"/>
          <w:sz w:val="20"/>
        </w:rPr>
      </w:pPr>
    </w:p>
    <w:p w14:paraId="52845FBF" w14:textId="24B8942A" w:rsidR="00206786" w:rsidRDefault="002E72AC" w:rsidP="002E72AC">
      <w:pPr>
        <w:jc w:val="both"/>
        <w:rPr>
          <w:rFonts w:ascii="Arial" w:hAnsi="Arial" w:cs="Arial"/>
          <w:sz w:val="20"/>
        </w:rPr>
      </w:pPr>
      <w:r>
        <w:rPr>
          <w:rFonts w:ascii="Arial" w:hAnsi="Arial" w:cs="Arial"/>
          <w:sz w:val="20"/>
        </w:rPr>
        <w:t>For example, s.412 has been used to enable a sentencing court to-</w:t>
      </w:r>
    </w:p>
    <w:p w14:paraId="65FA0208" w14:textId="5818DD55" w:rsidR="002E72AC" w:rsidRDefault="00206786"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sidRPr="002E72AC">
        <w:rPr>
          <w:rFonts w:ascii="Arial" w:hAnsi="Arial" w:cs="Arial"/>
          <w:sz w:val="20"/>
          <w:szCs w:val="16"/>
        </w:rPr>
        <w:t>declare the correct figure of pre-sentence detention</w:t>
      </w:r>
      <w:r w:rsidR="002E72AC" w:rsidRPr="002E72AC">
        <w:rPr>
          <w:rFonts w:ascii="Arial" w:hAnsi="Arial" w:cs="Arial"/>
          <w:sz w:val="20"/>
          <w:szCs w:val="16"/>
        </w:rPr>
        <w:t xml:space="preserve">: </w:t>
      </w:r>
      <w:r w:rsidRPr="002E72AC">
        <w:rPr>
          <w:rFonts w:ascii="Arial" w:hAnsi="Arial" w:cs="Arial"/>
          <w:sz w:val="20"/>
          <w:szCs w:val="16"/>
        </w:rPr>
        <w:t xml:space="preserve">see </w:t>
      </w:r>
      <w:r w:rsidRPr="002E72AC">
        <w:rPr>
          <w:rFonts w:ascii="Arial" w:hAnsi="Arial" w:cs="Arial"/>
          <w:i/>
          <w:iCs/>
          <w:sz w:val="20"/>
          <w:szCs w:val="16"/>
        </w:rPr>
        <w:t>McDonald v The Queen</w:t>
      </w:r>
      <w:r w:rsidRPr="002E72AC">
        <w:rPr>
          <w:rFonts w:ascii="Arial" w:hAnsi="Arial" w:cs="Arial"/>
          <w:sz w:val="20"/>
          <w:szCs w:val="16"/>
        </w:rPr>
        <w:t xml:space="preserve"> [2013] VSCA 89</w:t>
      </w:r>
      <w:r w:rsidR="002E72AC" w:rsidRPr="002E72AC">
        <w:rPr>
          <w:rFonts w:ascii="Arial" w:hAnsi="Arial" w:cs="Arial"/>
          <w:sz w:val="20"/>
          <w:szCs w:val="16"/>
        </w:rPr>
        <w:t xml:space="preserve"> at </w:t>
      </w:r>
      <w:r w:rsidRPr="002E72AC">
        <w:rPr>
          <w:rFonts w:ascii="Arial" w:hAnsi="Arial" w:cs="Arial"/>
          <w:sz w:val="20"/>
          <w:szCs w:val="16"/>
        </w:rPr>
        <w:t xml:space="preserve">[17]; </w:t>
      </w:r>
      <w:r w:rsidRPr="002E72AC">
        <w:rPr>
          <w:rFonts w:ascii="Arial" w:hAnsi="Arial" w:cs="Arial"/>
          <w:i/>
          <w:iCs/>
          <w:sz w:val="20"/>
          <w:szCs w:val="16"/>
        </w:rPr>
        <w:t xml:space="preserve">Smith v The Queen; </w:t>
      </w:r>
      <w:proofErr w:type="spellStart"/>
      <w:r w:rsidRPr="002E72AC">
        <w:rPr>
          <w:rFonts w:ascii="Arial" w:hAnsi="Arial" w:cs="Arial"/>
          <w:i/>
          <w:iCs/>
          <w:sz w:val="20"/>
          <w:szCs w:val="16"/>
        </w:rPr>
        <w:t>Droste</w:t>
      </w:r>
      <w:proofErr w:type="spellEnd"/>
      <w:r w:rsidRPr="002E72AC">
        <w:rPr>
          <w:rFonts w:ascii="Arial" w:hAnsi="Arial" w:cs="Arial"/>
          <w:i/>
          <w:iCs/>
          <w:sz w:val="20"/>
          <w:szCs w:val="16"/>
        </w:rPr>
        <w:t xml:space="preserve"> v The Queen</w:t>
      </w:r>
      <w:r w:rsidRPr="002E72AC">
        <w:rPr>
          <w:rFonts w:ascii="Arial" w:hAnsi="Arial" w:cs="Arial"/>
          <w:sz w:val="20"/>
          <w:szCs w:val="16"/>
        </w:rPr>
        <w:t xml:space="preserve"> [2012] VSCA 133</w:t>
      </w:r>
      <w:r w:rsidR="002E72AC" w:rsidRPr="002E72AC">
        <w:rPr>
          <w:rFonts w:ascii="Arial" w:hAnsi="Arial" w:cs="Arial"/>
          <w:sz w:val="20"/>
          <w:szCs w:val="16"/>
        </w:rPr>
        <w:t xml:space="preserve"> at [32];</w:t>
      </w:r>
    </w:p>
    <w:p w14:paraId="4CEFEA0F" w14:textId="6D714ED9" w:rsidR="002E72AC" w:rsidRPr="002E72AC" w:rsidRDefault="002E72AC"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Pr>
          <w:rFonts w:ascii="Arial" w:hAnsi="Arial" w:cs="Arial"/>
          <w:sz w:val="20"/>
          <w:szCs w:val="16"/>
        </w:rPr>
        <w:t xml:space="preserve">amend the commencement date of a term of imprisonment or detention: see </w:t>
      </w:r>
      <w:r w:rsidRPr="002E72AC">
        <w:rPr>
          <w:rFonts w:ascii="Arial" w:hAnsi="Arial" w:cs="Arial"/>
          <w:i/>
          <w:iCs/>
          <w:sz w:val="20"/>
          <w:szCs w:val="16"/>
        </w:rPr>
        <w:t>R v Bembo</w:t>
      </w:r>
      <w:r>
        <w:rPr>
          <w:rFonts w:ascii="Arial" w:hAnsi="Arial" w:cs="Arial"/>
          <w:sz w:val="20"/>
          <w:szCs w:val="16"/>
        </w:rPr>
        <w:t xml:space="preserve"> [2019] VCC 1352.</w:t>
      </w:r>
    </w:p>
    <w:p w14:paraId="1066F8BD" w14:textId="77777777" w:rsidR="00206786" w:rsidRPr="002E72AC" w:rsidRDefault="00206786" w:rsidP="002E72AC">
      <w:pPr>
        <w:overflowPunct w:val="0"/>
        <w:autoSpaceDE w:val="0"/>
        <w:autoSpaceDN w:val="0"/>
        <w:adjustRightInd w:val="0"/>
        <w:textAlignment w:val="baseline"/>
        <w:rPr>
          <w:rFonts w:ascii="Arial" w:hAnsi="Arial" w:cs="Arial"/>
          <w:sz w:val="20"/>
          <w:szCs w:val="16"/>
        </w:rPr>
      </w:pPr>
    </w:p>
    <w:p w14:paraId="1CB72F45" w14:textId="71BAE83C" w:rsidR="002E72AC" w:rsidRPr="002E72AC" w:rsidRDefault="002E72AC" w:rsidP="002E72AC">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However, although s.412 seems very broad on its face, its </w:t>
      </w:r>
      <w:r>
        <w:rPr>
          <w:rFonts w:ascii="Arial" w:hAnsi="Arial" w:cs="Arial"/>
          <w:sz w:val="20"/>
          <w:szCs w:val="16"/>
        </w:rPr>
        <w:t xml:space="preserve">application is much more constrained and it cannot be relied upon in cases where a judge is </w:t>
      </w:r>
      <w:r w:rsidRPr="002E72AC">
        <w:rPr>
          <w:rFonts w:ascii="Arial" w:hAnsi="Arial" w:cs="Arial"/>
          <w:i/>
          <w:iCs/>
          <w:sz w:val="20"/>
          <w:szCs w:val="16"/>
        </w:rPr>
        <w:t>functus officio</w:t>
      </w:r>
      <w:r>
        <w:rPr>
          <w:rFonts w:ascii="Arial" w:hAnsi="Arial" w:cs="Arial"/>
          <w:sz w:val="20"/>
          <w:szCs w:val="16"/>
        </w:rPr>
        <w:t xml:space="preserve">.  In </w:t>
      </w:r>
      <w:r w:rsidRPr="002E72AC">
        <w:rPr>
          <w:rFonts w:ascii="Arial" w:hAnsi="Arial" w:cs="Arial"/>
          <w:i/>
          <w:iCs/>
          <w:sz w:val="20"/>
          <w:szCs w:val="16"/>
        </w:rPr>
        <w:t>DPP v Edwards</w:t>
      </w:r>
      <w:r>
        <w:rPr>
          <w:rFonts w:ascii="Arial" w:hAnsi="Arial" w:cs="Arial"/>
          <w:sz w:val="20"/>
          <w:szCs w:val="16"/>
        </w:rPr>
        <w:t xml:space="preserve"> [2012] VSCA 293 Weinberg &amp; Williams AJA stated at [238]:</w:t>
      </w:r>
    </w:p>
    <w:p w14:paraId="552EE939" w14:textId="62639EBE" w:rsidR="00206786" w:rsidRPr="002E72AC" w:rsidRDefault="002E72AC" w:rsidP="002C0A9F">
      <w:pPr>
        <w:overflowPunct w:val="0"/>
        <w:autoSpaceDE w:val="0"/>
        <w:autoSpaceDN w:val="0"/>
        <w:adjustRightInd w:val="0"/>
        <w:spacing w:before="60" w:after="60"/>
        <w:ind w:left="567" w:right="567"/>
        <w:jc w:val="both"/>
        <w:textAlignment w:val="baseline"/>
        <w:rPr>
          <w:rFonts w:ascii="Arial" w:hAnsi="Arial" w:cs="Arial"/>
          <w:sz w:val="20"/>
          <w:szCs w:val="20"/>
        </w:rPr>
      </w:pPr>
      <w:r w:rsidRPr="002E72AC">
        <w:rPr>
          <w:rFonts w:ascii="Arial" w:hAnsi="Arial" w:cs="Arial"/>
          <w:sz w:val="20"/>
          <w:szCs w:val="20"/>
          <w:shd w:val="clear" w:color="auto" w:fill="FFFFFF"/>
        </w:rPr>
        <w:t>“</w:t>
      </w:r>
      <w:r w:rsidR="00206786" w:rsidRPr="002E72AC">
        <w:rPr>
          <w:rFonts w:ascii="Arial" w:hAnsi="Arial" w:cs="Arial"/>
          <w:sz w:val="20"/>
          <w:szCs w:val="20"/>
          <w:shd w:val="clear" w:color="auto" w:fill="FFFFFF"/>
        </w:rPr>
        <w:t>The judge sought to rely upon </w:t>
      </w:r>
      <w:hyperlink r:id="rId27" w:history="1">
        <w:r w:rsidR="00206786" w:rsidRPr="002E72AC">
          <w:rPr>
            <w:rFonts w:ascii="Arial" w:hAnsi="Arial" w:cs="Arial"/>
            <w:sz w:val="20"/>
            <w:szCs w:val="20"/>
            <w:shd w:val="clear" w:color="auto" w:fill="FFFFFF"/>
          </w:rPr>
          <w:t>s 412</w:t>
        </w:r>
      </w:hyperlink>
      <w:r w:rsidR="00206786" w:rsidRPr="002E72AC">
        <w:rPr>
          <w:rFonts w:ascii="Arial" w:hAnsi="Arial" w:cs="Arial"/>
          <w:sz w:val="20"/>
          <w:szCs w:val="20"/>
          <w:shd w:val="clear" w:color="auto" w:fill="FFFFFF"/>
        </w:rPr>
        <w:t> of the</w:t>
      </w:r>
      <w:r w:rsidR="00206786" w:rsidRPr="002E72AC">
        <w:rPr>
          <w:rFonts w:ascii="Arial" w:hAnsi="Arial" w:cs="Arial"/>
          <w:i/>
          <w:iCs/>
          <w:sz w:val="20"/>
          <w:szCs w:val="20"/>
          <w:shd w:val="clear" w:color="auto" w:fill="FFFFFF"/>
        </w:rPr>
        <w:t> </w:t>
      </w:r>
      <w:hyperlink r:id="rId28" w:history="1">
        <w:r w:rsidR="00206786" w:rsidRPr="002E72AC">
          <w:rPr>
            <w:rFonts w:ascii="Arial" w:hAnsi="Arial" w:cs="Arial"/>
            <w:i/>
            <w:iCs/>
            <w:sz w:val="20"/>
            <w:szCs w:val="20"/>
            <w:shd w:val="clear" w:color="auto" w:fill="FFFFFF"/>
          </w:rPr>
          <w:t>Criminal Procedure Act 2009</w:t>
        </w:r>
      </w:hyperlink>
      <w:r w:rsidR="00206786" w:rsidRPr="002E72AC">
        <w:rPr>
          <w:rFonts w:ascii="Arial" w:hAnsi="Arial" w:cs="Arial"/>
          <w:sz w:val="20"/>
          <w:szCs w:val="20"/>
          <w:shd w:val="clear" w:color="auto" w:fill="FFFFFF"/>
        </w:rPr>
        <w:t> in recalling the first sentence. In our respectful opinion, the section cannot be used in that way. It should not be read as a ‘cure all’, enabling any error, of any kind, to be rectified at any time. It was not intended to, and does not, abrogate the doctrine of functus officio. One would need unmistakably clear language to bring about such a far-reaching, and remarkably radical, result.</w:t>
      </w:r>
      <w:r w:rsidRPr="002E72AC">
        <w:rPr>
          <w:rFonts w:ascii="Arial" w:hAnsi="Arial" w:cs="Arial"/>
          <w:sz w:val="20"/>
          <w:szCs w:val="20"/>
          <w:shd w:val="clear" w:color="auto" w:fill="FFFFFF"/>
        </w:rPr>
        <w:t>”</w:t>
      </w:r>
    </w:p>
    <w:p w14:paraId="03B60AC0" w14:textId="6792AF85" w:rsidR="00206786" w:rsidRPr="002E72AC" w:rsidRDefault="002E72AC" w:rsidP="00C417D0">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See also </w:t>
      </w:r>
      <w:r w:rsidRPr="002E72AC">
        <w:rPr>
          <w:rFonts w:ascii="Arial" w:hAnsi="Arial" w:cs="Arial"/>
          <w:i/>
          <w:iCs/>
          <w:sz w:val="20"/>
          <w:szCs w:val="16"/>
        </w:rPr>
        <w:t xml:space="preserve">CMG v The Queen </w:t>
      </w:r>
      <w:r w:rsidRPr="002E72AC">
        <w:rPr>
          <w:rFonts w:ascii="Arial" w:hAnsi="Arial" w:cs="Arial"/>
          <w:sz w:val="20"/>
          <w:szCs w:val="16"/>
        </w:rPr>
        <w:t>[2013] VSCA 243 at [129]</w:t>
      </w:r>
      <w:r w:rsidR="00C417D0">
        <w:rPr>
          <w:rFonts w:ascii="Arial" w:hAnsi="Arial" w:cs="Arial"/>
          <w:sz w:val="20"/>
          <w:szCs w:val="16"/>
        </w:rPr>
        <w:t xml:space="preserve">; </w:t>
      </w:r>
      <w:proofErr w:type="spellStart"/>
      <w:r w:rsidR="00C417D0" w:rsidRPr="00C417D0">
        <w:rPr>
          <w:rFonts w:ascii="Arial" w:hAnsi="Arial" w:cs="Arial"/>
          <w:i/>
          <w:iCs/>
          <w:sz w:val="20"/>
          <w:szCs w:val="16"/>
        </w:rPr>
        <w:t>Dimovski</w:t>
      </w:r>
      <w:proofErr w:type="spellEnd"/>
      <w:r w:rsidR="00C417D0" w:rsidRPr="00C417D0">
        <w:rPr>
          <w:rFonts w:ascii="Arial" w:hAnsi="Arial" w:cs="Arial"/>
          <w:i/>
          <w:iCs/>
          <w:sz w:val="20"/>
          <w:szCs w:val="16"/>
        </w:rPr>
        <w:t xml:space="preserve"> v The Queen</w:t>
      </w:r>
      <w:r w:rsidR="00C417D0">
        <w:rPr>
          <w:rFonts w:ascii="Arial" w:hAnsi="Arial" w:cs="Arial"/>
          <w:sz w:val="20"/>
          <w:szCs w:val="16"/>
        </w:rPr>
        <w:t xml:space="preserve"> [2022] VSCA 6 at [40]</w:t>
      </w:r>
      <w:r w:rsidR="00C417D0">
        <w:rPr>
          <w:rFonts w:ascii="Arial" w:hAnsi="Arial" w:cs="Arial"/>
          <w:sz w:val="20"/>
          <w:szCs w:val="16"/>
        </w:rPr>
        <w:noBreakHyphen/>
        <w:t>[44]</w:t>
      </w:r>
      <w:r w:rsidRPr="002E72AC">
        <w:rPr>
          <w:rFonts w:ascii="Arial" w:hAnsi="Arial" w:cs="Arial"/>
          <w:sz w:val="20"/>
          <w:szCs w:val="16"/>
        </w:rPr>
        <w:t>.</w:t>
      </w:r>
    </w:p>
    <w:p w14:paraId="0844B6B1" w14:textId="77777777" w:rsidR="00206786" w:rsidRDefault="00206786" w:rsidP="00206786">
      <w:pPr>
        <w:jc w:val="both"/>
        <w:rPr>
          <w:rFonts w:ascii="Arial" w:hAnsi="Arial" w:cs="Arial"/>
          <w:sz w:val="20"/>
        </w:rPr>
      </w:pPr>
    </w:p>
    <w:p w14:paraId="75B86113" w14:textId="0BE4C8AB" w:rsidR="00B21DA4" w:rsidRDefault="002E72AC" w:rsidP="00206786">
      <w:pPr>
        <w:jc w:val="both"/>
        <w:rPr>
          <w:rFonts w:ascii="Arial" w:hAnsi="Arial" w:cs="Arial"/>
          <w:sz w:val="20"/>
        </w:rPr>
      </w:pPr>
      <w:r>
        <w:rPr>
          <w:rFonts w:ascii="Arial" w:hAnsi="Arial" w:cs="Arial"/>
          <w:sz w:val="20"/>
        </w:rPr>
        <w:t>In general t</w:t>
      </w:r>
      <w:r w:rsidR="00B21DA4">
        <w:rPr>
          <w:rFonts w:ascii="Arial" w:hAnsi="Arial" w:cs="Arial"/>
          <w:sz w:val="20"/>
        </w:rPr>
        <w:t xml:space="preserve">he power of a judicial officer to amend a final judgment is limited.  In </w:t>
      </w:r>
      <w:r w:rsidR="00B21DA4">
        <w:rPr>
          <w:rFonts w:ascii="Arial" w:hAnsi="Arial" w:cs="Arial"/>
          <w:i/>
          <w:iCs/>
          <w:sz w:val="20"/>
        </w:rPr>
        <w:t xml:space="preserve">R v </w:t>
      </w:r>
      <w:proofErr w:type="spellStart"/>
      <w:r w:rsidR="00B21DA4">
        <w:rPr>
          <w:rFonts w:ascii="Arial" w:hAnsi="Arial" w:cs="Arial"/>
          <w:i/>
          <w:iCs/>
          <w:sz w:val="20"/>
        </w:rPr>
        <w:t>Billington</w:t>
      </w:r>
      <w:proofErr w:type="spellEnd"/>
      <w:r w:rsidR="00B21DA4">
        <w:rPr>
          <w:rFonts w:ascii="Arial" w:hAnsi="Arial" w:cs="Arial"/>
          <w:i/>
          <w:iCs/>
          <w:sz w:val="20"/>
        </w:rPr>
        <w:t xml:space="preserve"> </w:t>
      </w:r>
      <w:r w:rsidR="00B21DA4">
        <w:rPr>
          <w:rFonts w:ascii="Arial" w:hAnsi="Arial" w:cs="Arial"/>
          <w:sz w:val="20"/>
        </w:rPr>
        <w:t xml:space="preserve">[1980] VR 625 at 628 the Full Court of the Supreme Court of Victoria - following dicta of the </w:t>
      </w:r>
      <w:smartTag w:uri="urn:schemas-microsoft-com:office:smarttags" w:element="address">
        <w:smartTag w:uri="urn:schemas-microsoft-com:office:smarttags" w:element="Street">
          <w:r w:rsidR="00B21DA4">
            <w:rPr>
              <w:rFonts w:ascii="Arial" w:hAnsi="Arial" w:cs="Arial"/>
              <w:sz w:val="20"/>
            </w:rPr>
            <w:t>Full Court</w:t>
          </w:r>
        </w:smartTag>
      </w:smartTag>
      <w:r w:rsidR="00B21DA4">
        <w:rPr>
          <w:rFonts w:ascii="Arial" w:hAnsi="Arial" w:cs="Arial"/>
          <w:sz w:val="20"/>
        </w:rPr>
        <w:t xml:space="preserve"> in </w:t>
      </w:r>
      <w:r w:rsidR="00B21DA4">
        <w:rPr>
          <w:rFonts w:ascii="Arial" w:hAnsi="Arial" w:cs="Arial"/>
          <w:i/>
          <w:iCs/>
          <w:sz w:val="20"/>
        </w:rPr>
        <w:t>Carroll v Price</w:t>
      </w:r>
      <w:r w:rsidR="00B21DA4">
        <w:rPr>
          <w:rFonts w:ascii="Arial" w:hAnsi="Arial" w:cs="Arial"/>
          <w:sz w:val="20"/>
        </w:rPr>
        <w:t xml:space="preserve"> [1960] VR 651 at 657-8 - said:</w:t>
      </w:r>
    </w:p>
    <w:p w14:paraId="3D71143B" w14:textId="77777777" w:rsidR="00B21DA4" w:rsidRDefault="00B21DA4">
      <w:pPr>
        <w:spacing w:before="60"/>
        <w:ind w:left="567" w:right="567"/>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5F6834">
      <w:pPr>
        <w:keepNext/>
        <w:keepLines/>
        <w:jc w:val="both"/>
        <w:rPr>
          <w:rFonts w:ascii="Arial" w:hAnsi="Arial" w:cs="Arial"/>
          <w:sz w:val="20"/>
        </w:rPr>
      </w:pPr>
      <w:r>
        <w:rPr>
          <w:rFonts w:ascii="Arial" w:hAnsi="Arial" w:cs="Arial"/>
          <w:sz w:val="20"/>
        </w:rPr>
        <w:t xml:space="preserve">In </w:t>
      </w:r>
      <w:r>
        <w:rPr>
          <w:rFonts w:ascii="Arial" w:hAnsi="Arial" w:cs="Arial"/>
          <w:i/>
          <w:iCs/>
          <w:sz w:val="20"/>
        </w:rPr>
        <w:t xml:space="preserve">Bailey v </w:t>
      </w:r>
      <w:proofErr w:type="spellStart"/>
      <w:r>
        <w:rPr>
          <w:rFonts w:ascii="Arial" w:hAnsi="Arial" w:cs="Arial"/>
          <w:i/>
          <w:iCs/>
          <w:sz w:val="20"/>
        </w:rPr>
        <w:t>Marinoff</w:t>
      </w:r>
      <w:proofErr w:type="spellEnd"/>
      <w:r>
        <w:rPr>
          <w:rFonts w:ascii="Arial" w:hAnsi="Arial" w:cs="Arial"/>
          <w:sz w:val="20"/>
        </w:rPr>
        <w:t xml:space="preserve"> (1971) 125 CLR at 530 Barwick CJ enunciated the rule in similar terms:</w:t>
      </w:r>
    </w:p>
    <w:p w14:paraId="6901C0D6" w14:textId="77777777" w:rsidR="00B21DA4" w:rsidRDefault="00B21DA4" w:rsidP="002C0A9F">
      <w:pPr>
        <w:spacing w:before="60"/>
        <w:ind w:left="567" w:right="567"/>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t>However, at p.539 Gibbs J made it clear that this rule was not inflexible and indeed only applied to a perfected order in a form which correctly expressed the intention with which it was made:</w:t>
      </w:r>
    </w:p>
    <w:p w14:paraId="27E86614" w14:textId="77777777" w:rsidR="00B21DA4" w:rsidRDefault="00B21DA4" w:rsidP="002C0A9F">
      <w:pPr>
        <w:spacing w:before="60"/>
        <w:ind w:left="567" w:right="567"/>
        <w:jc w:val="both"/>
        <w:rPr>
          <w:rFonts w:ascii="Arial" w:hAnsi="Arial" w:cs="Arial"/>
          <w:sz w:val="20"/>
        </w:rPr>
      </w:pPr>
      <w:r>
        <w:rPr>
          <w:rFonts w:ascii="Arial" w:hAnsi="Arial" w:cs="Arial"/>
          <w:sz w:val="20"/>
        </w:rPr>
        <w:t>"It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BD2080">
      <w:pPr>
        <w:spacing w:before="60"/>
        <w:ind w:left="567" w:right="567"/>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proofErr w:type="spellStart"/>
      <w:r w:rsidRPr="00BD2080">
        <w:rPr>
          <w:rFonts w:ascii="Arial" w:eastAsia="Book Antiqua" w:hAnsi="Arial" w:cs="Arial"/>
          <w:i/>
          <w:sz w:val="20"/>
          <w:szCs w:val="20"/>
        </w:rPr>
        <w:t>Lollis</w:t>
      </w:r>
      <w:proofErr w:type="spellEnd"/>
      <w:r w:rsidRPr="00BD2080">
        <w:rPr>
          <w:rFonts w:ascii="Arial" w:eastAsia="Book Antiqua" w:hAnsi="Arial" w:cs="Arial"/>
          <w:i/>
          <w:sz w:val="20"/>
          <w:szCs w:val="20"/>
        </w:rPr>
        <w:t xml:space="preserve"> v </w:t>
      </w:r>
      <w:proofErr w:type="spellStart"/>
      <w:r w:rsidRPr="00BD2080">
        <w:rPr>
          <w:rFonts w:ascii="Arial" w:eastAsia="Book Antiqua" w:hAnsi="Arial" w:cs="Arial"/>
          <w:i/>
          <w:sz w:val="20"/>
          <w:szCs w:val="20"/>
        </w:rPr>
        <w:t>Loulatzis</w:t>
      </w:r>
      <w:proofErr w:type="spellEnd"/>
      <w:r w:rsidRPr="00BD2080">
        <w:rPr>
          <w:rFonts w:ascii="Arial" w:eastAsia="Book Antiqua" w:hAnsi="Arial" w:cs="Arial"/>
          <w:i/>
          <w:sz w:val="20"/>
          <w:szCs w:val="20"/>
        </w:rPr>
        <w:t xml:space="preserve"> &amp; Anor (No 3) </w:t>
      </w:r>
      <w:r w:rsidRPr="00BD2080">
        <w:rPr>
          <w:rFonts w:ascii="Arial" w:hAnsi="Arial" w:cs="Arial"/>
          <w:sz w:val="20"/>
          <w:szCs w:val="20"/>
        </w:rPr>
        <w:t xml:space="preserve">[2008] VSC 231 [30].  One such instance is where the hearing that leads to an 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w:t>
      </w:r>
      <w:r w:rsidRPr="00BD2080">
        <w:rPr>
          <w:rFonts w:ascii="Arial" w:hAnsi="Arial" w:cs="Arial"/>
          <w:sz w:val="20"/>
          <w:szCs w:val="20"/>
        </w:rPr>
        <w:lastRenderedPageBreak/>
        <w:t xml:space="preserve">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BD2080">
      <w:pPr>
        <w:spacing w:before="60"/>
        <w:ind w:left="567" w:right="567"/>
        <w:jc w:val="both"/>
        <w:rPr>
          <w:rFonts w:ascii="Arial" w:hAnsi="Arial" w:cs="Arial"/>
          <w:sz w:val="20"/>
          <w:szCs w:val="20"/>
        </w:rPr>
      </w:pPr>
      <w:r w:rsidRPr="00BD2080">
        <w:rPr>
          <w:rFonts w:ascii="Arial" w:hAnsi="Arial" w:cs="Arial"/>
          <w:sz w:val="20"/>
          <w:szCs w:val="20"/>
        </w:rPr>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2C0A9F">
      <w:pPr>
        <w:spacing w:before="60"/>
        <w:ind w:left="567" w:right="567"/>
        <w:jc w:val="both"/>
        <w:rPr>
          <w:rFonts w:ascii="Arial" w:hAnsi="Arial" w:cs="Arial"/>
          <w:sz w:val="20"/>
        </w:rPr>
      </w:pPr>
      <w:r>
        <w:rPr>
          <w:rFonts w:ascii="Arial" w:hAnsi="Arial" w:cs="Arial"/>
          <w:sz w:val="20"/>
        </w:rPr>
        <w:t>[31]  "Rule 36.07 is the 'slip rule' and provides:</w:t>
      </w:r>
    </w:p>
    <w:p w14:paraId="5F59666C" w14:textId="77777777" w:rsidR="00B21DA4" w:rsidRDefault="00B21DA4">
      <w:pPr>
        <w:spacing w:before="60"/>
        <w:ind w:left="1440" w:right="1134"/>
        <w:jc w:val="both"/>
        <w:rPr>
          <w:rFonts w:ascii="Arial" w:hAnsi="Arial" w:cs="Arial"/>
          <w:sz w:val="20"/>
        </w:rPr>
      </w:pPr>
      <w:r>
        <w:rPr>
          <w:rFonts w:ascii="Arial" w:hAnsi="Arial" w:cs="Arial"/>
          <w:sz w:val="20"/>
        </w:rPr>
        <w:t xml:space="preserve">"The court may at any time correct a clerical mistake in a judgment or order or an error arising in a judgment or order from any accidental slip or omission. </w:t>
      </w:r>
    </w:p>
    <w:p w14:paraId="03BB1953" w14:textId="77777777" w:rsidR="00B21DA4" w:rsidRDefault="00B21DA4">
      <w:pPr>
        <w:spacing w:before="80"/>
        <w:ind w:left="567" w:right="567"/>
        <w:jc w:val="both"/>
        <w:rPr>
          <w:rFonts w:ascii="Arial" w:hAnsi="Arial" w:cs="Arial"/>
          <w:sz w:val="20"/>
        </w:rPr>
      </w:pPr>
      <w:r>
        <w:rPr>
          <w:rFonts w:ascii="Arial" w:hAnsi="Arial" w:cs="Arial"/>
          <w:sz w:val="20"/>
        </w:rPr>
        <w:t xml:space="preserve">[33]  In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4C7E7D">
      <w:pPr>
        <w:spacing w:before="80"/>
        <w:ind w:left="567" w:right="567"/>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rsidP="002C0A9F">
      <w:pPr>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w:t>
      </w:r>
      <w:proofErr w:type="spellStart"/>
      <w:r>
        <w:rPr>
          <w:rFonts w:ascii="Arial" w:hAnsi="Arial" w:cs="Arial"/>
          <w:sz w:val="20"/>
        </w:rPr>
        <w:t>Evershed</w:t>
      </w:r>
      <w:proofErr w:type="spellEnd"/>
      <w:r>
        <w:rPr>
          <w:rFonts w:ascii="Arial" w:hAnsi="Arial" w:cs="Arial"/>
          <w:sz w:val="20"/>
        </w:rPr>
        <w:t xml:space="preserve"> LJ in </w:t>
      </w:r>
      <w:r>
        <w:rPr>
          <w:rFonts w:ascii="Arial" w:hAnsi="Arial" w:cs="Arial"/>
          <w:i/>
          <w:iCs/>
          <w:sz w:val="20"/>
        </w:rPr>
        <w:t>Meyer v Meyer</w:t>
      </w:r>
      <w:r>
        <w:rPr>
          <w:rFonts w:ascii="Arial" w:hAnsi="Arial" w:cs="Arial"/>
          <w:sz w:val="20"/>
        </w:rPr>
        <w:t xml:space="preserve"> (1948) P 89 at 95 and </w:t>
      </w:r>
      <w:proofErr w:type="spellStart"/>
      <w:r>
        <w:rPr>
          <w:rFonts w:ascii="Arial" w:hAnsi="Arial" w:cs="Arial"/>
          <w:i/>
          <w:iCs/>
          <w:sz w:val="20"/>
        </w:rPr>
        <w:t>Thynne</w:t>
      </w:r>
      <w:proofErr w:type="spellEnd"/>
      <w:r>
        <w:rPr>
          <w:rFonts w:ascii="Arial" w:hAnsi="Arial" w:cs="Arial"/>
          <w:i/>
          <w:iCs/>
          <w:sz w:val="20"/>
        </w:rPr>
        <w:t xml:space="preserve"> v </w:t>
      </w:r>
      <w:proofErr w:type="spellStart"/>
      <w:r>
        <w:rPr>
          <w:rFonts w:ascii="Arial" w:hAnsi="Arial" w:cs="Arial"/>
          <w:i/>
          <w:iCs/>
          <w:sz w:val="20"/>
        </w:rPr>
        <w:t>Thynne</w:t>
      </w:r>
      <w:proofErr w:type="spellEnd"/>
      <w:r>
        <w:rPr>
          <w:rFonts w:ascii="Arial" w:hAnsi="Arial" w:cs="Arial"/>
          <w:sz w:val="20"/>
        </w:rPr>
        <w:t xml:space="preserve"> (1955) P 272 at 313:</w:t>
      </w:r>
    </w:p>
    <w:p w14:paraId="6D140747" w14:textId="77777777" w:rsidR="00B21DA4" w:rsidRDefault="00B21DA4">
      <w:pPr>
        <w:spacing w:before="80"/>
        <w:ind w:left="567" w:right="567"/>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0F0BE9">
      <w:pPr>
        <w:jc w:val="both"/>
        <w:rPr>
          <w:rFonts w:ascii="Arial" w:hAnsi="Arial" w:cs="Arial"/>
          <w:sz w:val="20"/>
        </w:rPr>
      </w:pPr>
      <w:r>
        <w:rPr>
          <w:rFonts w:ascii="Arial" w:hAnsi="Arial" w:cs="Arial"/>
          <w:sz w:val="20"/>
        </w:rPr>
        <w:t>However, while declining "to restrict the clear discretion which is given to the court…to vary a judgment in appropriate circumstances", His Honour noted at [42]: "The Court would not vary a judgment unless 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proofErr w:type="spellStart"/>
      <w:r>
        <w:rPr>
          <w:rFonts w:ascii="Arial" w:hAnsi="Arial" w:cs="Arial"/>
          <w:i/>
          <w:sz w:val="20"/>
        </w:rPr>
        <w:t>Logwon</w:t>
      </w:r>
      <w:proofErr w:type="spellEnd"/>
      <w:r>
        <w:rPr>
          <w:rFonts w:ascii="Arial" w:hAnsi="Arial" w:cs="Arial"/>
          <w:i/>
          <w:sz w:val="20"/>
        </w:rPr>
        <w:t xml:space="preserve">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t xml:space="preserve">See the judgment of the Court of Appeal in </w:t>
      </w:r>
      <w:r>
        <w:rPr>
          <w:rFonts w:ascii="Arial" w:hAnsi="Arial" w:cs="Arial"/>
          <w:i/>
          <w:iCs/>
          <w:sz w:val="20"/>
        </w:rPr>
        <w:t xml:space="preserve">Mehmed </w:t>
      </w:r>
      <w:proofErr w:type="spellStart"/>
      <w:r>
        <w:rPr>
          <w:rFonts w:ascii="Arial" w:hAnsi="Arial" w:cs="Arial"/>
          <w:i/>
          <w:iCs/>
          <w:sz w:val="20"/>
        </w:rPr>
        <w:t>Skrijel</w:t>
      </w:r>
      <w:proofErr w:type="spellEnd"/>
      <w:r>
        <w:rPr>
          <w:rFonts w:ascii="Arial" w:hAnsi="Arial" w:cs="Arial"/>
          <w:i/>
          <w:iCs/>
          <w:sz w:val="20"/>
        </w:rPr>
        <w:t xml:space="preserve"> v John Carl </w:t>
      </w:r>
      <w:proofErr w:type="spellStart"/>
      <w:r>
        <w:rPr>
          <w:rFonts w:ascii="Arial" w:hAnsi="Arial" w:cs="Arial"/>
          <w:i/>
          <w:iCs/>
          <w:sz w:val="20"/>
        </w:rPr>
        <w:t>Mengler</w:t>
      </w:r>
      <w:proofErr w:type="spellEnd"/>
      <w:r>
        <w:rPr>
          <w:rFonts w:ascii="Arial" w:hAnsi="Arial" w:cs="Arial"/>
          <w:i/>
          <w:iCs/>
          <w:sz w:val="20"/>
        </w:rPr>
        <w:t xml:space="preserve"> &amp; Others</w:t>
      </w:r>
      <w:r>
        <w:rPr>
          <w:rFonts w:ascii="Arial" w:hAnsi="Arial" w:cs="Arial"/>
          <w:sz w:val="20"/>
        </w:rPr>
        <w:t xml:space="preserve"> [2002] VSCA 55.</w:t>
      </w:r>
    </w:p>
    <w:p w14:paraId="62B059EC" w14:textId="77777777" w:rsidR="00B21DA4" w:rsidRPr="002C057B" w:rsidRDefault="00B21DA4">
      <w:pPr>
        <w:jc w:val="both"/>
        <w:rPr>
          <w:rFonts w:ascii="Arial" w:hAnsi="Arial" w:cs="Arial"/>
          <w:sz w:val="14"/>
        </w:rPr>
      </w:pPr>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Van </w:t>
      </w:r>
      <w:proofErr w:type="spellStart"/>
      <w:r>
        <w:rPr>
          <w:rFonts w:ascii="Arial" w:hAnsi="Arial" w:cs="Arial"/>
          <w:i/>
          <w:iCs/>
          <w:sz w:val="20"/>
        </w:rPr>
        <w:t>Phuc</w:t>
      </w:r>
      <w:proofErr w:type="spellEnd"/>
      <w:r>
        <w:rPr>
          <w:rFonts w:ascii="Arial" w:hAnsi="Arial" w:cs="Arial"/>
          <w:i/>
          <w:iCs/>
          <w:sz w:val="20"/>
        </w:rPr>
        <w:t xml:space="preserve">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Shaddock and Associates Pty Ltd v </w:t>
      </w:r>
      <w:smartTag w:uri="urn:schemas-microsoft-com:office:smarttags" w:element="City">
        <w:smartTag w:uri="urn:schemas-microsoft-com:office:smarttags" w:element="place">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w:t>
      </w:r>
      <w:proofErr w:type="spellStart"/>
      <w:r>
        <w:rPr>
          <w:rFonts w:ascii="Arial" w:hAnsi="Arial" w:cs="Arial"/>
          <w:i/>
          <w:iCs/>
          <w:sz w:val="20"/>
        </w:rPr>
        <w:t>Vaggelis</w:t>
      </w:r>
      <w:proofErr w:type="spellEnd"/>
      <w:r>
        <w:rPr>
          <w:rFonts w:ascii="Arial" w:hAnsi="Arial" w:cs="Arial"/>
          <w:i/>
          <w:iCs/>
          <w:sz w:val="20"/>
        </w:rPr>
        <w:t xml:space="preserve">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lastRenderedPageBreak/>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675F4B">
      <w:pPr>
        <w:spacing w:before="80"/>
        <w:ind w:left="567" w:right="567"/>
        <w:jc w:val="both"/>
        <w:rPr>
          <w:rFonts w:ascii="Arial" w:hAnsi="Arial" w:cs="Arial"/>
          <w:color w:val="000000"/>
          <w:sz w:val="20"/>
        </w:rPr>
      </w:pPr>
      <w:r w:rsidRPr="008A5C61">
        <w:rPr>
          <w:rFonts w:ascii="Arial" w:hAnsi="Arial" w:cs="Arial"/>
          <w:color w:val="000000"/>
          <w:sz w:val="20"/>
        </w:rPr>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 xml:space="preserve">(2008) 238 CLR 218 at 224-225; [2008] HCA 34 at [21] </w:t>
      </w:r>
      <w:proofErr w:type="spellStart"/>
      <w:r w:rsidR="0051022B">
        <w:rPr>
          <w:rFonts w:ascii="Arial" w:hAnsi="Arial" w:cs="Arial"/>
          <w:color w:val="000000"/>
          <w:sz w:val="20"/>
        </w:rPr>
        <w:t>Gummow</w:t>
      </w:r>
      <w:proofErr w:type="spellEnd"/>
      <w:r w:rsidR="0051022B">
        <w:rPr>
          <w:rFonts w:ascii="Arial" w:hAnsi="Arial" w:cs="Arial"/>
          <w:color w:val="000000"/>
          <w:sz w:val="20"/>
        </w:rPr>
        <w:t xml:space="preserve"> ACJ, Hayne, </w:t>
      </w:r>
      <w:proofErr w:type="spellStart"/>
      <w:r w:rsidR="0051022B">
        <w:rPr>
          <w:rFonts w:ascii="Arial" w:hAnsi="Arial" w:cs="Arial"/>
          <w:color w:val="000000"/>
          <w:sz w:val="20"/>
        </w:rPr>
        <w:t>Heydon</w:t>
      </w:r>
      <w:proofErr w:type="spellEnd"/>
      <w:r w:rsidR="0051022B">
        <w:rPr>
          <w:rFonts w:ascii="Arial" w:hAnsi="Arial" w:cs="Arial"/>
          <w:color w:val="000000"/>
          <w:sz w:val="20"/>
        </w:rPr>
        <w:t xml:space="preserve">, </w:t>
      </w:r>
      <w:proofErr w:type="spellStart"/>
      <w:r w:rsidR="0051022B">
        <w:rPr>
          <w:rFonts w:ascii="Arial" w:hAnsi="Arial" w:cs="Arial"/>
          <w:color w:val="000000"/>
          <w:sz w:val="20"/>
        </w:rPr>
        <w:t>Crennan</w:t>
      </w:r>
      <w:proofErr w:type="spellEnd"/>
      <w:r w:rsidR="0051022B">
        <w:rPr>
          <w:rFonts w:ascii="Arial" w:hAnsi="Arial" w:cs="Arial"/>
          <w:color w:val="000000"/>
          <w:sz w:val="20"/>
        </w:rPr>
        <w:t xml:space="preserve"> &amp; </w:t>
      </w:r>
      <w:proofErr w:type="spellStart"/>
      <w:r w:rsidR="0051022B">
        <w:rPr>
          <w:rFonts w:ascii="Arial" w:hAnsi="Arial" w:cs="Arial"/>
          <w:color w:val="000000"/>
          <w:sz w:val="20"/>
        </w:rPr>
        <w:t>Kiefel</w:t>
      </w:r>
      <w:proofErr w:type="spellEnd"/>
      <w:r w:rsidR="0051022B">
        <w:rPr>
          <w:rFonts w:ascii="Arial" w:hAnsi="Arial" w:cs="Arial"/>
          <w:color w:val="000000"/>
          <w:sz w:val="20"/>
        </w:rPr>
        <w:t xml:space="preserve"> JJ said:</w:t>
      </w:r>
    </w:p>
    <w:p w14:paraId="3F91E2BC" w14:textId="77777777" w:rsidR="0051022B" w:rsidRPr="008A5C61" w:rsidRDefault="0051022B" w:rsidP="0051022B">
      <w:pPr>
        <w:spacing w:before="80"/>
        <w:ind w:left="567" w:right="567"/>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w:t>
      </w:r>
      <w:proofErr w:type="spellStart"/>
      <w:r>
        <w:rPr>
          <w:rFonts w:ascii="Arial" w:hAnsi="Arial" w:cs="Arial"/>
          <w:color w:val="000000"/>
          <w:sz w:val="20"/>
        </w:rPr>
        <w:t>Gummow</w:t>
      </w:r>
      <w:proofErr w:type="spellEnd"/>
      <w:r>
        <w:rPr>
          <w:rFonts w:ascii="Arial" w:hAnsi="Arial" w:cs="Arial"/>
          <w:color w:val="000000"/>
          <w:sz w:val="20"/>
        </w:rPr>
        <w:t xml:space="preserve"> &amp; </w:t>
      </w:r>
      <w:proofErr w:type="spellStart"/>
      <w:r>
        <w:rPr>
          <w:rFonts w:ascii="Arial" w:hAnsi="Arial" w:cs="Arial"/>
          <w:color w:val="000000"/>
          <w:sz w:val="20"/>
        </w:rPr>
        <w:t>Heydon</w:t>
      </w:r>
      <w:proofErr w:type="spellEnd"/>
      <w:r>
        <w:rPr>
          <w:rFonts w:ascii="Arial" w:hAnsi="Arial" w:cs="Arial"/>
          <w:color w:val="000000"/>
          <w:sz w:val="20"/>
        </w:rPr>
        <w:t xml:space="preserve">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70793C5B" w14:textId="77777777" w:rsidR="001F4A69" w:rsidRDefault="0051022B" w:rsidP="00492138">
      <w:pPr>
        <w:jc w:val="both"/>
        <w:rPr>
          <w:rFonts w:ascii="Arial" w:hAnsi="Arial" w:cs="Arial"/>
          <w:color w:val="000000"/>
          <w:sz w:val="20"/>
        </w:rPr>
      </w:pPr>
      <w:r>
        <w:rPr>
          <w:rFonts w:ascii="Arial" w:hAnsi="Arial" w:cs="Arial"/>
          <w:color w:val="000000"/>
          <w:sz w:val="20"/>
        </w:rPr>
        <w:t xml:space="preserve">See also </w:t>
      </w:r>
      <w:proofErr w:type="spellStart"/>
      <w:r w:rsidRPr="0051022B">
        <w:rPr>
          <w:rFonts w:ascii="Arial" w:hAnsi="Arial" w:cs="Arial"/>
          <w:i/>
          <w:color w:val="000000"/>
          <w:sz w:val="20"/>
        </w:rPr>
        <w:t>Achurch</w:t>
      </w:r>
      <w:proofErr w:type="spellEnd"/>
      <w:r w:rsidRPr="0051022B">
        <w:rPr>
          <w:rFonts w:ascii="Arial" w:hAnsi="Arial" w:cs="Arial"/>
          <w:i/>
          <w:color w:val="000000"/>
          <w:sz w:val="20"/>
        </w:rPr>
        <w:t xml:space="preserve"> v The Queen</w:t>
      </w:r>
      <w:r>
        <w:rPr>
          <w:rFonts w:ascii="Arial" w:hAnsi="Arial" w:cs="Arial"/>
          <w:color w:val="000000"/>
          <w:sz w:val="20"/>
        </w:rPr>
        <w:t xml:space="preserve"> (2014) 253 CLR 141 at 154 per French CJ, </w:t>
      </w:r>
      <w:proofErr w:type="spellStart"/>
      <w:r>
        <w:rPr>
          <w:rFonts w:ascii="Arial" w:hAnsi="Arial" w:cs="Arial"/>
          <w:color w:val="000000"/>
          <w:sz w:val="20"/>
        </w:rPr>
        <w:t>Crennan</w:t>
      </w:r>
      <w:proofErr w:type="spellEnd"/>
      <w:r>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&amp; Bell JJ quoting </w:t>
      </w:r>
      <w:r w:rsidRPr="0051022B">
        <w:rPr>
          <w:rFonts w:ascii="Arial" w:hAnsi="Arial" w:cs="Arial"/>
          <w:i/>
          <w:color w:val="000000"/>
          <w:sz w:val="20"/>
        </w:rPr>
        <w:t xml:space="preserve">Gould v </w:t>
      </w:r>
      <w:proofErr w:type="spellStart"/>
      <w:r w:rsidRPr="0051022B">
        <w:rPr>
          <w:rFonts w:ascii="Arial" w:hAnsi="Arial" w:cs="Arial"/>
          <w:i/>
          <w:color w:val="000000"/>
          <w:sz w:val="20"/>
        </w:rPr>
        <w:t>Vaggelas</w:t>
      </w:r>
      <w:proofErr w:type="spellEnd"/>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w:t>
      </w:r>
      <w:proofErr w:type="spellStart"/>
      <w:r w:rsidRPr="00492138">
        <w:rPr>
          <w:rFonts w:ascii="Arial" w:hAnsi="Arial" w:cs="Arial"/>
          <w:i/>
          <w:color w:val="000000"/>
          <w:sz w:val="20"/>
        </w:rPr>
        <w:t>Ors</w:t>
      </w:r>
      <w:proofErr w:type="spellEnd"/>
      <w:r w:rsidRPr="00492138">
        <w:rPr>
          <w:rFonts w:ascii="Arial" w:hAnsi="Arial" w:cs="Arial"/>
          <w:i/>
          <w:color w:val="000000"/>
          <w:sz w:val="20"/>
        </w:rPr>
        <w:t xml:space="preserve">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w:t>
      </w:r>
      <w:proofErr w:type="spellStart"/>
      <w:r w:rsidR="002F664D">
        <w:rPr>
          <w:rFonts w:ascii="Arial" w:hAnsi="Arial" w:cs="Arial"/>
          <w:color w:val="000000"/>
          <w:sz w:val="20"/>
        </w:rPr>
        <w:t>AsJ</w:t>
      </w:r>
      <w:proofErr w:type="spellEnd"/>
      <w:r>
        <w:rPr>
          <w:rFonts w:ascii="Arial" w:hAnsi="Arial" w:cs="Arial"/>
          <w:color w:val="000000"/>
          <w:sz w:val="20"/>
        </w:rPr>
        <w:t>.</w:t>
      </w:r>
    </w:p>
    <w:p w14:paraId="760D5ABA" w14:textId="77777777" w:rsidR="001F4A69" w:rsidRPr="008A5C61" w:rsidRDefault="001F4A69">
      <w:pPr>
        <w:rPr>
          <w:rFonts w:ascii="Arial" w:hAnsi="Arial" w:cs="Arial"/>
          <w:color w:val="000000"/>
          <w:sz w:val="20"/>
        </w:rPr>
      </w:pPr>
    </w:p>
    <w:p w14:paraId="795E9285" w14:textId="77777777" w:rsidR="00B21DA4" w:rsidRPr="00F81B96" w:rsidRDefault="00B21DA4" w:rsidP="005022CC">
      <w:pPr>
        <w:pStyle w:val="Heading2"/>
        <w:keepNext/>
        <w:tabs>
          <w:tab w:val="left" w:pos="567"/>
        </w:tabs>
        <w:spacing w:line="240" w:lineRule="auto"/>
        <w:rPr>
          <w:rFonts w:ascii="Arial" w:hAnsi="Arial" w:cs="Arial"/>
          <w:b/>
          <w:bCs/>
          <w:color w:val="000000"/>
        </w:rPr>
      </w:pPr>
      <w:bookmarkStart w:id="923" w:name="_3.9_Costs"/>
      <w:bookmarkStart w:id="924" w:name="B39"/>
      <w:bookmarkEnd w:id="923"/>
      <w:bookmarkEnd w:id="924"/>
      <w:r w:rsidRPr="00F81B96">
        <w:rPr>
          <w:rFonts w:ascii="Arial" w:hAnsi="Arial" w:cs="Arial"/>
          <w:b/>
          <w:bCs/>
          <w:color w:val="000000"/>
        </w:rPr>
        <w:t>3.</w:t>
      </w:r>
      <w:r w:rsidR="00AB3569" w:rsidRPr="00F81B96">
        <w:rPr>
          <w:rFonts w:ascii="Arial" w:hAnsi="Arial" w:cs="Arial"/>
          <w:b/>
          <w:bCs/>
          <w:color w:val="000000"/>
        </w:rPr>
        <w:t>9</w:t>
      </w:r>
      <w:r w:rsidRPr="00F81B96">
        <w:rPr>
          <w:rFonts w:ascii="Arial" w:hAnsi="Arial" w:cs="Arial"/>
          <w:b/>
          <w:bCs/>
          <w:color w:val="000000"/>
        </w:rPr>
        <w:tab/>
        <w:t>Costs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3C27E962" w14:textId="77777777" w:rsidR="00B21DA4" w:rsidRDefault="00B21DA4" w:rsidP="005022CC">
      <w:pPr>
        <w:keepNext/>
        <w:jc w:val="both"/>
        <w:rPr>
          <w:rFonts w:ascii="Arial" w:hAnsi="Arial" w:cs="Arial"/>
          <w:sz w:val="20"/>
        </w:rPr>
      </w:pPr>
    </w:p>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2A4B3C0A" w:rsidR="00B61E41" w:rsidRPr="0090605F" w:rsidRDefault="003856B0" w:rsidP="00B61E41">
      <w:pPr>
        <w:jc w:val="both"/>
        <w:rPr>
          <w:rFonts w:ascii="Arial" w:hAnsi="Arial" w:cs="Arial"/>
          <w:sz w:val="20"/>
          <w:szCs w:val="20"/>
        </w:rPr>
      </w:pPr>
      <w:r>
        <w:rPr>
          <w:rFonts w:ascii="Arial" w:hAnsi="Arial" w:cs="Arial"/>
          <w:sz w:val="20"/>
        </w:rPr>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A82F40">
        <w:rPr>
          <w:rFonts w:ascii="Arial" w:hAnsi="Arial" w:cs="Arial"/>
          <w:i/>
          <w:iCs/>
          <w:sz w:val="20"/>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A82F40">
        <w:rPr>
          <w:rFonts w:ascii="Arial" w:hAnsi="Arial" w:cs="Arial"/>
          <w:i/>
          <w:iCs/>
          <w:sz w:val="20"/>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sidRPr="00A82F40">
        <w:rPr>
          <w:rFonts w:ascii="Arial" w:hAnsi="Arial" w:cs="Arial"/>
          <w:i/>
          <w:iCs/>
          <w:sz w:val="20"/>
        </w:rPr>
        <w:t>Personal Safety</w:t>
      </w:r>
      <w:r w:rsidR="00C958C7" w:rsidRPr="00A82F40">
        <w:rPr>
          <w:rFonts w:ascii="Arial" w:hAnsi="Arial" w:cs="Arial"/>
          <w:i/>
          <w:iCs/>
          <w:sz w:val="20"/>
        </w:rPr>
        <w:t xml:space="preserve"> Intervention Orders Act 20</w:t>
      </w:r>
      <w:r w:rsidR="00725095" w:rsidRPr="00A82F40">
        <w:rPr>
          <w:rFonts w:ascii="Arial" w:hAnsi="Arial" w:cs="Arial"/>
          <w:i/>
          <w:iCs/>
          <w:sz w:val="20"/>
        </w:rPr>
        <w:t>1</w:t>
      </w:r>
      <w:r w:rsidR="00C958C7" w:rsidRPr="00A82F40">
        <w:rPr>
          <w:rFonts w:ascii="Arial" w:hAnsi="Arial" w:cs="Arial"/>
          <w:i/>
          <w:iCs/>
          <w:sz w:val="20"/>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w:t>
      </w:r>
      <w:r w:rsidR="00434DAA" w:rsidRPr="0090605F">
        <w:rPr>
          <w:rFonts w:ascii="Arial" w:hAnsi="Arial" w:cs="Arial"/>
          <w:sz w:val="20"/>
          <w:szCs w:val="20"/>
        </w:rPr>
        <w:t xml:space="preserve">at </w:t>
      </w:r>
      <w:r w:rsidR="002C057B" w:rsidRPr="0090605F">
        <w:rPr>
          <w:rFonts w:ascii="Arial" w:hAnsi="Arial" w:cs="Arial"/>
          <w:sz w:val="20"/>
          <w:szCs w:val="20"/>
        </w:rPr>
        <w:t xml:space="preserve">[15] &amp; </w:t>
      </w:r>
      <w:r w:rsidR="00434DAA" w:rsidRPr="0090605F">
        <w:rPr>
          <w:rFonts w:ascii="Arial" w:hAnsi="Arial" w:cs="Arial"/>
          <w:sz w:val="20"/>
          <w:szCs w:val="20"/>
        </w:rPr>
        <w:t>[23].</w:t>
      </w:r>
    </w:p>
    <w:p w14:paraId="657615F2" w14:textId="77777777" w:rsidR="00B61E41" w:rsidRPr="00DF5439" w:rsidRDefault="00B61E41" w:rsidP="00B61E41">
      <w:pPr>
        <w:jc w:val="both"/>
        <w:rPr>
          <w:rFonts w:ascii="Arial" w:hAnsi="Arial" w:cs="Arial"/>
          <w:color w:val="000000"/>
          <w:sz w:val="20"/>
        </w:rPr>
      </w:pPr>
    </w:p>
    <w:p w14:paraId="7E34C066" w14:textId="77777777"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p>
    <w:p w14:paraId="48C600F1" w14:textId="77777777" w:rsidR="007F0996" w:rsidRPr="00DF5439" w:rsidRDefault="007F0996" w:rsidP="00B61E41">
      <w:pPr>
        <w:jc w:val="both"/>
        <w:rPr>
          <w:rFonts w:ascii="Arial" w:hAnsi="Arial" w:cs="Arial"/>
          <w:color w:val="000000"/>
          <w:sz w:val="20"/>
        </w:rPr>
      </w:pPr>
    </w:p>
    <w:p w14:paraId="6F1EE900" w14:textId="77777777" w:rsidR="00431504" w:rsidRPr="008A5C61" w:rsidRDefault="00431504" w:rsidP="000F0BE9">
      <w:pPr>
        <w:jc w:val="both"/>
        <w:rPr>
          <w:rFonts w:ascii="Arial" w:hAnsi="Arial" w:cs="Arial"/>
          <w:color w:val="000000"/>
          <w:sz w:val="20"/>
          <w:szCs w:val="20"/>
        </w:rPr>
      </w:pPr>
      <w:r w:rsidRPr="008A5C61">
        <w:rPr>
          <w:rFonts w:ascii="Arial" w:hAnsi="Arial" w:cs="Arial"/>
          <w:color w:val="000000"/>
          <w:sz w:val="20"/>
        </w:rPr>
        <w:t xml:space="preserve">Under s.132 of the </w:t>
      </w:r>
      <w:r w:rsidRPr="00A82F40">
        <w:rPr>
          <w:rFonts w:ascii="Arial" w:hAnsi="Arial" w:cs="Arial"/>
          <w:i/>
          <w:iCs/>
          <w:color w:val="000000"/>
          <w:sz w:val="20"/>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proofErr w:type="spellStart"/>
      <w:r w:rsidRPr="008A5C61">
        <w:rPr>
          <w:rFonts w:ascii="Arial" w:hAnsi="Arial" w:cs="Arial"/>
          <w:i/>
          <w:color w:val="000000"/>
          <w:sz w:val="20"/>
        </w:rPr>
        <w:t>Gippsreal</w:t>
      </w:r>
      <w:proofErr w:type="spellEnd"/>
      <w:r w:rsidRPr="008A5C61">
        <w:rPr>
          <w:rFonts w:ascii="Arial" w:hAnsi="Arial" w:cs="Arial"/>
          <w:i/>
          <w:color w:val="000000"/>
          <w:sz w:val="20"/>
        </w:rPr>
        <w:t xml:space="preserve"> Limited v Kurek Investments Pty Ltd</w:t>
      </w:r>
      <w:r w:rsidRPr="008A5C61">
        <w:rPr>
          <w:rFonts w:ascii="Arial" w:hAnsi="Arial" w:cs="Arial"/>
          <w:color w:val="000000"/>
          <w:sz w:val="20"/>
        </w:rPr>
        <w:t xml:space="preserve"> [2009] VSC 344 at [2] </w:t>
      </w:r>
      <w:proofErr w:type="spellStart"/>
      <w:r w:rsidRPr="008A5C61">
        <w:rPr>
          <w:rFonts w:ascii="Arial" w:hAnsi="Arial" w:cs="Arial"/>
          <w:color w:val="000000"/>
          <w:sz w:val="20"/>
        </w:rPr>
        <w:t>Pagone</w:t>
      </w:r>
      <w:proofErr w:type="spellEnd"/>
      <w:r w:rsidRPr="008A5C61">
        <w:rPr>
          <w:rFonts w:ascii="Arial" w:hAnsi="Arial" w:cs="Arial"/>
          <w:color w:val="000000"/>
          <w:sz w:val="20"/>
        </w:rPr>
        <w:t xml:space="preserve"> J commented that this jurisdiction “must be exercised with caution but in an appropriate case should be exercised”.  See also </w:t>
      </w:r>
      <w:r w:rsidR="00892896" w:rsidRPr="008A5C61">
        <w:rPr>
          <w:rFonts w:ascii="Arial" w:hAnsi="Arial" w:cs="Arial"/>
          <w:i/>
          <w:color w:val="000000"/>
          <w:sz w:val="20"/>
          <w:szCs w:val="20"/>
        </w:rPr>
        <w:t xml:space="preserve">IMO </w:t>
      </w:r>
      <w:proofErr w:type="spellStart"/>
      <w:r w:rsidR="00892896" w:rsidRPr="008A5C61">
        <w:rPr>
          <w:rFonts w:ascii="Arial" w:hAnsi="Arial" w:cs="Arial"/>
          <w:i/>
          <w:color w:val="000000"/>
          <w:sz w:val="20"/>
          <w:szCs w:val="20"/>
        </w:rPr>
        <w:t>Fehring</w:t>
      </w:r>
      <w:proofErr w:type="spellEnd"/>
      <w:r w:rsidR="00892896" w:rsidRPr="008A5C61">
        <w:rPr>
          <w:rFonts w:ascii="Arial" w:hAnsi="Arial" w:cs="Arial"/>
          <w:i/>
          <w:color w:val="000000"/>
          <w:sz w:val="20"/>
          <w:szCs w:val="20"/>
        </w:rPr>
        <w:t xml:space="preserve"> Livestock Pty Ltd</w:t>
      </w:r>
      <w:r w:rsidR="00892896" w:rsidRPr="008A5C61">
        <w:rPr>
          <w:rFonts w:ascii="Arial" w:hAnsi="Arial" w:cs="Arial"/>
          <w:color w:val="000000"/>
          <w:sz w:val="20"/>
          <w:szCs w:val="20"/>
        </w:rPr>
        <w:t xml:space="preserve"> [2012] VSC 326 at [41]-[52] per Gardiner </w:t>
      </w:r>
      <w:proofErr w:type="spellStart"/>
      <w:r w:rsidR="00892896" w:rsidRPr="008A5C61">
        <w:rPr>
          <w:rFonts w:ascii="Arial" w:hAnsi="Arial" w:cs="Arial"/>
          <w:color w:val="000000"/>
          <w:sz w:val="20"/>
          <w:szCs w:val="20"/>
        </w:rPr>
        <w:t>AsJ</w:t>
      </w:r>
      <w:proofErr w:type="spellEnd"/>
      <w:r w:rsidR="00892896" w:rsidRPr="008A5C61">
        <w:rPr>
          <w:rFonts w:ascii="Arial" w:hAnsi="Arial" w:cs="Arial"/>
          <w:color w:val="000000"/>
          <w:sz w:val="20"/>
          <w:szCs w:val="20"/>
        </w:rPr>
        <w:t>.</w:t>
      </w:r>
    </w:p>
    <w:p w14:paraId="0FDDA1D5" w14:textId="05FEB82B" w:rsidR="005539BE" w:rsidRPr="00213989" w:rsidRDefault="005539BE" w:rsidP="00213989">
      <w:pPr>
        <w:jc w:val="both"/>
        <w:textAlignment w:val="baseline"/>
        <w:rPr>
          <w:rFonts w:ascii="Arial" w:hAnsi="Arial" w:cs="Arial"/>
          <w:color w:val="000000"/>
          <w:sz w:val="20"/>
          <w:szCs w:val="20"/>
          <w:lang w:eastAsia="en-AU"/>
        </w:rPr>
      </w:pPr>
    </w:p>
    <w:p w14:paraId="17EBF528" w14:textId="36A67423" w:rsidR="00213989" w:rsidRPr="00213989" w:rsidRDefault="00213989" w:rsidP="00213989">
      <w:pPr>
        <w:jc w:val="both"/>
        <w:textAlignment w:val="baseline"/>
        <w:rPr>
          <w:rFonts w:ascii="Arial" w:hAnsi="Arial" w:cs="Arial"/>
          <w:color w:val="000000"/>
          <w:sz w:val="20"/>
          <w:szCs w:val="20"/>
          <w:lang w:eastAsia="en-AU"/>
        </w:rPr>
      </w:pPr>
      <w:r w:rsidRPr="00213989">
        <w:rPr>
          <w:rFonts w:ascii="Arial" w:hAnsi="Arial" w:cs="Arial"/>
          <w:sz w:val="20"/>
          <w:szCs w:val="20"/>
        </w:rPr>
        <w:t>Section 132(3) of the MCA prohibits the Court from making an order without giving the legal practitioner a reasonable opportunity to be heard</w:t>
      </w:r>
      <w:r>
        <w:rPr>
          <w:rFonts w:ascii="Arial" w:hAnsi="Arial" w:cs="Arial"/>
          <w:sz w:val="20"/>
          <w:szCs w:val="20"/>
        </w:rPr>
        <w:t xml:space="preserve">: </w:t>
      </w:r>
      <w:r w:rsidRPr="00213989">
        <w:rPr>
          <w:rFonts w:ascii="Arial" w:hAnsi="Arial" w:cs="Arial"/>
          <w:sz w:val="20"/>
          <w:szCs w:val="20"/>
        </w:rPr>
        <w:t>see</w:t>
      </w:r>
      <w:r>
        <w:rPr>
          <w:rFonts w:ascii="Arial" w:hAnsi="Arial" w:cs="Arial"/>
          <w:sz w:val="20"/>
          <w:szCs w:val="20"/>
        </w:rPr>
        <w:t xml:space="preserve"> </w:t>
      </w:r>
      <w:r w:rsidRPr="00213989">
        <w:rPr>
          <w:rFonts w:ascii="Arial" w:hAnsi="Arial" w:cs="Arial"/>
          <w:i/>
          <w:iCs/>
          <w:sz w:val="20"/>
          <w:szCs w:val="20"/>
        </w:rPr>
        <w:t>Lethbridge v Coburn &amp; Knight</w:t>
      </w:r>
      <w:r w:rsidRPr="00213989">
        <w:rPr>
          <w:rFonts w:ascii="Arial" w:hAnsi="Arial" w:cs="Arial"/>
          <w:sz w:val="20"/>
          <w:szCs w:val="20"/>
        </w:rPr>
        <w:t xml:space="preserve"> [2003] VSC 259 at [16]</w:t>
      </w:r>
      <w:r>
        <w:rPr>
          <w:rFonts w:ascii="Arial" w:hAnsi="Arial" w:cs="Arial"/>
          <w:sz w:val="20"/>
          <w:szCs w:val="20"/>
        </w:rPr>
        <w:noBreakHyphen/>
      </w:r>
      <w:r w:rsidRPr="00213989">
        <w:rPr>
          <w:rFonts w:ascii="Arial" w:hAnsi="Arial" w:cs="Arial"/>
          <w:sz w:val="20"/>
          <w:szCs w:val="20"/>
        </w:rPr>
        <w:t>[17], [26]</w:t>
      </w:r>
      <w:r>
        <w:rPr>
          <w:rFonts w:ascii="Arial" w:hAnsi="Arial" w:cs="Arial"/>
          <w:sz w:val="20"/>
          <w:szCs w:val="20"/>
        </w:rPr>
        <w:t>.</w:t>
      </w:r>
    </w:p>
    <w:p w14:paraId="0178E219" w14:textId="77777777" w:rsidR="00213989" w:rsidRPr="00213989" w:rsidRDefault="00213989" w:rsidP="00213989">
      <w:pPr>
        <w:jc w:val="both"/>
        <w:textAlignment w:val="baseline"/>
        <w:rPr>
          <w:rFonts w:ascii="Arial" w:hAnsi="Arial" w:cs="Arial"/>
          <w:color w:val="000000"/>
          <w:sz w:val="20"/>
          <w:szCs w:val="20"/>
          <w:lang w:eastAsia="en-AU"/>
        </w:rPr>
      </w:pPr>
    </w:p>
    <w:p w14:paraId="44963388" w14:textId="77777777" w:rsidR="00DD2456" w:rsidRDefault="00DD2456" w:rsidP="00B61E41">
      <w:pPr>
        <w:jc w:val="both"/>
        <w:rPr>
          <w:rFonts w:ascii="Arial" w:hAnsi="Arial" w:cs="Arial"/>
          <w:sz w:val="20"/>
          <w:szCs w:val="20"/>
        </w:rPr>
      </w:pPr>
      <w:r>
        <w:rPr>
          <w:rFonts w:ascii="Arial" w:hAnsi="Arial" w:cs="Arial"/>
          <w:sz w:val="20"/>
        </w:rPr>
        <w:lastRenderedPageBreak/>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w:t>
      </w:r>
      <w:r w:rsidR="005539BE" w:rsidRPr="00A82F40">
        <w:rPr>
          <w:rFonts w:ascii="Arial" w:hAnsi="Arial" w:cs="Arial"/>
          <w:i/>
          <w:iCs/>
          <w:color w:val="000000"/>
          <w:sz w:val="20"/>
          <w:szCs w:val="20"/>
          <w:lang w:eastAsia="en-AU"/>
        </w:rPr>
        <w:t>Magistrates' Court Act 1989</w:t>
      </w:r>
      <w:r w:rsidR="005539BE" w:rsidRPr="005539BE">
        <w:rPr>
          <w:rFonts w:ascii="Arial" w:hAnsi="Arial" w:cs="Arial"/>
          <w:color w:val="000000"/>
          <w:sz w:val="20"/>
          <w:szCs w:val="20"/>
          <w:lang w:eastAsia="en-AU"/>
        </w:rPr>
        <w:t xml:space="preserve">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 viz.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 which 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Table 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proofErr w:type="spellStart"/>
      <w:r w:rsidR="005539BE" w:rsidRPr="005539BE">
        <w:rPr>
          <w:rFonts w:ascii="Arial" w:hAnsi="Arial" w:cs="Arial"/>
          <w:i/>
          <w:iCs/>
          <w:color w:val="333333"/>
          <w:spacing w:val="-5"/>
          <w:sz w:val="20"/>
          <w:szCs w:val="20"/>
          <w:lang w:eastAsia="en-AU"/>
        </w:rPr>
        <w:t>Mainieri</w:t>
      </w:r>
      <w:proofErr w:type="spellEnd"/>
      <w:r w:rsidR="005539BE" w:rsidRPr="005539BE">
        <w:rPr>
          <w:rFonts w:ascii="Arial" w:hAnsi="Arial" w:cs="Arial"/>
          <w:i/>
          <w:iCs/>
          <w:color w:val="333333"/>
          <w:spacing w:val="-5"/>
          <w:sz w:val="20"/>
          <w:szCs w:val="20"/>
          <w:lang w:eastAsia="en-AU"/>
        </w:rPr>
        <w:t xml:space="preserve">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104E2F5C" w:rsidR="005539BE" w:rsidRDefault="005539BE" w:rsidP="00B61E41">
      <w:pPr>
        <w:jc w:val="both"/>
        <w:rPr>
          <w:rFonts w:ascii="Arial" w:hAnsi="Arial" w:cs="Arial"/>
          <w:sz w:val="20"/>
        </w:rPr>
      </w:pPr>
    </w:p>
    <w:p w14:paraId="227BA927" w14:textId="54FC02C9" w:rsidR="00836E86" w:rsidRDefault="00836E86" w:rsidP="00B61E41">
      <w:pPr>
        <w:jc w:val="both"/>
        <w:rPr>
          <w:rFonts w:ascii="Arial" w:hAnsi="Arial" w:cs="Arial"/>
          <w:sz w:val="20"/>
        </w:rPr>
      </w:pPr>
      <w:r>
        <w:rPr>
          <w:rFonts w:ascii="Arial" w:hAnsi="Arial" w:cs="Arial"/>
          <w:sz w:val="20"/>
        </w:rPr>
        <w:t xml:space="preserve">As to the </w:t>
      </w:r>
      <w:proofErr w:type="spellStart"/>
      <w:r>
        <w:rPr>
          <w:rFonts w:ascii="Arial" w:hAnsi="Arial" w:cs="Arial"/>
          <w:sz w:val="20"/>
        </w:rPr>
        <w:t>principles</w:t>
      </w:r>
      <w:proofErr w:type="spellEnd"/>
      <w:r>
        <w:rPr>
          <w:rFonts w:ascii="Arial" w:hAnsi="Arial" w:cs="Arial"/>
          <w:sz w:val="20"/>
        </w:rPr>
        <w:t xml:space="preserve"> involved in awarding costs on an indemnity basis and in interlocutory proceedings, see </w:t>
      </w:r>
      <w:r w:rsidRPr="00836E86">
        <w:rPr>
          <w:rFonts w:ascii="Arial" w:hAnsi="Arial" w:cs="Arial"/>
          <w:i/>
          <w:iCs/>
          <w:sz w:val="20"/>
        </w:rPr>
        <w:t>Mole v Mole (No 2)</w:t>
      </w:r>
      <w:r>
        <w:rPr>
          <w:rFonts w:ascii="Arial" w:hAnsi="Arial" w:cs="Arial"/>
          <w:sz w:val="20"/>
        </w:rPr>
        <w:t xml:space="preserve"> [2021] VSC 802.</w:t>
      </w:r>
    </w:p>
    <w:p w14:paraId="2760BB9D" w14:textId="77777777" w:rsidR="00836E86" w:rsidRDefault="00836E86" w:rsidP="00B61E41">
      <w:pPr>
        <w:jc w:val="both"/>
        <w:rPr>
          <w:rFonts w:ascii="Arial" w:hAnsi="Arial" w:cs="Arial"/>
          <w:sz w:val="20"/>
        </w:rPr>
      </w:pPr>
    </w:p>
    <w:p w14:paraId="7BE98B12" w14:textId="1269B4FA" w:rsidR="0090605F"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w:t>
      </w:r>
      <w:r w:rsidR="00421364">
        <w:rPr>
          <w:rFonts w:ascii="Arial" w:hAnsi="Arial" w:cs="Arial"/>
          <w:sz w:val="20"/>
        </w:rPr>
        <w:t xml:space="preserve">also </w:t>
      </w:r>
      <w:r>
        <w:rPr>
          <w:rFonts w:ascii="Arial" w:hAnsi="Arial" w:cs="Arial"/>
          <w:sz w:val="20"/>
        </w:rPr>
        <w:t>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A82F40">
        <w:rPr>
          <w:rFonts w:ascii="Arial" w:hAnsi="Arial" w:cs="Arial"/>
          <w:i/>
          <w:iCs/>
          <w:sz w:val="20"/>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A82F40">
        <w:rPr>
          <w:rFonts w:ascii="Arial" w:hAnsi="Arial" w:cs="Arial"/>
          <w:i/>
          <w:iCs/>
          <w:sz w:val="20"/>
        </w:rPr>
        <w:t>Magistrates’ Court Act 1989</w:t>
      </w:r>
      <w:r w:rsidR="0060284E">
        <w:rPr>
          <w:rFonts w:ascii="Arial" w:hAnsi="Arial" w:cs="Arial"/>
          <w:sz w:val="20"/>
        </w:rPr>
        <w:t>.</w:t>
      </w:r>
      <w:r>
        <w:rPr>
          <w:rFonts w:ascii="Arial" w:hAnsi="Arial" w:cs="Arial"/>
          <w:sz w:val="20"/>
        </w:rPr>
        <w:t xml:space="preserve"> </w:t>
      </w:r>
      <w:r w:rsidR="0090605F">
        <w:rPr>
          <w:rFonts w:ascii="Arial" w:hAnsi="Arial" w:cs="Arial"/>
          <w:sz w:val="20"/>
        </w:rPr>
        <w:t xml:space="preserve">See </w:t>
      </w:r>
      <w:proofErr w:type="spellStart"/>
      <w:r w:rsidR="0090605F" w:rsidRPr="0090605F">
        <w:rPr>
          <w:rFonts w:ascii="Arial" w:hAnsi="Arial" w:cs="Arial"/>
          <w:bCs/>
          <w:i/>
          <w:iCs/>
          <w:sz w:val="20"/>
          <w:szCs w:val="20"/>
        </w:rPr>
        <w:t>Piccolotto</w:t>
      </w:r>
      <w:proofErr w:type="spellEnd"/>
      <w:r w:rsidR="0090605F" w:rsidRPr="0090605F">
        <w:rPr>
          <w:rFonts w:ascii="Arial" w:hAnsi="Arial" w:cs="Arial"/>
          <w:bCs/>
          <w:i/>
          <w:iCs/>
          <w:sz w:val="20"/>
          <w:szCs w:val="20"/>
        </w:rPr>
        <w:t xml:space="preserve"> v The Queen (No 2)</w:t>
      </w:r>
      <w:r w:rsidR="0090605F" w:rsidRPr="0090605F">
        <w:rPr>
          <w:rFonts w:ascii="Arial" w:hAnsi="Arial" w:cs="Arial"/>
          <w:bCs/>
          <w:sz w:val="20"/>
          <w:szCs w:val="20"/>
        </w:rPr>
        <w:t xml:space="preserve"> [2015] VSCA 182</w:t>
      </w:r>
      <w:r w:rsidR="0090605F">
        <w:rPr>
          <w:rFonts w:ascii="Arial" w:hAnsi="Arial" w:cs="Arial"/>
          <w:bCs/>
          <w:sz w:val="20"/>
          <w:szCs w:val="20"/>
        </w:rPr>
        <w:t>.</w:t>
      </w:r>
    </w:p>
    <w:p w14:paraId="3E92DEF4" w14:textId="55BE2DA2" w:rsidR="00B61E41" w:rsidRDefault="0060284E" w:rsidP="00B61E41">
      <w:pPr>
        <w:jc w:val="both"/>
        <w:rPr>
          <w:rFonts w:ascii="Arial" w:hAnsi="Arial" w:cs="Arial"/>
          <w:sz w:val="20"/>
        </w:rPr>
      </w:pPr>
      <w:r>
        <w:rPr>
          <w:rFonts w:ascii="Arial" w:hAnsi="Arial" w:cs="Arial"/>
          <w:sz w:val="20"/>
        </w:rPr>
        <w:t>As read in conjunction with s.528(2) of the CYFA, s.401</w:t>
      </w:r>
      <w:r w:rsidR="00B61E41">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4022DA11" w:rsidR="00C958C7" w:rsidRDefault="00C958C7">
      <w:pPr>
        <w:jc w:val="both"/>
        <w:rPr>
          <w:rFonts w:ascii="Arial" w:hAnsi="Arial" w:cs="Arial"/>
          <w:color w:val="000000"/>
          <w:sz w:val="20"/>
        </w:rPr>
      </w:pPr>
    </w:p>
    <w:p w14:paraId="141483A3" w14:textId="3FBF2E77" w:rsidR="005C7950" w:rsidRDefault="005C7950">
      <w:pPr>
        <w:jc w:val="both"/>
        <w:rPr>
          <w:rFonts w:ascii="Arial" w:hAnsi="Arial" w:cs="Arial"/>
          <w:color w:val="000000"/>
          <w:sz w:val="20"/>
        </w:rPr>
      </w:pPr>
      <w:r>
        <w:rPr>
          <w:rFonts w:ascii="Arial" w:hAnsi="Arial" w:cs="Arial"/>
          <w:color w:val="000000"/>
          <w:sz w:val="20"/>
        </w:rPr>
        <w:t xml:space="preserve">In </w:t>
      </w:r>
      <w:proofErr w:type="spellStart"/>
      <w:r w:rsidRPr="005C7950">
        <w:rPr>
          <w:rFonts w:ascii="Arial" w:hAnsi="Arial" w:cs="Arial"/>
          <w:i/>
          <w:iCs/>
          <w:color w:val="000000"/>
          <w:sz w:val="20"/>
        </w:rPr>
        <w:t>Manderson</w:t>
      </w:r>
      <w:proofErr w:type="spellEnd"/>
      <w:r w:rsidRPr="005C7950">
        <w:rPr>
          <w:rFonts w:ascii="Arial" w:hAnsi="Arial" w:cs="Arial"/>
          <w:i/>
          <w:iCs/>
          <w:color w:val="000000"/>
          <w:sz w:val="20"/>
        </w:rPr>
        <w:t xml:space="preserve"> v Bensons Property Group Pty Ltd</w:t>
      </w:r>
      <w:r>
        <w:rPr>
          <w:rFonts w:ascii="Arial" w:hAnsi="Arial" w:cs="Arial"/>
          <w:color w:val="000000"/>
          <w:sz w:val="20"/>
        </w:rPr>
        <w:t xml:space="preserve"> [2021] VSCA 227 at [49] the Court of Appeal said: “[W]here a trial is conducted in stages, which is often desirable, it is preferable to wait until the end of the trial, before entertaining any costs applications.”</w:t>
      </w:r>
    </w:p>
    <w:p w14:paraId="226659C2" w14:textId="24665842" w:rsidR="005C7950" w:rsidRPr="00DF5439" w:rsidRDefault="005C7950">
      <w:pPr>
        <w:jc w:val="both"/>
        <w:rPr>
          <w:rFonts w:ascii="Arial" w:hAnsi="Arial" w:cs="Arial"/>
          <w:color w:val="000000"/>
          <w:sz w:val="20"/>
        </w:rPr>
      </w:pPr>
    </w:p>
    <w:p w14:paraId="5D24BFF2" w14:textId="65AFBA26" w:rsidR="007D1460" w:rsidRPr="00DD5CCF" w:rsidRDefault="00B61E41">
      <w:pPr>
        <w:jc w:val="both"/>
        <w:rPr>
          <w:rFonts w:ascii="Arial" w:hAnsi="Arial" w:cs="Arial"/>
          <w:color w:val="000000"/>
          <w:sz w:val="20"/>
          <w:szCs w:val="20"/>
        </w:rPr>
      </w:pPr>
      <w:r w:rsidRPr="00DF5439">
        <w:rPr>
          <w:rFonts w:ascii="Arial" w:hAnsi="Arial" w:cs="Arial"/>
          <w:color w:val="000000"/>
          <w:sz w:val="20"/>
        </w:rPr>
        <w:t xml:space="preserve">Section 131A of the </w:t>
      </w:r>
      <w:r w:rsidRPr="00A82F40">
        <w:rPr>
          <w:rFonts w:ascii="Arial" w:hAnsi="Arial" w:cs="Arial"/>
          <w:i/>
          <w:iCs/>
          <w:color w:val="000000"/>
          <w:sz w:val="20"/>
        </w:rPr>
        <w:t>Magistrates’ Court Act 1989</w:t>
      </w:r>
      <w:r w:rsidRPr="00DF5439">
        <w:rPr>
          <w:rFonts w:ascii="Arial" w:hAnsi="Arial" w:cs="Arial"/>
          <w:color w:val="000000"/>
          <w:sz w:val="20"/>
        </w:rPr>
        <w:t xml:space="preserve">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 if ever –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w:t>
      </w:r>
      <w:proofErr w:type="spellStart"/>
      <w:r w:rsidR="00A02D88" w:rsidRPr="00DF5439">
        <w:rPr>
          <w:rFonts w:ascii="Arial" w:hAnsi="Arial" w:cs="Arial"/>
          <w:color w:val="000000"/>
          <w:sz w:val="20"/>
          <w:szCs w:val="20"/>
        </w:rPr>
        <w:t>AsJ</w:t>
      </w:r>
      <w:proofErr w:type="spellEnd"/>
      <w:r w:rsidR="00A02D88" w:rsidRPr="00DF5439">
        <w:rPr>
          <w:rFonts w:ascii="Arial" w:hAnsi="Arial" w:cs="Arial"/>
          <w:color w:val="000000"/>
          <w:sz w:val="20"/>
          <w:szCs w:val="20"/>
        </w:rPr>
        <w:t xml:space="preserve">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r w:rsidR="00DD5CCF" w:rsidRPr="00DD5CCF">
        <w:t xml:space="preserve"> </w:t>
      </w:r>
      <w:r w:rsidR="00DD5CCF" w:rsidRPr="00DD5CCF">
        <w:rPr>
          <w:rFonts w:ascii="Arial" w:hAnsi="Arial" w:cs="Arial"/>
          <w:sz w:val="20"/>
          <w:szCs w:val="20"/>
        </w:rPr>
        <w:t xml:space="preserve">and </w:t>
      </w:r>
      <w:r w:rsidR="00DD5CCF" w:rsidRPr="00DD5CCF">
        <w:rPr>
          <w:rFonts w:ascii="Arial" w:hAnsi="Arial" w:cs="Arial"/>
          <w:color w:val="000000"/>
          <w:sz w:val="20"/>
          <w:szCs w:val="20"/>
        </w:rPr>
        <w:t xml:space="preserve">Williams J in </w:t>
      </w:r>
      <w:proofErr w:type="spellStart"/>
      <w:r w:rsidR="00DD5CCF" w:rsidRPr="00DD5CCF">
        <w:rPr>
          <w:rFonts w:ascii="Arial" w:hAnsi="Arial" w:cs="Arial"/>
          <w:i/>
          <w:iCs/>
          <w:color w:val="333333"/>
          <w:sz w:val="20"/>
          <w:szCs w:val="20"/>
          <w:shd w:val="clear" w:color="auto" w:fill="FFFFFF"/>
        </w:rPr>
        <w:t>Easwaralingam</w:t>
      </w:r>
      <w:proofErr w:type="spellEnd"/>
      <w:r w:rsidR="00DD5CCF" w:rsidRPr="00DD5CCF">
        <w:rPr>
          <w:rFonts w:ascii="Arial" w:hAnsi="Arial" w:cs="Arial"/>
          <w:i/>
          <w:iCs/>
          <w:color w:val="333333"/>
          <w:sz w:val="20"/>
          <w:szCs w:val="20"/>
          <w:shd w:val="clear" w:color="auto" w:fill="FFFFFF"/>
        </w:rPr>
        <w:t xml:space="preserve"> v Davis &amp; Anor</w:t>
      </w:r>
      <w:r w:rsidR="00DD5CCF" w:rsidRPr="00DD5CCF">
        <w:rPr>
          <w:rFonts w:ascii="Arial" w:hAnsi="Arial" w:cs="Arial"/>
          <w:color w:val="000000"/>
          <w:sz w:val="20"/>
          <w:szCs w:val="20"/>
        </w:rPr>
        <w:t xml:space="preserve"> [2013] VSC 651</w:t>
      </w:r>
      <w:r w:rsidR="00A02D88" w:rsidRPr="00DD5CCF">
        <w:rPr>
          <w:rFonts w:ascii="Arial" w:hAnsi="Arial" w:cs="Arial"/>
          <w:color w:val="000000"/>
          <w:sz w:val="20"/>
          <w:szCs w:val="20"/>
        </w:rPr>
        <w:t>.</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25" w:name="_Toc30652645"/>
      <w:bookmarkStart w:id="926" w:name="_Toc30652743"/>
      <w:bookmarkStart w:id="927" w:name="_Toc30654088"/>
      <w:bookmarkStart w:id="928" w:name="_Toc30654439"/>
      <w:bookmarkStart w:id="929" w:name="_Toc30655058"/>
      <w:bookmarkStart w:id="930" w:name="_Toc30655315"/>
      <w:bookmarkStart w:id="931" w:name="_Toc30656993"/>
      <w:bookmarkStart w:id="932" w:name="_Toc30661742"/>
      <w:bookmarkStart w:id="933" w:name="_Toc30666430"/>
      <w:bookmarkStart w:id="934" w:name="_Toc30666660"/>
      <w:bookmarkStart w:id="935" w:name="_Toc30667835"/>
      <w:bookmarkStart w:id="936" w:name="_Toc30669213"/>
      <w:bookmarkStart w:id="937" w:name="_Toc30671429"/>
      <w:bookmarkStart w:id="938" w:name="_Toc30673956"/>
      <w:bookmarkStart w:id="939" w:name="_Toc30691178"/>
      <w:bookmarkStart w:id="940" w:name="_Toc30691549"/>
      <w:bookmarkStart w:id="941" w:name="_Toc30691929"/>
      <w:bookmarkStart w:id="942" w:name="_Toc30692688"/>
      <w:bookmarkStart w:id="943" w:name="_Toc30693067"/>
      <w:bookmarkStart w:id="944" w:name="_Toc30693445"/>
      <w:bookmarkStart w:id="945" w:name="_Toc30693824"/>
      <w:bookmarkStart w:id="946" w:name="_Toc30694205"/>
      <w:bookmarkStart w:id="947" w:name="_Toc30698794"/>
      <w:bookmarkStart w:id="948" w:name="_Toc30699172"/>
      <w:bookmarkStart w:id="949" w:name="_Toc30699557"/>
      <w:bookmarkStart w:id="950" w:name="_Toc30700712"/>
      <w:bookmarkStart w:id="951" w:name="_Toc30701099"/>
      <w:bookmarkStart w:id="952" w:name="_Toc30743708"/>
      <w:bookmarkStart w:id="953" w:name="_Toc30754530"/>
      <w:bookmarkStart w:id="954" w:name="_Toc30756970"/>
      <w:bookmarkStart w:id="955" w:name="_Toc30757519"/>
      <w:bookmarkStart w:id="956" w:name="_Toc30757919"/>
      <w:bookmarkStart w:id="957" w:name="_Toc30762680"/>
      <w:bookmarkStart w:id="958" w:name="_Toc30767334"/>
      <w:bookmarkStart w:id="959" w:name="_Toc34823350"/>
    </w:p>
    <w:p w14:paraId="0DFAB1F2" w14:textId="77777777" w:rsidR="007D1460" w:rsidRDefault="007D1460" w:rsidP="007D1460">
      <w:pPr>
        <w:pStyle w:val="Heading3"/>
        <w:keepNext/>
        <w:keepLines/>
        <w:spacing w:after="120" w:line="240" w:lineRule="auto"/>
        <w:rPr>
          <w:rFonts w:ascii="Arial" w:hAnsi="Arial" w:cs="Arial"/>
          <w:b/>
          <w:bCs/>
          <w:sz w:val="20"/>
        </w:rPr>
      </w:pPr>
      <w:bookmarkStart w:id="960" w:name="_3.9.1_Criminal_Division"/>
      <w:bookmarkStart w:id="961" w:name="B391"/>
      <w:bookmarkStart w:id="962" w:name="_Toc58831512"/>
      <w:bookmarkEnd w:id="960"/>
      <w:bookmarkEnd w:id="961"/>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2"/>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proofErr w:type="spellStart"/>
      <w:r w:rsidR="00B21DA4">
        <w:rPr>
          <w:rFonts w:ascii="Arial" w:hAnsi="Arial" w:cs="Arial"/>
          <w:i/>
          <w:iCs/>
          <w:sz w:val="20"/>
        </w:rPr>
        <w:t>Latoudis</w:t>
      </w:r>
      <w:proofErr w:type="spellEnd"/>
      <w:r w:rsidR="00B21DA4">
        <w:rPr>
          <w:rFonts w:ascii="Arial" w:hAnsi="Arial" w:cs="Arial"/>
          <w:i/>
          <w:iCs/>
          <w:sz w:val="20"/>
        </w:rPr>
        <w:t xml:space="preserve">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0F0BE9">
      <w:pPr>
        <w:spacing w:before="60" w:after="60"/>
        <w:ind w:left="454" w:right="454"/>
        <w:jc w:val="both"/>
        <w:rPr>
          <w:rFonts w:ascii="Arial" w:hAnsi="Arial" w:cs="Arial"/>
          <w:iCs/>
          <w:sz w:val="20"/>
        </w:rPr>
      </w:pPr>
      <w:r>
        <w:rPr>
          <w:rFonts w:ascii="Arial" w:hAnsi="Arial" w:cs="Arial"/>
          <w:sz w:val="20"/>
        </w:rPr>
        <w:t xml:space="preserve">"[I]n ordinary circumstances, an order for costs should be made in favour of a successful defendant.  However, there will be cases in which, when regard is had to the particular circumstances, it would not be just and reasonable to order costs against the prosecutor or to order payment of all of the defendant's costs.  If, for example, the defendant, by his or her conduct after the events constituting the commission of the alleged offence, brought the </w:t>
      </w:r>
      <w:r>
        <w:rPr>
          <w:rFonts w:ascii="Arial" w:hAnsi="Arial" w:cs="Arial"/>
          <w:sz w:val="20"/>
        </w:rPr>
        <w:lastRenderedPageBreak/>
        <w:t>prosecution upon himself or herself, then it would not be just and reasonable to award costs against the prosecutor."</w:t>
      </w:r>
    </w:p>
    <w:p w14:paraId="0DDEDFB0" w14:textId="77777777" w:rsidR="003A171C" w:rsidRDefault="003A171C">
      <w:pPr>
        <w:tabs>
          <w:tab w:val="left" w:pos="6480"/>
        </w:tabs>
        <w:jc w:val="both"/>
        <w:rPr>
          <w:rFonts w:ascii="Arial" w:hAnsi="Arial" w:cs="Arial"/>
          <w:sz w:val="20"/>
        </w:rPr>
      </w:pPr>
    </w:p>
    <w:p w14:paraId="174C455B" w14:textId="651C686C"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w:t>
      </w:r>
      <w:proofErr w:type="spellStart"/>
      <w:r>
        <w:rPr>
          <w:rFonts w:ascii="Arial" w:hAnsi="Arial" w:cs="Arial"/>
          <w:i/>
          <w:iCs/>
          <w:sz w:val="20"/>
        </w:rPr>
        <w:t>Renney</w:t>
      </w:r>
      <w:proofErr w:type="spellEnd"/>
      <w:r>
        <w:rPr>
          <w:rFonts w:ascii="Arial" w:hAnsi="Arial" w:cs="Arial"/>
          <w:i/>
          <w:iCs/>
          <w:sz w:val="20"/>
        </w:rPr>
        <w:t xml:space="preserve"> </w:t>
      </w:r>
      <w:r>
        <w:rPr>
          <w:rFonts w:ascii="Arial" w:hAnsi="Arial" w:cs="Arial"/>
          <w:sz w:val="20"/>
        </w:rPr>
        <w:t xml:space="preserve">[Supreme Court of Victoria, {MC23/95}, </w:t>
      </w:r>
      <w:smartTag w:uri="urn:schemas-microsoft-com:office:smarttags" w:element="date">
        <w:smartTagPr>
          <w:attr w:name="Month" w:val="8"/>
          <w:attr w:name="Day" w:val="21"/>
          <w:attr w:name="Year" w:val="1995"/>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Month" w:val="4"/>
          <w:attr w:name="Day" w:val="20"/>
          <w:attr w:name="Year" w:val="1993"/>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proofErr w:type="spellStart"/>
      <w:r>
        <w:rPr>
          <w:rFonts w:ascii="Arial" w:hAnsi="Arial" w:cs="Arial"/>
          <w:i/>
          <w:iCs/>
          <w:sz w:val="20"/>
        </w:rPr>
        <w:t>Jandreoski</w:t>
      </w:r>
      <w:proofErr w:type="spellEnd"/>
      <w:r>
        <w:rPr>
          <w:rFonts w:ascii="Arial" w:hAnsi="Arial" w:cs="Arial"/>
          <w:i/>
          <w:iCs/>
          <w:sz w:val="20"/>
        </w:rPr>
        <w:t xml:space="preserve"> and </w:t>
      </w:r>
      <w:proofErr w:type="spellStart"/>
      <w:r>
        <w:rPr>
          <w:rFonts w:ascii="Arial" w:hAnsi="Arial" w:cs="Arial"/>
          <w:i/>
          <w:iCs/>
          <w:sz w:val="20"/>
        </w:rPr>
        <w:t>Ors</w:t>
      </w:r>
      <w:proofErr w:type="spellEnd"/>
      <w:r>
        <w:rPr>
          <w:rFonts w:ascii="Arial" w:hAnsi="Arial" w:cs="Arial"/>
          <w:i/>
          <w:iCs/>
          <w:sz w:val="20"/>
        </w:rPr>
        <w:t xml:space="preserve"> v Colley and </w:t>
      </w:r>
      <w:proofErr w:type="spellStart"/>
      <w:r>
        <w:rPr>
          <w:rFonts w:ascii="Arial" w:hAnsi="Arial" w:cs="Arial"/>
          <w:i/>
          <w:iCs/>
          <w:sz w:val="20"/>
        </w:rPr>
        <w:t>Ors</w:t>
      </w:r>
      <w:proofErr w:type="spellEnd"/>
      <w:r>
        <w:rPr>
          <w:rFonts w:ascii="Arial" w:hAnsi="Arial" w:cs="Arial"/>
          <w:sz w:val="20"/>
        </w:rPr>
        <w:t xml:space="preserve"> [2004] VSC 131, in dismissing an appeal against a magistrate's refusal of costs to otherwise successful defendants, Teague J engaged in a detailed analysis of the principles espoused in </w:t>
      </w:r>
      <w:proofErr w:type="spellStart"/>
      <w:r>
        <w:rPr>
          <w:rFonts w:ascii="Arial" w:hAnsi="Arial" w:cs="Arial"/>
          <w:i/>
          <w:iCs/>
          <w:sz w:val="20"/>
        </w:rPr>
        <w:t>Latoudis</w:t>
      </w:r>
      <w:proofErr w:type="spellEnd"/>
      <w:r>
        <w:rPr>
          <w:rFonts w:ascii="Arial" w:hAnsi="Arial" w:cs="Arial"/>
          <w:i/>
          <w:iCs/>
          <w:sz w:val="20"/>
        </w:rPr>
        <w:t xml:space="preserve">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rsidTr="004A50B3">
        <w:trPr>
          <w:cantSplit/>
        </w:trPr>
        <w:tc>
          <w:tcPr>
            <w:tcW w:w="7651" w:type="dxa"/>
            <w:gridSpan w:val="2"/>
            <w:tcBorders>
              <w:bottom w:val="single" w:sz="12" w:space="0" w:color="auto"/>
            </w:tcBorders>
            <w:shd w:val="clear" w:color="auto" w:fill="DDDDDD"/>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t>CASE</w:t>
            </w:r>
          </w:p>
        </w:tc>
        <w:tc>
          <w:tcPr>
            <w:tcW w:w="1421" w:type="dxa"/>
            <w:tcBorders>
              <w:bottom w:val="single" w:sz="12" w:space="0" w:color="auto"/>
            </w:tcBorders>
            <w:shd w:val="clear" w:color="auto" w:fill="DDDDDD"/>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proofErr w:type="spellStart"/>
            <w:r>
              <w:rPr>
                <w:rFonts w:ascii="Arial" w:eastAsia="Arial Unicode MS" w:hAnsi="Arial" w:cs="Arial"/>
                <w:i/>
                <w:sz w:val="20"/>
              </w:rPr>
              <w:t>Latoudis</w:t>
            </w:r>
            <w:proofErr w:type="spellEnd"/>
          </w:p>
        </w:tc>
        <w:tc>
          <w:tcPr>
            <w:tcW w:w="6577" w:type="dxa"/>
            <w:tcBorders>
              <w:top w:val="single" w:sz="12" w:space="0" w:color="auto"/>
              <w:bottom w:val="single" w:sz="6" w:space="0" w:color="000000"/>
            </w:tcBorders>
          </w:tcPr>
          <w:p w14:paraId="3FA476AC" w14:textId="5266834B" w:rsidR="00B21DA4" w:rsidRDefault="00B21DA4" w:rsidP="00CF3D8C">
            <w:pPr>
              <w:keepNext/>
              <w:keepLines/>
              <w:jc w:val="both"/>
              <w:rPr>
                <w:rFonts w:ascii="Arial" w:eastAsia="Arial Unicode MS" w:hAnsi="Arial" w:cs="Arial"/>
                <w:sz w:val="20"/>
              </w:rPr>
            </w:pPr>
            <w:proofErr w:type="spellStart"/>
            <w:r>
              <w:rPr>
                <w:rFonts w:ascii="Arial" w:eastAsia="Arial Unicode MS" w:hAnsi="Arial" w:cs="Arial"/>
                <w:i/>
                <w:sz w:val="20"/>
              </w:rPr>
              <w:t>Latoudis</w:t>
            </w:r>
            <w:proofErr w:type="spellEnd"/>
            <w:r>
              <w:rPr>
                <w:rFonts w:ascii="Arial" w:eastAsia="Arial Unicode MS" w:hAnsi="Arial" w:cs="Arial"/>
                <w:i/>
                <w:sz w:val="20"/>
              </w:rPr>
              <w:t xml:space="preserve"> v Casey</w:t>
            </w:r>
            <w:r>
              <w:rPr>
                <w:rFonts w:ascii="Arial" w:eastAsia="Arial Unicode MS" w:hAnsi="Arial" w:cs="Arial"/>
                <w:sz w:val="20"/>
              </w:rPr>
              <w:t xml:space="preserve"> (199</w:t>
            </w:r>
            <w:r w:rsidR="0080151D">
              <w:rPr>
                <w:rFonts w:ascii="Arial" w:eastAsia="Arial Unicode MS" w:hAnsi="Arial" w:cs="Arial"/>
                <w:sz w:val="20"/>
              </w:rPr>
              <w:t>1</w:t>
            </w:r>
            <w:r>
              <w:rPr>
                <w:rFonts w:ascii="Arial" w:eastAsia="Arial Unicode MS" w:hAnsi="Arial" w:cs="Arial"/>
                <w:sz w:val="20"/>
              </w:rPr>
              <w:t>)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proofErr w:type="spellStart"/>
            <w:r>
              <w:rPr>
                <w:rFonts w:ascii="Arial" w:eastAsia="Arial Unicode MS" w:hAnsi="Arial" w:cs="Arial"/>
                <w:i/>
                <w:sz w:val="20"/>
              </w:rPr>
              <w:t>Redl</w:t>
            </w:r>
            <w:proofErr w:type="spellEnd"/>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Redl</w:t>
            </w:r>
            <w:proofErr w:type="spellEnd"/>
            <w:r>
              <w:rPr>
                <w:rFonts w:ascii="Arial" w:eastAsia="Arial Unicode MS" w:hAnsi="Arial" w:cs="Arial"/>
                <w:i/>
                <w:sz w:val="20"/>
              </w:rPr>
              <w:t xml:space="preserve">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proofErr w:type="spellStart"/>
            <w:r>
              <w:rPr>
                <w:rFonts w:ascii="Arial" w:eastAsia="Arial Unicode MS" w:hAnsi="Arial" w:cs="Arial"/>
                <w:i/>
                <w:sz w:val="20"/>
              </w:rPr>
              <w:t>Larrain</w:t>
            </w:r>
            <w:proofErr w:type="spellEnd"/>
          </w:p>
        </w:tc>
        <w:tc>
          <w:tcPr>
            <w:tcW w:w="6577" w:type="dxa"/>
          </w:tcPr>
          <w:p w14:paraId="72082D6F"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Larrain</w:t>
            </w:r>
            <w:proofErr w:type="spellEnd"/>
            <w:r>
              <w:rPr>
                <w:rFonts w:ascii="Arial" w:eastAsia="Arial Unicode MS" w:hAnsi="Arial" w:cs="Arial"/>
                <w:i/>
                <w:sz w:val="20"/>
              </w:rPr>
              <w:t xml:space="preserve">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Alexander v </w:t>
            </w:r>
            <w:proofErr w:type="spellStart"/>
            <w:r>
              <w:rPr>
                <w:rFonts w:ascii="Arial" w:eastAsia="Arial Unicode MS" w:hAnsi="Arial" w:cs="Arial"/>
                <w:i/>
                <w:sz w:val="20"/>
              </w:rPr>
              <w:t>Renney</w:t>
            </w:r>
            <w:proofErr w:type="spellEnd"/>
            <w:r>
              <w:rPr>
                <w:rFonts w:ascii="Arial" w:eastAsia="Arial Unicode MS" w:hAnsi="Arial" w:cs="Arial"/>
                <w:sz w:val="20"/>
              </w:rPr>
              <w:t xml:space="preserve">  (Batt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proofErr w:type="spellStart"/>
            <w:r>
              <w:rPr>
                <w:rFonts w:ascii="Arial" w:eastAsia="Arial Unicode MS" w:hAnsi="Arial" w:cs="Arial"/>
                <w:i/>
                <w:sz w:val="20"/>
              </w:rPr>
              <w:t>Oshlack</w:t>
            </w:r>
            <w:proofErr w:type="spellEnd"/>
          </w:p>
        </w:tc>
        <w:tc>
          <w:tcPr>
            <w:tcW w:w="6577" w:type="dxa"/>
          </w:tcPr>
          <w:p w14:paraId="2BB4C6C8"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Oshlack</w:t>
            </w:r>
            <w:proofErr w:type="spellEnd"/>
            <w:r>
              <w:rPr>
                <w:rFonts w:ascii="Arial" w:eastAsia="Arial Unicode MS" w:hAnsi="Arial" w:cs="Arial"/>
                <w:i/>
                <w:sz w:val="20"/>
              </w:rPr>
              <w:t xml:space="preserve">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Month" w:val="4"/>
                <w:attr w:name="Day" w:val="7"/>
                <w:attr w:name="Year" w:val="200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0F0BE9">
      <w:pPr>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of </w:t>
      </w:r>
      <w:proofErr w:type="spellStart"/>
      <w:r>
        <w:rPr>
          <w:rFonts w:ascii="Arial" w:eastAsia="Arial Unicode MS" w:hAnsi="Arial" w:cs="Arial"/>
          <w:i/>
          <w:sz w:val="20"/>
        </w:rPr>
        <w:t>Oshlack</w:t>
      </w:r>
      <w:proofErr w:type="spellEnd"/>
      <w:r>
        <w:rPr>
          <w:rFonts w:ascii="Arial" w:eastAsia="Arial Unicode MS" w:hAnsi="Arial" w:cs="Arial"/>
          <w:sz w:val="20"/>
        </w:rPr>
        <w:t xml:space="preserve">, the court was split, with a majority of three, and a minority of two.  </w:t>
      </w:r>
      <w:proofErr w:type="spellStart"/>
      <w:r>
        <w:rPr>
          <w:rFonts w:ascii="Arial" w:eastAsia="Arial Unicode MS" w:hAnsi="Arial" w:cs="Arial"/>
          <w:i/>
          <w:sz w:val="20"/>
        </w:rPr>
        <w:t>Latoudis</w:t>
      </w:r>
      <w:proofErr w:type="spellEnd"/>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several examples are given by members of the court of considerations which might warrant no order being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in cases after </w:t>
      </w:r>
      <w:proofErr w:type="spellStart"/>
      <w:r>
        <w:rPr>
          <w:rFonts w:ascii="Arial" w:eastAsia="Arial Unicode MS" w:hAnsi="Arial" w:cs="Arial"/>
          <w:i/>
          <w:sz w:val="20"/>
        </w:rPr>
        <w:t>Latoudis</w:t>
      </w:r>
      <w:proofErr w:type="spellEnd"/>
      <w:r>
        <w:rPr>
          <w:rFonts w:ascii="Arial" w:eastAsia="Arial Unicode MS" w:hAnsi="Arial" w:cs="Arial"/>
          <w:sz w:val="20"/>
        </w:rPr>
        <w:t xml:space="preserve">, judges have stressed the importance of trying to avoid the creation of relatively rigid rules.  In that regard, see,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proofErr w:type="spellStart"/>
      <w:r>
        <w:rPr>
          <w:rFonts w:ascii="Arial" w:eastAsia="Arial Unicode MS" w:hAnsi="Arial" w:cs="Arial"/>
          <w:i/>
          <w:sz w:val="20"/>
        </w:rPr>
        <w:t>Oshlack</w:t>
      </w:r>
      <w:proofErr w:type="spellEnd"/>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[10] What are some of the possible considerations?  The cases suggest at least the following seven, that I will state in an overly summary way.  First, the prosecutor’s 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proofErr w:type="spellStart"/>
      <w:r>
        <w:rPr>
          <w:rFonts w:ascii="Arial" w:eastAsia="Arial Unicode MS" w:hAnsi="Arial" w:cs="Arial"/>
          <w:i/>
          <w:sz w:val="20"/>
        </w:rPr>
        <w:t>Latoudis</w:t>
      </w:r>
      <w:proofErr w:type="spellEnd"/>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lastRenderedPageBreak/>
        <w:t xml:space="preserve">[12] As I have noted,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proofErr w:type="spellStart"/>
      <w:r>
        <w:rPr>
          <w:rFonts w:ascii="Arial" w:eastAsia="Arial Unicode MS" w:hAnsi="Arial" w:cs="Arial"/>
          <w:i/>
          <w:sz w:val="20"/>
        </w:rPr>
        <w:t>Oshlack</w:t>
      </w:r>
      <w:proofErr w:type="spellEnd"/>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there has been a review, in some cases a very careful review, of aspects of the guidance provided by </w:t>
      </w:r>
      <w:proofErr w:type="spellStart"/>
      <w:r>
        <w:rPr>
          <w:rFonts w:ascii="Arial" w:eastAsia="Arial Unicode MS" w:hAnsi="Arial" w:cs="Arial"/>
          <w:i/>
          <w:sz w:val="20"/>
        </w:rPr>
        <w:t>Latoudis</w:t>
      </w:r>
      <w:proofErr w:type="spellEnd"/>
      <w:r>
        <w:rPr>
          <w:rFonts w:ascii="Arial" w:eastAsia="Arial Unicode MS" w:hAnsi="Arial" w:cs="Arial"/>
          <w:sz w:val="20"/>
        </w:rPr>
        <w:t xml:space="preserve">. A similar review was carried out in five other cases that I have not referred to in these reasons, as they were not sufficiently relevant. </w:t>
      </w:r>
      <w:proofErr w:type="spellStart"/>
      <w:r>
        <w:rPr>
          <w:rFonts w:ascii="Arial" w:eastAsia="Arial Unicode MS" w:hAnsi="Arial" w:cs="Arial"/>
          <w:i/>
          <w:sz w:val="20"/>
        </w:rPr>
        <w:t>Oshlack</w:t>
      </w:r>
      <w:proofErr w:type="spellEnd"/>
      <w:r>
        <w:rPr>
          <w:rFonts w:ascii="Arial" w:eastAsia="Arial Unicode MS" w:hAnsi="Arial" w:cs="Arial"/>
          <w:sz w:val="20"/>
        </w:rPr>
        <w:t xml:space="preserve"> is the only case which is not concerned with orders in the Victorian Magistrates’ Court.  In </w:t>
      </w:r>
      <w:proofErr w:type="spellStart"/>
      <w:r>
        <w:rPr>
          <w:rFonts w:ascii="Arial" w:eastAsia="Arial Unicode MS" w:hAnsi="Arial" w:cs="Arial"/>
          <w:i/>
          <w:sz w:val="20"/>
        </w:rPr>
        <w:t>Oshlack</w:t>
      </w:r>
      <w:proofErr w:type="spellEnd"/>
      <w:r>
        <w:rPr>
          <w:rFonts w:ascii="Arial" w:eastAsia="Arial Unicode MS" w:hAnsi="Arial" w:cs="Arial"/>
          <w:sz w:val="20"/>
        </w:rPr>
        <w:t xml:space="preserve">, brief references were made to </w:t>
      </w:r>
      <w:proofErr w:type="spellStart"/>
      <w:r>
        <w:rPr>
          <w:rFonts w:ascii="Arial" w:eastAsia="Arial Unicode MS" w:hAnsi="Arial" w:cs="Arial"/>
          <w:i/>
          <w:sz w:val="20"/>
        </w:rPr>
        <w:t>Latoudis</w:t>
      </w:r>
      <w:proofErr w:type="spellEnd"/>
      <w:r>
        <w:rPr>
          <w:rFonts w:ascii="Arial" w:eastAsia="Arial Unicode MS" w:hAnsi="Arial" w:cs="Arial"/>
          <w:sz w:val="20"/>
        </w:rPr>
        <w:t xml:space="preserve"> by Brennan CJ at [75] and by </w:t>
      </w:r>
      <w:proofErr w:type="spellStart"/>
      <w:r>
        <w:rPr>
          <w:rFonts w:ascii="Arial" w:eastAsia="Arial Unicode MS" w:hAnsi="Arial" w:cs="Arial"/>
          <w:sz w:val="20"/>
        </w:rPr>
        <w:t>Gaudron</w:t>
      </w:r>
      <w:proofErr w:type="spellEnd"/>
      <w:r>
        <w:rPr>
          <w:rFonts w:ascii="Arial" w:eastAsia="Arial Unicode MS" w:hAnsi="Arial" w:cs="Arial"/>
          <w:sz w:val="20"/>
        </w:rPr>
        <w:t xml:space="preserve"> and </w:t>
      </w:r>
      <w:proofErr w:type="spellStart"/>
      <w:r>
        <w:rPr>
          <w:rFonts w:ascii="Arial" w:eastAsia="Arial Unicode MS" w:hAnsi="Arial" w:cs="Arial"/>
          <w:sz w:val="20"/>
        </w:rPr>
        <w:t>Gummow</w:t>
      </w:r>
      <w:proofErr w:type="spellEnd"/>
      <w:r>
        <w:rPr>
          <w:rFonts w:ascii="Arial" w:eastAsia="Arial Unicode MS" w:hAnsi="Arial" w:cs="Arial"/>
          <w:sz w:val="20"/>
        </w:rPr>
        <w:t xml:space="preserve"> JJ at [24]-[29].  More extensive reviews were made by McHugh J at [65], [66] and [76]-[83], and by Kirby J at [123]-[135].</w:t>
      </w:r>
    </w:p>
    <w:p w14:paraId="6109B79A" w14:textId="77777777" w:rsidR="00B21DA4" w:rsidRDefault="00B21DA4" w:rsidP="000F0BE9">
      <w:pPr>
        <w:spacing w:before="120"/>
        <w:ind w:left="454" w:right="454"/>
        <w:jc w:val="both"/>
        <w:rPr>
          <w:rFonts w:ascii="Arial" w:eastAsia="Arial Unicode MS" w:hAnsi="Arial" w:cs="Arial"/>
          <w:sz w:val="20"/>
        </w:rPr>
      </w:pPr>
      <w:r>
        <w:rPr>
          <w:rFonts w:ascii="Arial" w:eastAsia="Arial Unicode MS" w:hAnsi="Arial" w:cs="Arial"/>
          <w:sz w:val="20"/>
        </w:rPr>
        <w:t xml:space="preserve">[26]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conduct was considered in a limited way by McHugh J.  It has been considered in a limited way in each of </w:t>
      </w:r>
      <w:proofErr w:type="spellStart"/>
      <w:r>
        <w:rPr>
          <w:rFonts w:ascii="Arial" w:eastAsia="Arial Unicode MS" w:hAnsi="Arial" w:cs="Arial"/>
          <w:i/>
          <w:sz w:val="20"/>
        </w:rPr>
        <w:t>Redl</w:t>
      </w:r>
      <w:proofErr w:type="spellEnd"/>
      <w:r>
        <w:rPr>
          <w:rFonts w:ascii="Arial" w:eastAsia="Arial Unicode MS" w:hAnsi="Arial" w:cs="Arial"/>
          <w:sz w:val="20"/>
        </w:rPr>
        <w:t xml:space="preserve">,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80151D">
      <w:pPr>
        <w:spacing w:before="120"/>
        <w:ind w:left="454" w:right="454"/>
        <w:jc w:val="both"/>
        <w:rPr>
          <w:rFonts w:ascii="Arial" w:eastAsia="Arial Unicode MS" w:hAnsi="Arial" w:cs="Arial"/>
          <w:sz w:val="20"/>
        </w:rPr>
      </w:pPr>
      <w:r>
        <w:rPr>
          <w:rFonts w:ascii="Arial" w:eastAsia="Arial Unicode MS" w:hAnsi="Arial" w:cs="Arial"/>
          <w:sz w:val="20"/>
        </w:rPr>
        <w:t xml:space="preserve">[27]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to 5, suggested tags of 'misconduct' and 'reprehensible conduct'.  Brooking J said that, in the circumstances of </w:t>
      </w:r>
      <w:proofErr w:type="spellStart"/>
      <w:r>
        <w:rPr>
          <w:rFonts w:ascii="Arial" w:eastAsia="Arial Unicode MS" w:hAnsi="Arial" w:cs="Arial"/>
          <w:i/>
          <w:sz w:val="20"/>
        </w:rPr>
        <w:t>Redl</w:t>
      </w:r>
      <w:proofErr w:type="spellEnd"/>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Smith J referred to </w:t>
      </w:r>
      <w:proofErr w:type="spellStart"/>
      <w:r>
        <w:rPr>
          <w:rFonts w:ascii="Arial" w:eastAsia="Arial Unicode MS" w:hAnsi="Arial" w:cs="Arial"/>
          <w:i/>
          <w:sz w:val="20"/>
        </w:rPr>
        <w:t>Redl</w:t>
      </w:r>
      <w:proofErr w:type="spellEnd"/>
      <w:r>
        <w:rPr>
          <w:rFonts w:ascii="Arial" w:eastAsia="Arial Unicode MS" w:hAnsi="Arial" w:cs="Arial"/>
          <w:sz w:val="20"/>
        </w:rPr>
        <w:t xml:space="preserve">, but related the claimed misconduct back to what McHugh J had said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proofErr w:type="spellStart"/>
      <w:r>
        <w:rPr>
          <w:rFonts w:ascii="Arial" w:eastAsia="Arial Unicode MS" w:hAnsi="Arial" w:cs="Arial"/>
          <w:i/>
          <w:sz w:val="20"/>
        </w:rPr>
        <w:t>Redl</w:t>
      </w:r>
      <w:proofErr w:type="spellEnd"/>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proofErr w:type="spellStart"/>
      <w:r>
        <w:rPr>
          <w:rFonts w:ascii="Arial" w:eastAsia="Arial Unicode MS" w:hAnsi="Arial" w:cs="Arial"/>
          <w:i/>
          <w:sz w:val="20"/>
        </w:rPr>
        <w:t>Redl</w:t>
      </w:r>
      <w:proofErr w:type="spellEnd"/>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[29] I turn to the criticisms by the magistrate of the lack of co-operation of the defendants.  In </w:t>
      </w:r>
      <w:proofErr w:type="spellStart"/>
      <w:r>
        <w:rPr>
          <w:rFonts w:ascii="Arial" w:eastAsia="Arial Unicode MS" w:hAnsi="Arial" w:cs="Arial"/>
          <w:i/>
          <w:sz w:val="20"/>
        </w:rPr>
        <w:t>Latoudis</w:t>
      </w:r>
      <w:proofErr w:type="spellEnd"/>
      <w:r>
        <w:rPr>
          <w:rFonts w:ascii="Arial" w:eastAsia="Arial Unicode MS" w:hAnsi="Arial" w:cs="Arial"/>
          <w:sz w:val="20"/>
        </w:rPr>
        <w:t>, each of the majority commented on that consideration as operating to warrant a 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 xml:space="preserve">R v </w:t>
      </w:r>
      <w:proofErr w:type="spellStart"/>
      <w:r>
        <w:rPr>
          <w:rFonts w:ascii="Arial" w:eastAsia="Arial Unicode MS" w:hAnsi="Arial" w:cs="Arial"/>
          <w:i/>
          <w:sz w:val="20"/>
        </w:rPr>
        <w:t>Dainer</w:t>
      </w:r>
      <w:proofErr w:type="spellEnd"/>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rsidP="003A171C">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xml:space="preserve">,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of information which may tend to incriminate other persons.  Hence the discount on sentencing given for co-operation with the police.  There are complications however, where the provision of information as to others would or might also, albeit more indirectly, incriminate </w:t>
      </w:r>
      <w:r>
        <w:rPr>
          <w:rFonts w:ascii="Arial" w:eastAsia="Arial Unicode MS" w:hAnsi="Arial" w:cs="Arial"/>
          <w:sz w:val="20"/>
        </w:rPr>
        <w:lastRenderedPageBreak/>
        <w:t>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proofErr w:type="spellStart"/>
      <w:r w:rsidR="003D7031" w:rsidRPr="00974C44">
        <w:rPr>
          <w:rFonts w:ascii="Arial" w:hAnsi="Arial" w:cs="Arial"/>
          <w:i/>
          <w:sz w:val="20"/>
        </w:rPr>
        <w:t>Latoudis</w:t>
      </w:r>
      <w:proofErr w:type="spellEnd"/>
      <w:r w:rsidR="003D7031" w:rsidRPr="00974C44">
        <w:rPr>
          <w:rFonts w:ascii="Arial" w:hAnsi="Arial" w:cs="Arial"/>
          <w:i/>
          <w:sz w:val="20"/>
        </w:rPr>
        <w:t xml:space="preserve"> v Casey</w:t>
      </w:r>
      <w:r w:rsidR="003D7031">
        <w:rPr>
          <w:rFonts w:ascii="Arial" w:hAnsi="Arial" w:cs="Arial"/>
          <w:sz w:val="20"/>
        </w:rPr>
        <w:t xml:space="preserve"> that </w:t>
      </w:r>
      <w:r w:rsidR="00974C44">
        <w:rPr>
          <w:rFonts w:ascii="Arial" w:hAnsi="Arial" w:cs="Arial"/>
          <w:sz w:val="20"/>
        </w:rPr>
        <w:t xml:space="preserve">as a rule costs should be awarded to successful defendants,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proofErr w:type="spellStart"/>
      <w:r w:rsidRPr="00974C44">
        <w:rPr>
          <w:rFonts w:ascii="Arial" w:eastAsia="Arial Unicode MS" w:hAnsi="Arial" w:cs="Arial"/>
          <w:i/>
          <w:sz w:val="20"/>
        </w:rPr>
        <w:t>Latoudis</w:t>
      </w:r>
      <w:proofErr w:type="spellEnd"/>
      <w:r w:rsidRPr="00974C44">
        <w:rPr>
          <w:rFonts w:ascii="Arial" w:eastAsia="Arial Unicode MS" w:hAnsi="Arial" w:cs="Arial"/>
          <w:i/>
          <w:sz w:val="20"/>
        </w:rPr>
        <w:t xml:space="preserve">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0F0BE9">
      <w:pPr>
        <w:spacing w:before="120"/>
        <w:ind w:left="454" w:right="454"/>
        <w:jc w:val="both"/>
        <w:rPr>
          <w:rFonts w:ascii="Arial" w:eastAsia="Arial Unicode MS" w:hAnsi="Arial" w:cs="Arial"/>
          <w:sz w:val="20"/>
        </w:rPr>
      </w:pPr>
      <w:r>
        <w:rPr>
          <w:rFonts w:ascii="Arial" w:eastAsia="Arial Unicode MS" w:hAnsi="Arial" w:cs="Arial"/>
          <w:sz w:val="20"/>
        </w:rPr>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proofErr w:type="spellStart"/>
      <w:r w:rsidR="00677106" w:rsidRPr="00677106">
        <w:rPr>
          <w:rFonts w:ascii="Arial" w:hAnsi="Arial" w:cs="Arial"/>
          <w:i/>
          <w:sz w:val="20"/>
        </w:rPr>
        <w:t>Latoudis</w:t>
      </w:r>
      <w:proofErr w:type="spellEnd"/>
      <w:r w:rsidR="00677106" w:rsidRPr="00677106">
        <w:rPr>
          <w:rFonts w:ascii="Arial" w:hAnsi="Arial" w:cs="Arial"/>
          <w:i/>
          <w:sz w:val="20"/>
        </w:rPr>
        <w:t xml:space="preserve">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proofErr w:type="spellStart"/>
      <w:r w:rsidR="00E62C92" w:rsidRPr="00E62C92">
        <w:rPr>
          <w:rFonts w:ascii="Arial" w:hAnsi="Arial" w:cs="Arial"/>
          <w:i/>
          <w:sz w:val="20"/>
        </w:rPr>
        <w:t>Redl</w:t>
      </w:r>
      <w:proofErr w:type="spellEnd"/>
      <w:r w:rsidR="00E62C92" w:rsidRPr="00E62C92">
        <w:rPr>
          <w:rFonts w:ascii="Arial" w:hAnsi="Arial" w:cs="Arial"/>
          <w:i/>
          <w:sz w:val="20"/>
        </w:rPr>
        <w:t xml:space="preserve"> v Toppin</w:t>
      </w:r>
      <w:r w:rsidR="00E62C92">
        <w:rPr>
          <w:rFonts w:ascii="Arial" w:hAnsi="Arial" w:cs="Arial"/>
          <w:sz w:val="20"/>
        </w:rPr>
        <w:t xml:space="preserve"> [Full Court Supreme Court of Victoria, unreported, 01/04/1993), </w:t>
      </w:r>
      <w:proofErr w:type="spellStart"/>
      <w:r w:rsidR="00E62C92" w:rsidRPr="00E62C92">
        <w:rPr>
          <w:rFonts w:ascii="Arial" w:hAnsi="Arial" w:cs="Arial"/>
          <w:i/>
          <w:sz w:val="20"/>
        </w:rPr>
        <w:t>Larrain</w:t>
      </w:r>
      <w:proofErr w:type="spellEnd"/>
      <w:r w:rsidR="00E62C92" w:rsidRPr="00E62C92">
        <w:rPr>
          <w:rFonts w:ascii="Arial" w:hAnsi="Arial" w:cs="Arial"/>
          <w:i/>
          <w:sz w:val="20"/>
        </w:rPr>
        <w:t xml:space="preserve">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 xml:space="preserve">Alexander v </w:t>
      </w:r>
      <w:proofErr w:type="spellStart"/>
      <w:r w:rsidR="00ED6723" w:rsidRPr="00E62C92">
        <w:rPr>
          <w:rFonts w:ascii="Arial" w:hAnsi="Arial" w:cs="Arial"/>
          <w:i/>
          <w:sz w:val="20"/>
        </w:rPr>
        <w:t>Renney</w:t>
      </w:r>
      <w:proofErr w:type="spellEnd"/>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proofErr w:type="spellStart"/>
      <w:r w:rsidR="002C057B" w:rsidRPr="002C057B">
        <w:rPr>
          <w:rFonts w:ascii="Arial" w:eastAsia="Arial Unicode MS" w:hAnsi="Arial" w:cs="Arial"/>
          <w:i/>
          <w:sz w:val="20"/>
        </w:rPr>
        <w:t>Latuodis</w:t>
      </w:r>
      <w:proofErr w:type="spellEnd"/>
      <w:r w:rsidR="002C057B" w:rsidRPr="002C057B">
        <w:rPr>
          <w:rFonts w:ascii="Arial" w:eastAsia="Arial Unicode MS" w:hAnsi="Arial" w:cs="Arial"/>
          <w:i/>
          <w:sz w:val="20"/>
        </w:rPr>
        <w:t xml:space="preserve">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[17] For present purposes, it can be accepted that it is ‘extremely rare in cases of sexual assault to have independent and objective eye witness evidence’.  However, this fact alone </w:t>
      </w:r>
      <w:r>
        <w:rPr>
          <w:rFonts w:ascii="Arial" w:eastAsia="Arial Unicode MS" w:hAnsi="Arial" w:cs="Arial"/>
          <w:sz w:val="20"/>
        </w:rPr>
        <w:lastRenderedPageBreak/>
        <w:t xml:space="preserve">cannot be sufficient to take the case outside the class of cases contemplated by the expression ‘in ordinary circumstances’.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proofErr w:type="spellStart"/>
      <w:r w:rsidRPr="00A00CFD">
        <w:rPr>
          <w:rFonts w:ascii="Arial" w:eastAsia="Arial Unicode MS" w:hAnsi="Arial" w:cs="Arial"/>
          <w:i/>
          <w:sz w:val="20"/>
        </w:rPr>
        <w:t>Latoudis</w:t>
      </w:r>
      <w:proofErr w:type="spellEnd"/>
      <w:r w:rsidRPr="00A00CFD">
        <w:rPr>
          <w:rFonts w:ascii="Arial" w:eastAsia="Arial Unicode MS" w:hAnsi="Arial" w:cs="Arial"/>
          <w:i/>
          <w:sz w:val="20"/>
        </w:rPr>
        <w:t xml:space="preserve">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w:t>
      </w:r>
      <w:r w:rsidR="004A6A4A" w:rsidRPr="003D7E6D">
        <w:rPr>
          <w:rFonts w:ascii="Arial" w:eastAsia="Arial Unicode MS" w:hAnsi="Arial" w:cs="Arial"/>
          <w:i/>
          <w:iCs/>
          <w:sz w:val="20"/>
        </w:rPr>
        <w:t>Magistrates’ Court Act</w:t>
      </w:r>
      <w:r w:rsidR="004A6A4A">
        <w:rPr>
          <w:rFonts w:ascii="Arial" w:eastAsia="Arial Unicode MS" w:hAnsi="Arial" w:cs="Arial"/>
          <w:sz w:val="20"/>
        </w:rPr>
        <w:t xml:space="preserve">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proofErr w:type="spellStart"/>
      <w:r w:rsidR="006152D6" w:rsidRPr="006152D6">
        <w:rPr>
          <w:rFonts w:ascii="Arial" w:eastAsia="Arial Unicode MS" w:hAnsi="Arial" w:cs="Arial"/>
          <w:i/>
          <w:sz w:val="20"/>
        </w:rPr>
        <w:t>Latoudis</w:t>
      </w:r>
      <w:proofErr w:type="spellEnd"/>
      <w:r w:rsidR="006152D6" w:rsidRPr="006152D6">
        <w:rPr>
          <w:rFonts w:ascii="Arial" w:eastAsia="Arial Unicode MS" w:hAnsi="Arial" w:cs="Arial"/>
          <w:i/>
          <w:sz w:val="20"/>
        </w:rPr>
        <w:t xml:space="preserve">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w:t>
      </w:r>
      <w:proofErr w:type="spellStart"/>
      <w:r w:rsidR="006152D6">
        <w:rPr>
          <w:rFonts w:ascii="Arial" w:eastAsia="Arial Unicode MS" w:hAnsi="Arial" w:cs="Arial"/>
          <w:sz w:val="20"/>
        </w:rPr>
        <w:t>adnd</w:t>
      </w:r>
      <w:proofErr w:type="spellEnd"/>
      <w:r w:rsidR="006152D6">
        <w:rPr>
          <w:rFonts w:ascii="Arial" w:eastAsia="Arial Unicode MS" w:hAnsi="Arial" w:cs="Arial"/>
          <w:sz w:val="20"/>
        </w:rPr>
        <w:t xml:space="preserve">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proofErr w:type="spellStart"/>
      <w:r w:rsidR="004B406E" w:rsidRPr="004B406E">
        <w:rPr>
          <w:rFonts w:ascii="Arial" w:eastAsia="Arial Unicode MS" w:hAnsi="Arial" w:cs="Arial"/>
          <w:i/>
          <w:sz w:val="20"/>
        </w:rPr>
        <w:t>Latoudis</w:t>
      </w:r>
      <w:proofErr w:type="spellEnd"/>
      <w:r w:rsidR="004B406E" w:rsidRPr="004B406E">
        <w:rPr>
          <w:rFonts w:ascii="Arial" w:eastAsia="Arial Unicode MS" w:hAnsi="Arial" w:cs="Arial"/>
          <w:i/>
          <w:sz w:val="20"/>
        </w:rPr>
        <w:t xml:space="preserve">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proofErr w:type="spellStart"/>
      <w:r w:rsidR="00EC54C2" w:rsidRPr="00EC54C2">
        <w:rPr>
          <w:rFonts w:ascii="Arial" w:eastAsia="Arial Unicode MS" w:hAnsi="Arial" w:cs="Arial"/>
          <w:i/>
          <w:sz w:val="20"/>
        </w:rPr>
        <w:t>Redl</w:t>
      </w:r>
      <w:proofErr w:type="spellEnd"/>
      <w:r w:rsidR="00EC54C2" w:rsidRPr="00EC54C2">
        <w:rPr>
          <w:rFonts w:ascii="Arial" w:eastAsia="Arial Unicode MS" w:hAnsi="Arial" w:cs="Arial"/>
          <w:i/>
          <w:sz w:val="20"/>
        </w:rPr>
        <w:t xml:space="preserve">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[23] [T]here is no reason why an order for costs should not be made under s.131 of the </w:t>
      </w:r>
      <w:r w:rsidRPr="003D7E6D">
        <w:rPr>
          <w:rFonts w:ascii="Arial" w:eastAsia="Arial Unicode MS" w:hAnsi="Arial" w:cs="Arial"/>
          <w:i/>
          <w:iCs/>
          <w:sz w:val="20"/>
        </w:rPr>
        <w:t>Magistrates’ Court Act</w:t>
      </w:r>
      <w:r>
        <w:rPr>
          <w:rFonts w:ascii="Arial" w:eastAsia="Arial Unicode MS" w:hAnsi="Arial" w:cs="Arial"/>
          <w:sz w:val="20"/>
        </w:rPr>
        <w:t xml:space="preserve">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77777777"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 xml:space="preserve">R v </w:t>
      </w:r>
      <w:proofErr w:type="spellStart"/>
      <w:r w:rsidRPr="00986720">
        <w:rPr>
          <w:rFonts w:ascii="Arial" w:hAnsi="Arial" w:cs="Arial"/>
          <w:i/>
          <w:color w:val="000000"/>
          <w:sz w:val="20"/>
        </w:rPr>
        <w:t>Goia</w:t>
      </w:r>
      <w:proofErr w:type="spellEnd"/>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 xml:space="preserve">McEwen v </w:t>
      </w:r>
      <w:proofErr w:type="spellStart"/>
      <w:r w:rsidRPr="00986720">
        <w:rPr>
          <w:rFonts w:ascii="Arial" w:hAnsi="Arial" w:cs="Arial"/>
          <w:i/>
          <w:color w:val="000000"/>
          <w:sz w:val="20"/>
        </w:rPr>
        <w:t>Siely</w:t>
      </w:r>
      <w:proofErr w:type="spellEnd"/>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proofErr w:type="spellStart"/>
      <w:r w:rsidR="009F17D4" w:rsidRPr="009F17D4">
        <w:rPr>
          <w:rFonts w:ascii="Arial" w:hAnsi="Arial" w:cs="Arial"/>
          <w:i/>
          <w:iCs/>
          <w:color w:val="000000"/>
          <w:sz w:val="20"/>
        </w:rPr>
        <w:t>Madafferi</w:t>
      </w:r>
      <w:proofErr w:type="spellEnd"/>
      <w:r w:rsidR="009F17D4" w:rsidRPr="009F17D4">
        <w:rPr>
          <w:rFonts w:ascii="Arial" w:hAnsi="Arial" w:cs="Arial"/>
          <w:i/>
          <w:iCs/>
          <w:color w:val="000000"/>
          <w:sz w:val="20"/>
        </w:rPr>
        <w:t xml:space="preserve">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 and </w:t>
      </w:r>
      <w:proofErr w:type="spellStart"/>
      <w:r w:rsidR="009F17D4" w:rsidRPr="009F17D4">
        <w:rPr>
          <w:rFonts w:ascii="Arial" w:hAnsi="Arial" w:cs="Arial"/>
          <w:i/>
          <w:iCs/>
          <w:color w:val="000000"/>
          <w:sz w:val="20"/>
        </w:rPr>
        <w:t>Zirilli</w:t>
      </w:r>
      <w:proofErr w:type="spellEnd"/>
      <w:r w:rsidR="009F17D4" w:rsidRPr="009F17D4">
        <w:rPr>
          <w:rFonts w:ascii="Arial" w:hAnsi="Arial" w:cs="Arial"/>
          <w:i/>
          <w:iCs/>
          <w:color w:val="000000"/>
          <w:sz w:val="20"/>
        </w:rPr>
        <w:t xml:space="preserve"> v The Queen [No.2]</w:t>
      </w:r>
      <w:r w:rsidR="009F17D4">
        <w:rPr>
          <w:rFonts w:ascii="Arial" w:hAnsi="Arial" w:cs="Arial"/>
          <w:color w:val="000000"/>
          <w:sz w:val="20"/>
        </w:rPr>
        <w:t xml:space="preserve"> [2021] VSCA 5 the Court of Appeal ordered the Chief Commissioner of </w:t>
      </w:r>
      <w:r w:rsidR="009F17D4">
        <w:rPr>
          <w:rFonts w:ascii="Arial" w:hAnsi="Arial" w:cs="Arial"/>
          <w:color w:val="000000"/>
          <w:sz w:val="20"/>
        </w:rPr>
        <w:lastRenderedPageBreak/>
        <w:t xml:space="preserve">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963" w:name="_3.9.2_Criminal_Division"/>
      <w:bookmarkStart w:id="964" w:name="B392"/>
      <w:bookmarkStart w:id="965" w:name="_Toc30652646"/>
      <w:bookmarkStart w:id="966" w:name="_Toc30652744"/>
      <w:bookmarkStart w:id="967" w:name="_Toc30654089"/>
      <w:bookmarkStart w:id="968" w:name="_Toc30654440"/>
      <w:bookmarkStart w:id="969" w:name="_Toc30655059"/>
      <w:bookmarkStart w:id="970" w:name="_Toc30655316"/>
      <w:bookmarkStart w:id="971" w:name="_Toc30656994"/>
      <w:bookmarkStart w:id="972" w:name="_Toc30661743"/>
      <w:bookmarkStart w:id="973" w:name="_Toc30666431"/>
      <w:bookmarkStart w:id="974" w:name="_Toc30666661"/>
      <w:bookmarkStart w:id="975" w:name="_Toc30667836"/>
      <w:bookmarkStart w:id="976" w:name="_Toc30669214"/>
      <w:bookmarkStart w:id="977" w:name="_Toc30671430"/>
      <w:bookmarkStart w:id="978" w:name="_Toc30673957"/>
      <w:bookmarkStart w:id="979" w:name="_Toc30691179"/>
      <w:bookmarkStart w:id="980" w:name="_Toc30691550"/>
      <w:bookmarkStart w:id="981" w:name="_Toc30691930"/>
      <w:bookmarkStart w:id="982" w:name="_Toc30692689"/>
      <w:bookmarkStart w:id="983" w:name="_Toc30693068"/>
      <w:bookmarkStart w:id="984" w:name="_Toc30693446"/>
      <w:bookmarkStart w:id="985" w:name="_Toc30693825"/>
      <w:bookmarkStart w:id="986" w:name="_Toc30694206"/>
      <w:bookmarkStart w:id="987" w:name="_Toc30698795"/>
      <w:bookmarkStart w:id="988" w:name="_Toc30699173"/>
      <w:bookmarkStart w:id="989" w:name="_Toc30699558"/>
      <w:bookmarkStart w:id="990" w:name="_Toc30700713"/>
      <w:bookmarkStart w:id="991" w:name="_Toc30701100"/>
      <w:bookmarkStart w:id="992" w:name="_Toc30743709"/>
      <w:bookmarkStart w:id="993" w:name="_Toc30754531"/>
      <w:bookmarkStart w:id="994" w:name="_Toc30756971"/>
      <w:bookmarkStart w:id="995" w:name="_Toc30757520"/>
      <w:bookmarkStart w:id="996" w:name="_Toc30757920"/>
      <w:bookmarkStart w:id="997" w:name="_Toc30762681"/>
      <w:bookmarkStart w:id="998" w:name="_Toc30767335"/>
      <w:bookmarkStart w:id="999" w:name="_Toc34823351"/>
      <w:bookmarkStart w:id="1000" w:name="_Toc58831513"/>
      <w:bookmarkEnd w:id="963"/>
      <w:bookmarkEnd w:id="964"/>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A33764">
      <w:pPr>
        <w:pStyle w:val="Heading3"/>
        <w:widowControl/>
        <w:spacing w:after="120" w:line="240" w:lineRule="auto"/>
        <w:rPr>
          <w:rFonts w:ascii="Arial" w:hAnsi="Arial" w:cs="Arial"/>
          <w:b/>
          <w:bCs/>
          <w:sz w:val="20"/>
        </w:rPr>
      </w:pPr>
      <w:bookmarkStart w:id="1001" w:name="_3.9.3_Family_Division"/>
      <w:bookmarkStart w:id="1002" w:name="B393"/>
      <w:bookmarkStart w:id="1003" w:name="_Toc30652647"/>
      <w:bookmarkStart w:id="1004" w:name="_Toc30652745"/>
      <w:bookmarkStart w:id="1005" w:name="_Toc30654090"/>
      <w:bookmarkStart w:id="1006" w:name="_Toc30654441"/>
      <w:bookmarkStart w:id="1007" w:name="_Toc30655060"/>
      <w:bookmarkStart w:id="1008" w:name="_Toc30655317"/>
      <w:bookmarkStart w:id="1009" w:name="_Toc30656995"/>
      <w:bookmarkStart w:id="1010" w:name="_Toc30661744"/>
      <w:bookmarkStart w:id="1011" w:name="_Toc30666432"/>
      <w:bookmarkStart w:id="1012" w:name="_Toc30666662"/>
      <w:bookmarkStart w:id="1013" w:name="_Toc30667837"/>
      <w:bookmarkStart w:id="1014" w:name="_Toc30669215"/>
      <w:bookmarkStart w:id="1015" w:name="_Toc30671431"/>
      <w:bookmarkStart w:id="1016" w:name="_Toc30673958"/>
      <w:bookmarkStart w:id="1017" w:name="_Toc30691180"/>
      <w:bookmarkStart w:id="1018" w:name="_Toc30691551"/>
      <w:bookmarkStart w:id="1019" w:name="_Toc30691931"/>
      <w:bookmarkStart w:id="1020" w:name="_Toc30692690"/>
      <w:bookmarkStart w:id="1021" w:name="_Toc30693069"/>
      <w:bookmarkStart w:id="1022" w:name="_Toc30693447"/>
      <w:bookmarkStart w:id="1023" w:name="_Toc30693826"/>
      <w:bookmarkStart w:id="1024" w:name="_Toc30694207"/>
      <w:bookmarkStart w:id="1025" w:name="_Toc30698796"/>
      <w:bookmarkStart w:id="1026" w:name="_Toc30699174"/>
      <w:bookmarkStart w:id="1027" w:name="_Toc30699559"/>
      <w:bookmarkStart w:id="1028" w:name="_Toc30700714"/>
      <w:bookmarkStart w:id="1029" w:name="_Toc30701101"/>
      <w:bookmarkStart w:id="1030" w:name="_Toc30743710"/>
      <w:bookmarkStart w:id="1031" w:name="_Toc30754532"/>
      <w:bookmarkStart w:id="1032" w:name="_Toc30756972"/>
      <w:bookmarkStart w:id="1033" w:name="_Toc30757521"/>
      <w:bookmarkStart w:id="1034" w:name="_Toc30757921"/>
      <w:bookmarkStart w:id="1035" w:name="_Toc30762682"/>
      <w:bookmarkStart w:id="1036" w:name="_Toc30767336"/>
      <w:bookmarkStart w:id="1037" w:name="_Toc34823352"/>
      <w:bookmarkStart w:id="1038" w:name="_Toc58831514"/>
      <w:bookmarkEnd w:id="1001"/>
      <w:bookmarkEnd w:id="1002"/>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Fonts w:ascii="Arial" w:hAnsi="Arial" w:cs="Arial"/>
          <w:b/>
          <w:bCs/>
          <w:sz w:val="20"/>
        </w:rPr>
        <w:t xml:space="preserve"> (protection proceedings)</w:t>
      </w:r>
      <w:bookmarkEnd w:id="1031"/>
      <w:bookmarkEnd w:id="1032"/>
      <w:bookmarkEnd w:id="1033"/>
      <w:bookmarkEnd w:id="1034"/>
      <w:bookmarkEnd w:id="1035"/>
      <w:bookmarkEnd w:id="1036"/>
      <w:bookmarkEnd w:id="1037"/>
      <w:bookmarkEnd w:id="1038"/>
    </w:p>
    <w:p w14:paraId="18E24C8F" w14:textId="77777777"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follow the event” unless exceptional circumstances exist: see </w:t>
      </w:r>
      <w:proofErr w:type="spellStart"/>
      <w:r w:rsidR="00C7180E" w:rsidRPr="00C7180E">
        <w:rPr>
          <w:rFonts w:ascii="Arial" w:hAnsi="Arial" w:cs="Arial"/>
          <w:i/>
          <w:sz w:val="20"/>
        </w:rPr>
        <w:t>Danyl</w:t>
      </w:r>
      <w:proofErr w:type="spellEnd"/>
      <w:r w:rsidR="00C7180E" w:rsidRPr="00C7180E">
        <w:rPr>
          <w:rFonts w:ascii="Arial" w:hAnsi="Arial" w:cs="Arial"/>
          <w:i/>
          <w:sz w:val="20"/>
        </w:rPr>
        <w:t xml:space="preserve"> Hammond (a pseudonym) v Secretary to the Department of Health and Human Services; The Attorney-General of Victoria v DPP [No 2]</w:t>
      </w:r>
      <w:r w:rsidR="00C7180E">
        <w:rPr>
          <w:rFonts w:ascii="Arial" w:hAnsi="Arial" w:cs="Arial"/>
          <w:sz w:val="20"/>
        </w:rPr>
        <w:t xml:space="preserve"> [2019] VSCA 45 at [3].  A test for the exercise of the power to order costs in protection proceedings </w:t>
      </w:r>
      <w:r>
        <w:rPr>
          <w:rFonts w:ascii="Arial" w:hAnsi="Arial" w:cs="Arial"/>
          <w:sz w:val="20"/>
        </w:rPr>
        <w:t xml:space="preserve">is set out in the 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 xml:space="preserve">[Supreme Court of Victoria, {MC21/97}, </w:t>
      </w:r>
      <w:smartTag w:uri="urn:schemas-microsoft-com:office:smarttags" w:element="date">
        <w:smartTagPr>
          <w:attr w:name="Month" w:val="12"/>
          <w:attr w:name="Day" w:val="10"/>
          <w:attr w:name="Year" w:val="1996"/>
        </w:smartTagPr>
        <w:r>
          <w:rPr>
            <w:rFonts w:ascii="Arial" w:hAnsi="Arial" w:cs="Arial"/>
            <w:iCs/>
            <w:sz w:val="20"/>
          </w:rPr>
          <w:t>10/12/1996</w:t>
        </w:r>
      </w:smartTag>
      <w:r>
        <w:rPr>
          <w:rFonts w:ascii="Arial" w:hAnsi="Arial" w:cs="Arial"/>
          <w:iCs/>
          <w:sz w:val="20"/>
        </w:rPr>
        <w:t>] where his Honour held-</w:t>
      </w:r>
    </w:p>
    <w:p w14:paraId="3C9FC059" w14:textId="77777777" w:rsidR="00B21DA4" w:rsidRDefault="00B21DA4">
      <w:pPr>
        <w:ind w:left="454" w:right="454"/>
        <w:jc w:val="both"/>
        <w:rPr>
          <w:rFonts w:ascii="Arial" w:hAnsi="Arial" w:cs="Arial"/>
          <w:iCs/>
          <w:sz w:val="20"/>
        </w:rPr>
      </w:pPr>
      <w:r>
        <w:rPr>
          <w:rFonts w:ascii="Arial" w:hAnsi="Arial" w:cs="Arial"/>
          <w:iCs/>
          <w:sz w:val="20"/>
        </w:rPr>
        <w:t xml:space="preserve">“[T]he discretion is to be exercised on grounds different from those referred to in </w:t>
      </w:r>
      <w:proofErr w:type="spellStart"/>
      <w:r>
        <w:rPr>
          <w:rFonts w:ascii="Arial" w:hAnsi="Arial" w:cs="Arial"/>
          <w:i/>
          <w:sz w:val="20"/>
        </w:rPr>
        <w:t>Latoudis</w:t>
      </w:r>
      <w:proofErr w:type="spellEnd"/>
      <w:r>
        <w:rPr>
          <w:rFonts w:ascii="Arial" w:hAnsi="Arial" w:cs="Arial"/>
          <w:i/>
          <w:sz w:val="20"/>
        </w:rPr>
        <w:t xml:space="preserve"> v Casey</w:t>
      </w:r>
      <w:r>
        <w:rPr>
          <w:rFonts w:ascii="Arial" w:hAnsi="Arial" w:cs="Arial"/>
          <w:iCs/>
          <w:sz w:val="20"/>
        </w:rPr>
        <w:t xml:space="preserve">.  Protection application proceedings are not criminal proceedings and by their very nature are for the benefit of the children with whom they are concerned: see </w:t>
      </w:r>
      <w:r>
        <w:rPr>
          <w:rFonts w:ascii="Arial" w:hAnsi="Arial" w:cs="Arial"/>
          <w:i/>
          <w:sz w:val="20"/>
        </w:rPr>
        <w:t xml:space="preserve">M &amp; </w:t>
      </w:r>
      <w:proofErr w:type="spellStart"/>
      <w:r>
        <w:rPr>
          <w:rFonts w:ascii="Arial" w:hAnsi="Arial" w:cs="Arial"/>
          <w:i/>
          <w:sz w:val="20"/>
        </w:rPr>
        <w:t>Ors</w:t>
      </w:r>
      <w:proofErr w:type="spellEnd"/>
      <w:r>
        <w:rPr>
          <w:rFonts w:ascii="Arial" w:hAnsi="Arial" w:cs="Arial"/>
          <w:i/>
          <w:sz w:val="20"/>
        </w:rPr>
        <w:t xml:space="preserve"> v M</w:t>
      </w:r>
      <w:r>
        <w:rPr>
          <w:rFonts w:ascii="Arial" w:hAnsi="Arial" w:cs="Arial"/>
          <w:iCs/>
          <w:sz w:val="20"/>
        </w:rPr>
        <w:t xml:space="preserve"> [1993] 1 VR 391.  A protection application may be appropriately brought but by the time the matter comes up for hearing circumstances may have changed so that it may then be equally appropriately withdrawn. This is one matter which may, in an appropriate case, affect the exercise of the costs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57A2EB3A" w14:textId="77777777" w:rsidR="00DE762A" w:rsidRDefault="00DE762A">
      <w:pPr>
        <w:jc w:val="both"/>
        <w:rPr>
          <w:rFonts w:ascii="Arial" w:hAnsi="Arial" w:cs="Arial"/>
          <w:iCs/>
          <w:sz w:val="20"/>
        </w:rPr>
      </w:pPr>
    </w:p>
    <w:p w14:paraId="2026E232" w14:textId="77777777" w:rsidR="006004E0" w:rsidRDefault="006004E0" w:rsidP="00C37348">
      <w:pPr>
        <w:jc w:val="both"/>
        <w:rPr>
          <w:rFonts w:ascii="Arial" w:hAnsi="Arial" w:cs="Arial"/>
          <w:sz w:val="20"/>
        </w:rPr>
      </w:pPr>
      <w:r>
        <w:rPr>
          <w:rFonts w:ascii="Arial" w:hAnsi="Arial" w:cs="Arial"/>
          <w:sz w:val="20"/>
        </w:rPr>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w:t>
      </w:r>
      <w:proofErr w:type="spellStart"/>
      <w:r>
        <w:rPr>
          <w:rFonts w:ascii="Arial" w:hAnsi="Arial" w:cs="Arial"/>
          <w:i/>
          <w:sz w:val="20"/>
        </w:rPr>
        <w:t>Ors</w:t>
      </w:r>
      <w:proofErr w:type="spellEnd"/>
      <w:r>
        <w:rPr>
          <w:rFonts w:ascii="Arial" w:hAnsi="Arial" w:cs="Arial"/>
          <w:sz w:val="20"/>
        </w:rPr>
        <w:t xml:space="preserve"> 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lastRenderedPageBreak/>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39" w:name="_3.9.4_Family_Division"/>
      <w:bookmarkStart w:id="1040" w:name="B394"/>
      <w:bookmarkStart w:id="1041" w:name="_Toc30754533"/>
      <w:bookmarkStart w:id="1042" w:name="_Toc30756973"/>
      <w:bookmarkStart w:id="1043" w:name="_Toc30757522"/>
      <w:bookmarkStart w:id="1044" w:name="_Toc30757922"/>
      <w:bookmarkStart w:id="1045" w:name="_Toc30762683"/>
      <w:bookmarkStart w:id="1046" w:name="_Toc30767337"/>
      <w:bookmarkStart w:id="1047" w:name="_Toc34823353"/>
      <w:bookmarkStart w:id="1048" w:name="_Toc58831515"/>
      <w:bookmarkEnd w:id="1039"/>
      <w:bookmarkEnd w:id="1040"/>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41"/>
      <w:bookmarkEnd w:id="1042"/>
      <w:bookmarkEnd w:id="1043"/>
      <w:bookmarkEnd w:id="1044"/>
      <w:bookmarkEnd w:id="1045"/>
      <w:bookmarkEnd w:id="1046"/>
      <w:bookmarkEnd w:id="1047"/>
      <w:bookmarkEnd w:id="1048"/>
    </w:p>
    <w:p w14:paraId="2C053109" w14:textId="77777777" w:rsidR="00D11291" w:rsidRDefault="00103848" w:rsidP="001B5152">
      <w:pPr>
        <w:jc w:val="both"/>
        <w:rPr>
          <w:rFonts w:ascii="Arial" w:hAnsi="Arial" w:cs="Arial"/>
          <w:sz w:val="20"/>
        </w:rPr>
      </w:pPr>
      <w:bookmarkStart w:id="1049" w:name="_Toc30608811"/>
      <w:bookmarkStart w:id="1050" w:name="_Toc30610025"/>
      <w:bookmarkStart w:id="1051" w:name="_Toc30610269"/>
      <w:bookmarkStart w:id="1052" w:name="_Toc30638423"/>
      <w:bookmarkStart w:id="1053" w:name="_Toc30644232"/>
      <w:bookmarkStart w:id="1054" w:name="_Toc30644635"/>
      <w:bookmarkStart w:id="1055" w:name="_Toc30645185"/>
      <w:bookmarkStart w:id="1056" w:name="_Toc30646396"/>
      <w:bookmarkStart w:id="1057" w:name="_Toc30646691"/>
      <w:bookmarkStart w:id="1058" w:name="_Toc30646802"/>
      <w:bookmarkStart w:id="1059" w:name="_Toc30648159"/>
      <w:bookmarkStart w:id="1060" w:name="_Toc30649057"/>
      <w:bookmarkStart w:id="1061" w:name="_Toc30649133"/>
      <w:bookmarkStart w:id="1062" w:name="_Toc30649394"/>
      <w:bookmarkStart w:id="1063" w:name="_Toc30649719"/>
      <w:bookmarkStart w:id="1064" w:name="_Toc30651659"/>
      <w:bookmarkStart w:id="1065" w:name="_Toc30652648"/>
      <w:bookmarkStart w:id="1066" w:name="_Toc30652746"/>
      <w:bookmarkStart w:id="1067" w:name="_Toc30654091"/>
      <w:bookmarkStart w:id="1068" w:name="_Toc30654442"/>
      <w:bookmarkStart w:id="1069" w:name="_Toc30655061"/>
      <w:bookmarkStart w:id="1070" w:name="_Toc30655318"/>
      <w:bookmarkStart w:id="1071" w:name="_Toc30656996"/>
      <w:bookmarkStart w:id="1072" w:name="_Toc30661745"/>
      <w:bookmarkStart w:id="1073" w:name="_Toc30666433"/>
      <w:bookmarkStart w:id="1074" w:name="_Toc30666663"/>
      <w:bookmarkStart w:id="1075" w:name="_Toc30667838"/>
      <w:bookmarkStart w:id="1076" w:name="_Toc30669216"/>
      <w:bookmarkStart w:id="1077" w:name="_Toc30671432"/>
      <w:bookmarkStart w:id="1078" w:name="_Toc30673959"/>
      <w:bookmarkStart w:id="1079" w:name="_Toc30691181"/>
      <w:bookmarkStart w:id="1080" w:name="_Toc30691552"/>
      <w:bookmarkStart w:id="1081" w:name="_Toc30691932"/>
      <w:bookmarkStart w:id="1082" w:name="_Toc30692691"/>
      <w:bookmarkStart w:id="1083" w:name="_Toc30693070"/>
      <w:bookmarkStart w:id="1084" w:name="_Toc30693448"/>
      <w:bookmarkStart w:id="1085" w:name="_Toc30693827"/>
      <w:bookmarkStart w:id="1086" w:name="_Toc30694208"/>
      <w:bookmarkStart w:id="1087" w:name="_Toc30698797"/>
      <w:bookmarkStart w:id="1088" w:name="_Toc30699175"/>
      <w:bookmarkStart w:id="1089" w:name="_Toc30699560"/>
      <w:bookmarkStart w:id="1090" w:name="_Toc30700715"/>
      <w:bookmarkStart w:id="1091" w:name="_Toc30701102"/>
      <w:bookmarkStart w:id="1092" w:name="_Toc30743711"/>
      <w:r>
        <w:rPr>
          <w:rFonts w:ascii="Arial" w:hAnsi="Arial" w:cs="Arial"/>
          <w:sz w:val="20"/>
        </w:rPr>
        <w:t xml:space="preserve">Section 154 of the </w:t>
      </w:r>
      <w:r w:rsidRPr="003D7E6D">
        <w:rPr>
          <w:rFonts w:ascii="Arial" w:hAnsi="Arial" w:cs="Arial"/>
          <w:i/>
          <w:iCs/>
          <w:sz w:val="20"/>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sidRPr="003D7E6D">
        <w:rPr>
          <w:rFonts w:ascii="Arial" w:hAnsi="Arial" w:cs="Arial"/>
          <w:i/>
          <w:iCs/>
          <w:sz w:val="20"/>
        </w:rPr>
        <w:t>Personal Safety</w:t>
      </w:r>
      <w:r w:rsidRPr="003D7E6D">
        <w:rPr>
          <w:rFonts w:ascii="Arial" w:hAnsi="Arial" w:cs="Arial"/>
          <w:i/>
          <w:iCs/>
          <w:sz w:val="20"/>
        </w:rPr>
        <w:t xml:space="preserve"> Intervention Orders Act 20</w:t>
      </w:r>
      <w:r w:rsidR="004834ED" w:rsidRPr="003D7E6D">
        <w:rPr>
          <w:rFonts w:ascii="Arial" w:hAnsi="Arial" w:cs="Arial"/>
          <w:i/>
          <w:iCs/>
          <w:sz w:val="20"/>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0F0BE9">
      <w:pPr>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093" w:name="_3.9.5_Very_limited"/>
      <w:bookmarkStart w:id="1094" w:name="B395"/>
      <w:bookmarkEnd w:id="1093"/>
      <w:bookmarkEnd w:id="1094"/>
      <w:r>
        <w:rPr>
          <w:rFonts w:ascii="Arial" w:hAnsi="Arial" w:cs="Arial"/>
          <w:b/>
          <w:bCs/>
          <w:sz w:val="20"/>
        </w:rPr>
        <w:t>3.9.5</w:t>
      </w:r>
      <w:r>
        <w:rPr>
          <w:rFonts w:ascii="Arial" w:hAnsi="Arial" w:cs="Arial"/>
          <w:b/>
          <w:bCs/>
          <w:sz w:val="20"/>
        </w:rPr>
        <w:tab/>
        <w:t>Very limited entitlement of self-represented litigants to costs</w:t>
      </w:r>
    </w:p>
    <w:p w14:paraId="6A7397DF" w14:textId="77777777"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78 - a case in which the bulk of the judgment is in [2004] VSC 14 - Gillard J awarded $150 costs to the father for loss of income consequent on his attendance as a witness, not as a party.  At [5] His Honour said:</w:t>
      </w:r>
    </w:p>
    <w:p w14:paraId="6F963A13" w14:textId="77777777" w:rsidR="00881B99" w:rsidRDefault="00881B99" w:rsidP="000F0BE9">
      <w:pPr>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 xml:space="preserve">Kowal v </w:t>
      </w:r>
      <w:proofErr w:type="spellStart"/>
      <w:r>
        <w:rPr>
          <w:rFonts w:ascii="Arial" w:hAnsi="Arial" w:cs="Arial"/>
          <w:i/>
          <w:sz w:val="20"/>
        </w:rPr>
        <w:t>Zoccoli</w:t>
      </w:r>
      <w:proofErr w:type="spellEnd"/>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City">
        <w:smartTag w:uri="urn:schemas-microsoft-com:office:smarttags" w:element="place">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proofErr w:type="spellStart"/>
      <w:r>
        <w:rPr>
          <w:rFonts w:ascii="Arial" w:hAnsi="Arial" w:cs="Arial"/>
          <w:i/>
          <w:sz w:val="20"/>
        </w:rPr>
        <w:t>McCoughtry</w:t>
      </w:r>
      <w:proofErr w:type="spellEnd"/>
      <w:r>
        <w:rPr>
          <w:rFonts w:ascii="Arial" w:hAnsi="Arial" w:cs="Arial"/>
          <w:i/>
          <w:sz w:val="20"/>
        </w:rPr>
        <w:t xml:space="preserve"> v </w:t>
      </w:r>
      <w:proofErr w:type="spellStart"/>
      <w:r>
        <w:rPr>
          <w:rFonts w:ascii="Arial" w:hAnsi="Arial" w:cs="Arial"/>
          <w:i/>
          <w:sz w:val="20"/>
        </w:rPr>
        <w:t>Schrick</w:t>
      </w:r>
      <w:proofErr w:type="spellEnd"/>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proofErr w:type="spellStart"/>
      <w:r>
        <w:rPr>
          <w:rFonts w:ascii="Arial" w:hAnsi="Arial" w:cs="Arial"/>
          <w:i/>
          <w:sz w:val="20"/>
        </w:rPr>
        <w:t>Guss</w:t>
      </w:r>
      <w:proofErr w:type="spellEnd"/>
      <w:r>
        <w:rPr>
          <w:rFonts w:ascii="Arial" w:hAnsi="Arial" w:cs="Arial"/>
          <w:i/>
          <w:sz w:val="20"/>
        </w:rPr>
        <w:t xml:space="preserve"> v </w:t>
      </w:r>
      <w:proofErr w:type="spellStart"/>
      <w:r>
        <w:rPr>
          <w:rFonts w:ascii="Arial" w:hAnsi="Arial" w:cs="Arial"/>
          <w:i/>
          <w:sz w:val="20"/>
        </w:rPr>
        <w:t>Veenhuizen</w:t>
      </w:r>
      <w:proofErr w:type="spellEnd"/>
      <w:r>
        <w:rPr>
          <w:rFonts w:ascii="Arial" w:hAnsi="Arial" w:cs="Arial"/>
          <w:i/>
          <w:sz w:val="20"/>
        </w:rPr>
        <w:t xml:space="preserve">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77777777"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 xml:space="preserve">Bell Lawyers Pty Ltd v </w:t>
      </w:r>
      <w:proofErr w:type="spellStart"/>
      <w:r w:rsidRPr="00A959E9">
        <w:rPr>
          <w:rFonts w:ascii="Arial" w:hAnsi="Arial" w:cs="Arial"/>
          <w:i/>
          <w:iCs/>
          <w:sz w:val="20"/>
        </w:rPr>
        <w:t>Pentelow</w:t>
      </w:r>
      <w:proofErr w:type="spellEnd"/>
      <w:r>
        <w:rPr>
          <w:rFonts w:ascii="Arial" w:hAnsi="Arial" w:cs="Arial"/>
          <w:sz w:val="20"/>
        </w:rPr>
        <w:t xml:space="preserve"> (2019) 93 ALJR 1007; [2019] HCA 29.  In </w:t>
      </w:r>
      <w:r w:rsidR="00AA348D" w:rsidRPr="00AA348D">
        <w:rPr>
          <w:rFonts w:ascii="Arial" w:hAnsi="Arial" w:cs="Arial"/>
          <w:i/>
          <w:iCs/>
          <w:sz w:val="20"/>
        </w:rPr>
        <w:t>Bell Lawyers</w:t>
      </w:r>
      <w:r w:rsidR="00AA348D">
        <w:rPr>
          <w:rFonts w:ascii="Arial" w:hAnsi="Arial" w:cs="Arial"/>
          <w:sz w:val="20"/>
        </w:rPr>
        <w:t xml:space="preserve"> at [1]-[3] </w:t>
      </w:r>
      <w:proofErr w:type="spellStart"/>
      <w:r w:rsidR="00AA348D">
        <w:rPr>
          <w:rFonts w:ascii="Arial" w:hAnsi="Arial" w:cs="Arial"/>
          <w:sz w:val="20"/>
        </w:rPr>
        <w:t>Kiefel</w:t>
      </w:r>
      <w:proofErr w:type="spellEnd"/>
      <w:r w:rsidR="00AA348D">
        <w:rPr>
          <w:rFonts w:ascii="Arial" w:hAnsi="Arial" w:cs="Arial"/>
          <w:sz w:val="20"/>
        </w:rPr>
        <w:t xml:space="preserve"> CJ, Bell, Keane &amp; Gordon J (with whom </w:t>
      </w:r>
      <w:proofErr w:type="spellStart"/>
      <w:r w:rsidR="00AA348D">
        <w:rPr>
          <w:rFonts w:ascii="Arial" w:hAnsi="Arial" w:cs="Arial"/>
          <w:sz w:val="20"/>
        </w:rPr>
        <w:t>Gageler</w:t>
      </w:r>
      <w:proofErr w:type="spellEnd"/>
      <w:r w:rsidR="00AA348D">
        <w:rPr>
          <w:rFonts w:ascii="Arial" w:hAnsi="Arial" w:cs="Arial"/>
          <w:sz w:val="20"/>
        </w:rPr>
        <w:t xml:space="preserve">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proofErr w:type="spellStart"/>
      <w:r w:rsidRPr="00AA348D">
        <w:rPr>
          <w:rFonts w:ascii="Arial" w:hAnsi="Arial" w:cs="Arial"/>
          <w:i/>
          <w:sz w:val="20"/>
          <w:szCs w:val="20"/>
        </w:rPr>
        <w:t>Guss</w:t>
      </w:r>
      <w:proofErr w:type="spellEnd"/>
      <w:r w:rsidRPr="00AA348D">
        <w:rPr>
          <w:rFonts w:ascii="Arial" w:hAnsi="Arial" w:cs="Arial"/>
          <w:i/>
          <w:sz w:val="20"/>
          <w:szCs w:val="20"/>
        </w:rPr>
        <w:t xml:space="preserve"> v </w:t>
      </w:r>
      <w:proofErr w:type="spellStart"/>
      <w:r w:rsidRPr="00AA348D">
        <w:rPr>
          <w:rFonts w:ascii="Arial" w:hAnsi="Arial" w:cs="Arial"/>
          <w:i/>
          <w:sz w:val="20"/>
          <w:szCs w:val="20"/>
        </w:rPr>
        <w:t>Veenhuizen</w:t>
      </w:r>
      <w:proofErr w:type="spellEnd"/>
      <w:r w:rsidRPr="00AA348D">
        <w:rPr>
          <w:rFonts w:ascii="Arial" w:hAnsi="Arial" w:cs="Arial"/>
          <w:i/>
          <w:sz w:val="20"/>
          <w:szCs w:val="20"/>
        </w:rPr>
        <w:t xml:space="preserve">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lastRenderedPageBreak/>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w:t>
      </w:r>
      <w:proofErr w:type="spellStart"/>
      <w:r w:rsidR="005B1EBA" w:rsidRPr="005B1EBA">
        <w:rPr>
          <w:rFonts w:ascii="Arial" w:hAnsi="Arial" w:cs="Arial"/>
          <w:i/>
          <w:sz w:val="20"/>
          <w:szCs w:val="20"/>
        </w:rPr>
        <w:t>Santisi</w:t>
      </w:r>
      <w:proofErr w:type="spellEnd"/>
      <w:r w:rsidR="005B1EBA" w:rsidRPr="005B1EBA">
        <w:rPr>
          <w:rFonts w:ascii="Arial" w:hAnsi="Arial" w:cs="Arial"/>
          <w:i/>
          <w:sz w:val="20"/>
          <w:szCs w:val="20"/>
        </w:rPr>
        <w:t xml:space="preserve">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1AC9A0AC" w14:textId="04887612"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w:t>
      </w:r>
      <w:proofErr w:type="spellStart"/>
      <w:r>
        <w:rPr>
          <w:rFonts w:ascii="Arial" w:hAnsi="Arial" w:cs="Arial"/>
          <w:sz w:val="20"/>
        </w:rPr>
        <w:t>Sifris</w:t>
      </w:r>
      <w:proofErr w:type="spellEnd"/>
      <w:r>
        <w:rPr>
          <w:rFonts w:ascii="Arial" w:hAnsi="Arial" w:cs="Arial"/>
          <w:sz w:val="20"/>
        </w:rPr>
        <w:t xml:space="preserve">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w:t>
      </w:r>
      <w:proofErr w:type="spellStart"/>
      <w:r w:rsidRPr="00F44513">
        <w:rPr>
          <w:rFonts w:ascii="Arial" w:eastAsia="Book Antiqua" w:hAnsi="Arial" w:cs="Arial"/>
          <w:i/>
          <w:sz w:val="20"/>
          <w:szCs w:val="20"/>
        </w:rPr>
        <w:t>Pentelow</w:t>
      </w:r>
      <w:proofErr w:type="spellEnd"/>
      <w:r w:rsidRPr="00F44513">
        <w:rPr>
          <w:rFonts w:ascii="Arial" w:eastAsia="Book Antiqua" w:hAnsi="Arial" w:cs="Arial"/>
          <w:i/>
          <w:sz w:val="20"/>
          <w:szCs w:val="20"/>
        </w:rPr>
        <w:t xml:space="preserve">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r w:rsidR="00EC6700">
        <w:rPr>
          <w:rFonts w:ascii="Arial" w:hAnsi="Arial" w:cs="Arial"/>
          <w:sz w:val="20"/>
          <w:szCs w:val="20"/>
        </w:rPr>
        <w:t xml:space="preserve">  See also </w:t>
      </w:r>
      <w:r w:rsidR="00EC6700" w:rsidRPr="00EC6700">
        <w:rPr>
          <w:rFonts w:ascii="Arial" w:hAnsi="Arial" w:cs="Arial"/>
          <w:i/>
          <w:iCs/>
          <w:sz w:val="20"/>
          <w:szCs w:val="20"/>
        </w:rPr>
        <w:t>Di Lorenzo v The Magistrates’ Court of Victoria</w:t>
      </w:r>
      <w:r w:rsidR="00EC6700">
        <w:rPr>
          <w:rFonts w:ascii="Arial" w:hAnsi="Arial" w:cs="Arial"/>
          <w:sz w:val="20"/>
          <w:szCs w:val="20"/>
        </w:rPr>
        <w:t xml:space="preserve"> [2021] VSC 475 at [26].</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095" w:name="_3.9.6_Enforcement_of"/>
      <w:bookmarkStart w:id="1096" w:name="B396"/>
      <w:bookmarkEnd w:id="1095"/>
      <w:bookmarkEnd w:id="1096"/>
      <w:r>
        <w:rPr>
          <w:rFonts w:ascii="Arial" w:hAnsi="Arial" w:cs="Arial"/>
          <w:b/>
          <w:bCs/>
          <w:sz w:val="20"/>
        </w:rPr>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 xml:space="preserve">(2) A person in whose </w:t>
      </w:r>
      <w:proofErr w:type="spellStart"/>
      <w:r w:rsidR="002C34CB" w:rsidRPr="000713BB">
        <w:rPr>
          <w:rFonts w:ascii="Arial" w:hAnsi="Arial" w:cs="Arial"/>
          <w:color w:val="000000"/>
          <w:sz w:val="20"/>
          <w:lang w:val="en-US"/>
        </w:rPr>
        <w:t>favour</w:t>
      </w:r>
      <w:proofErr w:type="spellEnd"/>
      <w:r w:rsidR="002C34CB" w:rsidRPr="000713BB">
        <w:rPr>
          <w:rFonts w:ascii="Arial" w:hAnsi="Arial" w:cs="Arial"/>
          <w:color w:val="000000"/>
          <w:sz w:val="20"/>
          <w:lang w:val="en-US"/>
        </w:rPr>
        <w:t xml:space="preserve">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3D7E6D">
        <w:rPr>
          <w:rFonts w:ascii="Arial" w:hAnsi="Arial" w:cs="Arial"/>
          <w:i/>
          <w:iCs/>
          <w:color w:val="000000"/>
          <w:sz w:val="20"/>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3A172CC0" w14:textId="59937954" w:rsidR="005B1EBA" w:rsidRDefault="005B1EBA" w:rsidP="005B1EBA">
      <w:pPr>
        <w:pStyle w:val="Heading2"/>
        <w:keepNext/>
        <w:tabs>
          <w:tab w:val="left" w:pos="567"/>
        </w:tabs>
        <w:spacing w:line="240" w:lineRule="auto"/>
        <w:rPr>
          <w:rFonts w:ascii="Arial" w:hAnsi="Arial" w:cs="Arial"/>
          <w:b/>
          <w:bCs/>
        </w:rPr>
      </w:pPr>
      <w:bookmarkStart w:id="1097" w:name="_3.10_Appeals_-"/>
      <w:bookmarkStart w:id="1098" w:name="B310"/>
      <w:bookmarkEnd w:id="1097"/>
      <w:bookmarkEnd w:id="1098"/>
      <w:r>
        <w:rPr>
          <w:rFonts w:ascii="Arial" w:hAnsi="Arial" w:cs="Arial"/>
          <w:b/>
          <w:bCs/>
        </w:rPr>
        <w:t>3.10</w:t>
      </w:r>
      <w:r>
        <w:rPr>
          <w:rFonts w:ascii="Arial" w:hAnsi="Arial" w:cs="Arial"/>
          <w:b/>
          <w:bCs/>
        </w:rPr>
        <w:tab/>
        <w:t>Appeals</w:t>
      </w:r>
      <w:r w:rsidR="00043500">
        <w:rPr>
          <w:rFonts w:ascii="Arial" w:hAnsi="Arial" w:cs="Arial"/>
          <w:b/>
          <w:bCs/>
        </w:rPr>
        <w:t>/Reviews</w:t>
      </w:r>
    </w:p>
    <w:p w14:paraId="261C81F7" w14:textId="5AA56919" w:rsidR="005B1EBA" w:rsidRDefault="005B1EBA" w:rsidP="005B1EBA">
      <w:pPr>
        <w:keepNext/>
        <w:rPr>
          <w:rFonts w:ascii="Arial" w:hAnsi="Arial" w:cs="Arial"/>
          <w:sz w:val="20"/>
        </w:rPr>
      </w:pPr>
    </w:p>
    <w:bookmarkStart w:id="1099" w:name="_3.10.1_Appeals_to"/>
    <w:bookmarkStart w:id="1100" w:name="_Hlk96596487"/>
    <w:bookmarkEnd w:id="1099"/>
    <w:p w14:paraId="297E464C" w14:textId="715B2A1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fldChar w:fldCharType="separate"/>
      </w:r>
      <w:r w:rsidR="00043500" w:rsidRPr="00465206">
        <w:rPr>
          <w:rStyle w:val="Hyperlink"/>
          <w:rFonts w:ascii="Arial" w:hAnsi="Arial" w:cs="Arial"/>
          <w:b/>
          <w:bCs/>
          <w:color w:val="000000" w:themeColor="text1"/>
          <w:sz w:val="20"/>
          <w:u w:val="none"/>
        </w:rPr>
        <w:t>3.10.1</w:t>
      </w:r>
      <w:r w:rsidR="00043500" w:rsidRPr="00465206">
        <w:rPr>
          <w:rStyle w:val="Hyperlink"/>
          <w:rFonts w:ascii="Arial" w:hAnsi="Arial" w:cs="Arial"/>
          <w:b/>
          <w:bCs/>
          <w:color w:val="000000" w:themeColor="text1"/>
          <w:sz w:val="20"/>
          <w:u w:val="none"/>
        </w:rPr>
        <w:tab/>
        <w:t>Appeals to higher courts</w:t>
      </w:r>
      <w:r w:rsidRPr="00465206">
        <w:rPr>
          <w:rFonts w:ascii="Arial" w:hAnsi="Arial" w:cs="Arial"/>
          <w:b/>
          <w:bCs/>
          <w:color w:val="000000" w:themeColor="text1"/>
          <w:sz w:val="20"/>
        </w:rPr>
        <w:fldChar w:fldCharType="end"/>
      </w:r>
    </w:p>
    <w:p w14:paraId="2EB2ADC2" w14:textId="0DF10BA5" w:rsidR="005B1EBA" w:rsidRDefault="005B1EBA" w:rsidP="00E978C0">
      <w:pPr>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w:t>
      </w:r>
      <w:r w:rsidR="00027D50">
        <w:rPr>
          <w:rFonts w:ascii="Arial" w:hAnsi="Arial" w:cs="Arial"/>
          <w:sz w:val="20"/>
        </w:rPr>
        <w:t xml:space="preserve"> [CCV]</w:t>
      </w:r>
      <w:r>
        <w:rPr>
          <w:rFonts w:ascii="Arial" w:hAnsi="Arial" w:cs="Arial"/>
          <w:sz w:val="20"/>
        </w:rPr>
        <w:t>.  Very few appeals reach the Court of Appeal and to date no appeals have reached the High Court.</w:t>
      </w:r>
    </w:p>
    <w:p w14:paraId="3D8865E7" w14:textId="77777777" w:rsidR="00E978C0" w:rsidRDefault="00E978C0" w:rsidP="00692743">
      <w:pPr>
        <w:jc w:val="both"/>
        <w:rPr>
          <w:rFonts w:ascii="Arial" w:hAnsi="Arial" w:cs="Arial"/>
          <w:sz w:val="20"/>
        </w:rPr>
      </w:pPr>
    </w:p>
    <w:p w14:paraId="17C0BAD4" w14:textId="2C48870B" w:rsidR="005B1EBA" w:rsidRDefault="005B1EBA" w:rsidP="00692743">
      <w:pPr>
        <w:jc w:val="both"/>
        <w:rPr>
          <w:rFonts w:ascii="Arial" w:hAnsi="Arial" w:cs="Arial"/>
          <w:sz w:val="20"/>
        </w:rPr>
      </w:pPr>
      <w:r>
        <w:rPr>
          <w:rFonts w:ascii="Arial" w:hAnsi="Arial" w:cs="Arial"/>
          <w:sz w:val="20"/>
        </w:rPr>
        <w:t>Using the word "appeal" in a loose sense, there are f</w:t>
      </w:r>
      <w:r w:rsidR="002F439D">
        <w:rPr>
          <w:rFonts w:ascii="Arial" w:hAnsi="Arial" w:cs="Arial"/>
          <w:sz w:val="20"/>
        </w:rPr>
        <w:t>ive</w:t>
      </w:r>
      <w:r>
        <w:rPr>
          <w:rFonts w:ascii="Arial" w:hAnsi="Arial" w:cs="Arial"/>
          <w:sz w:val="20"/>
        </w:rPr>
        <w:t xml:space="preserve"> different types of appeal (see table below) from a decision of the </w:t>
      </w:r>
      <w:r w:rsidR="00E978C0">
        <w:rPr>
          <w:rFonts w:ascii="Arial" w:hAnsi="Arial" w:cs="Arial"/>
          <w:sz w:val="20"/>
        </w:rPr>
        <w:t xml:space="preserve">CCV </w:t>
      </w:r>
      <w:r>
        <w:rPr>
          <w:rFonts w:ascii="Arial" w:hAnsi="Arial" w:cs="Arial"/>
          <w:sz w:val="20"/>
        </w:rPr>
        <w:t>and there are three different paths (see chart below).</w:t>
      </w:r>
    </w:p>
    <w:p w14:paraId="5454353B" w14:textId="738A592A" w:rsidR="00692743" w:rsidRDefault="00692743" w:rsidP="00692743">
      <w:pPr>
        <w:jc w:val="both"/>
        <w:rPr>
          <w:rFonts w:ascii="Arial" w:hAnsi="Arial" w:cs="Arial"/>
          <w:sz w:val="20"/>
        </w:rPr>
      </w:pPr>
    </w:p>
    <w:p w14:paraId="782305C7" w14:textId="34090589" w:rsidR="00210AE6" w:rsidRDefault="00607388" w:rsidP="00692743">
      <w:pPr>
        <w:jc w:val="both"/>
        <w:rPr>
          <w:rFonts w:ascii="Arial" w:hAnsi="Arial" w:cs="Arial"/>
          <w:sz w:val="20"/>
        </w:rPr>
      </w:pPr>
      <w:r>
        <w:rPr>
          <w:rFonts w:ascii="Arial" w:hAnsi="Arial" w:cs="Arial"/>
          <w:sz w:val="20"/>
        </w:rPr>
        <w:t xml:space="preserve">As and from 04/12/2021 the right of </w:t>
      </w:r>
      <w:r w:rsidRPr="00607388">
        <w:rPr>
          <w:rFonts w:ascii="Arial" w:hAnsi="Arial" w:cs="Arial"/>
          <w:i/>
          <w:iCs/>
          <w:sz w:val="20"/>
        </w:rPr>
        <w:t>de novo</w:t>
      </w:r>
      <w:r>
        <w:rPr>
          <w:rFonts w:ascii="Arial" w:hAnsi="Arial" w:cs="Arial"/>
          <w:sz w:val="20"/>
        </w:rPr>
        <w:t xml:space="preserve"> appeal against a</w:t>
      </w:r>
      <w:r w:rsidR="00B13110">
        <w:rPr>
          <w:rFonts w:ascii="Arial" w:hAnsi="Arial" w:cs="Arial"/>
          <w:sz w:val="20"/>
        </w:rPr>
        <w:t xml:space="preserve"> final</w:t>
      </w:r>
      <w:r>
        <w:rPr>
          <w:rFonts w:ascii="Arial" w:hAnsi="Arial" w:cs="Arial"/>
          <w:sz w:val="20"/>
        </w:rPr>
        <w:t xml:space="preserve"> order made in </w:t>
      </w:r>
      <w:r w:rsidR="002E1818">
        <w:rPr>
          <w:rFonts w:ascii="Arial" w:hAnsi="Arial" w:cs="Arial"/>
          <w:sz w:val="20"/>
        </w:rPr>
        <w:t xml:space="preserve">child protection proceedings in </w:t>
      </w:r>
      <w:r>
        <w:rPr>
          <w:rFonts w:ascii="Arial" w:hAnsi="Arial" w:cs="Arial"/>
          <w:sz w:val="20"/>
        </w:rPr>
        <w:t xml:space="preserve">the Family Division of the Children’s Court </w:t>
      </w:r>
      <w:r w:rsidR="002E1818">
        <w:rPr>
          <w:rFonts w:ascii="Arial" w:hAnsi="Arial" w:cs="Arial"/>
          <w:sz w:val="20"/>
        </w:rPr>
        <w:t xml:space="preserve">– </w:t>
      </w:r>
      <w:r>
        <w:rPr>
          <w:rFonts w:ascii="Arial" w:hAnsi="Arial" w:cs="Arial"/>
          <w:sz w:val="20"/>
        </w:rPr>
        <w:t>form</w:t>
      </w:r>
      <w:r w:rsidR="002E1818">
        <w:rPr>
          <w:rFonts w:ascii="Arial" w:hAnsi="Arial" w:cs="Arial"/>
          <w:sz w:val="20"/>
        </w:rPr>
        <w:t>er</w:t>
      </w:r>
      <w:r>
        <w:rPr>
          <w:rFonts w:ascii="Arial" w:hAnsi="Arial" w:cs="Arial"/>
          <w:sz w:val="20"/>
        </w:rPr>
        <w:t>ly</w:t>
      </w:r>
      <w:r w:rsidR="002E1818">
        <w:rPr>
          <w:rFonts w:ascii="Arial" w:hAnsi="Arial" w:cs="Arial"/>
          <w:sz w:val="20"/>
        </w:rPr>
        <w:t xml:space="preserve"> </w:t>
      </w:r>
      <w:r>
        <w:rPr>
          <w:rFonts w:ascii="Arial" w:hAnsi="Arial" w:cs="Arial"/>
          <w:sz w:val="20"/>
        </w:rPr>
        <w:t xml:space="preserve">created by s.328 of the CYFA </w:t>
      </w:r>
      <w:r w:rsidR="002E1818">
        <w:rPr>
          <w:rFonts w:ascii="Arial" w:hAnsi="Arial" w:cs="Arial"/>
          <w:sz w:val="20"/>
        </w:rPr>
        <w:t xml:space="preserve">– </w:t>
      </w:r>
      <w:r>
        <w:rPr>
          <w:rFonts w:ascii="Arial" w:hAnsi="Arial" w:cs="Arial"/>
          <w:sz w:val="20"/>
        </w:rPr>
        <w:t>has</w:t>
      </w:r>
      <w:r w:rsidR="002E1818">
        <w:rPr>
          <w:rFonts w:ascii="Arial" w:hAnsi="Arial" w:cs="Arial"/>
          <w:sz w:val="20"/>
        </w:rPr>
        <w:t xml:space="preserve"> </w:t>
      </w:r>
      <w:r>
        <w:rPr>
          <w:rFonts w:ascii="Arial" w:hAnsi="Arial" w:cs="Arial"/>
          <w:sz w:val="20"/>
        </w:rPr>
        <w:t>been removed, following the repea</w:t>
      </w:r>
      <w:r w:rsidR="00723F0C">
        <w:rPr>
          <w:rFonts w:ascii="Arial" w:hAnsi="Arial" w:cs="Arial"/>
          <w:sz w:val="20"/>
        </w:rPr>
        <w:t>l</w:t>
      </w:r>
      <w:r>
        <w:rPr>
          <w:rFonts w:ascii="Arial" w:hAnsi="Arial" w:cs="Arial"/>
          <w:sz w:val="20"/>
        </w:rPr>
        <w:t xml:space="preserve"> of that section by s.3 of the misleadingly-named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w:t>
      </w:r>
      <w:r w:rsidR="00E978C0">
        <w:rPr>
          <w:rFonts w:ascii="Arial" w:hAnsi="Arial" w:cs="Arial"/>
          <w:sz w:val="20"/>
        </w:rPr>
        <w:t xml:space="preserve">  The only avenues of </w:t>
      </w:r>
      <w:r w:rsidR="00D5454F">
        <w:rPr>
          <w:rFonts w:ascii="Arial" w:hAnsi="Arial" w:cs="Arial"/>
          <w:sz w:val="20"/>
        </w:rPr>
        <w:t>“</w:t>
      </w:r>
      <w:r w:rsidR="00E978C0">
        <w:rPr>
          <w:rFonts w:ascii="Arial" w:hAnsi="Arial" w:cs="Arial"/>
          <w:sz w:val="20"/>
        </w:rPr>
        <w:t>appeal</w:t>
      </w:r>
      <w:r w:rsidR="00D5454F">
        <w:rPr>
          <w:rFonts w:ascii="Arial" w:hAnsi="Arial" w:cs="Arial"/>
          <w:sz w:val="20"/>
        </w:rPr>
        <w:t>”</w:t>
      </w:r>
      <w:r w:rsidR="00E978C0">
        <w:rPr>
          <w:rFonts w:ascii="Arial" w:hAnsi="Arial" w:cs="Arial"/>
          <w:sz w:val="20"/>
        </w:rPr>
        <w:t xml:space="preserve"> in relation to orders made </w:t>
      </w:r>
      <w:r w:rsidR="00D5454F">
        <w:rPr>
          <w:rFonts w:ascii="Arial" w:hAnsi="Arial" w:cs="Arial"/>
          <w:sz w:val="20"/>
        </w:rPr>
        <w:t xml:space="preserve">by judges or magistrates </w:t>
      </w:r>
      <w:r w:rsidR="00E978C0">
        <w:rPr>
          <w:rFonts w:ascii="Arial" w:hAnsi="Arial" w:cs="Arial"/>
          <w:sz w:val="20"/>
        </w:rPr>
        <w:t>in child protection proceedings are</w:t>
      </w:r>
      <w:r w:rsidR="00210AE6">
        <w:rPr>
          <w:rFonts w:ascii="Arial" w:hAnsi="Arial" w:cs="Arial"/>
          <w:sz w:val="20"/>
        </w:rPr>
        <w:t>:</w:t>
      </w:r>
    </w:p>
    <w:p w14:paraId="3CAAD202" w14:textId="4D073B42" w:rsidR="00210AE6" w:rsidRPr="00210AE6" w:rsidRDefault="00E978C0" w:rsidP="00D772F0">
      <w:pPr>
        <w:pStyle w:val="ListParagraph"/>
        <w:numPr>
          <w:ilvl w:val="0"/>
          <w:numId w:val="81"/>
        </w:numPr>
        <w:ind w:left="357" w:hanging="357"/>
        <w:jc w:val="both"/>
        <w:rPr>
          <w:rFonts w:ascii="Arial" w:hAnsi="Arial" w:cs="Arial"/>
          <w:sz w:val="20"/>
        </w:rPr>
      </w:pPr>
      <w:r w:rsidRPr="00210AE6">
        <w:rPr>
          <w:rFonts w:ascii="Arial" w:hAnsi="Arial" w:cs="Arial"/>
          <w:sz w:val="20"/>
        </w:rPr>
        <w:t xml:space="preserve">appeals under s.329 CYFA or </w:t>
      </w:r>
      <w:r w:rsidR="004478FC" w:rsidRPr="00210AE6">
        <w:rPr>
          <w:rFonts w:ascii="Arial" w:hAnsi="Arial" w:cs="Arial"/>
          <w:sz w:val="20"/>
        </w:rPr>
        <w:t xml:space="preserve">judicial reviews under </w:t>
      </w:r>
      <w:r w:rsidRPr="00210AE6">
        <w:rPr>
          <w:rFonts w:ascii="Arial" w:hAnsi="Arial" w:cs="Arial"/>
          <w:sz w:val="20"/>
        </w:rPr>
        <w:t>Order</w:t>
      </w:r>
      <w:r w:rsidR="00D5454F" w:rsidRPr="00210AE6">
        <w:rPr>
          <w:rFonts w:ascii="Arial" w:hAnsi="Arial" w:cs="Arial"/>
          <w:sz w:val="20"/>
        </w:rPr>
        <w:t> </w:t>
      </w:r>
      <w:r w:rsidRPr="00210AE6">
        <w:rPr>
          <w:rFonts w:ascii="Arial" w:hAnsi="Arial" w:cs="Arial"/>
          <w:sz w:val="20"/>
        </w:rPr>
        <w:t>56 S</w:t>
      </w:r>
      <w:r w:rsidR="00210AE6" w:rsidRPr="00210AE6">
        <w:rPr>
          <w:rFonts w:ascii="Arial" w:hAnsi="Arial" w:cs="Arial"/>
          <w:sz w:val="20"/>
        </w:rPr>
        <w:t xml:space="preserve">upreme </w:t>
      </w:r>
      <w:r w:rsidRPr="00210AE6">
        <w:rPr>
          <w:rFonts w:ascii="Arial" w:hAnsi="Arial" w:cs="Arial"/>
          <w:sz w:val="20"/>
        </w:rPr>
        <w:t>C</w:t>
      </w:r>
      <w:r w:rsidR="00210AE6" w:rsidRPr="00210AE6">
        <w:rPr>
          <w:rFonts w:ascii="Arial" w:hAnsi="Arial" w:cs="Arial"/>
          <w:sz w:val="20"/>
        </w:rPr>
        <w:t xml:space="preserve">ourt </w:t>
      </w:r>
      <w:r w:rsidRPr="00210AE6">
        <w:rPr>
          <w:rFonts w:ascii="Arial" w:hAnsi="Arial" w:cs="Arial"/>
          <w:sz w:val="20"/>
        </w:rPr>
        <w:t>R</w:t>
      </w:r>
      <w:r w:rsidR="00210AE6" w:rsidRPr="00210AE6">
        <w:rPr>
          <w:rFonts w:ascii="Arial" w:hAnsi="Arial" w:cs="Arial"/>
          <w:sz w:val="20"/>
        </w:rPr>
        <w:t>ules</w:t>
      </w:r>
      <w:r w:rsidRPr="00210AE6">
        <w:rPr>
          <w:rFonts w:ascii="Arial" w:hAnsi="Arial" w:cs="Arial"/>
          <w:sz w:val="20"/>
        </w:rPr>
        <w:t xml:space="preserve"> where there is an alleged error of law</w:t>
      </w:r>
      <w:r w:rsidR="00210AE6" w:rsidRPr="00210AE6">
        <w:rPr>
          <w:rFonts w:ascii="Arial" w:hAnsi="Arial" w:cs="Arial"/>
          <w:sz w:val="20"/>
        </w:rPr>
        <w:t>;</w:t>
      </w:r>
      <w:r w:rsidRPr="00210AE6">
        <w:rPr>
          <w:rFonts w:ascii="Arial" w:hAnsi="Arial" w:cs="Arial"/>
          <w:sz w:val="20"/>
        </w:rPr>
        <w:t xml:space="preserve"> or</w:t>
      </w:r>
    </w:p>
    <w:p w14:paraId="1D8B9C44" w14:textId="00475EA9" w:rsidR="00607388" w:rsidRPr="00210AE6" w:rsidRDefault="00E978C0" w:rsidP="00D772F0">
      <w:pPr>
        <w:pStyle w:val="ListParagraph"/>
        <w:numPr>
          <w:ilvl w:val="0"/>
          <w:numId w:val="81"/>
        </w:numPr>
        <w:ind w:left="357" w:hanging="357"/>
        <w:jc w:val="both"/>
        <w:rPr>
          <w:rFonts w:ascii="Arial" w:hAnsi="Arial" w:cs="Arial"/>
          <w:sz w:val="20"/>
        </w:rPr>
      </w:pPr>
      <w:r w:rsidRPr="00210AE6">
        <w:rPr>
          <w:rFonts w:ascii="Arial" w:hAnsi="Arial" w:cs="Arial"/>
          <w:sz w:val="20"/>
        </w:rPr>
        <w:t>IAO appeals pursuant to s.271 CYFA.</w:t>
      </w:r>
    </w:p>
    <w:p w14:paraId="18DD70B0" w14:textId="61A20B27" w:rsidR="00836E86" w:rsidRDefault="00836E86" w:rsidP="00836E86">
      <w:pPr>
        <w:jc w:val="both"/>
        <w:rPr>
          <w:rFonts w:ascii="Arial" w:hAnsi="Arial" w:cs="Arial"/>
          <w:sz w:val="20"/>
        </w:rPr>
      </w:pPr>
    </w:p>
    <w:p w14:paraId="2092BCA0" w14:textId="2CD7E550" w:rsidR="004A39B1" w:rsidRDefault="004A39B1" w:rsidP="00836E86">
      <w:pPr>
        <w:jc w:val="both"/>
        <w:rPr>
          <w:rFonts w:ascii="Arial" w:hAnsi="Arial" w:cs="Arial"/>
          <w:sz w:val="20"/>
        </w:rPr>
      </w:pPr>
      <w:r>
        <w:rPr>
          <w:rFonts w:ascii="Arial" w:hAnsi="Arial" w:cs="Arial"/>
          <w:sz w:val="20"/>
        </w:rPr>
        <w:t xml:space="preserve">Purposes of the aforementioned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 xml:space="preserve"> include</w:t>
      </w:r>
      <w:r w:rsidR="008D14CC">
        <w:rPr>
          <w:rFonts w:ascii="Arial" w:hAnsi="Arial" w:cs="Arial"/>
          <w:sz w:val="20"/>
        </w:rPr>
        <w:t xml:space="preserve"> in s.1(c) amendments of both the</w:t>
      </w:r>
      <w:r w:rsidR="008D14CC" w:rsidRPr="008D14CC">
        <w:rPr>
          <w:rFonts w:ascii="Arial" w:hAnsi="Arial" w:cs="Arial"/>
          <w:sz w:val="20"/>
        </w:rPr>
        <w:t xml:space="preserve"> CYFA </w:t>
      </w:r>
      <w:r w:rsidR="008D14CC">
        <w:rPr>
          <w:rFonts w:ascii="Arial" w:hAnsi="Arial" w:cs="Arial"/>
          <w:sz w:val="20"/>
        </w:rPr>
        <w:t xml:space="preserve">and the </w:t>
      </w:r>
      <w:r w:rsidR="008D14CC" w:rsidRPr="008D14CC">
        <w:rPr>
          <w:rFonts w:ascii="Arial" w:hAnsi="Arial" w:cs="Arial"/>
          <w:i/>
          <w:iCs/>
          <w:sz w:val="20"/>
        </w:rPr>
        <w:t>Criminal Procedure Act 2009</w:t>
      </w:r>
      <w:r>
        <w:rPr>
          <w:rFonts w:ascii="Arial" w:hAnsi="Arial" w:cs="Arial"/>
          <w:sz w:val="20"/>
        </w:rPr>
        <w:t>:</w:t>
      </w:r>
    </w:p>
    <w:p w14:paraId="2CEC12AC" w14:textId="2C9C994A" w:rsidR="004A39B1" w:rsidRDefault="008D14CC" w:rsidP="004A39B1">
      <w:pPr>
        <w:pStyle w:val="ListParagraph"/>
        <w:numPr>
          <w:ilvl w:val="0"/>
          <w:numId w:val="81"/>
        </w:numPr>
        <w:ind w:left="357" w:hanging="357"/>
        <w:jc w:val="both"/>
        <w:rPr>
          <w:rFonts w:ascii="Arial" w:hAnsi="Arial" w:cs="Arial"/>
          <w:sz w:val="20"/>
        </w:rPr>
      </w:pPr>
      <w:r>
        <w:rPr>
          <w:rFonts w:ascii="Arial" w:hAnsi="Arial" w:cs="Arial"/>
          <w:sz w:val="20"/>
        </w:rPr>
        <w:t>to abolish de novo appeals against convictions recorded in summary proceedings and to provide instead for those appeals to be by way of rehearing; and</w:t>
      </w:r>
    </w:p>
    <w:p w14:paraId="62DE9759" w14:textId="49F74C8C" w:rsidR="00A23128" w:rsidRDefault="008D14CC" w:rsidP="00A23128">
      <w:pPr>
        <w:pStyle w:val="ListParagraph"/>
        <w:numPr>
          <w:ilvl w:val="0"/>
          <w:numId w:val="81"/>
        </w:numPr>
        <w:ind w:left="357" w:hanging="357"/>
        <w:jc w:val="both"/>
        <w:rPr>
          <w:rFonts w:ascii="Arial" w:hAnsi="Arial" w:cs="Arial"/>
          <w:sz w:val="20"/>
        </w:rPr>
      </w:pPr>
      <w:r>
        <w:rPr>
          <w:rFonts w:ascii="Arial" w:hAnsi="Arial" w:cs="Arial"/>
          <w:sz w:val="20"/>
        </w:rPr>
        <w:lastRenderedPageBreak/>
        <w:t>to abolish de novo appeals against sentences imposed in summary proceedings and to provide instead for a different kind of appeal against those sentences</w:t>
      </w:r>
      <w:r w:rsidR="00A23128">
        <w:rPr>
          <w:rFonts w:ascii="Arial" w:hAnsi="Arial" w:cs="Arial"/>
          <w:sz w:val="20"/>
        </w:rPr>
        <w:t>.</w:t>
      </w:r>
    </w:p>
    <w:p w14:paraId="14D01E80" w14:textId="08AF0B8F" w:rsidR="004A39B1" w:rsidRDefault="004A39B1" w:rsidP="00836E86">
      <w:pPr>
        <w:jc w:val="both"/>
        <w:rPr>
          <w:rFonts w:ascii="Arial" w:hAnsi="Arial" w:cs="Arial"/>
          <w:sz w:val="20"/>
        </w:rPr>
      </w:pPr>
    </w:p>
    <w:p w14:paraId="3E5B2752" w14:textId="72D8715E" w:rsidR="008D14CC" w:rsidRDefault="008D14CC" w:rsidP="00836E86">
      <w:pPr>
        <w:jc w:val="both"/>
        <w:rPr>
          <w:rFonts w:ascii="Arial" w:hAnsi="Arial" w:cs="Arial"/>
          <w:sz w:val="20"/>
        </w:rPr>
      </w:pPr>
      <w:r>
        <w:rPr>
          <w:rFonts w:ascii="Arial" w:hAnsi="Arial" w:cs="Arial"/>
          <w:sz w:val="20"/>
        </w:rPr>
        <w:t>The amendments referred to in s.1(c) are not yet in effect.  Their default commencement date ha</w:t>
      </w:r>
      <w:r w:rsidR="00A23128">
        <w:rPr>
          <w:rFonts w:ascii="Arial" w:hAnsi="Arial" w:cs="Arial"/>
          <w:sz w:val="20"/>
        </w:rPr>
        <w:t xml:space="preserve">s already been extended from 03/07/2021 to 01/01/2023.  If the </w:t>
      </w:r>
      <w:r w:rsidR="00A23128" w:rsidRPr="00607388">
        <w:rPr>
          <w:rFonts w:ascii="Arial" w:hAnsi="Arial" w:cs="Arial"/>
          <w:i/>
          <w:iCs/>
          <w:sz w:val="20"/>
        </w:rPr>
        <w:t>Justice Legislation Amendment (</w:t>
      </w:r>
      <w:r w:rsidR="00A23128">
        <w:rPr>
          <w:rFonts w:ascii="Arial" w:hAnsi="Arial" w:cs="Arial"/>
          <w:i/>
          <w:iCs/>
          <w:sz w:val="20"/>
        </w:rPr>
        <w:t>Trial by Judge Alone and Other Matters</w:t>
      </w:r>
      <w:r w:rsidR="00A23128" w:rsidRPr="00607388">
        <w:rPr>
          <w:rFonts w:ascii="Arial" w:hAnsi="Arial" w:cs="Arial"/>
          <w:i/>
          <w:iCs/>
          <w:sz w:val="20"/>
        </w:rPr>
        <w:t>)</w:t>
      </w:r>
      <w:r w:rsidR="00A23128">
        <w:rPr>
          <w:rFonts w:ascii="Arial" w:hAnsi="Arial" w:cs="Arial"/>
          <w:i/>
          <w:iCs/>
          <w:sz w:val="20"/>
        </w:rPr>
        <w:t xml:space="preserve"> Bill</w:t>
      </w:r>
      <w:r w:rsidR="00A23128" w:rsidRPr="00607388">
        <w:rPr>
          <w:rFonts w:ascii="Arial" w:hAnsi="Arial" w:cs="Arial"/>
          <w:i/>
          <w:iCs/>
          <w:sz w:val="20"/>
        </w:rPr>
        <w:t xml:space="preserve"> 20</w:t>
      </w:r>
      <w:r w:rsidR="00A23128">
        <w:rPr>
          <w:rFonts w:ascii="Arial" w:hAnsi="Arial" w:cs="Arial"/>
          <w:i/>
          <w:iCs/>
          <w:sz w:val="20"/>
        </w:rPr>
        <w:t>22</w:t>
      </w:r>
      <w:r w:rsidR="00A23128" w:rsidRPr="00A23128">
        <w:rPr>
          <w:rFonts w:ascii="Arial" w:hAnsi="Arial" w:cs="Arial"/>
          <w:sz w:val="20"/>
        </w:rPr>
        <w:t xml:space="preserve"> is enacted</w:t>
      </w:r>
      <w:r w:rsidR="00A23128">
        <w:rPr>
          <w:rFonts w:ascii="Arial" w:hAnsi="Arial" w:cs="Arial"/>
          <w:sz w:val="20"/>
        </w:rPr>
        <w:t>, cl.9(1) will extend the</w:t>
      </w:r>
      <w:r w:rsidR="00F64E78">
        <w:rPr>
          <w:rFonts w:ascii="Arial" w:hAnsi="Arial" w:cs="Arial"/>
          <w:sz w:val="20"/>
        </w:rPr>
        <w:t>ir</w:t>
      </w:r>
      <w:r w:rsidR="00A23128">
        <w:rPr>
          <w:rFonts w:ascii="Arial" w:hAnsi="Arial" w:cs="Arial"/>
          <w:sz w:val="20"/>
        </w:rPr>
        <w:t xml:space="preserve"> default commencement date to 05/07/2025.</w:t>
      </w:r>
    </w:p>
    <w:p w14:paraId="11F10587" w14:textId="77777777" w:rsidR="004A39B1" w:rsidRPr="00836E86" w:rsidRDefault="004A39B1" w:rsidP="00836E86">
      <w:pPr>
        <w:jc w:val="both"/>
        <w:rPr>
          <w:rFonts w:ascii="Arial" w:hAnsi="Arial" w:cs="Arial"/>
          <w:sz w:val="20"/>
        </w:rPr>
      </w:pPr>
    </w:p>
    <w:bookmarkEnd w:id="1100"/>
    <w:p w14:paraId="0238D39A" w14:textId="77777777" w:rsidR="00836E86" w:rsidRPr="00836E86" w:rsidRDefault="00836E86" w:rsidP="00836E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91A6F3E" w14:textId="77777777" w:rsidR="00836E86" w:rsidRPr="00836E86" w:rsidRDefault="00836E86" w:rsidP="00836E86">
      <w:pPr>
        <w:rPr>
          <w:rFonts w:ascii="Arial" w:hAnsi="Arial" w:cs="Arial"/>
          <w:sz w:val="20"/>
        </w:rPr>
      </w:pPr>
    </w:p>
    <w:p w14:paraId="662A957C" w14:textId="77777777" w:rsidR="00836E86" w:rsidRPr="00836E86" w:rsidRDefault="00836E86" w:rsidP="00D772F0">
      <w:pPr>
        <w:pStyle w:val="ListParagraph"/>
        <w:numPr>
          <w:ilvl w:val="0"/>
          <w:numId w:val="81"/>
        </w:numPr>
        <w:rPr>
          <w:rFonts w:ascii="Arial" w:hAnsi="Arial" w:cs="Arial"/>
          <w:sz w:val="20"/>
        </w:rPr>
      </w:pPr>
      <w:r w:rsidRPr="00836E86">
        <w:rPr>
          <w:rFonts w:ascii="Arial" w:hAnsi="Arial" w:cs="Arial"/>
          <w:sz w:val="20"/>
        </w:rPr>
        <w:br w:type="page"/>
      </w:r>
    </w:p>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14:paraId="071F81CC" w14:textId="55DC960C" w:rsidR="004A2800" w:rsidRDefault="004A588A" w:rsidP="00A9750C">
      <w:pPr>
        <w:spacing w:after="120"/>
        <w:jc w:val="both"/>
        <w:rPr>
          <w:rFonts w:ascii="Arial" w:hAnsi="Arial" w:cs="Arial"/>
          <w:sz w:val="20"/>
        </w:rPr>
      </w:pPr>
      <w:r>
        <w:rPr>
          <w:noProof/>
        </w:rPr>
        <w:lastRenderedPageBreak/>
        <mc:AlternateContent>
          <mc:Choice Requires="wps">
            <w:drawing>
              <wp:anchor distT="0" distB="0" distL="114300" distR="114300" simplePos="0" relativeHeight="251659264" behindDoc="0" locked="0" layoutInCell="1" allowOverlap="1" wp14:anchorId="60C49955" wp14:editId="61BA4886">
                <wp:simplePos x="0" y="0"/>
                <wp:positionH relativeFrom="column">
                  <wp:posOffset>2986487</wp:posOffset>
                </wp:positionH>
                <wp:positionV relativeFrom="paragraph">
                  <wp:posOffset>2924810</wp:posOffset>
                </wp:positionV>
                <wp:extent cx="0" cy="378710"/>
                <wp:effectExtent l="76200" t="38100" r="57150" b="21590"/>
                <wp:wrapNone/>
                <wp:docPr id="2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71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7A89CE90" id="Line 16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15pt,230.3pt" to="235.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" strokeweight="1.5pt">
                <v:stroke startarrow="block"/>
              </v:line>
            </w:pict>
          </mc:Fallback>
        </mc:AlternateContent>
      </w:r>
      <w:r w:rsidR="007572D2">
        <w:rPr>
          <w:rFonts w:ascii="Arial" w:hAnsi="Arial" w:cs="Arial"/>
          <w:noProof/>
          <w:sz w:val="20"/>
        </w:rPr>
        <mc:AlternateContent>
          <mc:Choice Requires="wpg">
            <w:drawing>
              <wp:inline distT="0" distB="0" distL="0" distR="0" wp14:anchorId="7BBBB048" wp14:editId="0189C18A">
                <wp:extent cx="5723890" cy="4819594"/>
                <wp:effectExtent l="19050" t="19050" r="29210" b="19685"/>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4819594"/>
                          <a:chOff x="1418" y="1418"/>
                          <a:chExt cx="9014" cy="6566"/>
                        </a:xfrm>
                      </wpg:grpSpPr>
                      <wps:wsp>
                        <wps:cNvPr id="3" name="Line 167"/>
                        <wps:cNvCnPr>
                          <a:cxnSpLocks noChangeShapeType="1"/>
                        </wps:cNvCnPr>
                        <wps:spPr bwMode="auto">
                          <a:xfrm>
                            <a:off x="6119" y="422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Line 168"/>
                        <wps:cNvCnPr>
                          <a:cxnSpLocks noChangeShapeType="1"/>
                        </wps:cNvCnPr>
                        <wps:spPr bwMode="auto">
                          <a:xfrm>
                            <a:off x="4168" y="3941"/>
                            <a:ext cx="4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169"/>
                        <wpg:cNvGrpSpPr>
                          <a:grpSpLocks/>
                        </wpg:cNvGrpSpPr>
                        <wpg:grpSpPr bwMode="auto">
                          <a:xfrm>
                            <a:off x="1418" y="1418"/>
                            <a:ext cx="9014" cy="6566"/>
                            <a:chOff x="1439" y="1418"/>
                            <a:chExt cx="9014" cy="6566"/>
                          </a:xfrm>
                        </wpg:grpSpPr>
                        <wps:wsp>
                          <wps:cNvPr id="6" name="Line 170"/>
                          <wps:cNvCnPr>
                            <a:cxnSpLocks noChangeShapeType="1"/>
                          </wps:cNvCnPr>
                          <wps:spPr bwMode="auto">
                            <a:xfrm>
                              <a:off x="4196" y="6123"/>
                              <a:ext cx="4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71"/>
                          <wps:cNvSpPr txBox="1">
                            <a:spLocks noChangeArrowheads="1"/>
                          </wps:cNvSpPr>
                          <wps:spPr bwMode="auto">
                            <a:xfrm>
                              <a:off x="1559" y="5538"/>
                              <a:ext cx="1678" cy="1523"/>
                            </a:xfrm>
                            <a:prstGeom prst="rect">
                              <a:avLst/>
                            </a:prstGeom>
                            <a:solidFill>
                              <a:srgbClr val="C0C0C0">
                                <a:alpha val="50000"/>
                              </a:srgbClr>
                            </a:solidFill>
                            <a:ln w="9525">
                              <a:solidFill>
                                <a:srgbClr val="000000"/>
                              </a:solidFill>
                              <a:miter lim="800000"/>
                              <a:headEnd/>
                              <a:tailEnd/>
                            </a:ln>
                          </wps:spPr>
                          <wps:txbx>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proofErr w:type="spellStart"/>
                                <w:r>
                                  <w:rPr>
                                    <w:rFonts w:ascii="Arial" w:hAnsi="Arial" w:cs="Arial"/>
                                    <w:b/>
                                    <w:bCs/>
                                    <w:color w:val="000000"/>
                                    <w:sz w:val="20"/>
                                  </w:rPr>
                                  <w:t>Qn</w:t>
                                </w:r>
                                <w:proofErr w:type="spellEnd"/>
                                <w:r>
                                  <w:rPr>
                                    <w:rFonts w:ascii="Arial" w:hAnsi="Arial" w:cs="Arial"/>
                                    <w:b/>
                                    <w:bCs/>
                                    <w:color w:val="000000"/>
                                    <w:sz w:val="20"/>
                                  </w:rPr>
                                  <w:t xml:space="preserve">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 xml:space="preserve">(Criminal </w:t>
                                </w:r>
                                <w:proofErr w:type="spellStart"/>
                                <w:r>
                                  <w:rPr>
                                    <w:rFonts w:ascii="Arial" w:hAnsi="Arial" w:cs="Arial"/>
                                    <w:b/>
                                    <w:bCs/>
                                    <w:i/>
                                    <w:iCs/>
                                    <w:color w:val="000000"/>
                                    <w:sz w:val="20"/>
                                  </w:rPr>
                                  <w:t>Div</w:t>
                                </w:r>
                                <w:proofErr w:type="spellEnd"/>
                                <w:r>
                                  <w:rPr>
                                    <w:rFonts w:ascii="Arial" w:hAnsi="Arial" w:cs="Arial"/>
                                    <w:b/>
                                    <w:bCs/>
                                    <w:i/>
                                    <w:iCs/>
                                    <w:color w:val="000000"/>
                                    <w:sz w:val="20"/>
                                  </w:rPr>
                                  <w:t>)</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wps:txbx>
                          <wps:bodyPr rot="0" vert="horz" wrap="square" lIns="91440" tIns="18000" rIns="91440" bIns="36000" anchor="t" anchorCtr="0" upright="1">
                            <a:noAutofit/>
                          </wps:bodyPr>
                        </wps:wsp>
                        <wps:wsp>
                          <wps:cNvPr id="8" name="Line 172"/>
                          <wps:cNvCnPr>
                            <a:cxnSpLocks noChangeShapeType="1"/>
                          </wps:cNvCnPr>
                          <wps:spPr bwMode="auto">
                            <a:xfrm>
                              <a:off x="4196" y="3941"/>
                              <a:ext cx="0" cy="21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73"/>
                          <wps:cNvCnPr>
                            <a:cxnSpLocks noChangeShapeType="1"/>
                          </wps:cNvCnPr>
                          <wps:spPr bwMode="auto">
                            <a:xfrm>
                              <a:off x="6359" y="6532"/>
                              <a:ext cx="0" cy="90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174"/>
                          <wps:cNvSpPr txBox="1">
                            <a:spLocks noChangeArrowheads="1"/>
                          </wps:cNvSpPr>
                          <wps:spPr bwMode="auto">
                            <a:xfrm>
                              <a:off x="4610" y="2413"/>
                              <a:ext cx="3024" cy="655"/>
                            </a:xfrm>
                            <a:prstGeom prst="rect">
                              <a:avLst/>
                            </a:prstGeom>
                            <a:solidFill>
                              <a:srgbClr val="000000"/>
                            </a:solidFill>
                            <a:ln w="9525">
                              <a:solidFill>
                                <a:srgbClr val="000000"/>
                              </a:solidFill>
                              <a:miter lim="800000"/>
                              <a:headEnd/>
                              <a:tailEnd/>
                            </a:ln>
                          </wps:spPr>
                          <wps:txbx>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country-region">
                                  <w:smartTag w:uri="urn:schemas-microsoft-com:office:smarttags" w:element="place">
                                    <w:r>
                                      <w:rPr>
                                        <w:rFonts w:ascii="Arial Narrow" w:hAnsi="Arial Narrow"/>
                                        <w:b/>
                                        <w:bCs/>
                                        <w:color w:val="FFFFFF"/>
                                        <w:sz w:val="22"/>
                                      </w:rPr>
                                      <w:t>AUSTRALIA</w:t>
                                    </w:r>
                                  </w:smartTag>
                                </w:smartTag>
                              </w:p>
                            </w:txbxContent>
                          </wps:txbx>
                          <wps:bodyPr rot="0" vert="horz" wrap="square" lIns="91440" tIns="36000" rIns="91440" bIns="36000" anchor="t" anchorCtr="0" upright="1">
                            <a:noAutofit/>
                          </wps:bodyPr>
                        </wps:wsp>
                        <wps:wsp>
                          <wps:cNvPr id="11" name="Text Box 175"/>
                          <wps:cNvSpPr txBox="1">
                            <a:spLocks noChangeArrowheads="1"/>
                          </wps:cNvSpPr>
                          <wps:spPr bwMode="auto">
                            <a:xfrm>
                              <a:off x="2375" y="7445"/>
                              <a:ext cx="3024" cy="539"/>
                            </a:xfrm>
                            <a:prstGeom prst="rect">
                              <a:avLst/>
                            </a:prstGeom>
                            <a:solidFill>
                              <a:srgbClr val="800080"/>
                            </a:solidFill>
                            <a:ln w="9525">
                              <a:solidFill>
                                <a:srgbClr val="000000"/>
                              </a:solidFill>
                              <a:miter lim="800000"/>
                              <a:headEnd/>
                              <a:tailEnd/>
                            </a:ln>
                          </wps:spPr>
                          <wps:txbx>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wps:txbx>
                          <wps:bodyPr rot="0" vert="horz" wrap="square" lIns="91440" tIns="18000" rIns="91440" bIns="36000" anchor="t" anchorCtr="0" upright="1">
                            <a:noAutofit/>
                          </wps:bodyPr>
                        </wps:wsp>
                        <wps:wsp>
                          <wps:cNvPr id="12" name="Line 176"/>
                          <wps:cNvCnPr>
                            <a:cxnSpLocks noChangeShapeType="1"/>
                          </wps:cNvCnPr>
                          <wps:spPr bwMode="auto">
                            <a:xfrm>
                              <a:off x="6118" y="305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177"/>
                          <wps:cNvCnPr>
                            <a:cxnSpLocks noChangeShapeType="1"/>
                          </wps:cNvCnPr>
                          <wps:spPr bwMode="auto">
                            <a:xfrm>
                              <a:off x="3239" y="5170"/>
                              <a:ext cx="141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8"/>
                          <wps:cNvSpPr txBox="1">
                            <a:spLocks noChangeArrowheads="1"/>
                          </wps:cNvSpPr>
                          <wps:spPr bwMode="auto">
                            <a:xfrm>
                              <a:off x="6119" y="7445"/>
                              <a:ext cx="3024" cy="539"/>
                            </a:xfrm>
                            <a:prstGeom prst="rect">
                              <a:avLst/>
                            </a:prstGeom>
                            <a:solidFill>
                              <a:srgbClr val="339966"/>
                            </a:solidFill>
                            <a:ln w="9525">
                              <a:solidFill>
                                <a:srgbClr val="000000"/>
                              </a:solidFill>
                              <a:miter lim="800000"/>
                              <a:headEnd/>
                              <a:tailEnd/>
                            </a:ln>
                          </wps:spPr>
                          <wps:txbx>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wps:txbx>
                          <wps:bodyPr rot="0" vert="horz" wrap="square" lIns="91440" tIns="18000" rIns="91440" bIns="36000" anchor="t" anchorCtr="0" upright="1">
                            <a:noAutofit/>
                          </wps:bodyPr>
                        </wps:wsp>
                        <wps:wsp>
                          <wps:cNvPr id="15" name="Rectangle 179"/>
                          <wps:cNvSpPr>
                            <a:spLocks noChangeArrowheads="1"/>
                          </wps:cNvSpPr>
                          <wps:spPr bwMode="auto">
                            <a:xfrm>
                              <a:off x="1439" y="1418"/>
                              <a:ext cx="9014" cy="434"/>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wps:txbx>
                          <wps:bodyPr rot="0" vert="horz" wrap="square" lIns="92075" tIns="46037" rIns="92075" bIns="46037" anchor="ctr" anchorCtr="0" upright="1">
                            <a:noAutofit/>
                          </wps:bodyPr>
                        </wps:wsp>
                        <wps:wsp>
                          <wps:cNvPr id="16" name="Text Box 180"/>
                          <wps:cNvSpPr txBox="1">
                            <a:spLocks noChangeArrowheads="1"/>
                          </wps:cNvSpPr>
                          <wps:spPr bwMode="auto">
                            <a:xfrm>
                              <a:off x="4610" y="5892"/>
                              <a:ext cx="3024" cy="655"/>
                            </a:xfrm>
                            <a:prstGeom prst="rect">
                              <a:avLst/>
                            </a:prstGeom>
                            <a:solidFill>
                              <a:srgbClr val="800080"/>
                            </a:solidFill>
                            <a:ln w="9525">
                              <a:solidFill>
                                <a:srgbClr val="000000"/>
                              </a:solidFill>
                              <a:miter lim="800000"/>
                              <a:headEnd/>
                              <a:tailEnd/>
                            </a:ln>
                          </wps:spPr>
                          <wps:txbx>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wps:txbx>
                          <wps:bodyPr rot="0" vert="horz" wrap="square" lIns="91440" tIns="18000" rIns="91440" bIns="36000" anchor="t" anchorCtr="0" upright="1">
                            <a:noAutofit/>
                          </wps:bodyPr>
                        </wps:wsp>
                        <wps:wsp>
                          <wps:cNvPr id="17" name="Text Box 181"/>
                          <wps:cNvSpPr txBox="1">
                            <a:spLocks noChangeArrowheads="1"/>
                          </wps:cNvSpPr>
                          <wps:spPr bwMode="auto">
                            <a:xfrm>
                              <a:off x="4610" y="3600"/>
                              <a:ext cx="3024" cy="654"/>
                            </a:xfrm>
                            <a:prstGeom prst="rect">
                              <a:avLst/>
                            </a:prstGeom>
                            <a:solidFill>
                              <a:srgbClr val="FF0000"/>
                            </a:solidFill>
                            <a:ln w="9525">
                              <a:solidFill>
                                <a:srgbClr val="000000"/>
                              </a:solidFill>
                              <a:miter lim="800000"/>
                              <a:headEnd/>
                              <a:tailEnd/>
                            </a:ln>
                          </wps:spPr>
                          <wps:txbx>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wps:txbx>
                          <wps:bodyPr rot="0" vert="horz" wrap="square" lIns="91440" tIns="18000" rIns="91440" bIns="36000" anchor="t" anchorCtr="0" upright="1">
                            <a:noAutofit/>
                          </wps:bodyPr>
                        </wps:wsp>
                        <wps:wsp>
                          <wps:cNvPr id="18" name="Text Box 182"/>
                          <wps:cNvSpPr txBox="1">
                            <a:spLocks noChangeArrowheads="1"/>
                          </wps:cNvSpPr>
                          <wps:spPr bwMode="auto">
                            <a:xfrm>
                              <a:off x="4655" y="4718"/>
                              <a:ext cx="3024" cy="655"/>
                            </a:xfrm>
                            <a:prstGeom prst="rect">
                              <a:avLst/>
                            </a:prstGeom>
                            <a:solidFill>
                              <a:srgbClr val="FF0000"/>
                            </a:solidFill>
                            <a:ln w="9525">
                              <a:solidFill>
                                <a:srgbClr val="000000"/>
                              </a:solidFill>
                              <a:miter lim="800000"/>
                              <a:headEnd/>
                              <a:tailEnd/>
                            </a:ln>
                          </wps:spPr>
                          <wps:txbx>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wps:txbx>
                          <wps:bodyPr rot="0" vert="horz" wrap="square" lIns="91440" tIns="18000" rIns="91440" bIns="36000" anchor="t" anchorCtr="0" upright="1">
                            <a:noAutofit/>
                          </wps:bodyPr>
                        </wps:wsp>
                        <wps:wsp>
                          <wps:cNvPr id="19" name="Line 183"/>
                          <wps:cNvCnPr>
                            <a:cxnSpLocks noChangeShapeType="1"/>
                          </wps:cNvCnPr>
                          <wps:spPr bwMode="auto">
                            <a:xfrm>
                              <a:off x="3239" y="5164"/>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184"/>
                          <wps:cNvCnPr>
                            <a:cxnSpLocks noChangeShapeType="1"/>
                          </wps:cNvCnPr>
                          <wps:spPr bwMode="auto">
                            <a:xfrm>
                              <a:off x="8639" y="5100"/>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Text Box 185"/>
                          <wps:cNvSpPr txBox="1">
                            <a:spLocks noChangeArrowheads="1"/>
                          </wps:cNvSpPr>
                          <wps:spPr bwMode="auto">
                            <a:xfrm>
                              <a:off x="8642" y="5782"/>
                              <a:ext cx="1678" cy="932"/>
                            </a:xfrm>
                            <a:prstGeom prst="rect">
                              <a:avLst/>
                            </a:prstGeom>
                            <a:solidFill>
                              <a:srgbClr val="C0C0C0">
                                <a:alpha val="50000"/>
                              </a:srgbClr>
                            </a:solidFill>
                            <a:ln w="9525">
                              <a:solidFill>
                                <a:srgbClr val="000000"/>
                              </a:solidFill>
                              <a:miter lim="800000"/>
                              <a:headEnd/>
                              <a:tailEnd/>
                            </a:ln>
                          </wps:spPr>
                          <wps:txbx>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wps:txbx>
                          <wps:bodyPr rot="0" vert="horz" wrap="square" lIns="91440" tIns="18000" rIns="91440" bIns="36000" anchor="t" anchorCtr="0" upright="1">
                            <a:noAutofit/>
                          </wps:bodyPr>
                        </wps:wsp>
                        <wps:wsp>
                          <wps:cNvPr id="22" name="Line 186"/>
                          <wps:cNvCnPr>
                            <a:cxnSpLocks noChangeShapeType="1"/>
                          </wps:cNvCnPr>
                          <wps:spPr bwMode="auto">
                            <a:xfrm>
                              <a:off x="7702" y="5126"/>
                              <a:ext cx="96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187"/>
                          <wps:cNvSpPr txBox="1">
                            <a:spLocks noChangeArrowheads="1"/>
                          </wps:cNvSpPr>
                          <wps:spPr bwMode="auto">
                            <a:xfrm>
                              <a:off x="6359" y="6698"/>
                              <a:ext cx="2098" cy="687"/>
                            </a:xfrm>
                            <a:prstGeom prst="rect">
                              <a:avLst/>
                            </a:prstGeom>
                            <a:solidFill>
                              <a:srgbClr val="C0C0C0">
                                <a:alpha val="50000"/>
                              </a:srgbClr>
                            </a:solidFill>
                            <a:ln w="9525">
                              <a:solidFill>
                                <a:srgbClr val="000000"/>
                              </a:solidFill>
                              <a:miter lim="800000"/>
                              <a:headEnd/>
                              <a:tailEnd/>
                            </a:ln>
                          </wps:spPr>
                          <wps:txbx>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wps:txbx>
                          <wps:bodyPr rot="0" vert="horz" wrap="square" lIns="91440" tIns="18000" rIns="91440" bIns="36000" anchor="t" anchorCtr="0" upright="1">
                            <a:noAutofit/>
                          </wps:bodyPr>
                        </wps:wsp>
                      </wpg:grpSp>
                    </wpg:wgp>
                  </a:graphicData>
                </a:graphic>
              </wp:inline>
            </w:drawing>
          </mc:Choice>
          <mc:Fallback>
            <w:pict>
              <v:group w14:anchorId="7BBBB048" id="Group 166" o:spid="_x0000_s1026" style="width:450.7pt;height:379.5pt;mso-position-horizontal-relative:char;mso-position-vertical-relative:line" coordorigin="1418,1418" coordsize="9014,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">
                <v:line id="Line 167" o:spid="_x0000_s1027"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" strokeweight="1.5pt">
                  <v:stroke startarrow="block"/>
                </v:line>
                <v:line id="Line 168" o:spid="_x0000_s1028"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group id="Group 169" o:spid="_x0000_s1029" style="position:absolute;left:1418;top:1418;width:9014;height:6566" coordorigin="1439,1418" coordsize="901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70" o:spid="_x0000_s1030"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type id="_x0000_t202" coordsize="21600,21600" o:spt="202" path="m,l,21600r21600,l21600,xe">
                    <v:stroke joinstyle="miter"/>
                    <v:path gradientshapeok="t" o:connecttype="rect"/>
                  </v:shapetype>
                  <v:shape id="Text Box 171" o:spid="_x0000_s1031" type="#_x0000_t202" style="position:absolute;left:1559;top:5538;width:1678;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" fillcolor="silver">
                    <v:fill opacity="32896f"/>
                    <v:textbox inset=",.5mm,,1mm">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proofErr w:type="spellStart"/>
                          <w:r>
                            <w:rPr>
                              <w:rFonts w:ascii="Arial" w:hAnsi="Arial" w:cs="Arial"/>
                              <w:b/>
                              <w:bCs/>
                              <w:color w:val="000000"/>
                              <w:sz w:val="20"/>
                            </w:rPr>
                            <w:t>Qn</w:t>
                          </w:r>
                          <w:proofErr w:type="spellEnd"/>
                          <w:r>
                            <w:rPr>
                              <w:rFonts w:ascii="Arial" w:hAnsi="Arial" w:cs="Arial"/>
                              <w:b/>
                              <w:bCs/>
                              <w:color w:val="000000"/>
                              <w:sz w:val="20"/>
                            </w:rPr>
                            <w:t xml:space="preserve">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 xml:space="preserve">(Criminal </w:t>
                          </w:r>
                          <w:proofErr w:type="spellStart"/>
                          <w:r>
                            <w:rPr>
                              <w:rFonts w:ascii="Arial" w:hAnsi="Arial" w:cs="Arial"/>
                              <w:b/>
                              <w:bCs/>
                              <w:i/>
                              <w:iCs/>
                              <w:color w:val="000000"/>
                              <w:sz w:val="20"/>
                            </w:rPr>
                            <w:t>Div</w:t>
                          </w:r>
                          <w:proofErr w:type="spellEnd"/>
                          <w:r>
                            <w:rPr>
                              <w:rFonts w:ascii="Arial" w:hAnsi="Arial" w:cs="Arial"/>
                              <w:b/>
                              <w:bCs/>
                              <w:i/>
                              <w:iCs/>
                              <w:color w:val="000000"/>
                              <w:sz w:val="20"/>
                            </w:rPr>
                            <w:t>)</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v:textbox>
                  </v:shape>
                  <v:line id="Line 172" o:spid="_x0000_s1032"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173" o:spid="_x0000_s1033"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" strokeweight="1.5pt">
                    <v:stroke startarrow="block"/>
                  </v:line>
                  <v:shape id="Text Box 174" o:spid="_x0000_s1034"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" fillcolor="black">
                    <v:textbox inset=",1mm,,1mm">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v:textbox>
                  </v:shape>
                  <v:shape id="Text Box 175" o:spid="_x0000_s1035" type="#_x0000_t202" style="position:absolute;left:2375;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" fillcolor="purple">
                    <v:textbox inset=",.5mm,,1mm">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1036"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" strokeweight="1.5pt">
                    <v:stroke startarrow="block"/>
                  </v:line>
                  <v:line id="Line 177" o:spid="_x0000_s1037"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shape id="Text Box 178" o:spid="_x0000_s1038" type="#_x0000_t202" style="position:absolute;left:6119;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" fillcolor="#396">
                    <v:textbox inset=",.5mm,,1mm">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1039" style="position:absolute;left:1439;top:1418;width:9014;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" fillcolor="black" strokeweight="4pt">
                    <v:shadow color="#a0a0a0"/>
                    <v:textbox inset="7.25pt,1.2788mm,7.25pt,1.2788mm">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v:textbox>
                  </v:rect>
                  <v:shape id="Text Box 180" o:spid="_x0000_s1040"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" fillcolor="purple">
                    <v:textbox inset=",.5mm,,1mm">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1041"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" fillcolor="red">
                    <v:textbox inset=",.5mm,,1mm">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1042"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" fillcolor="red">
                    <v:textbox inset=",.5mm,,1mm">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1043"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" strokeweight="1.5pt">
                    <v:stroke startarrow="block"/>
                  </v:line>
                  <v:line id="Line 184" o:spid="_x0000_s1044"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" strokeweight="1.5pt">
                    <v:stroke startarrow="block"/>
                  </v:line>
                  <v:shape id="Text Box 185" o:spid="_x0000_s1045" type="#_x0000_t202" style="position:absolute;left:8642;top:5782;width:1678;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" fillcolor="silver">
                    <v:fill opacity="32896f"/>
                    <v:textbox inset=",.5mm,,1mm">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1046"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" strokeweight="1.5pt">
                    <v:stroke startarrow="block"/>
                  </v:line>
                  <v:shape id="Text Box 187" o:spid="_x0000_s1047" type="#_x0000_t202" style="position:absolute;left:6359;top:6698;width:209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" fillcolor="silver">
                    <v:fill opacity="32896f"/>
                    <v:textbox inset=",.5mm,,1mm">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v:textbox>
                  </v:shape>
                </v:group>
                <w10:anchorlock/>
              </v:group>
            </w:pict>
          </mc:Fallback>
        </mc:AlternateConten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rsidTr="00A064DE">
        <w:tc>
          <w:tcPr>
            <w:tcW w:w="1801"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110"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rsidTr="00A064DE">
        <w:tc>
          <w:tcPr>
            <w:tcW w:w="395"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06"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proofErr w:type="spellStart"/>
            <w:r>
              <w:rPr>
                <w:rFonts w:ascii="Arial" w:hAnsi="Arial" w:cs="Arial"/>
                <w:i/>
                <w:iCs/>
                <w:sz w:val="20"/>
              </w:rPr>
              <w:t>stricto</w:t>
            </w:r>
            <w:proofErr w:type="spellEnd"/>
            <w:r>
              <w:rPr>
                <w:rFonts w:ascii="Arial" w:hAnsi="Arial" w:cs="Arial"/>
                <w:i/>
                <w:iCs/>
                <w:sz w:val="20"/>
              </w:rPr>
              <w:t xml:space="preserve"> </w:t>
            </w:r>
            <w:proofErr w:type="spellStart"/>
            <w:r>
              <w:rPr>
                <w:rFonts w:ascii="Arial" w:hAnsi="Arial" w:cs="Arial"/>
                <w:i/>
                <w:iCs/>
                <w:sz w:val="20"/>
              </w:rPr>
              <w:t>sensu</w:t>
            </w:r>
            <w:proofErr w:type="spellEnd"/>
            <w:r>
              <w:rPr>
                <w:rFonts w:ascii="Arial" w:hAnsi="Arial" w:cs="Arial"/>
                <w:sz w:val="20"/>
              </w:rPr>
              <w:t>]</w:t>
            </w:r>
          </w:p>
        </w:tc>
        <w:tc>
          <w:tcPr>
            <w:tcW w:w="7110" w:type="dxa"/>
            <w:tcBorders>
              <w:top w:val="single" w:sz="18" w:space="0" w:color="auto"/>
              <w:bottom w:val="single" w:sz="4" w:space="0" w:color="auto"/>
            </w:tcBorders>
          </w:tcPr>
          <w:p w14:paraId="73746BA1" w14:textId="2CA4FB08"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 xml:space="preserve">final order of the </w:t>
            </w:r>
            <w:r w:rsidR="00E978C0">
              <w:rPr>
                <w:rFonts w:ascii="Arial" w:hAnsi="Arial" w:cs="Arial"/>
                <w:sz w:val="20"/>
              </w:rPr>
              <w:t>CCV</w:t>
            </w:r>
            <w:r>
              <w:rPr>
                <w:rFonts w:ascii="Arial" w:hAnsi="Arial" w:cs="Arial"/>
                <w:sz w:val="20"/>
              </w:rPr>
              <w:t xml:space="preserve">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rsidTr="00A064DE">
        <w:tc>
          <w:tcPr>
            <w:tcW w:w="395"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06"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110"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rsidTr="00A064DE">
        <w:tc>
          <w:tcPr>
            <w:tcW w:w="395"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06"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110" w:type="dxa"/>
          </w:tcPr>
          <w:p w14:paraId="49C6B42C" w14:textId="77777777" w:rsidR="00B21DA4" w:rsidRDefault="00B21DA4" w:rsidP="00AC2791">
            <w:pPr>
              <w:jc w:val="both"/>
              <w:rPr>
                <w:rFonts w:ascii="Arial" w:hAnsi="Arial" w:cs="Arial"/>
                <w:sz w:val="20"/>
              </w:rPr>
            </w:pPr>
            <w:r>
              <w:rPr>
                <w:rFonts w:ascii="Arial" w:hAnsi="Arial" w:cs="Arial"/>
                <w:sz w:val="20"/>
              </w:rPr>
              <w:t xml:space="preserve">Order 56.01(1) of Supreme Court Rules provides that the jurisdiction of the Supreme Court to </w:t>
            </w:r>
            <w:bookmarkStart w:id="1101" w:name="_Hlk89260004"/>
            <w:r>
              <w:rPr>
                <w:rFonts w:ascii="Arial" w:hAnsi="Arial" w:cs="Arial"/>
                <w:sz w:val="20"/>
              </w:rPr>
              <w:t xml:space="preserve">grant any relief or remedy in the nature of certiorari, mandamus, prohibition or quo warranto </w:t>
            </w:r>
            <w:bookmarkEnd w:id="1101"/>
            <w:r>
              <w:rPr>
                <w:rFonts w:ascii="Arial" w:hAnsi="Arial" w:cs="Arial"/>
                <w:sz w:val="20"/>
              </w:rPr>
              <w:t>shall be exercised only by way of judgment or order (including interlocutory order) and in a proceeding commenced in accordance with these Rules.</w:t>
            </w:r>
          </w:p>
        </w:tc>
      </w:tr>
      <w:tr w:rsidR="00B21DA4" w14:paraId="0B848D5F" w14:textId="77777777" w:rsidTr="00147CF9">
        <w:tc>
          <w:tcPr>
            <w:tcW w:w="395" w:type="dxa"/>
            <w:tcBorders>
              <w:bottom w:val="single" w:sz="4" w:space="0" w:color="auto"/>
            </w:tcBorders>
          </w:tcPr>
          <w:p w14:paraId="3DC1EA28" w14:textId="77777777" w:rsidR="00B21DA4" w:rsidRDefault="00B21DA4" w:rsidP="00C37348">
            <w:pPr>
              <w:jc w:val="center"/>
              <w:rPr>
                <w:rFonts w:ascii="Arial" w:hAnsi="Arial" w:cs="Arial"/>
                <w:sz w:val="20"/>
              </w:rPr>
            </w:pPr>
            <w:r>
              <w:rPr>
                <w:rFonts w:ascii="Arial" w:hAnsi="Arial" w:cs="Arial"/>
                <w:sz w:val="20"/>
              </w:rPr>
              <w:t>4</w:t>
            </w:r>
          </w:p>
        </w:tc>
        <w:tc>
          <w:tcPr>
            <w:tcW w:w="1406" w:type="dxa"/>
            <w:tcBorders>
              <w:bottom w:val="single" w:sz="4" w:space="0" w:color="auto"/>
            </w:tcBorders>
          </w:tcPr>
          <w:p w14:paraId="5340CB89" w14:textId="4E050228" w:rsidR="00B21DA4" w:rsidRDefault="00AC5724" w:rsidP="00C37348">
            <w:pPr>
              <w:jc w:val="center"/>
              <w:rPr>
                <w:rFonts w:ascii="Arial" w:hAnsi="Arial" w:cs="Arial"/>
                <w:sz w:val="20"/>
              </w:rPr>
            </w:pPr>
            <w:r>
              <w:rPr>
                <w:rFonts w:ascii="Arial" w:hAnsi="Arial" w:cs="Arial"/>
                <w:sz w:val="20"/>
              </w:rPr>
              <w:t>Rehearing Criminal Division</w:t>
            </w:r>
          </w:p>
        </w:tc>
        <w:tc>
          <w:tcPr>
            <w:tcW w:w="7110" w:type="dxa"/>
            <w:tcBorders>
              <w:bottom w:val="single" w:sz="4" w:space="0" w:color="auto"/>
            </w:tcBorders>
          </w:tcPr>
          <w:p w14:paraId="3445D765" w14:textId="5BA42141" w:rsidR="00E60F08" w:rsidRDefault="00B21DA4" w:rsidP="00D772F0">
            <w:pPr>
              <w:pStyle w:val="ListParagraph"/>
              <w:keepNext/>
              <w:keepLines/>
              <w:numPr>
                <w:ilvl w:val="0"/>
                <w:numId w:val="80"/>
              </w:numPr>
              <w:ind w:left="357" w:hanging="357"/>
              <w:jc w:val="both"/>
              <w:rPr>
                <w:rFonts w:ascii="Arial" w:hAnsi="Arial" w:cs="Arial"/>
                <w:sz w:val="20"/>
              </w:rPr>
            </w:pPr>
            <w:r w:rsidRPr="00E60F08">
              <w:rPr>
                <w:rFonts w:ascii="Arial" w:hAnsi="Arial" w:cs="Arial"/>
                <w:sz w:val="20"/>
              </w:rPr>
              <w:t>A right of appeal by certain persons against certain order</w:t>
            </w:r>
            <w:r w:rsidR="007D59CE" w:rsidRPr="00E60F08">
              <w:rPr>
                <w:rFonts w:ascii="Arial" w:hAnsi="Arial" w:cs="Arial"/>
                <w:sz w:val="20"/>
              </w:rPr>
              <w:t xml:space="preserve">s of the </w:t>
            </w:r>
            <w:r w:rsidR="00A9750C" w:rsidRPr="00E60F08">
              <w:rPr>
                <w:rFonts w:ascii="Arial" w:hAnsi="Arial" w:cs="Arial"/>
                <w:sz w:val="20"/>
              </w:rPr>
              <w:t xml:space="preserve">Criminal Division of the </w:t>
            </w:r>
            <w:r w:rsidR="002E1818">
              <w:rPr>
                <w:rFonts w:ascii="Arial" w:hAnsi="Arial" w:cs="Arial"/>
                <w:sz w:val="20"/>
              </w:rPr>
              <w:t>CCV</w:t>
            </w:r>
            <w:r w:rsidR="007D59CE" w:rsidRPr="00E60F08">
              <w:rPr>
                <w:rFonts w:ascii="Arial" w:hAnsi="Arial" w:cs="Arial"/>
                <w:sz w:val="20"/>
              </w:rPr>
              <w:t xml:space="preserve"> is granted and regulated by ss.</w:t>
            </w:r>
            <w:r w:rsidR="00477335" w:rsidRPr="00E60F08">
              <w:rPr>
                <w:rFonts w:ascii="Arial" w:hAnsi="Arial" w:cs="Arial"/>
                <w:sz w:val="20"/>
              </w:rPr>
              <w:t>424</w:t>
            </w:r>
            <w:r w:rsidR="00AC4A02" w:rsidRPr="00E60F08">
              <w:rPr>
                <w:rFonts w:ascii="Arial" w:hAnsi="Arial" w:cs="Arial"/>
                <w:sz w:val="20"/>
              </w:rPr>
              <w:t>-430O</w:t>
            </w:r>
            <w:r w:rsidRPr="00E60F08">
              <w:rPr>
                <w:rFonts w:ascii="Arial" w:hAnsi="Arial" w:cs="Arial"/>
                <w:sz w:val="20"/>
              </w:rPr>
              <w:t xml:space="preserve"> of the CY</w:t>
            </w:r>
            <w:r w:rsidR="00477335" w:rsidRPr="00E60F08">
              <w:rPr>
                <w:rFonts w:ascii="Arial" w:hAnsi="Arial" w:cs="Arial"/>
                <w:sz w:val="20"/>
              </w:rPr>
              <w:t>F</w:t>
            </w:r>
            <w:r w:rsidRPr="00E60F08">
              <w:rPr>
                <w:rFonts w:ascii="Arial" w:hAnsi="Arial" w:cs="Arial"/>
                <w:sz w:val="20"/>
              </w:rPr>
              <w:t>A.</w:t>
            </w:r>
          </w:p>
          <w:p w14:paraId="37F74534" w14:textId="35D5D966" w:rsidR="00E60F08" w:rsidRDefault="00E60F08" w:rsidP="00D772F0">
            <w:pPr>
              <w:pStyle w:val="ListParagraph"/>
              <w:keepNext/>
              <w:keepLines/>
              <w:numPr>
                <w:ilvl w:val="0"/>
                <w:numId w:val="80"/>
              </w:numPr>
              <w:ind w:left="357" w:hanging="357"/>
              <w:jc w:val="both"/>
              <w:rPr>
                <w:rFonts w:ascii="Arial" w:hAnsi="Arial" w:cs="Arial"/>
                <w:sz w:val="20"/>
              </w:rPr>
            </w:pPr>
            <w:r>
              <w:rPr>
                <w:rFonts w:ascii="Arial" w:hAnsi="Arial" w:cs="Arial"/>
                <w:sz w:val="20"/>
              </w:rPr>
              <w:t>An appeal from a decision of the President is heard by a single judge in the Trial Division of the Supreme Court.  An appeal from a decision of a Magistrate is heard in the County Court.</w:t>
            </w:r>
          </w:p>
          <w:p w14:paraId="2C5F5715" w14:textId="77777777" w:rsidR="00F33A3F" w:rsidRDefault="00F33A3F" w:rsidP="00D772F0">
            <w:pPr>
              <w:pStyle w:val="ListParagraph"/>
              <w:keepNext/>
              <w:keepLines/>
              <w:numPr>
                <w:ilvl w:val="0"/>
                <w:numId w:val="80"/>
              </w:numPr>
              <w:ind w:left="357" w:hanging="357"/>
              <w:jc w:val="both"/>
              <w:rPr>
                <w:rFonts w:ascii="Arial" w:hAnsi="Arial" w:cs="Arial"/>
                <w:sz w:val="20"/>
              </w:rPr>
            </w:pPr>
            <w:r>
              <w:rPr>
                <w:rFonts w:ascii="Arial" w:hAnsi="Arial" w:cs="Arial"/>
                <w:sz w:val="20"/>
              </w:rPr>
              <w:t>The appellant need show no error by the trial judge/magistrate.</w:t>
            </w:r>
          </w:p>
          <w:p w14:paraId="731F1C10" w14:textId="3CE59153" w:rsidR="00B21DA4" w:rsidRPr="00F33A3F" w:rsidRDefault="00E60F08" w:rsidP="00D772F0">
            <w:pPr>
              <w:pStyle w:val="ListParagraph"/>
              <w:keepNext/>
              <w:keepLines/>
              <w:numPr>
                <w:ilvl w:val="0"/>
                <w:numId w:val="80"/>
              </w:numPr>
              <w:ind w:left="357" w:hanging="357"/>
              <w:jc w:val="both"/>
              <w:rPr>
                <w:rFonts w:ascii="Arial" w:hAnsi="Arial" w:cs="Arial"/>
                <w:sz w:val="20"/>
              </w:rPr>
            </w:pPr>
            <w:r>
              <w:rPr>
                <w:rFonts w:ascii="Arial" w:hAnsi="Arial" w:cs="Arial"/>
                <w:sz w:val="20"/>
              </w:rPr>
              <w:t>The appeal proceeds by way of a rehearing, not by a determination of whether the orders made by the Children's Court should or should not have been made [see ss.426(1) &amp; 429(1)]</w:t>
            </w:r>
          </w:p>
        </w:tc>
      </w:tr>
      <w:tr w:rsidR="00AC5724" w14:paraId="343C3341" w14:textId="77777777" w:rsidTr="00147CF9">
        <w:tc>
          <w:tcPr>
            <w:tcW w:w="395" w:type="dxa"/>
            <w:tcBorders>
              <w:top w:val="single" w:sz="4" w:space="0" w:color="auto"/>
              <w:bottom w:val="single" w:sz="18" w:space="0" w:color="auto"/>
            </w:tcBorders>
          </w:tcPr>
          <w:p w14:paraId="71FAE1E9" w14:textId="4A9788A1" w:rsidR="00AC5724" w:rsidRDefault="00AC5724" w:rsidP="00147CF9">
            <w:pPr>
              <w:jc w:val="center"/>
              <w:rPr>
                <w:rFonts w:ascii="Arial" w:hAnsi="Arial" w:cs="Arial"/>
                <w:sz w:val="20"/>
              </w:rPr>
            </w:pPr>
            <w:r>
              <w:rPr>
                <w:rFonts w:ascii="Arial" w:hAnsi="Arial" w:cs="Arial"/>
                <w:sz w:val="20"/>
              </w:rPr>
              <w:t>5</w:t>
            </w:r>
          </w:p>
        </w:tc>
        <w:tc>
          <w:tcPr>
            <w:tcW w:w="1406" w:type="dxa"/>
            <w:tcBorders>
              <w:top w:val="single" w:sz="4" w:space="0" w:color="auto"/>
              <w:bottom w:val="single" w:sz="18" w:space="0" w:color="auto"/>
            </w:tcBorders>
          </w:tcPr>
          <w:p w14:paraId="40B9AD3E" w14:textId="75717780" w:rsidR="00AC5724" w:rsidRDefault="00AC5724" w:rsidP="00147CF9">
            <w:pPr>
              <w:jc w:val="center"/>
              <w:rPr>
                <w:rFonts w:ascii="Arial" w:hAnsi="Arial" w:cs="Arial"/>
                <w:sz w:val="20"/>
              </w:rPr>
            </w:pPr>
            <w:r>
              <w:rPr>
                <w:rFonts w:ascii="Arial" w:hAnsi="Arial" w:cs="Arial"/>
                <w:sz w:val="20"/>
              </w:rPr>
              <w:t>Intervention order appeal</w:t>
            </w:r>
          </w:p>
        </w:tc>
        <w:tc>
          <w:tcPr>
            <w:tcW w:w="7110" w:type="dxa"/>
            <w:tcBorders>
              <w:top w:val="single" w:sz="4" w:space="0" w:color="auto"/>
              <w:bottom w:val="single" w:sz="18" w:space="0" w:color="auto"/>
            </w:tcBorders>
          </w:tcPr>
          <w:p w14:paraId="2E37F845" w14:textId="24386A49" w:rsidR="00AC5724" w:rsidRDefault="00AC5724" w:rsidP="00147CF9">
            <w:pPr>
              <w:keepNext/>
              <w:keepLines/>
              <w:jc w:val="both"/>
              <w:rPr>
                <w:rFonts w:ascii="Arial" w:hAnsi="Arial" w:cs="Arial"/>
                <w:sz w:val="20"/>
              </w:rPr>
            </w:pPr>
            <w:r w:rsidRPr="00147CF9">
              <w:rPr>
                <w:rFonts w:ascii="Arial" w:hAnsi="Arial" w:cs="Arial"/>
                <w:iCs/>
                <w:sz w:val="20"/>
              </w:rPr>
              <w:t xml:space="preserve">A detailed discussion of </w:t>
            </w:r>
            <w:bookmarkStart w:id="1102" w:name="_Hlk89255537"/>
            <w:r w:rsidR="00147CF9" w:rsidRPr="00147CF9">
              <w:rPr>
                <w:rFonts w:ascii="Arial" w:hAnsi="Arial" w:cs="Arial"/>
                <w:sz w:val="20"/>
              </w:rPr>
              <w:t>ss.114-121 of the FVPA and ss.91-98 of the PSIA</w:t>
            </w:r>
            <w:r>
              <w:rPr>
                <w:rFonts w:ascii="Arial" w:hAnsi="Arial" w:cs="Arial"/>
                <w:iCs/>
                <w:sz w:val="20"/>
              </w:rPr>
              <w:t xml:space="preserve"> </w:t>
            </w:r>
            <w:bookmarkEnd w:id="1102"/>
            <w:r>
              <w:rPr>
                <w:rFonts w:ascii="Arial" w:hAnsi="Arial" w:cs="Arial"/>
                <w:iCs/>
                <w:sz w:val="20"/>
              </w:rPr>
              <w:t>relating to appeals against an order of the Family Division of the CCV making or refusing to make an intervention order is contained in chapter #6.14 of these Research Materials.</w:t>
            </w:r>
          </w:p>
        </w:tc>
      </w:tr>
    </w:tbl>
    <w:p w14:paraId="62EA7344" w14:textId="77777777" w:rsidR="00AC5724" w:rsidRDefault="00AC5724" w:rsidP="00E60F08">
      <w:pPr>
        <w:jc w:val="both"/>
        <w:rPr>
          <w:rFonts w:ascii="Arial" w:hAnsi="Arial" w:cs="Arial"/>
          <w:iCs/>
          <w:sz w:val="20"/>
        </w:rPr>
      </w:pPr>
    </w:p>
    <w:p w14:paraId="57B7FDBD" w14:textId="1BCAA794" w:rsidR="00E60F08" w:rsidRDefault="00E60F08" w:rsidP="00E60F08">
      <w:pPr>
        <w:jc w:val="both"/>
        <w:rPr>
          <w:rFonts w:ascii="Arial" w:hAnsi="Arial" w:cs="Arial"/>
          <w:sz w:val="20"/>
        </w:rPr>
      </w:pPr>
      <w:r w:rsidRPr="007E32F7">
        <w:rPr>
          <w:rFonts w:ascii="Arial" w:hAnsi="Arial" w:cs="Arial"/>
          <w:iCs/>
          <w:sz w:val="20"/>
        </w:rPr>
        <w:lastRenderedPageBreak/>
        <w:t>For</w:t>
      </w:r>
      <w:r>
        <w:rPr>
          <w:rFonts w:ascii="Arial" w:hAnsi="Arial" w:cs="Arial"/>
          <w:iCs/>
          <w:sz w:val="20"/>
        </w:rPr>
        <w:t xml:space="preserve"> an analysis of the nature of appeals by way of rehearing and a discussion of the procedure to be followed on such appeals, see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 xml:space="preserve">H v R &amp; </w:t>
      </w:r>
      <w:proofErr w:type="spellStart"/>
      <w:r w:rsidRPr="00A7661E">
        <w:rPr>
          <w:rFonts w:ascii="Arial" w:hAnsi="Arial" w:cs="Arial"/>
          <w:i/>
          <w:iCs/>
          <w:sz w:val="20"/>
        </w:rPr>
        <w:t>Ors</w:t>
      </w:r>
      <w:proofErr w:type="spellEnd"/>
      <w:r>
        <w:rPr>
          <w:rFonts w:ascii="Arial" w:hAnsi="Arial" w:cs="Arial"/>
          <w:iCs/>
          <w:sz w:val="20"/>
        </w:rPr>
        <w:t xml:space="preserve"> [2008] VSC 369 at [9]-[10] per Forrest J citing </w:t>
      </w:r>
      <w:r w:rsidRPr="00A7661E">
        <w:rPr>
          <w:rFonts w:ascii="Arial" w:hAnsi="Arial" w:cs="Arial"/>
          <w:i/>
          <w:iCs/>
          <w:sz w:val="20"/>
        </w:rPr>
        <w:t xml:space="preserve">Humphries v </w:t>
      </w:r>
      <w:proofErr w:type="spellStart"/>
      <w:r w:rsidRPr="00A7661E">
        <w:rPr>
          <w:rFonts w:ascii="Arial" w:hAnsi="Arial" w:cs="Arial"/>
          <w:i/>
          <w:iCs/>
          <w:sz w:val="20"/>
        </w:rPr>
        <w:t>Poljak</w:t>
      </w:r>
      <w:proofErr w:type="spellEnd"/>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w:t>
      </w:r>
      <w:proofErr w:type="spellStart"/>
      <w:r>
        <w:rPr>
          <w:rFonts w:ascii="Arial" w:hAnsi="Arial" w:cs="Arial"/>
          <w:iCs/>
          <w:sz w:val="20"/>
        </w:rPr>
        <w:t>Southwell</w:t>
      </w:r>
      <w:proofErr w:type="spellEnd"/>
      <w:r>
        <w:rPr>
          <w:rFonts w:ascii="Arial" w:hAnsi="Arial" w:cs="Arial"/>
          <w:iCs/>
          <w:sz w:val="20"/>
        </w:rPr>
        <w:t xml:space="preserve"> JJ.</w:t>
      </w:r>
    </w:p>
    <w:p w14:paraId="0D7425D5" w14:textId="77777777" w:rsidR="00E60F08" w:rsidRDefault="00E60F08" w:rsidP="00E60F08">
      <w:pPr>
        <w:jc w:val="both"/>
        <w:rPr>
          <w:rFonts w:ascii="Arial" w:hAnsi="Arial" w:cs="Arial"/>
          <w:sz w:val="20"/>
        </w:rPr>
      </w:pPr>
    </w:p>
    <w:p w14:paraId="10A960AB" w14:textId="78A835EC" w:rsidR="00B21DA4" w:rsidRDefault="00B21DA4" w:rsidP="00E60F08">
      <w:pPr>
        <w:jc w:val="both"/>
        <w:rPr>
          <w:rFonts w:ascii="Arial" w:hAnsi="Arial" w:cs="Arial"/>
          <w:sz w:val="20"/>
        </w:rPr>
      </w:pPr>
      <w:r>
        <w:rPr>
          <w:rFonts w:ascii="Arial" w:hAnsi="Arial" w:cs="Arial"/>
          <w:sz w:val="20"/>
        </w:rPr>
        <w:t>Examples of appealable</w:t>
      </w:r>
      <w:r w:rsidR="00B13110">
        <w:rPr>
          <w:rFonts w:ascii="Arial" w:hAnsi="Arial" w:cs="Arial"/>
          <w:sz w:val="20"/>
        </w:rPr>
        <w:t>/reviewable</w:t>
      </w:r>
      <w:r>
        <w:rPr>
          <w:rFonts w:ascii="Arial" w:hAnsi="Arial" w:cs="Arial"/>
          <w:sz w:val="20"/>
        </w:rPr>
        <w:t xml:space="preserve"> errors of law are-</w:t>
      </w:r>
    </w:p>
    <w:p w14:paraId="4CEE32FF"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2FB70146"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1AB8AE6D" w14:textId="176FA899" w:rsidR="00027D50" w:rsidRDefault="00027D50" w:rsidP="00212E38">
      <w:pPr>
        <w:numPr>
          <w:ilvl w:val="0"/>
          <w:numId w:val="7"/>
        </w:numPr>
        <w:ind w:left="357" w:hanging="357"/>
        <w:jc w:val="both"/>
        <w:rPr>
          <w:rFonts w:ascii="Arial" w:hAnsi="Arial" w:cs="Arial"/>
          <w:sz w:val="20"/>
        </w:rPr>
      </w:pPr>
      <w:r>
        <w:rPr>
          <w:rFonts w:ascii="Arial" w:hAnsi="Arial" w:cs="Arial"/>
          <w:sz w:val="20"/>
        </w:rPr>
        <w:t>a failure to provide procedural fairness to one or more of the parties;</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w:t>
      </w:r>
      <w:proofErr w:type="spellStart"/>
      <w:r>
        <w:rPr>
          <w:rFonts w:ascii="Arial" w:hAnsi="Arial" w:cs="Arial"/>
          <w:sz w:val="20"/>
        </w:rPr>
        <w:t>Balmford</w:t>
      </w:r>
      <w:proofErr w:type="spellEnd"/>
      <w:r>
        <w:rPr>
          <w:rFonts w:ascii="Arial" w:hAnsi="Arial" w:cs="Arial"/>
          <w:sz w:val="20"/>
        </w:rPr>
        <w:t xml:space="preserve">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6386478"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4554FBA1" w:rsidR="00B21DA4" w:rsidRDefault="000C1B40">
      <w:pPr>
        <w:jc w:val="both"/>
        <w:rPr>
          <w:rFonts w:ascii="Arial" w:hAnsi="Arial" w:cs="Arial"/>
          <w:sz w:val="20"/>
        </w:rPr>
      </w:pPr>
      <w:r>
        <w:rPr>
          <w:rFonts w:ascii="Arial" w:hAnsi="Arial" w:cs="Arial"/>
          <w:sz w:val="20"/>
        </w:rPr>
        <w:t xml:space="preserve">Sections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v DOHS</w:t>
      </w:r>
      <w:r w:rsidR="00B21DA4">
        <w:rPr>
          <w:rFonts w:ascii="Arial" w:hAnsi="Arial" w:cs="Arial"/>
          <w:sz w:val="20"/>
        </w:rPr>
        <w:t xml:space="preserve"> [2003] VSC 134 at [29] </w:t>
      </w:r>
      <w:proofErr w:type="spellStart"/>
      <w:r w:rsidR="00B21DA4">
        <w:rPr>
          <w:rFonts w:ascii="Arial" w:hAnsi="Arial" w:cs="Arial"/>
          <w:sz w:val="20"/>
        </w:rPr>
        <w:t>Habersberger</w:t>
      </w:r>
      <w:proofErr w:type="spellEnd"/>
      <w:r w:rsidR="00B21DA4">
        <w:rPr>
          <w:rFonts w:ascii="Arial" w:hAnsi="Arial" w:cs="Arial"/>
          <w:sz w:val="20"/>
        </w:rPr>
        <w:t xml:space="preserve"> J held that there is no statutory provision giving the County Court jurisdiction to grant a stay of an order of the Children's Court prior to the actual hearing of an appeal.  However at [31] his Honour held </w:t>
      </w:r>
      <w:r w:rsidR="005875FB">
        <w:rPr>
          <w:rFonts w:ascii="Arial" w:hAnsi="Arial" w:cs="Arial"/>
          <w:sz w:val="20"/>
        </w:rPr>
        <w:t>–</w:t>
      </w:r>
      <w:r w:rsidR="00B21DA4">
        <w:rPr>
          <w:rFonts w:ascii="Arial" w:hAnsi="Arial" w:cs="Arial"/>
          <w:sz w:val="20"/>
        </w:rPr>
        <w:t xml:space="preserve"> on</w:t>
      </w:r>
      <w:r w:rsidR="005875FB">
        <w:rPr>
          <w:rFonts w:ascii="Arial" w:hAnsi="Arial" w:cs="Arial"/>
          <w:sz w:val="20"/>
        </w:rPr>
        <w:t xml:space="preserve"> </w:t>
      </w:r>
      <w:r w:rsidR="00B21DA4">
        <w:rPr>
          <w:rFonts w:ascii="Arial" w:hAnsi="Arial" w:cs="Arial"/>
          <w:sz w:val="20"/>
        </w:rPr>
        <w:t xml:space="preserve">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w:t>
      </w:r>
      <w:r w:rsidR="005875FB">
        <w:rPr>
          <w:rFonts w:ascii="Arial" w:hAnsi="Arial" w:cs="Arial"/>
          <w:sz w:val="20"/>
        </w:rPr>
        <w:t>–</w:t>
      </w:r>
      <w:r w:rsidR="00B21DA4">
        <w:rPr>
          <w:rFonts w:ascii="Arial" w:hAnsi="Arial" w:cs="Arial"/>
          <w:sz w:val="20"/>
        </w:rPr>
        <w:t xml:space="preserve"> that</w:t>
      </w:r>
      <w:r w:rsidR="005875FB">
        <w:rPr>
          <w:rFonts w:ascii="Arial" w:hAnsi="Arial" w:cs="Arial"/>
          <w:sz w:val="20"/>
        </w:rPr>
        <w:t xml:space="preserve"> </w:t>
      </w:r>
      <w:r w:rsidR="00B21DA4">
        <w:rPr>
          <w:rFonts w:ascii="Arial" w:hAnsi="Arial" w:cs="Arial"/>
          <w:sz w:val="20"/>
        </w:rPr>
        <w:t xml:space="preserve">the County Court has an inherent power to </w:t>
      </w:r>
      <w:r w:rsidR="00A064DE">
        <w:rPr>
          <w:rFonts w:ascii="Arial" w:hAnsi="Arial" w:cs="Arial"/>
          <w:sz w:val="20"/>
        </w:rPr>
        <w:t>grant</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03D4993B" w:rsidR="00433AC1" w:rsidRDefault="00433AC1" w:rsidP="003C751E">
      <w:pPr>
        <w:jc w:val="both"/>
        <w:rPr>
          <w:rFonts w:ascii="Arial" w:hAnsi="Arial" w:cs="Arial"/>
          <w:sz w:val="20"/>
        </w:rPr>
      </w:pPr>
    </w:p>
    <w:bookmarkStart w:id="1103" w:name="_3.10.2_Reviews_of"/>
    <w:bookmarkEnd w:id="1103"/>
    <w:p w14:paraId="4C129A31" w14:textId="74DF863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fldChar w:fldCharType="separate"/>
      </w:r>
      <w:r w:rsidRPr="00465206">
        <w:rPr>
          <w:rStyle w:val="Hyperlink"/>
          <w:rFonts w:ascii="Arial" w:hAnsi="Arial" w:cs="Arial"/>
          <w:b/>
          <w:bCs/>
          <w:color w:val="000000" w:themeColor="text1"/>
          <w:sz w:val="20"/>
          <w:u w:val="none"/>
        </w:rPr>
        <w:t>3.10.2</w:t>
      </w:r>
      <w:r w:rsidRPr="00465206">
        <w:rPr>
          <w:rStyle w:val="Hyperlink"/>
          <w:rFonts w:ascii="Arial" w:hAnsi="Arial" w:cs="Arial"/>
          <w:b/>
          <w:bCs/>
          <w:color w:val="000000" w:themeColor="text1"/>
          <w:sz w:val="20"/>
          <w:u w:val="none"/>
        </w:rPr>
        <w:tab/>
        <w:t>Reviews o</w:t>
      </w:r>
      <w:r w:rsidR="00991338" w:rsidRPr="00465206">
        <w:rPr>
          <w:rStyle w:val="Hyperlink"/>
          <w:rFonts w:ascii="Arial" w:hAnsi="Arial" w:cs="Arial"/>
          <w:b/>
          <w:bCs/>
          <w:color w:val="000000" w:themeColor="text1"/>
          <w:sz w:val="20"/>
          <w:u w:val="none"/>
        </w:rPr>
        <w:t>f judicial registrars’ determinations</w:t>
      </w:r>
      <w:r w:rsidRPr="00465206">
        <w:rPr>
          <w:rFonts w:ascii="Arial" w:hAnsi="Arial" w:cs="Arial"/>
          <w:b/>
          <w:bCs/>
          <w:color w:val="000000" w:themeColor="text1"/>
          <w:sz w:val="20"/>
        </w:rPr>
        <w:fldChar w:fldCharType="end"/>
      </w:r>
    </w:p>
    <w:p w14:paraId="7822C0F3" w14:textId="17024CCC" w:rsidR="003D36F6" w:rsidRDefault="00853002" w:rsidP="003C751E">
      <w:pPr>
        <w:jc w:val="both"/>
        <w:rPr>
          <w:rFonts w:ascii="Arial" w:hAnsi="Arial" w:cs="Arial"/>
          <w:sz w:val="20"/>
        </w:rPr>
      </w:pPr>
      <w:r>
        <w:rPr>
          <w:rFonts w:ascii="Arial" w:hAnsi="Arial" w:cs="Arial"/>
          <w:sz w:val="20"/>
        </w:rPr>
        <w:t xml:space="preserve">Rule </w:t>
      </w:r>
      <w:r w:rsidR="00DE7665">
        <w:rPr>
          <w:rFonts w:ascii="Arial" w:hAnsi="Arial" w:cs="Arial"/>
          <w:sz w:val="20"/>
        </w:rPr>
        <w:t xml:space="preserve">3.02 </w:t>
      </w:r>
      <w:r>
        <w:rPr>
          <w:rFonts w:ascii="Arial" w:hAnsi="Arial" w:cs="Arial"/>
          <w:sz w:val="20"/>
        </w:rPr>
        <w:t xml:space="preserve">of the </w:t>
      </w:r>
      <w:r w:rsidR="00DE7665" w:rsidRPr="00DE7665">
        <w:rPr>
          <w:rFonts w:ascii="Arial" w:hAnsi="Arial" w:cs="Arial"/>
          <w:i/>
          <w:iCs/>
          <w:sz w:val="20"/>
        </w:rPr>
        <w:t>Children, Youth and Families (Children’s Court Judicial Registrars) Rules 2021</w:t>
      </w:r>
      <w:r w:rsidR="00DE7665">
        <w:rPr>
          <w:rFonts w:ascii="Arial" w:hAnsi="Arial" w:cs="Arial"/>
          <w:sz w:val="20"/>
        </w:rPr>
        <w:t xml:space="preserve"> enables a party to a proceeding or matter in the Children’s Court determined by a judicial registrar to apply to the Children’s Court constituted by a magistrate or the President for a review </w:t>
      </w:r>
      <w:r w:rsidR="00EB0D09">
        <w:rPr>
          <w:rFonts w:ascii="Arial" w:hAnsi="Arial" w:cs="Arial"/>
          <w:sz w:val="20"/>
        </w:rPr>
        <w:t xml:space="preserve">– and </w:t>
      </w:r>
      <w:r w:rsidR="00991338">
        <w:rPr>
          <w:rFonts w:ascii="Arial" w:hAnsi="Arial" w:cs="Arial"/>
          <w:sz w:val="20"/>
        </w:rPr>
        <w:t>opt</w:t>
      </w:r>
      <w:r w:rsidR="00EB0D09">
        <w:rPr>
          <w:rFonts w:ascii="Arial" w:hAnsi="Arial" w:cs="Arial"/>
          <w:sz w:val="20"/>
        </w:rPr>
        <w:t xml:space="preserve">ionally </w:t>
      </w:r>
      <w:r w:rsidR="00465206">
        <w:rPr>
          <w:rFonts w:ascii="Arial" w:hAnsi="Arial" w:cs="Arial"/>
          <w:sz w:val="20"/>
        </w:rPr>
        <w:t>for</w:t>
      </w:r>
      <w:r w:rsidR="00EB0D09">
        <w:rPr>
          <w:rFonts w:ascii="Arial" w:hAnsi="Arial" w:cs="Arial"/>
          <w:sz w:val="20"/>
        </w:rPr>
        <w:t xml:space="preserve"> a stay – of that determination.  </w:t>
      </w:r>
      <w:r w:rsidR="003D36F6">
        <w:rPr>
          <w:rFonts w:ascii="Arial" w:hAnsi="Arial" w:cs="Arial"/>
          <w:sz w:val="20"/>
        </w:rPr>
        <w:t>Under rule 3.03 the review Court:</w:t>
      </w:r>
    </w:p>
    <w:p w14:paraId="0E0710C7" w14:textId="0302497B" w:rsidR="00853002" w:rsidRPr="003D36F6" w:rsidRDefault="003D36F6" w:rsidP="00D772F0">
      <w:pPr>
        <w:pStyle w:val="ListParagraph"/>
        <w:numPr>
          <w:ilvl w:val="0"/>
          <w:numId w:val="82"/>
        </w:numPr>
        <w:ind w:left="357" w:hanging="357"/>
        <w:jc w:val="both"/>
        <w:rPr>
          <w:rFonts w:ascii="Arial" w:hAnsi="Arial" w:cs="Arial"/>
          <w:sz w:val="20"/>
        </w:rPr>
      </w:pPr>
      <w:r>
        <w:rPr>
          <w:rFonts w:ascii="Arial" w:hAnsi="Arial" w:cs="Arial"/>
          <w:sz w:val="20"/>
        </w:rPr>
        <w:t xml:space="preserve">must determine </w:t>
      </w:r>
      <w:r w:rsidRPr="003D36F6">
        <w:rPr>
          <w:rFonts w:ascii="Arial" w:hAnsi="Arial" w:cs="Arial"/>
          <w:sz w:val="20"/>
        </w:rPr>
        <w:t xml:space="preserve">an application for review by way of a hearing </w:t>
      </w:r>
      <w:r w:rsidRPr="003D36F6">
        <w:rPr>
          <w:rFonts w:ascii="Arial" w:hAnsi="Arial" w:cs="Arial"/>
          <w:i/>
          <w:iCs/>
          <w:sz w:val="20"/>
        </w:rPr>
        <w:t>de novo</w:t>
      </w:r>
      <w:r w:rsidRPr="003D36F6">
        <w:rPr>
          <w:rFonts w:ascii="Arial" w:hAnsi="Arial" w:cs="Arial"/>
          <w:sz w:val="20"/>
        </w:rPr>
        <w:t>; and</w:t>
      </w:r>
    </w:p>
    <w:p w14:paraId="7D144670" w14:textId="152DE2B9" w:rsidR="003D36F6" w:rsidRPr="003D36F6" w:rsidRDefault="003D36F6" w:rsidP="00D772F0">
      <w:pPr>
        <w:pStyle w:val="ListParagraph"/>
        <w:numPr>
          <w:ilvl w:val="0"/>
          <w:numId w:val="82"/>
        </w:numPr>
        <w:ind w:left="357" w:hanging="357"/>
        <w:jc w:val="both"/>
        <w:rPr>
          <w:rFonts w:ascii="Arial" w:hAnsi="Arial" w:cs="Arial"/>
          <w:sz w:val="20"/>
        </w:rPr>
      </w:pPr>
      <w:r>
        <w:rPr>
          <w:rFonts w:ascii="Arial" w:hAnsi="Arial" w:cs="Arial"/>
          <w:sz w:val="20"/>
        </w:rPr>
        <w:t>must have regard to the interests of justice and, if applicable, the principles set out in Part 1.2 CYFA.</w:t>
      </w:r>
    </w:p>
    <w:p w14:paraId="744311E6" w14:textId="77777777" w:rsidR="00853002" w:rsidRDefault="00853002"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104" w:name="_3.11_Case_stated"/>
      <w:bookmarkStart w:id="1105" w:name="B311"/>
      <w:bookmarkEnd w:id="1104"/>
      <w:bookmarkEnd w:id="1105"/>
      <w:r>
        <w:rPr>
          <w:rFonts w:ascii="Arial" w:hAnsi="Arial" w:cs="Arial"/>
          <w:b/>
          <w:bCs/>
        </w:rPr>
        <w:lastRenderedPageBreak/>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106"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107" w:name="_3.12_The_Children’s"/>
      <w:bookmarkEnd w:id="1107"/>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2FAD2826"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3D7E6D">
        <w:rPr>
          <w:rFonts w:ascii="Arial" w:hAnsi="Arial" w:cs="Arial"/>
          <w:sz w:val="20"/>
          <w:szCs w:val="20"/>
        </w:rPr>
        <w:t>[‘</w:t>
      </w:r>
      <w:r w:rsidR="006B140A">
        <w:rPr>
          <w:rFonts w:ascii="Arial" w:hAnsi="Arial" w:cs="Arial"/>
          <w:sz w:val="20"/>
          <w:szCs w:val="20"/>
        </w:rPr>
        <w:t>CWSA</w:t>
      </w:r>
      <w:r w:rsidR="003D7E6D">
        <w:rPr>
          <w:rFonts w:ascii="Arial" w:hAnsi="Arial" w:cs="Arial"/>
          <w:sz w:val="20"/>
          <w:szCs w:val="20"/>
        </w:rPr>
        <w:t>’]</w:t>
      </w:r>
      <w:r w:rsidR="006B140A">
        <w:rPr>
          <w:rFonts w:ascii="Arial" w:hAnsi="Arial" w:cs="Arial"/>
          <w:sz w:val="20"/>
          <w:szCs w:val="20"/>
        </w:rPr>
        <w:t xml:space="preserve">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77777777"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section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lastRenderedPageBreak/>
        <w:t>(a)</w:t>
      </w:r>
      <w:r w:rsidRPr="00B46865">
        <w:rPr>
          <w:rFonts w:ascii="Arial" w:hAnsi="Arial" w:cs="Arial"/>
          <w:sz w:val="20"/>
          <w:szCs w:val="16"/>
        </w:rPr>
        <w:tab/>
        <w:t xml:space="preserve">a court or tribunal; </w:t>
      </w:r>
    </w:p>
    <w:p w14:paraId="1F0D164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rsidP="00D772F0">
            <w:pPr>
              <w:numPr>
                <w:ilvl w:val="0"/>
                <w:numId w:val="61"/>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or enable a person to ascertain, the identity of a confidential source of information in relation to the enforcement or administration of the law; or</w:t>
            </w:r>
          </w:p>
          <w:p w14:paraId="356F213A" w14:textId="77777777" w:rsidR="001428EC" w:rsidRPr="00C37B0D"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rsidP="00D772F0">
            <w:pPr>
              <w:numPr>
                <w:ilvl w:val="0"/>
                <w:numId w:val="63"/>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rsidP="00D772F0">
            <w:pPr>
              <w:numPr>
                <w:ilvl w:val="0"/>
                <w:numId w:val="63"/>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rsidP="00D772F0">
            <w:pPr>
              <w:numPr>
                <w:ilvl w:val="0"/>
                <w:numId w:val="61"/>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5F4C17FC"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rsidP="00D772F0">
      <w:pPr>
        <w:numPr>
          <w:ilvl w:val="0"/>
          <w:numId w:val="64"/>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rsidP="00D772F0">
      <w:pPr>
        <w:numPr>
          <w:ilvl w:val="0"/>
          <w:numId w:val="64"/>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rsidP="00D772F0">
      <w:pPr>
        <w:numPr>
          <w:ilvl w:val="0"/>
          <w:numId w:val="64"/>
        </w:numPr>
        <w:ind w:left="357" w:hanging="357"/>
        <w:jc w:val="both"/>
        <w:rPr>
          <w:rFonts w:ascii="Arial" w:hAnsi="Arial" w:cs="Arial"/>
          <w:sz w:val="20"/>
          <w:szCs w:val="20"/>
        </w:rPr>
      </w:pPr>
      <w:r w:rsidRPr="006D3226">
        <w:rPr>
          <w:rFonts w:ascii="Arial" w:hAnsi="Arial" w:cs="Arial"/>
          <w:sz w:val="20"/>
          <w:szCs w:val="20"/>
        </w:rPr>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106"/>
    <w:p w14:paraId="4CD631F2" w14:textId="77777777" w:rsidR="00B7111B" w:rsidRPr="00B7111B" w:rsidRDefault="00B7111B" w:rsidP="00B7111B">
      <w:pPr>
        <w:jc w:val="both"/>
        <w:rPr>
          <w:rFonts w:ascii="Arial" w:hAnsi="Arial" w:cs="Arial"/>
          <w:sz w:val="20"/>
        </w:rPr>
      </w:pPr>
    </w:p>
    <w:p w14:paraId="5046EA01" w14:textId="016CA1B1" w:rsidR="00B7111B" w:rsidRDefault="00B7111B" w:rsidP="00B7111B">
      <w:pPr>
        <w:pStyle w:val="Heading2"/>
        <w:widowControl/>
        <w:tabs>
          <w:tab w:val="left" w:pos="567"/>
        </w:tabs>
        <w:spacing w:line="240" w:lineRule="auto"/>
        <w:rPr>
          <w:rFonts w:ascii="Arial" w:hAnsi="Arial" w:cs="Arial"/>
          <w:b/>
          <w:bCs/>
        </w:rPr>
      </w:pPr>
      <w:bookmarkStart w:id="1108" w:name="_3.13_Court’s_powers"/>
      <w:bookmarkStart w:id="1109" w:name="_3.13_Execution_of"/>
      <w:bookmarkEnd w:id="1108"/>
      <w:bookmarkEnd w:id="1109"/>
      <w:r>
        <w:rPr>
          <w:rFonts w:ascii="Arial" w:hAnsi="Arial" w:cs="Arial"/>
          <w:b/>
          <w:bCs/>
        </w:rPr>
        <w:lastRenderedPageBreak/>
        <w:t>3.13</w:t>
      </w:r>
      <w:r>
        <w:rPr>
          <w:rFonts w:ascii="Arial" w:hAnsi="Arial" w:cs="Arial"/>
          <w:b/>
          <w:bCs/>
        </w:rPr>
        <w:tab/>
      </w:r>
      <w:r w:rsidR="005D1CA1">
        <w:rPr>
          <w:rFonts w:ascii="Arial" w:hAnsi="Arial" w:cs="Arial"/>
          <w:b/>
          <w:bCs/>
        </w:rPr>
        <w:t xml:space="preserve">Interstate execution </w:t>
      </w:r>
      <w:r w:rsidR="00B5441A">
        <w:rPr>
          <w:rFonts w:ascii="Arial" w:hAnsi="Arial" w:cs="Arial"/>
          <w:b/>
          <w:bCs/>
        </w:rPr>
        <w:t>of warrants</w:t>
      </w:r>
      <w:r>
        <w:rPr>
          <w:rFonts w:ascii="Arial" w:hAnsi="Arial" w:cs="Arial"/>
          <w:b/>
          <w:bCs/>
        </w:rPr>
        <w:t xml:space="preserve"> </w:t>
      </w:r>
      <w:r w:rsidR="00B5441A">
        <w:rPr>
          <w:rFonts w:ascii="Arial" w:hAnsi="Arial" w:cs="Arial"/>
          <w:b/>
          <w:bCs/>
        </w:rPr>
        <w:t xml:space="preserve">issued by </w:t>
      </w:r>
      <w:r w:rsidR="005D1CA1">
        <w:rPr>
          <w:rFonts w:ascii="Arial" w:hAnsi="Arial" w:cs="Arial"/>
          <w:b/>
          <w:bCs/>
        </w:rPr>
        <w:t>Australian state</w:t>
      </w:r>
      <w:r w:rsidR="00D60B6A">
        <w:rPr>
          <w:rFonts w:ascii="Arial" w:hAnsi="Arial" w:cs="Arial"/>
          <w:b/>
          <w:bCs/>
        </w:rPr>
        <w:t xml:space="preserve"> </w:t>
      </w:r>
      <w:r w:rsidR="00B5441A">
        <w:rPr>
          <w:rFonts w:ascii="Arial" w:hAnsi="Arial" w:cs="Arial"/>
          <w:b/>
          <w:bCs/>
        </w:rPr>
        <w:t>courts</w:t>
      </w:r>
    </w:p>
    <w:p w14:paraId="4B8C0114" w14:textId="5C254540" w:rsidR="00B7111B" w:rsidRDefault="00B7111B" w:rsidP="00B7111B">
      <w:pPr>
        <w:rPr>
          <w:rFonts w:ascii="Arial" w:hAnsi="Arial" w:cs="Arial"/>
          <w:sz w:val="20"/>
        </w:rPr>
      </w:pPr>
    </w:p>
    <w:p w14:paraId="1CDE913A" w14:textId="2F757FED" w:rsidR="00B7111B" w:rsidRDefault="00215ED7" w:rsidP="00215ED7">
      <w:pPr>
        <w:jc w:val="both"/>
        <w:rPr>
          <w:rFonts w:ascii="Arial" w:hAnsi="Arial" w:cs="Arial"/>
          <w:sz w:val="20"/>
        </w:rPr>
      </w:pPr>
      <w:r>
        <w:rPr>
          <w:rFonts w:ascii="Arial" w:hAnsi="Arial" w:cs="Arial"/>
          <w:sz w:val="20"/>
        </w:rPr>
        <w:t xml:space="preserve">Division 1 of Part 5 [ss.81-90] of the </w:t>
      </w:r>
      <w:r w:rsidRPr="00215ED7">
        <w:rPr>
          <w:rFonts w:ascii="Arial" w:hAnsi="Arial" w:cs="Arial"/>
          <w:i/>
          <w:iCs/>
          <w:sz w:val="20"/>
        </w:rPr>
        <w:t>Service and Execution of Process Act 199</w:t>
      </w:r>
      <w:r w:rsidR="00B5441A">
        <w:rPr>
          <w:rFonts w:ascii="Arial" w:hAnsi="Arial" w:cs="Arial"/>
          <w:i/>
          <w:iCs/>
          <w:sz w:val="20"/>
        </w:rPr>
        <w:t>2</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sets out a procedure by which a warrant issued by an Australian State Court may be executed in another Australian State.  </w:t>
      </w:r>
      <w:r w:rsidR="00FE313D">
        <w:rPr>
          <w:rFonts w:ascii="Arial" w:hAnsi="Arial" w:cs="Arial"/>
          <w:sz w:val="20"/>
        </w:rPr>
        <w:t xml:space="preserve">Sections 82(2) &amp; </w:t>
      </w:r>
      <w:r w:rsidR="00684E16">
        <w:rPr>
          <w:rFonts w:ascii="Arial" w:hAnsi="Arial" w:cs="Arial"/>
          <w:sz w:val="20"/>
        </w:rPr>
        <w:t>82</w:t>
      </w:r>
      <w:r w:rsidR="00FE313D">
        <w:rPr>
          <w:rFonts w:ascii="Arial" w:hAnsi="Arial" w:cs="Arial"/>
          <w:sz w:val="20"/>
        </w:rPr>
        <w:t>(3) provide that a</w:t>
      </w:r>
      <w:r w:rsidR="005C7620">
        <w:rPr>
          <w:rFonts w:ascii="Arial" w:hAnsi="Arial" w:cs="Arial"/>
          <w:sz w:val="20"/>
        </w:rPr>
        <w:t xml:space="preserve"> person the subject of an Australian State Court warrant (other than a person who is in prison) may be apprehended by-</w:t>
      </w:r>
    </w:p>
    <w:p w14:paraId="61EE9772" w14:textId="328F5895" w:rsidR="005C7620" w:rsidRDefault="005C7620" w:rsidP="00D772F0">
      <w:pPr>
        <w:numPr>
          <w:ilvl w:val="0"/>
          <w:numId w:val="64"/>
        </w:numPr>
        <w:ind w:left="357" w:hanging="357"/>
        <w:jc w:val="both"/>
        <w:rPr>
          <w:rFonts w:ascii="Arial" w:hAnsi="Arial" w:cs="Arial"/>
          <w:sz w:val="20"/>
          <w:szCs w:val="20"/>
        </w:rPr>
      </w:pPr>
      <w:bookmarkStart w:id="1110" w:name="_Toc514752899"/>
      <w:r>
        <w:rPr>
          <w:rFonts w:ascii="Arial" w:hAnsi="Arial" w:cs="Arial"/>
          <w:sz w:val="20"/>
          <w:szCs w:val="20"/>
        </w:rPr>
        <w:t>an officer of the police force of the State in which the person is found; or</w:t>
      </w:r>
    </w:p>
    <w:p w14:paraId="4046181B" w14:textId="7DE98275"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the Sheriff of that State or any of the Sheriff’s officers; or</w:t>
      </w:r>
    </w:p>
    <w:p w14:paraId="023EB3E0" w14:textId="04A1FCF0"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a member or special member of the Australian Federal Police.</w:t>
      </w:r>
    </w:p>
    <w:p w14:paraId="3E96ECE4" w14:textId="428EC903" w:rsidR="005C7620" w:rsidRDefault="005C7620" w:rsidP="005C7620">
      <w:pPr>
        <w:rPr>
          <w:rFonts w:ascii="Arial" w:hAnsi="Arial" w:cs="Arial"/>
          <w:sz w:val="20"/>
        </w:rPr>
      </w:pPr>
      <w:bookmarkStart w:id="1111" w:name="_Toc514752900"/>
      <w:bookmarkEnd w:id="1110"/>
    </w:p>
    <w:p w14:paraId="7AC259DE" w14:textId="4C24447A" w:rsidR="005C7620" w:rsidRDefault="00684E16" w:rsidP="005C7620">
      <w:pPr>
        <w:jc w:val="both"/>
        <w:rPr>
          <w:rFonts w:ascii="Arial" w:hAnsi="Arial" w:cs="Arial"/>
          <w:sz w:val="20"/>
        </w:rPr>
      </w:pPr>
      <w:r>
        <w:rPr>
          <w:rFonts w:ascii="Arial" w:hAnsi="Arial" w:cs="Arial"/>
          <w:sz w:val="20"/>
        </w:rPr>
        <w:t>Section 83 provides that a</w:t>
      </w:r>
      <w:r w:rsidR="005C7620">
        <w:rPr>
          <w:rFonts w:ascii="Arial" w:hAnsi="Arial" w:cs="Arial"/>
          <w:sz w:val="20"/>
        </w:rPr>
        <w:t xml:space="preserve">s soon as practicable after being apprehended the person </w:t>
      </w:r>
      <w:r w:rsidR="00FE313D">
        <w:rPr>
          <w:rFonts w:ascii="Arial" w:hAnsi="Arial" w:cs="Arial"/>
          <w:sz w:val="20"/>
        </w:rPr>
        <w:t>must</w:t>
      </w:r>
      <w:r w:rsidR="005C7620">
        <w:rPr>
          <w:rFonts w:ascii="Arial" w:hAnsi="Arial" w:cs="Arial"/>
          <w:sz w:val="20"/>
        </w:rPr>
        <w:t xml:space="preserve"> be taken before a magistrate of the State in which the person was apprehended.  The warrant or a copy thereof must be produced to the magistrate if it is available.  If the warrant or copy is not produced, the magistrate may- </w:t>
      </w:r>
    </w:p>
    <w:p w14:paraId="73BF6E5E" w14:textId="69E50972"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order that the person be released; or</w:t>
      </w:r>
    </w:p>
    <w:p w14:paraId="5665B27A" w14:textId="06D0B333" w:rsidR="005C7620" w:rsidRP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 xml:space="preserve">adjourn the </w:t>
      </w:r>
      <w:r w:rsidRPr="005C7620">
        <w:rPr>
          <w:rFonts w:ascii="Arial" w:hAnsi="Arial" w:cs="Arial"/>
          <w:color w:val="000000"/>
          <w:sz w:val="20"/>
          <w:szCs w:val="20"/>
        </w:rPr>
        <w:t>proceeding for such reasonable time as the magistrate specifies and remand the person on bail or in such custody as the magistrate specifies</w:t>
      </w:r>
      <w:r>
        <w:rPr>
          <w:rFonts w:ascii="Arial" w:hAnsi="Arial" w:cs="Arial"/>
          <w:color w:val="000000"/>
          <w:sz w:val="20"/>
          <w:szCs w:val="20"/>
        </w:rPr>
        <w:t xml:space="preserve">; </w:t>
      </w:r>
      <w:r>
        <w:rPr>
          <w:rFonts w:ascii="Arial" w:hAnsi="Arial" w:cs="Arial"/>
          <w:sz w:val="20"/>
          <w:szCs w:val="20"/>
        </w:rPr>
        <w:t>i</w:t>
      </w:r>
      <w:r w:rsidRPr="005C7620">
        <w:rPr>
          <w:rFonts w:ascii="Arial" w:hAnsi="Arial" w:cs="Arial"/>
          <w:sz w:val="20"/>
        </w:rPr>
        <w:t xml:space="preserve">f the warrant or a copy is not produced when the proceeding resumes </w:t>
      </w:r>
      <w:r>
        <w:rPr>
          <w:rFonts w:ascii="Arial" w:hAnsi="Arial" w:cs="Arial"/>
          <w:sz w:val="20"/>
        </w:rPr>
        <w:t>a</w:t>
      </w:r>
      <w:r w:rsidRPr="005C7620">
        <w:rPr>
          <w:rFonts w:ascii="Arial" w:hAnsi="Arial" w:cs="Arial"/>
          <w:sz w:val="20"/>
        </w:rPr>
        <w:t xml:space="preserve"> further adjournment may be granted if </w:t>
      </w:r>
      <w:r>
        <w:rPr>
          <w:rFonts w:ascii="Arial" w:hAnsi="Arial" w:cs="Arial"/>
          <w:sz w:val="20"/>
        </w:rPr>
        <w:t>reasonable cause is shown; the total time of any such adjournment(s) must not exceed 5 days.</w:t>
      </w:r>
    </w:p>
    <w:p w14:paraId="2E9F6497" w14:textId="33E2B3DF" w:rsidR="005D1CA1" w:rsidRDefault="005D1CA1" w:rsidP="00B5441A">
      <w:pPr>
        <w:jc w:val="both"/>
        <w:rPr>
          <w:rFonts w:ascii="Arial" w:hAnsi="Arial" w:cs="Arial"/>
          <w:sz w:val="20"/>
        </w:rPr>
      </w:pPr>
    </w:p>
    <w:p w14:paraId="62A785D9" w14:textId="4E3B1455" w:rsidR="005D1CA1" w:rsidRDefault="005D1CA1" w:rsidP="00B5441A">
      <w:pPr>
        <w:jc w:val="both"/>
        <w:rPr>
          <w:rFonts w:ascii="Arial" w:hAnsi="Arial" w:cs="Arial"/>
          <w:sz w:val="20"/>
        </w:rPr>
      </w:pPr>
      <w:r>
        <w:rPr>
          <w:rFonts w:ascii="Arial" w:hAnsi="Arial" w:cs="Arial"/>
          <w:sz w:val="20"/>
        </w:rPr>
        <w:t xml:space="preserve">For the purposes of a proceeding </w:t>
      </w:r>
      <w:r w:rsidR="00684E16">
        <w:rPr>
          <w:rFonts w:ascii="Arial" w:hAnsi="Arial" w:cs="Arial"/>
          <w:sz w:val="20"/>
        </w:rPr>
        <w:t>under s.83</w:t>
      </w:r>
      <w:r>
        <w:rPr>
          <w:rFonts w:ascii="Arial" w:hAnsi="Arial" w:cs="Arial"/>
          <w:sz w:val="20"/>
        </w:rPr>
        <w:t xml:space="preserve">, the magistrate is not bound by the rules of evidence and – in the event of an adjournment – </w:t>
      </w:r>
      <w:r w:rsidRPr="005D1CA1">
        <w:rPr>
          <w:rFonts w:ascii="Arial" w:hAnsi="Arial" w:cs="Arial"/>
          <w:color w:val="000000"/>
          <w:sz w:val="20"/>
          <w:szCs w:val="20"/>
        </w:rPr>
        <w:t>it</w:t>
      </w:r>
      <w:r>
        <w:rPr>
          <w:rFonts w:ascii="Arial" w:hAnsi="Arial" w:cs="Arial"/>
          <w:color w:val="000000"/>
          <w:sz w:val="20"/>
          <w:szCs w:val="20"/>
        </w:rPr>
        <w:t xml:space="preserve"> </w:t>
      </w:r>
      <w:r w:rsidRPr="005D1CA1">
        <w:rPr>
          <w:rFonts w:ascii="Arial" w:hAnsi="Arial" w:cs="Arial"/>
          <w:color w:val="000000"/>
          <w:sz w:val="20"/>
          <w:szCs w:val="20"/>
        </w:rPr>
        <w:t>is not necessary that a magistrate before whom the proceeding was previously conducted continue to conduct the proceeding</w:t>
      </w:r>
      <w:r w:rsidR="00684E16">
        <w:rPr>
          <w:rFonts w:ascii="Arial" w:hAnsi="Arial" w:cs="Arial"/>
          <w:color w:val="000000"/>
          <w:sz w:val="20"/>
          <w:szCs w:val="20"/>
        </w:rPr>
        <w:t xml:space="preserve"> [s.83(14)]</w:t>
      </w:r>
      <w:r>
        <w:rPr>
          <w:rFonts w:ascii="Arial" w:hAnsi="Arial" w:cs="Arial"/>
          <w:color w:val="000000"/>
          <w:sz w:val="20"/>
          <w:szCs w:val="20"/>
        </w:rPr>
        <w:t xml:space="preserve">.  </w:t>
      </w:r>
      <w:r>
        <w:rPr>
          <w:rFonts w:ascii="Arial" w:hAnsi="Arial" w:cs="Arial"/>
          <w:sz w:val="20"/>
        </w:rPr>
        <w:t>The law of the state in which the person is apprehended applies with respect to the granting of bail</w:t>
      </w:r>
      <w:r w:rsidR="00684E16">
        <w:rPr>
          <w:rFonts w:ascii="Arial" w:hAnsi="Arial" w:cs="Arial"/>
          <w:sz w:val="20"/>
        </w:rPr>
        <w:t xml:space="preserve"> [s.88]</w:t>
      </w:r>
      <w:r>
        <w:rPr>
          <w:rFonts w:ascii="Arial" w:hAnsi="Arial" w:cs="Arial"/>
          <w:sz w:val="20"/>
        </w:rPr>
        <w:t>.</w:t>
      </w:r>
    </w:p>
    <w:p w14:paraId="14510B08" w14:textId="77777777" w:rsidR="005D1CA1" w:rsidRDefault="005D1CA1" w:rsidP="00B5441A">
      <w:pPr>
        <w:jc w:val="both"/>
        <w:rPr>
          <w:rFonts w:ascii="Arial" w:hAnsi="Arial" w:cs="Arial"/>
          <w:sz w:val="20"/>
        </w:rPr>
      </w:pPr>
    </w:p>
    <w:p w14:paraId="04FC79C4" w14:textId="428611E0" w:rsidR="005C7620" w:rsidRDefault="00B5441A" w:rsidP="00B5441A">
      <w:pPr>
        <w:jc w:val="both"/>
        <w:rPr>
          <w:rFonts w:ascii="Arial" w:hAnsi="Arial" w:cs="Arial"/>
          <w:sz w:val="20"/>
        </w:rPr>
      </w:pPr>
      <w:r>
        <w:rPr>
          <w:rFonts w:ascii="Arial" w:hAnsi="Arial" w:cs="Arial"/>
          <w:sz w:val="20"/>
        </w:rPr>
        <w:t>If the warrant or a copy is not produced when the proceeding resumes after the further adjournment, the magistrate must order that the person be released</w:t>
      </w:r>
      <w:r w:rsidR="00FE313D">
        <w:rPr>
          <w:rFonts w:ascii="Arial" w:hAnsi="Arial" w:cs="Arial"/>
          <w:sz w:val="20"/>
        </w:rPr>
        <w:t xml:space="preserve"> [s.83(7)].</w:t>
      </w:r>
    </w:p>
    <w:p w14:paraId="5D64027D" w14:textId="60C066B3" w:rsidR="00D60B6A" w:rsidRDefault="00D60B6A" w:rsidP="00D60B6A">
      <w:pPr>
        <w:rPr>
          <w:rFonts w:ascii="Arial" w:hAnsi="Arial" w:cs="Arial"/>
          <w:sz w:val="20"/>
        </w:rPr>
      </w:pPr>
    </w:p>
    <w:p w14:paraId="5030D371" w14:textId="4D777446" w:rsidR="00D60B6A" w:rsidRDefault="00D60B6A" w:rsidP="00D60B6A">
      <w:pPr>
        <w:rPr>
          <w:rFonts w:ascii="Arial" w:hAnsi="Arial" w:cs="Arial"/>
          <w:sz w:val="20"/>
        </w:rPr>
      </w:pPr>
      <w:r>
        <w:rPr>
          <w:rFonts w:ascii="Arial" w:hAnsi="Arial" w:cs="Arial"/>
          <w:sz w:val="20"/>
        </w:rPr>
        <w:t>If a warrant or copy is produced, the magistrate must order-</w:t>
      </w:r>
    </w:p>
    <w:p w14:paraId="34BC7FEB" w14:textId="62886D1F"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[s.8</w:t>
      </w:r>
      <w:r w:rsidR="00684E16">
        <w:rPr>
          <w:rFonts w:ascii="Arial" w:hAnsi="Arial" w:cs="Arial"/>
          <w:sz w:val="20"/>
          <w:szCs w:val="20"/>
        </w:rPr>
        <w:t>3</w:t>
      </w:r>
      <w:r>
        <w:rPr>
          <w:rFonts w:ascii="Arial" w:hAnsi="Arial" w:cs="Arial"/>
          <w:sz w:val="20"/>
          <w:szCs w:val="20"/>
        </w:rPr>
        <w:t>(10)] that the person be released if the magistrate is satisfied that the warrant is invalid; or</w:t>
      </w:r>
    </w:p>
    <w:p w14:paraId="10184F92" w14:textId="73C30B6C"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[ss.8</w:t>
      </w:r>
      <w:r w:rsidR="00684E16">
        <w:rPr>
          <w:rFonts w:ascii="Arial" w:hAnsi="Arial" w:cs="Arial"/>
          <w:sz w:val="20"/>
          <w:szCs w:val="20"/>
        </w:rPr>
        <w:t>3</w:t>
      </w:r>
      <w:r>
        <w:rPr>
          <w:rFonts w:ascii="Arial" w:hAnsi="Arial" w:cs="Arial"/>
          <w:sz w:val="20"/>
          <w:szCs w:val="20"/>
        </w:rPr>
        <w:t>(8) &amp; 8</w:t>
      </w:r>
      <w:r w:rsidR="00684E16">
        <w:rPr>
          <w:rFonts w:ascii="Arial" w:hAnsi="Arial" w:cs="Arial"/>
          <w:sz w:val="20"/>
          <w:szCs w:val="20"/>
        </w:rPr>
        <w:t>3</w:t>
      </w:r>
      <w:r>
        <w:rPr>
          <w:rFonts w:ascii="Arial" w:hAnsi="Arial" w:cs="Arial"/>
          <w:sz w:val="20"/>
          <w:szCs w:val="20"/>
        </w:rPr>
        <w:t>(9)] that subject to any other specified conditions-</w:t>
      </w:r>
    </w:p>
    <w:p w14:paraId="170D83F4" w14:textId="5A768495" w:rsidR="00D60B6A" w:rsidRPr="00D60B6A" w:rsidRDefault="00D60B6A" w:rsidP="00D772F0">
      <w:pPr>
        <w:pStyle w:val="acthead5"/>
        <w:numPr>
          <w:ilvl w:val="0"/>
          <w:numId w:val="75"/>
        </w:numPr>
        <w:shd w:val="clear" w:color="auto" w:fill="FFFFFF"/>
        <w:spacing w:before="0" w:beforeAutospacing="0" w:after="0" w:afterAutospacing="0"/>
        <w:ind w:left="714" w:hanging="357"/>
        <w:rPr>
          <w:b/>
          <w:bCs/>
          <w:color w:val="000000"/>
        </w:rPr>
      </w:pPr>
      <w:r w:rsidRPr="00D60B6A">
        <w:rPr>
          <w:rFonts w:ascii="Arial" w:hAnsi="Arial" w:cs="Arial"/>
          <w:color w:val="000000"/>
          <w:sz w:val="20"/>
          <w:szCs w:val="20"/>
        </w:rPr>
        <w:t>the person be remanded on bail on condition that the person appear at such time and place in the place of issue of the warrant as the magistrate specifies</w:t>
      </w:r>
      <w:r>
        <w:rPr>
          <w:rFonts w:ascii="Arial" w:hAnsi="Arial" w:cs="Arial"/>
          <w:color w:val="000000"/>
          <w:sz w:val="20"/>
          <w:szCs w:val="20"/>
        </w:rPr>
        <w:t>; or</w:t>
      </w:r>
    </w:p>
    <w:p w14:paraId="0FC93F45" w14:textId="2266E809" w:rsidR="00D60B6A" w:rsidRDefault="00D60B6A" w:rsidP="00D772F0">
      <w:pPr>
        <w:pStyle w:val="acthead5"/>
        <w:numPr>
          <w:ilvl w:val="0"/>
          <w:numId w:val="75"/>
        </w:numPr>
        <w:shd w:val="clear" w:color="auto" w:fill="FFFFFF"/>
        <w:spacing w:before="0" w:beforeAutospacing="0" w:after="0" w:afterAutospacing="0"/>
        <w:ind w:left="714" w:hanging="357"/>
        <w:jc w:val="both"/>
        <w:rPr>
          <w:rStyle w:val="charsectno"/>
          <w:b/>
          <w:bCs/>
          <w:color w:val="000000"/>
        </w:rPr>
      </w:pPr>
      <w:r w:rsidRPr="00D60B6A">
        <w:rPr>
          <w:rFonts w:ascii="Arial" w:hAnsi="Arial" w:cs="Arial"/>
          <w:color w:val="000000"/>
          <w:sz w:val="20"/>
          <w:szCs w:val="20"/>
        </w:rPr>
        <w:t>that the person be taken, in such custody or otherwise as the magistrate specifies, to a specified place in the place of issue of the warrant</w:t>
      </w:r>
      <w:r>
        <w:rPr>
          <w:rFonts w:ascii="Arial" w:hAnsi="Arial" w:cs="Arial"/>
          <w:color w:val="000000"/>
          <w:sz w:val="20"/>
          <w:szCs w:val="20"/>
        </w:rPr>
        <w:t>.</w:t>
      </w:r>
    </w:p>
    <w:p w14:paraId="3F4BF7E7" w14:textId="352F3E68" w:rsidR="00D60B6A" w:rsidRDefault="00684E16" w:rsidP="00684E16">
      <w:pPr>
        <w:jc w:val="both"/>
        <w:rPr>
          <w:rFonts w:ascii="Arial" w:hAnsi="Arial" w:cs="Arial"/>
          <w:sz w:val="20"/>
        </w:rPr>
      </w:pPr>
      <w:r>
        <w:rPr>
          <w:rFonts w:ascii="Arial" w:hAnsi="Arial" w:cs="Arial"/>
          <w:sz w:val="20"/>
        </w:rPr>
        <w:t>Under ss.83(11) &amp; 83(12) t</w:t>
      </w:r>
      <w:r w:rsidR="00D60B6A">
        <w:rPr>
          <w:rFonts w:ascii="Arial" w:hAnsi="Arial" w:cs="Arial"/>
          <w:sz w:val="20"/>
        </w:rPr>
        <w:t>he magistrate may suspend an o</w:t>
      </w:r>
      <w:r w:rsidR="00DA6ACF">
        <w:rPr>
          <w:rFonts w:ascii="Arial" w:hAnsi="Arial" w:cs="Arial"/>
          <w:sz w:val="20"/>
        </w:rPr>
        <w:t>rder made under s.8</w:t>
      </w:r>
      <w:r>
        <w:rPr>
          <w:rFonts w:ascii="Arial" w:hAnsi="Arial" w:cs="Arial"/>
          <w:sz w:val="20"/>
        </w:rPr>
        <w:t>3</w:t>
      </w:r>
      <w:r w:rsidR="00DA6ACF">
        <w:rPr>
          <w:rFonts w:ascii="Arial" w:hAnsi="Arial" w:cs="Arial"/>
          <w:sz w:val="20"/>
        </w:rPr>
        <w:t>(8)(b) for a specified period and remand the person on bail or in such custody as the magistrate specifies until the end of that period.</w:t>
      </w:r>
    </w:p>
    <w:p w14:paraId="0025ABC8" w14:textId="403BD1CD" w:rsidR="004C3BEA" w:rsidRDefault="004C3BEA" w:rsidP="004C3BEA">
      <w:pPr>
        <w:rPr>
          <w:rFonts w:ascii="Arial" w:hAnsi="Arial" w:cs="Arial"/>
          <w:sz w:val="20"/>
        </w:rPr>
      </w:pPr>
      <w:bookmarkStart w:id="1112" w:name="_Toc514752904"/>
      <w:bookmarkEnd w:id="1111"/>
    </w:p>
    <w:p w14:paraId="51EC7D84" w14:textId="3CF4AF7A" w:rsidR="004C3BEA" w:rsidRDefault="004C3BEA" w:rsidP="004C3BEA">
      <w:pPr>
        <w:jc w:val="both"/>
        <w:rPr>
          <w:rFonts w:ascii="Arial" w:hAnsi="Arial" w:cs="Arial"/>
          <w:sz w:val="20"/>
        </w:rPr>
      </w:pPr>
      <w:r>
        <w:rPr>
          <w:rFonts w:ascii="Arial" w:hAnsi="Arial" w:cs="Arial"/>
          <w:sz w:val="20"/>
        </w:rPr>
        <w:t>Although these provisions seem primarily to relate to warrants to arrest issued in criminal proceedings, the writer considers that they are also relevant to the execution of child protection warrants issued under the CYFA</w:t>
      </w:r>
      <w:r w:rsidR="00D8597F">
        <w:rPr>
          <w:rFonts w:ascii="Arial" w:hAnsi="Arial" w:cs="Arial"/>
          <w:sz w:val="20"/>
        </w:rPr>
        <w:t xml:space="preserve"> or an equivalent interstate law, noting for instance that s.8</w:t>
      </w:r>
      <w:r w:rsidR="00684E16">
        <w:rPr>
          <w:rFonts w:ascii="Arial" w:hAnsi="Arial" w:cs="Arial"/>
          <w:sz w:val="20"/>
        </w:rPr>
        <w:t>3</w:t>
      </w:r>
      <w:r w:rsidR="00D8597F">
        <w:rPr>
          <w:rFonts w:ascii="Arial" w:hAnsi="Arial" w:cs="Arial"/>
          <w:sz w:val="20"/>
        </w:rPr>
        <w:t>(8)(b) does not necessarily require a child apprehended under an interstate warrant to be taken “in custody” to the issuing state.</w:t>
      </w:r>
    </w:p>
    <w:p w14:paraId="612E11D1" w14:textId="6C9058C9" w:rsidR="00D8597F" w:rsidRDefault="00D8597F" w:rsidP="004C3BEA">
      <w:pPr>
        <w:jc w:val="both"/>
        <w:rPr>
          <w:rFonts w:ascii="Arial" w:hAnsi="Arial" w:cs="Arial"/>
          <w:sz w:val="20"/>
        </w:rPr>
      </w:pPr>
    </w:p>
    <w:p w14:paraId="0902355A" w14:textId="60F74717" w:rsidR="00D8597F" w:rsidRPr="00FE313D" w:rsidRDefault="00D8597F" w:rsidP="004C3BEA">
      <w:pPr>
        <w:jc w:val="both"/>
        <w:rPr>
          <w:rFonts w:ascii="Arial" w:hAnsi="Arial" w:cs="Arial"/>
          <w:sz w:val="20"/>
          <w:szCs w:val="20"/>
        </w:rPr>
      </w:pPr>
      <w:r>
        <w:rPr>
          <w:rFonts w:ascii="Arial" w:hAnsi="Arial" w:cs="Arial"/>
          <w:sz w:val="20"/>
        </w:rPr>
        <w:t xml:space="preserve">Section 86 empowers an apprehended person or a person to whom an interstate warrant is directed to apply to the Supreme Court of the executing State for </w:t>
      </w:r>
      <w:r w:rsidR="00FE313D">
        <w:rPr>
          <w:rFonts w:ascii="Arial" w:hAnsi="Arial" w:cs="Arial"/>
          <w:sz w:val="20"/>
        </w:rPr>
        <w:t xml:space="preserve">a </w:t>
      </w:r>
      <w:r>
        <w:rPr>
          <w:rFonts w:ascii="Arial" w:hAnsi="Arial" w:cs="Arial"/>
          <w:sz w:val="20"/>
        </w:rPr>
        <w:t xml:space="preserve">review – by rehearing – of the order.  For an </w:t>
      </w:r>
      <w:r w:rsidRPr="00FE313D">
        <w:rPr>
          <w:rFonts w:ascii="Arial" w:hAnsi="Arial" w:cs="Arial"/>
          <w:sz w:val="20"/>
          <w:szCs w:val="20"/>
        </w:rPr>
        <w:t xml:space="preserve">example of such a review see </w:t>
      </w:r>
      <w:hyperlink r:id="rId29" w:tgtFrame="_blank" w:history="1">
        <w:r w:rsidRPr="00FE313D">
          <w:rPr>
            <w:rStyle w:val="Hyperlink"/>
            <w:rFonts w:ascii="Arial" w:hAnsi="Arial" w:cs="Arial"/>
            <w:i/>
            <w:iCs/>
            <w:color w:val="000000" w:themeColor="text1"/>
            <w:sz w:val="20"/>
            <w:szCs w:val="20"/>
            <w:u w:val="none"/>
            <w:bdr w:val="none" w:sz="0" w:space="0" w:color="auto" w:frame="1"/>
            <w:shd w:val="clear" w:color="auto" w:fill="FFFFFF"/>
          </w:rPr>
          <w:t xml:space="preserve">Re </w:t>
        </w:r>
        <w:proofErr w:type="spellStart"/>
        <w:r w:rsidRPr="00FE313D">
          <w:rPr>
            <w:rStyle w:val="Hyperlink"/>
            <w:rFonts w:ascii="Arial" w:hAnsi="Arial" w:cs="Arial"/>
            <w:i/>
            <w:iCs/>
            <w:color w:val="000000" w:themeColor="text1"/>
            <w:sz w:val="20"/>
            <w:szCs w:val="20"/>
            <w:u w:val="none"/>
            <w:bdr w:val="none" w:sz="0" w:space="0" w:color="auto" w:frame="1"/>
            <w:shd w:val="clear" w:color="auto" w:fill="FFFFFF"/>
          </w:rPr>
          <w:t>Taleb</w:t>
        </w:r>
        <w:proofErr w:type="spellEnd"/>
        <w:r w:rsidRPr="00FE313D">
          <w:rPr>
            <w:rStyle w:val="Hyperlink"/>
            <w:rFonts w:ascii="Arial" w:hAnsi="Arial" w:cs="Arial"/>
            <w:color w:val="000000" w:themeColor="text1"/>
            <w:sz w:val="20"/>
            <w:szCs w:val="20"/>
            <w:u w:val="none"/>
            <w:bdr w:val="none" w:sz="0" w:space="0" w:color="auto" w:frame="1"/>
            <w:shd w:val="clear" w:color="auto" w:fill="FFFFFF"/>
          </w:rPr>
          <w:t xml:space="preserve"> [2021] VSC 427</w:t>
        </w:r>
      </w:hyperlink>
      <w:r w:rsidRPr="00FE313D">
        <w:rPr>
          <w:rFonts w:ascii="Arial" w:hAnsi="Arial" w:cs="Arial"/>
          <w:color w:val="201F1E"/>
          <w:sz w:val="20"/>
          <w:szCs w:val="20"/>
          <w:shd w:val="clear" w:color="auto" w:fill="FFFFFF"/>
        </w:rPr>
        <w:t>.</w:t>
      </w:r>
    </w:p>
    <w:bookmarkEnd w:id="1112"/>
    <w:p w14:paraId="4C4C39D9" w14:textId="77777777" w:rsidR="00B7111B" w:rsidRPr="00B7111B" w:rsidRDefault="00B7111B" w:rsidP="00B7111B">
      <w:pPr>
        <w:rPr>
          <w:rFonts w:ascii="Arial" w:hAnsi="Arial" w:cs="Arial"/>
          <w:sz w:val="20"/>
        </w:rPr>
      </w:pPr>
    </w:p>
    <w:p w14:paraId="3CE71612" w14:textId="69E63603" w:rsidR="00B21DA4" w:rsidRDefault="007572D2" w:rsidP="007E729F">
      <w:pPr>
        <w:spacing w:before="120"/>
        <w:jc w:val="center"/>
        <w:rPr>
          <w:color w:val="000000"/>
          <w:sz w:val="20"/>
        </w:rPr>
      </w:pPr>
      <w:r>
        <w:rPr>
          <w:noProof/>
          <w:color w:val="000000"/>
          <w:sz w:val="20"/>
        </w:rPr>
        <w:drawing>
          <wp:inline distT="0" distB="0" distL="0" distR="0" wp14:anchorId="555EF5D4" wp14:editId="693679A9">
            <wp:extent cx="1778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8000" cy="431800"/>
                    </a:xfrm>
                    <a:prstGeom prst="rect">
                      <a:avLst/>
                    </a:prstGeom>
                    <a:noFill/>
                    <a:ln>
                      <a:noFill/>
                    </a:ln>
                  </pic:spPr>
                </pic:pic>
              </a:graphicData>
            </a:graphic>
          </wp:inline>
        </w:drawing>
      </w:r>
    </w:p>
    <w:sectPr w:rsidR="00B21DA4" w:rsidSect="00821C83">
      <w:footerReference w:type="default" r:id="rId31"/>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77E5" w14:textId="77777777" w:rsidR="007C0F54" w:rsidRDefault="007C0F54">
      <w:r>
        <w:separator/>
      </w:r>
    </w:p>
  </w:endnote>
  <w:endnote w:type="continuationSeparator" w:id="0">
    <w:p w14:paraId="2051CF29" w14:textId="77777777" w:rsidR="007C0F54" w:rsidRDefault="007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0F5" w14:textId="77777777" w:rsidR="00D45643" w:rsidRPr="00232FC7" w:rsidRDefault="00D45643"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3469A61B" w:rsidR="00D45643" w:rsidRPr="00EE27CA" w:rsidRDefault="00D45643" w:rsidP="00137B74">
    <w:pPr>
      <w:pStyle w:val="Footer"/>
      <w:rPr>
        <w:color w:val="000000"/>
        <w:sz w:val="16"/>
      </w:rPr>
    </w:pPr>
    <w:r w:rsidRPr="00232FC7">
      <w:rPr>
        <w:rStyle w:val="PageNumber"/>
        <w:rFonts w:ascii="Arial" w:hAnsi="Arial" w:cs="Arial"/>
        <w:b/>
        <w:bCs/>
        <w:color w:val="000000"/>
        <w:sz w:val="16"/>
      </w:rPr>
      <w:t xml:space="preserve">Last updated </w:t>
    </w:r>
    <w:r w:rsidR="00472A52">
      <w:rPr>
        <w:rStyle w:val="PageNumber"/>
        <w:rFonts w:ascii="Arial" w:hAnsi="Arial" w:cs="Arial"/>
        <w:b/>
        <w:bCs/>
        <w:color w:val="000000"/>
        <w:sz w:val="16"/>
      </w:rPr>
      <w:t>2</w:t>
    </w:r>
    <w:r w:rsidR="004045F7">
      <w:rPr>
        <w:rStyle w:val="PageNumber"/>
        <w:rFonts w:ascii="Arial" w:hAnsi="Arial" w:cs="Arial"/>
        <w:b/>
        <w:bCs/>
        <w:color w:val="000000"/>
        <w:sz w:val="16"/>
      </w:rPr>
      <w:t>3</w:t>
    </w:r>
    <w:r w:rsidR="00174184">
      <w:rPr>
        <w:rStyle w:val="PageNumber"/>
        <w:rFonts w:ascii="Arial" w:hAnsi="Arial" w:cs="Arial"/>
        <w:b/>
        <w:bCs/>
        <w:color w:val="000000"/>
        <w:sz w:val="16"/>
      </w:rPr>
      <w:t xml:space="preserve"> </w:t>
    </w:r>
    <w:r w:rsidR="004045F7">
      <w:rPr>
        <w:rStyle w:val="PageNumber"/>
        <w:rFonts w:ascii="Arial" w:hAnsi="Arial" w:cs="Arial"/>
        <w:b/>
        <w:bCs/>
        <w:color w:val="000000"/>
        <w:sz w:val="16"/>
      </w:rPr>
      <w:t>June</w:t>
    </w:r>
    <w:r w:rsidR="00213989">
      <w:rPr>
        <w:rStyle w:val="PageNumber"/>
        <w:rFonts w:ascii="Arial" w:hAnsi="Arial" w:cs="Arial"/>
        <w:b/>
        <w:bCs/>
        <w:color w:val="000000"/>
        <w:sz w:val="16"/>
      </w:rPr>
      <w:t xml:space="preserve"> 2022</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D45643" w:rsidRDefault="00D45643">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78DC" w14:textId="77777777" w:rsidR="007C0F54" w:rsidRDefault="007C0F54">
      <w:r>
        <w:separator/>
      </w:r>
    </w:p>
  </w:footnote>
  <w:footnote w:type="continuationSeparator" w:id="0">
    <w:p w14:paraId="2BA438E2" w14:textId="77777777" w:rsidR="007C0F54" w:rsidRDefault="007C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66C0918"/>
    <w:multiLevelType w:val="hybridMultilevel"/>
    <w:tmpl w:val="3978363C"/>
    <w:lvl w:ilvl="0" w:tplc="2EB2DF1C">
      <w:start w:val="46"/>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A8400B4">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50C62AA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376C2A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5104FC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174AE0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2A44EC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9F6A4C4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108826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23003C"/>
    <w:multiLevelType w:val="hybridMultilevel"/>
    <w:tmpl w:val="DAC8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8"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0"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9D84FF4"/>
    <w:multiLevelType w:val="hybridMultilevel"/>
    <w:tmpl w:val="D208FDA0"/>
    <w:lvl w:ilvl="0" w:tplc="A342A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6305C10"/>
    <w:multiLevelType w:val="hybridMultilevel"/>
    <w:tmpl w:val="5626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5B50F6"/>
    <w:multiLevelType w:val="hybridMultilevel"/>
    <w:tmpl w:val="D0CA8AC8"/>
    <w:lvl w:ilvl="0" w:tplc="7932D7AE">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2D3541"/>
    <w:multiLevelType w:val="hybridMultilevel"/>
    <w:tmpl w:val="5C2C8A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7826C7"/>
    <w:multiLevelType w:val="hybridMultilevel"/>
    <w:tmpl w:val="BB1E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40ECC"/>
    <w:multiLevelType w:val="hybridMultilevel"/>
    <w:tmpl w:val="21924878"/>
    <w:lvl w:ilvl="0" w:tplc="F4F27294">
      <w:start w:val="1"/>
      <w:numFmt w:val="decimal"/>
      <w:lvlText w:val="(%1)"/>
      <w:lvlJc w:val="left"/>
      <w:pPr>
        <w:ind w:left="2145"/>
      </w:pPr>
      <w:rPr>
        <w:rFonts w:ascii="Arial" w:hAnsi="Arial" w:cs="Book Antiqua" w:hint="default"/>
        <w:b w:val="0"/>
        <w:i w:val="0"/>
        <w:strike w:val="0"/>
        <w:dstrike w:val="0"/>
        <w:color w:val="000000"/>
        <w:sz w:val="16"/>
        <w:szCs w:val="22"/>
        <w:u w:val="none" w:color="000000"/>
        <w:bdr w:val="none" w:sz="0" w:space="0" w:color="auto"/>
        <w:shd w:val="clear" w:color="auto" w:fill="auto"/>
        <w:vertAlign w:val="baseline"/>
      </w:rPr>
    </w:lvl>
    <w:lvl w:ilvl="1" w:tplc="9EF48C5A">
      <w:start w:val="1"/>
      <w:numFmt w:val="lowerLetter"/>
      <w:lvlText w:val="%2"/>
      <w:lvlJc w:val="left"/>
      <w:pPr>
        <w:ind w:left="11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0189C64">
      <w:start w:val="1"/>
      <w:numFmt w:val="lowerRoman"/>
      <w:lvlText w:val="%3"/>
      <w:lvlJc w:val="left"/>
      <w:pPr>
        <w:ind w:left="19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6981A64">
      <w:start w:val="1"/>
      <w:numFmt w:val="decimal"/>
      <w:lvlText w:val="%4"/>
      <w:lvlJc w:val="left"/>
      <w:pPr>
        <w:ind w:left="26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2FA161C">
      <w:start w:val="1"/>
      <w:numFmt w:val="lowerLetter"/>
      <w:lvlText w:val="%5"/>
      <w:lvlJc w:val="left"/>
      <w:pPr>
        <w:ind w:left="33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72DE60">
      <w:start w:val="1"/>
      <w:numFmt w:val="lowerRoman"/>
      <w:lvlText w:val="%6"/>
      <w:lvlJc w:val="left"/>
      <w:pPr>
        <w:ind w:left="407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5F4600A">
      <w:start w:val="1"/>
      <w:numFmt w:val="decimal"/>
      <w:lvlText w:val="%7"/>
      <w:lvlJc w:val="left"/>
      <w:pPr>
        <w:ind w:left="47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7AEFCE6">
      <w:start w:val="1"/>
      <w:numFmt w:val="lowerLetter"/>
      <w:lvlText w:val="%8"/>
      <w:lvlJc w:val="left"/>
      <w:pPr>
        <w:ind w:left="55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0FEAA90">
      <w:start w:val="1"/>
      <w:numFmt w:val="lowerRoman"/>
      <w:lvlText w:val="%9"/>
      <w:lvlJc w:val="left"/>
      <w:pPr>
        <w:ind w:left="62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9"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1" w15:restartNumberingAfterBreak="0">
    <w:nsid w:val="3304517C"/>
    <w:multiLevelType w:val="hybridMultilevel"/>
    <w:tmpl w:val="D8D4B6CA"/>
    <w:lvl w:ilvl="0" w:tplc="B7026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1B0124"/>
    <w:multiLevelType w:val="hybridMultilevel"/>
    <w:tmpl w:val="22C09B0A"/>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B10BCA"/>
    <w:multiLevelType w:val="hybridMultilevel"/>
    <w:tmpl w:val="06B2561C"/>
    <w:lvl w:ilvl="0" w:tplc="DDA8F6C2">
      <w:start w:val="3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96A0C0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B1A0DD1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660F2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DCA2E4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A1AFCD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1B4006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F12CA0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CF0DEF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7"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B090075"/>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5"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6"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3E148C3"/>
    <w:multiLevelType w:val="hybridMultilevel"/>
    <w:tmpl w:val="54DA8052"/>
    <w:lvl w:ilvl="0" w:tplc="FC84FB98">
      <w:start w:val="1"/>
      <w:numFmt w:val="bullet"/>
      <w:lvlText w:val=""/>
      <w:lvlJc w:val="left"/>
      <w:pPr>
        <w:ind w:left="777" w:hanging="360"/>
      </w:pPr>
      <w:rPr>
        <w:rFonts w:ascii="Symbol" w:hAnsi="Symbol" w:hint="default"/>
        <w:b w:val="0"/>
        <w:i w:val="0"/>
        <w:strike w:val="0"/>
        <w:dstrike w:val="0"/>
        <w:color w:val="000000" w:themeColor="text1"/>
        <w:sz w:val="20"/>
        <w:szCs w:val="28"/>
        <w:u w:val="none" w:color="000000"/>
        <w:vertAlign w:val="baseline"/>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49" w15:restartNumberingAfterBreak="0">
    <w:nsid w:val="44036924"/>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0"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1" w15:restartNumberingAfterBreak="0">
    <w:nsid w:val="46463C71"/>
    <w:multiLevelType w:val="hybridMultilevel"/>
    <w:tmpl w:val="F4D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723542A"/>
    <w:multiLevelType w:val="hybridMultilevel"/>
    <w:tmpl w:val="F71810D0"/>
    <w:lvl w:ilvl="0" w:tplc="68B2D0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4" w15:restartNumberingAfterBreak="0">
    <w:nsid w:val="499052CA"/>
    <w:multiLevelType w:val="hybridMultilevel"/>
    <w:tmpl w:val="39E8E9DE"/>
    <w:lvl w:ilvl="0" w:tplc="3656F2B8">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0"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66C4498"/>
    <w:multiLevelType w:val="hybridMultilevel"/>
    <w:tmpl w:val="98466240"/>
    <w:lvl w:ilvl="0" w:tplc="513CDF00">
      <w:start w:val="4"/>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6"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68" w15:restartNumberingAfterBreak="0">
    <w:nsid w:val="63B4372E"/>
    <w:multiLevelType w:val="hybridMultilevel"/>
    <w:tmpl w:val="1F86D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183237"/>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0" w15:restartNumberingAfterBreak="0">
    <w:nsid w:val="642778FA"/>
    <w:multiLevelType w:val="hybridMultilevel"/>
    <w:tmpl w:val="DCB83CD2"/>
    <w:lvl w:ilvl="0" w:tplc="AFCCC046">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74D3CE2"/>
    <w:multiLevelType w:val="hybridMultilevel"/>
    <w:tmpl w:val="AE0EBC12"/>
    <w:lvl w:ilvl="0" w:tplc="0922C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7975B4C"/>
    <w:multiLevelType w:val="hybridMultilevel"/>
    <w:tmpl w:val="805822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3"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5" w15:restartNumberingAfterBreak="0">
    <w:nsid w:val="6BE86FD6"/>
    <w:multiLevelType w:val="hybridMultilevel"/>
    <w:tmpl w:val="6AE4159C"/>
    <w:lvl w:ilvl="0" w:tplc="266AF40A">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6"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78"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79"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897DA0"/>
    <w:multiLevelType w:val="hybridMultilevel"/>
    <w:tmpl w:val="568C9450"/>
    <w:lvl w:ilvl="0" w:tplc="DF0C7166">
      <w:start w:val="3"/>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5"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7"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8"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7EA0049B"/>
    <w:multiLevelType w:val="hybridMultilevel"/>
    <w:tmpl w:val="6DDE56AA"/>
    <w:lvl w:ilvl="0" w:tplc="5BCAD08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8"/>
  </w:num>
  <w:num w:numId="2">
    <w:abstractNumId w:val="27"/>
  </w:num>
  <w:num w:numId="3">
    <w:abstractNumId w:val="30"/>
  </w:num>
  <w:num w:numId="4">
    <w:abstractNumId w:val="82"/>
  </w:num>
  <w:num w:numId="5">
    <w:abstractNumId w:val="55"/>
  </w:num>
  <w:num w:numId="6">
    <w:abstractNumId w:val="21"/>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80"/>
  </w:num>
  <w:num w:numId="11">
    <w:abstractNumId w:val="56"/>
  </w:num>
  <w:num w:numId="12">
    <w:abstractNumId w:val="18"/>
  </w:num>
  <w:num w:numId="13">
    <w:abstractNumId w:val="88"/>
  </w:num>
  <w:num w:numId="14">
    <w:abstractNumId w:val="2"/>
  </w:num>
  <w:num w:numId="15">
    <w:abstractNumId w:val="13"/>
  </w:num>
  <w:num w:numId="16">
    <w:abstractNumId w:val="3"/>
  </w:num>
  <w:num w:numId="17">
    <w:abstractNumId w:val="87"/>
  </w:num>
  <w:num w:numId="18">
    <w:abstractNumId w:val="10"/>
  </w:num>
  <w:num w:numId="19">
    <w:abstractNumId w:val="45"/>
  </w:num>
  <w:num w:numId="20">
    <w:abstractNumId w:val="7"/>
  </w:num>
  <w:num w:numId="21">
    <w:abstractNumId w:val="46"/>
  </w:num>
  <w:num w:numId="22">
    <w:abstractNumId w:val="64"/>
  </w:num>
  <w:num w:numId="23">
    <w:abstractNumId w:val="77"/>
  </w:num>
  <w:num w:numId="24">
    <w:abstractNumId w:val="17"/>
  </w:num>
  <w:num w:numId="25">
    <w:abstractNumId w:val="73"/>
  </w:num>
  <w:num w:numId="26">
    <w:abstractNumId w:val="4"/>
  </w:num>
  <w:num w:numId="27">
    <w:abstractNumId w:val="79"/>
  </w:num>
  <w:num w:numId="28">
    <w:abstractNumId w:val="8"/>
  </w:num>
  <w:num w:numId="29">
    <w:abstractNumId w:val="37"/>
  </w:num>
  <w:num w:numId="30">
    <w:abstractNumId w:val="38"/>
  </w:num>
  <w:num w:numId="31">
    <w:abstractNumId w:val="14"/>
  </w:num>
  <w:num w:numId="32">
    <w:abstractNumId w:val="19"/>
  </w:num>
  <w:num w:numId="33">
    <w:abstractNumId w:val="53"/>
  </w:num>
  <w:num w:numId="34">
    <w:abstractNumId w:val="84"/>
  </w:num>
  <w:num w:numId="35">
    <w:abstractNumId w:val="43"/>
  </w:num>
  <w:num w:numId="36">
    <w:abstractNumId w:val="26"/>
  </w:num>
  <w:num w:numId="37">
    <w:abstractNumId w:val="74"/>
  </w:num>
  <w:num w:numId="38">
    <w:abstractNumId w:val="47"/>
  </w:num>
  <w:num w:numId="39">
    <w:abstractNumId w:val="36"/>
  </w:num>
  <w:num w:numId="40">
    <w:abstractNumId w:val="41"/>
  </w:num>
  <w:num w:numId="41">
    <w:abstractNumId w:val="81"/>
  </w:num>
  <w:num w:numId="42">
    <w:abstractNumId w:val="40"/>
  </w:num>
  <w:num w:numId="43">
    <w:abstractNumId w:val="33"/>
  </w:num>
  <w:num w:numId="44">
    <w:abstractNumId w:val="20"/>
  </w:num>
  <w:num w:numId="45">
    <w:abstractNumId w:val="50"/>
  </w:num>
  <w:num w:numId="46">
    <w:abstractNumId w:val="1"/>
  </w:num>
  <w:num w:numId="47">
    <w:abstractNumId w:val="67"/>
  </w:num>
  <w:num w:numId="48">
    <w:abstractNumId w:val="9"/>
  </w:num>
  <w:num w:numId="49">
    <w:abstractNumId w:val="6"/>
  </w:num>
  <w:num w:numId="50">
    <w:abstractNumId w:val="68"/>
  </w:num>
  <w:num w:numId="51">
    <w:abstractNumId w:val="85"/>
  </w:num>
  <w:num w:numId="52">
    <w:abstractNumId w:val="63"/>
  </w:num>
  <w:num w:numId="53">
    <w:abstractNumId w:val="25"/>
  </w:num>
  <w:num w:numId="54">
    <w:abstractNumId w:val="58"/>
  </w:num>
  <w:num w:numId="55">
    <w:abstractNumId w:val="59"/>
  </w:num>
  <w:num w:numId="56">
    <w:abstractNumId w:val="61"/>
  </w:num>
  <w:num w:numId="57">
    <w:abstractNumId w:val="39"/>
  </w:num>
  <w:num w:numId="58">
    <w:abstractNumId w:val="76"/>
  </w:num>
  <w:num w:numId="59">
    <w:abstractNumId w:val="28"/>
  </w:num>
  <w:num w:numId="60">
    <w:abstractNumId w:val="60"/>
  </w:num>
  <w:num w:numId="61">
    <w:abstractNumId w:val="66"/>
  </w:num>
  <w:num w:numId="62">
    <w:abstractNumId w:val="42"/>
  </w:num>
  <w:num w:numId="63">
    <w:abstractNumId w:val="29"/>
  </w:num>
  <w:num w:numId="64">
    <w:abstractNumId w:val="32"/>
  </w:num>
  <w:num w:numId="65">
    <w:abstractNumId w:val="86"/>
  </w:num>
  <w:num w:numId="66">
    <w:abstractNumId w:val="65"/>
  </w:num>
  <w:num w:numId="67">
    <w:abstractNumId w:val="69"/>
  </w:num>
  <w:num w:numId="68">
    <w:abstractNumId w:val="49"/>
  </w:num>
  <w:num w:numId="69">
    <w:abstractNumId w:val="44"/>
  </w:num>
  <w:num w:numId="70">
    <w:abstractNumId w:val="89"/>
  </w:num>
  <w:num w:numId="71">
    <w:abstractNumId w:val="62"/>
  </w:num>
  <w:num w:numId="72">
    <w:abstractNumId w:val="31"/>
  </w:num>
  <w:num w:numId="73">
    <w:abstractNumId w:val="15"/>
  </w:num>
  <w:num w:numId="74">
    <w:abstractNumId w:val="51"/>
  </w:num>
  <w:num w:numId="75">
    <w:abstractNumId w:val="70"/>
  </w:num>
  <w:num w:numId="76">
    <w:abstractNumId w:val="72"/>
  </w:num>
  <w:num w:numId="77">
    <w:abstractNumId w:val="75"/>
  </w:num>
  <w:num w:numId="78">
    <w:abstractNumId w:val="16"/>
  </w:num>
  <w:num w:numId="79">
    <w:abstractNumId w:val="83"/>
  </w:num>
  <w:num w:numId="80">
    <w:abstractNumId w:val="54"/>
  </w:num>
  <w:num w:numId="81">
    <w:abstractNumId w:val="23"/>
  </w:num>
  <w:num w:numId="82">
    <w:abstractNumId w:val="52"/>
  </w:num>
  <w:num w:numId="83">
    <w:abstractNumId w:val="48"/>
  </w:num>
  <w:num w:numId="84">
    <w:abstractNumId w:val="71"/>
  </w:num>
  <w:num w:numId="85">
    <w:abstractNumId w:val="11"/>
  </w:num>
  <w:num w:numId="86">
    <w:abstractNumId w:val="34"/>
  </w:num>
  <w:num w:numId="87">
    <w:abstractNumId w:val="35"/>
  </w:num>
  <w:num w:numId="88">
    <w:abstractNumId w:val="22"/>
  </w:num>
  <w:num w:numId="89">
    <w:abstractNumId w:val="5"/>
  </w:num>
  <w:num w:numId="90">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1E"/>
    <w:rsid w:val="000014E7"/>
    <w:rsid w:val="00003B37"/>
    <w:rsid w:val="0000408D"/>
    <w:rsid w:val="00004C01"/>
    <w:rsid w:val="00005CF6"/>
    <w:rsid w:val="0000672E"/>
    <w:rsid w:val="00010EF6"/>
    <w:rsid w:val="000115EF"/>
    <w:rsid w:val="0001163B"/>
    <w:rsid w:val="00013A6A"/>
    <w:rsid w:val="0001482B"/>
    <w:rsid w:val="00017266"/>
    <w:rsid w:val="000225F8"/>
    <w:rsid w:val="00023C2C"/>
    <w:rsid w:val="000241B7"/>
    <w:rsid w:val="0002464F"/>
    <w:rsid w:val="00024EBC"/>
    <w:rsid w:val="00026065"/>
    <w:rsid w:val="0002796D"/>
    <w:rsid w:val="00027D50"/>
    <w:rsid w:val="00030902"/>
    <w:rsid w:val="0003177E"/>
    <w:rsid w:val="0003295F"/>
    <w:rsid w:val="00034E28"/>
    <w:rsid w:val="0003614B"/>
    <w:rsid w:val="00036A58"/>
    <w:rsid w:val="00036D92"/>
    <w:rsid w:val="00037AB0"/>
    <w:rsid w:val="0004070D"/>
    <w:rsid w:val="00040891"/>
    <w:rsid w:val="00040A58"/>
    <w:rsid w:val="00043275"/>
    <w:rsid w:val="00043500"/>
    <w:rsid w:val="0004378C"/>
    <w:rsid w:val="00045A09"/>
    <w:rsid w:val="00046CCA"/>
    <w:rsid w:val="00050826"/>
    <w:rsid w:val="000511A5"/>
    <w:rsid w:val="00051752"/>
    <w:rsid w:val="000518D0"/>
    <w:rsid w:val="00052871"/>
    <w:rsid w:val="0006076E"/>
    <w:rsid w:val="00061C43"/>
    <w:rsid w:val="000661BC"/>
    <w:rsid w:val="00066AA6"/>
    <w:rsid w:val="00066CC5"/>
    <w:rsid w:val="00067BEE"/>
    <w:rsid w:val="000713BB"/>
    <w:rsid w:val="0007241B"/>
    <w:rsid w:val="0007304C"/>
    <w:rsid w:val="000750B8"/>
    <w:rsid w:val="00076250"/>
    <w:rsid w:val="0007656A"/>
    <w:rsid w:val="00077DAE"/>
    <w:rsid w:val="00077FAD"/>
    <w:rsid w:val="00080BC8"/>
    <w:rsid w:val="00081C0C"/>
    <w:rsid w:val="00082B4E"/>
    <w:rsid w:val="00083DD0"/>
    <w:rsid w:val="00087ADD"/>
    <w:rsid w:val="0009094E"/>
    <w:rsid w:val="00091307"/>
    <w:rsid w:val="00091804"/>
    <w:rsid w:val="00093AD6"/>
    <w:rsid w:val="000941AC"/>
    <w:rsid w:val="000953C6"/>
    <w:rsid w:val="00095896"/>
    <w:rsid w:val="00097A80"/>
    <w:rsid w:val="000A0150"/>
    <w:rsid w:val="000A12E1"/>
    <w:rsid w:val="000A17FD"/>
    <w:rsid w:val="000A18D6"/>
    <w:rsid w:val="000A52DC"/>
    <w:rsid w:val="000A6991"/>
    <w:rsid w:val="000A7BEB"/>
    <w:rsid w:val="000B1F28"/>
    <w:rsid w:val="000B2322"/>
    <w:rsid w:val="000C0683"/>
    <w:rsid w:val="000C1B40"/>
    <w:rsid w:val="000C2401"/>
    <w:rsid w:val="000C33E8"/>
    <w:rsid w:val="000C3D58"/>
    <w:rsid w:val="000C4BEC"/>
    <w:rsid w:val="000C56A0"/>
    <w:rsid w:val="000C6196"/>
    <w:rsid w:val="000C6804"/>
    <w:rsid w:val="000C7B68"/>
    <w:rsid w:val="000D0C94"/>
    <w:rsid w:val="000D124E"/>
    <w:rsid w:val="000D175A"/>
    <w:rsid w:val="000D1969"/>
    <w:rsid w:val="000D1B14"/>
    <w:rsid w:val="000D352E"/>
    <w:rsid w:val="000D3BBE"/>
    <w:rsid w:val="000D3DBE"/>
    <w:rsid w:val="000D422E"/>
    <w:rsid w:val="000D5D61"/>
    <w:rsid w:val="000D64F2"/>
    <w:rsid w:val="000D6AB7"/>
    <w:rsid w:val="000D75A3"/>
    <w:rsid w:val="000E07C8"/>
    <w:rsid w:val="000E0A59"/>
    <w:rsid w:val="000E4F95"/>
    <w:rsid w:val="000E5532"/>
    <w:rsid w:val="000E6603"/>
    <w:rsid w:val="000E687D"/>
    <w:rsid w:val="000E7306"/>
    <w:rsid w:val="000E739B"/>
    <w:rsid w:val="000E7516"/>
    <w:rsid w:val="000E755D"/>
    <w:rsid w:val="000F0503"/>
    <w:rsid w:val="000F0825"/>
    <w:rsid w:val="000F0BE9"/>
    <w:rsid w:val="000F4566"/>
    <w:rsid w:val="000F47B2"/>
    <w:rsid w:val="000F5EA5"/>
    <w:rsid w:val="000F61E4"/>
    <w:rsid w:val="000F6855"/>
    <w:rsid w:val="000F68CD"/>
    <w:rsid w:val="000F6D07"/>
    <w:rsid w:val="000F6F09"/>
    <w:rsid w:val="00103848"/>
    <w:rsid w:val="00106CE3"/>
    <w:rsid w:val="00106F0D"/>
    <w:rsid w:val="001079B7"/>
    <w:rsid w:val="00110910"/>
    <w:rsid w:val="00110FC0"/>
    <w:rsid w:val="00111409"/>
    <w:rsid w:val="00112116"/>
    <w:rsid w:val="00112B39"/>
    <w:rsid w:val="001135DC"/>
    <w:rsid w:val="00114460"/>
    <w:rsid w:val="00114B38"/>
    <w:rsid w:val="001165F1"/>
    <w:rsid w:val="00116645"/>
    <w:rsid w:val="00120AA9"/>
    <w:rsid w:val="001217FA"/>
    <w:rsid w:val="001218A5"/>
    <w:rsid w:val="00122115"/>
    <w:rsid w:val="001222C4"/>
    <w:rsid w:val="001227DA"/>
    <w:rsid w:val="00122DC7"/>
    <w:rsid w:val="0012457E"/>
    <w:rsid w:val="00125BB7"/>
    <w:rsid w:val="00125C7E"/>
    <w:rsid w:val="00125CDE"/>
    <w:rsid w:val="00130028"/>
    <w:rsid w:val="0013169A"/>
    <w:rsid w:val="0013172F"/>
    <w:rsid w:val="00132433"/>
    <w:rsid w:val="00132BA8"/>
    <w:rsid w:val="00132D91"/>
    <w:rsid w:val="00134053"/>
    <w:rsid w:val="00134FB5"/>
    <w:rsid w:val="001357C7"/>
    <w:rsid w:val="00135FEB"/>
    <w:rsid w:val="001362FF"/>
    <w:rsid w:val="00137B74"/>
    <w:rsid w:val="00137CA1"/>
    <w:rsid w:val="00137E27"/>
    <w:rsid w:val="00140CF4"/>
    <w:rsid w:val="001417D5"/>
    <w:rsid w:val="00142190"/>
    <w:rsid w:val="00142501"/>
    <w:rsid w:val="0014279B"/>
    <w:rsid w:val="001428EC"/>
    <w:rsid w:val="001451D5"/>
    <w:rsid w:val="0014585B"/>
    <w:rsid w:val="00147CF9"/>
    <w:rsid w:val="0015163D"/>
    <w:rsid w:val="00151B7F"/>
    <w:rsid w:val="001526BC"/>
    <w:rsid w:val="00152F96"/>
    <w:rsid w:val="001543AC"/>
    <w:rsid w:val="00154576"/>
    <w:rsid w:val="0015519F"/>
    <w:rsid w:val="00157216"/>
    <w:rsid w:val="00157258"/>
    <w:rsid w:val="00160204"/>
    <w:rsid w:val="001634DC"/>
    <w:rsid w:val="00164487"/>
    <w:rsid w:val="0016528E"/>
    <w:rsid w:val="0016581C"/>
    <w:rsid w:val="001664F4"/>
    <w:rsid w:val="00166A93"/>
    <w:rsid w:val="00167D46"/>
    <w:rsid w:val="00171207"/>
    <w:rsid w:val="00171716"/>
    <w:rsid w:val="00172140"/>
    <w:rsid w:val="0017286C"/>
    <w:rsid w:val="00174184"/>
    <w:rsid w:val="00174CDB"/>
    <w:rsid w:val="00174E0B"/>
    <w:rsid w:val="00177119"/>
    <w:rsid w:val="00177483"/>
    <w:rsid w:val="00177B34"/>
    <w:rsid w:val="00180C7F"/>
    <w:rsid w:val="00182570"/>
    <w:rsid w:val="00183750"/>
    <w:rsid w:val="00183A81"/>
    <w:rsid w:val="00186335"/>
    <w:rsid w:val="001866AC"/>
    <w:rsid w:val="00187C4A"/>
    <w:rsid w:val="00187EBB"/>
    <w:rsid w:val="00190B72"/>
    <w:rsid w:val="00192094"/>
    <w:rsid w:val="00192DC4"/>
    <w:rsid w:val="00192DEC"/>
    <w:rsid w:val="0019386A"/>
    <w:rsid w:val="00193DD0"/>
    <w:rsid w:val="00195961"/>
    <w:rsid w:val="00195FE4"/>
    <w:rsid w:val="0019628D"/>
    <w:rsid w:val="001A1BF2"/>
    <w:rsid w:val="001A1DB0"/>
    <w:rsid w:val="001A272E"/>
    <w:rsid w:val="001A32B1"/>
    <w:rsid w:val="001B0974"/>
    <w:rsid w:val="001B1B22"/>
    <w:rsid w:val="001B31CC"/>
    <w:rsid w:val="001B409F"/>
    <w:rsid w:val="001B417C"/>
    <w:rsid w:val="001B5152"/>
    <w:rsid w:val="001B53EE"/>
    <w:rsid w:val="001B5E53"/>
    <w:rsid w:val="001B615A"/>
    <w:rsid w:val="001B6181"/>
    <w:rsid w:val="001B7502"/>
    <w:rsid w:val="001C04BC"/>
    <w:rsid w:val="001C0A81"/>
    <w:rsid w:val="001C1A52"/>
    <w:rsid w:val="001C1A58"/>
    <w:rsid w:val="001C3A9B"/>
    <w:rsid w:val="001C577A"/>
    <w:rsid w:val="001C5874"/>
    <w:rsid w:val="001C5ADD"/>
    <w:rsid w:val="001C5BEF"/>
    <w:rsid w:val="001C63BA"/>
    <w:rsid w:val="001C6EDC"/>
    <w:rsid w:val="001C735B"/>
    <w:rsid w:val="001D1138"/>
    <w:rsid w:val="001D1B06"/>
    <w:rsid w:val="001D6106"/>
    <w:rsid w:val="001D728B"/>
    <w:rsid w:val="001E2974"/>
    <w:rsid w:val="001E3DF8"/>
    <w:rsid w:val="001E4091"/>
    <w:rsid w:val="001F1C85"/>
    <w:rsid w:val="001F471C"/>
    <w:rsid w:val="001F4A69"/>
    <w:rsid w:val="001F5C49"/>
    <w:rsid w:val="001F6405"/>
    <w:rsid w:val="00201B53"/>
    <w:rsid w:val="002028BD"/>
    <w:rsid w:val="00203BDC"/>
    <w:rsid w:val="00204B08"/>
    <w:rsid w:val="00204DCF"/>
    <w:rsid w:val="00205820"/>
    <w:rsid w:val="00206786"/>
    <w:rsid w:val="00207377"/>
    <w:rsid w:val="00210AE6"/>
    <w:rsid w:val="002119B0"/>
    <w:rsid w:val="00211B03"/>
    <w:rsid w:val="00212E38"/>
    <w:rsid w:val="00212E60"/>
    <w:rsid w:val="00213156"/>
    <w:rsid w:val="00213989"/>
    <w:rsid w:val="002146E6"/>
    <w:rsid w:val="00215ED7"/>
    <w:rsid w:val="00216E00"/>
    <w:rsid w:val="0022031F"/>
    <w:rsid w:val="002208A5"/>
    <w:rsid w:val="0022246F"/>
    <w:rsid w:val="002236D7"/>
    <w:rsid w:val="00223C73"/>
    <w:rsid w:val="0022435A"/>
    <w:rsid w:val="0022688E"/>
    <w:rsid w:val="002279EF"/>
    <w:rsid w:val="002304A5"/>
    <w:rsid w:val="00230740"/>
    <w:rsid w:val="002318F3"/>
    <w:rsid w:val="00232FC7"/>
    <w:rsid w:val="002337CA"/>
    <w:rsid w:val="00235CEF"/>
    <w:rsid w:val="002361E6"/>
    <w:rsid w:val="00236BA4"/>
    <w:rsid w:val="00240A76"/>
    <w:rsid w:val="00241128"/>
    <w:rsid w:val="00242D71"/>
    <w:rsid w:val="002432ED"/>
    <w:rsid w:val="00244269"/>
    <w:rsid w:val="00245936"/>
    <w:rsid w:val="00247019"/>
    <w:rsid w:val="00251510"/>
    <w:rsid w:val="00251B63"/>
    <w:rsid w:val="002535E9"/>
    <w:rsid w:val="00256ED0"/>
    <w:rsid w:val="00260CFC"/>
    <w:rsid w:val="00261D55"/>
    <w:rsid w:val="00261FB4"/>
    <w:rsid w:val="00262368"/>
    <w:rsid w:val="0026410F"/>
    <w:rsid w:val="00265B2B"/>
    <w:rsid w:val="002672DD"/>
    <w:rsid w:val="00267FDA"/>
    <w:rsid w:val="002702CF"/>
    <w:rsid w:val="002742FA"/>
    <w:rsid w:val="00275FE4"/>
    <w:rsid w:val="00280C26"/>
    <w:rsid w:val="002816DF"/>
    <w:rsid w:val="0028327B"/>
    <w:rsid w:val="002837EB"/>
    <w:rsid w:val="0028493B"/>
    <w:rsid w:val="00286FE5"/>
    <w:rsid w:val="00292662"/>
    <w:rsid w:val="00293754"/>
    <w:rsid w:val="00293B0A"/>
    <w:rsid w:val="0029551B"/>
    <w:rsid w:val="002A3922"/>
    <w:rsid w:val="002A3CDF"/>
    <w:rsid w:val="002A4A1B"/>
    <w:rsid w:val="002A6040"/>
    <w:rsid w:val="002B13FD"/>
    <w:rsid w:val="002B5741"/>
    <w:rsid w:val="002B767D"/>
    <w:rsid w:val="002B7FAB"/>
    <w:rsid w:val="002C016F"/>
    <w:rsid w:val="002C057B"/>
    <w:rsid w:val="002C0A9F"/>
    <w:rsid w:val="002C28EF"/>
    <w:rsid w:val="002C2CA5"/>
    <w:rsid w:val="002C34CB"/>
    <w:rsid w:val="002C4432"/>
    <w:rsid w:val="002C49B7"/>
    <w:rsid w:val="002C528F"/>
    <w:rsid w:val="002C6A0B"/>
    <w:rsid w:val="002D0A0E"/>
    <w:rsid w:val="002D140D"/>
    <w:rsid w:val="002D1BA6"/>
    <w:rsid w:val="002D2E79"/>
    <w:rsid w:val="002D3459"/>
    <w:rsid w:val="002D4271"/>
    <w:rsid w:val="002D4885"/>
    <w:rsid w:val="002D645A"/>
    <w:rsid w:val="002D7B02"/>
    <w:rsid w:val="002D7CD8"/>
    <w:rsid w:val="002E0712"/>
    <w:rsid w:val="002E1818"/>
    <w:rsid w:val="002E4AE1"/>
    <w:rsid w:val="002E5AF5"/>
    <w:rsid w:val="002E6F9D"/>
    <w:rsid w:val="002E72AC"/>
    <w:rsid w:val="002F016A"/>
    <w:rsid w:val="002F03EC"/>
    <w:rsid w:val="002F0A94"/>
    <w:rsid w:val="002F2123"/>
    <w:rsid w:val="002F3741"/>
    <w:rsid w:val="002F37B2"/>
    <w:rsid w:val="002F439D"/>
    <w:rsid w:val="002F575D"/>
    <w:rsid w:val="002F5EE0"/>
    <w:rsid w:val="002F664D"/>
    <w:rsid w:val="002F68AE"/>
    <w:rsid w:val="0030111F"/>
    <w:rsid w:val="00301624"/>
    <w:rsid w:val="00302F4D"/>
    <w:rsid w:val="00303BED"/>
    <w:rsid w:val="00304349"/>
    <w:rsid w:val="00306886"/>
    <w:rsid w:val="00306C8D"/>
    <w:rsid w:val="0030769F"/>
    <w:rsid w:val="00310394"/>
    <w:rsid w:val="00310AE1"/>
    <w:rsid w:val="003113DF"/>
    <w:rsid w:val="00312136"/>
    <w:rsid w:val="00317357"/>
    <w:rsid w:val="00320021"/>
    <w:rsid w:val="00320575"/>
    <w:rsid w:val="003207C1"/>
    <w:rsid w:val="00320887"/>
    <w:rsid w:val="00320AF5"/>
    <w:rsid w:val="00320BA9"/>
    <w:rsid w:val="00320CD4"/>
    <w:rsid w:val="0032133B"/>
    <w:rsid w:val="00321E2C"/>
    <w:rsid w:val="0032248F"/>
    <w:rsid w:val="00322A96"/>
    <w:rsid w:val="00322B0B"/>
    <w:rsid w:val="00323243"/>
    <w:rsid w:val="003232A7"/>
    <w:rsid w:val="00326300"/>
    <w:rsid w:val="00326821"/>
    <w:rsid w:val="00330558"/>
    <w:rsid w:val="00330A33"/>
    <w:rsid w:val="00333B7F"/>
    <w:rsid w:val="0033471C"/>
    <w:rsid w:val="00334789"/>
    <w:rsid w:val="003361DB"/>
    <w:rsid w:val="00337CF5"/>
    <w:rsid w:val="00337EE3"/>
    <w:rsid w:val="00341B84"/>
    <w:rsid w:val="00343BB1"/>
    <w:rsid w:val="003455FE"/>
    <w:rsid w:val="00346213"/>
    <w:rsid w:val="00347170"/>
    <w:rsid w:val="0034739F"/>
    <w:rsid w:val="00347753"/>
    <w:rsid w:val="003478E0"/>
    <w:rsid w:val="00347A50"/>
    <w:rsid w:val="00350068"/>
    <w:rsid w:val="00351A45"/>
    <w:rsid w:val="00352003"/>
    <w:rsid w:val="00352572"/>
    <w:rsid w:val="003550C2"/>
    <w:rsid w:val="003562E8"/>
    <w:rsid w:val="00356C5D"/>
    <w:rsid w:val="0036207C"/>
    <w:rsid w:val="00362817"/>
    <w:rsid w:val="0036492C"/>
    <w:rsid w:val="00365696"/>
    <w:rsid w:val="00365F1D"/>
    <w:rsid w:val="00365FFA"/>
    <w:rsid w:val="00366260"/>
    <w:rsid w:val="003664B6"/>
    <w:rsid w:val="00367E55"/>
    <w:rsid w:val="00370401"/>
    <w:rsid w:val="003714F9"/>
    <w:rsid w:val="00371B6D"/>
    <w:rsid w:val="003730F5"/>
    <w:rsid w:val="0037745C"/>
    <w:rsid w:val="003776D2"/>
    <w:rsid w:val="00377C70"/>
    <w:rsid w:val="00380C1F"/>
    <w:rsid w:val="00383570"/>
    <w:rsid w:val="003839DB"/>
    <w:rsid w:val="003856B0"/>
    <w:rsid w:val="003874CD"/>
    <w:rsid w:val="00390D54"/>
    <w:rsid w:val="003918CF"/>
    <w:rsid w:val="0039305E"/>
    <w:rsid w:val="00394692"/>
    <w:rsid w:val="00394863"/>
    <w:rsid w:val="003979FC"/>
    <w:rsid w:val="00397E3F"/>
    <w:rsid w:val="003A0C37"/>
    <w:rsid w:val="003A171C"/>
    <w:rsid w:val="003A17A5"/>
    <w:rsid w:val="003A34A6"/>
    <w:rsid w:val="003A633D"/>
    <w:rsid w:val="003A6434"/>
    <w:rsid w:val="003B12EF"/>
    <w:rsid w:val="003B1399"/>
    <w:rsid w:val="003B1EF0"/>
    <w:rsid w:val="003B275F"/>
    <w:rsid w:val="003B2977"/>
    <w:rsid w:val="003B3AA1"/>
    <w:rsid w:val="003B3E91"/>
    <w:rsid w:val="003B578F"/>
    <w:rsid w:val="003B68A0"/>
    <w:rsid w:val="003B727D"/>
    <w:rsid w:val="003C16E4"/>
    <w:rsid w:val="003C2DA9"/>
    <w:rsid w:val="003C69DA"/>
    <w:rsid w:val="003C6FD1"/>
    <w:rsid w:val="003C751E"/>
    <w:rsid w:val="003D1974"/>
    <w:rsid w:val="003D25C5"/>
    <w:rsid w:val="003D36F6"/>
    <w:rsid w:val="003D3F43"/>
    <w:rsid w:val="003D4884"/>
    <w:rsid w:val="003D7031"/>
    <w:rsid w:val="003D7E6D"/>
    <w:rsid w:val="003E16D8"/>
    <w:rsid w:val="003E184D"/>
    <w:rsid w:val="003E2745"/>
    <w:rsid w:val="003E39F7"/>
    <w:rsid w:val="003E6965"/>
    <w:rsid w:val="003E7D71"/>
    <w:rsid w:val="003E7E55"/>
    <w:rsid w:val="003F031E"/>
    <w:rsid w:val="003F03DA"/>
    <w:rsid w:val="003F0FF9"/>
    <w:rsid w:val="003F13A6"/>
    <w:rsid w:val="003F5C2C"/>
    <w:rsid w:val="004000FE"/>
    <w:rsid w:val="00400FD1"/>
    <w:rsid w:val="00401844"/>
    <w:rsid w:val="00401CB6"/>
    <w:rsid w:val="00402BC6"/>
    <w:rsid w:val="0040353D"/>
    <w:rsid w:val="0040411A"/>
    <w:rsid w:val="004045F7"/>
    <w:rsid w:val="00406381"/>
    <w:rsid w:val="004078C3"/>
    <w:rsid w:val="004108DD"/>
    <w:rsid w:val="00411410"/>
    <w:rsid w:val="004121E4"/>
    <w:rsid w:val="004127B9"/>
    <w:rsid w:val="00413325"/>
    <w:rsid w:val="00414EEE"/>
    <w:rsid w:val="00420048"/>
    <w:rsid w:val="00420DC3"/>
    <w:rsid w:val="0042120A"/>
    <w:rsid w:val="00421364"/>
    <w:rsid w:val="00421AED"/>
    <w:rsid w:val="0042273B"/>
    <w:rsid w:val="00423D61"/>
    <w:rsid w:val="004246F9"/>
    <w:rsid w:val="00424B8F"/>
    <w:rsid w:val="004258E8"/>
    <w:rsid w:val="0042616E"/>
    <w:rsid w:val="00427CCB"/>
    <w:rsid w:val="00431504"/>
    <w:rsid w:val="00432373"/>
    <w:rsid w:val="00433AC1"/>
    <w:rsid w:val="00433C3C"/>
    <w:rsid w:val="00434DAA"/>
    <w:rsid w:val="00435CC5"/>
    <w:rsid w:val="00436D06"/>
    <w:rsid w:val="00437BF2"/>
    <w:rsid w:val="00440B09"/>
    <w:rsid w:val="00441D26"/>
    <w:rsid w:val="00443444"/>
    <w:rsid w:val="00443467"/>
    <w:rsid w:val="004434DB"/>
    <w:rsid w:val="00443E59"/>
    <w:rsid w:val="00444A4F"/>
    <w:rsid w:val="004478FC"/>
    <w:rsid w:val="0045119E"/>
    <w:rsid w:val="00451422"/>
    <w:rsid w:val="00452EFB"/>
    <w:rsid w:val="00453F09"/>
    <w:rsid w:val="00455D72"/>
    <w:rsid w:val="0045772C"/>
    <w:rsid w:val="00457EB2"/>
    <w:rsid w:val="004600E7"/>
    <w:rsid w:val="0046045F"/>
    <w:rsid w:val="004611DE"/>
    <w:rsid w:val="004618DC"/>
    <w:rsid w:val="00462F9B"/>
    <w:rsid w:val="00464863"/>
    <w:rsid w:val="0046503F"/>
    <w:rsid w:val="00465206"/>
    <w:rsid w:val="00467443"/>
    <w:rsid w:val="004675A0"/>
    <w:rsid w:val="0047194B"/>
    <w:rsid w:val="00472A52"/>
    <w:rsid w:val="00473DC8"/>
    <w:rsid w:val="00474886"/>
    <w:rsid w:val="004756F5"/>
    <w:rsid w:val="00477335"/>
    <w:rsid w:val="0047783E"/>
    <w:rsid w:val="004803EE"/>
    <w:rsid w:val="00481276"/>
    <w:rsid w:val="004834ED"/>
    <w:rsid w:val="00484D2A"/>
    <w:rsid w:val="0048537C"/>
    <w:rsid w:val="00485DC0"/>
    <w:rsid w:val="00487801"/>
    <w:rsid w:val="0049095D"/>
    <w:rsid w:val="00490AA3"/>
    <w:rsid w:val="00490B0F"/>
    <w:rsid w:val="0049196B"/>
    <w:rsid w:val="00492138"/>
    <w:rsid w:val="00492ABD"/>
    <w:rsid w:val="00492FB4"/>
    <w:rsid w:val="0049359F"/>
    <w:rsid w:val="004938F3"/>
    <w:rsid w:val="00493A72"/>
    <w:rsid w:val="004940A1"/>
    <w:rsid w:val="004971CD"/>
    <w:rsid w:val="004A2800"/>
    <w:rsid w:val="004A3510"/>
    <w:rsid w:val="004A39B1"/>
    <w:rsid w:val="004A50B3"/>
    <w:rsid w:val="004A588A"/>
    <w:rsid w:val="004A6A4A"/>
    <w:rsid w:val="004A78BC"/>
    <w:rsid w:val="004B0292"/>
    <w:rsid w:val="004B120D"/>
    <w:rsid w:val="004B366C"/>
    <w:rsid w:val="004B406E"/>
    <w:rsid w:val="004B4C42"/>
    <w:rsid w:val="004C0561"/>
    <w:rsid w:val="004C1632"/>
    <w:rsid w:val="004C2D7E"/>
    <w:rsid w:val="004C360E"/>
    <w:rsid w:val="004C3BEA"/>
    <w:rsid w:val="004C50DF"/>
    <w:rsid w:val="004C594D"/>
    <w:rsid w:val="004C7702"/>
    <w:rsid w:val="004C7E7D"/>
    <w:rsid w:val="004D0577"/>
    <w:rsid w:val="004D215B"/>
    <w:rsid w:val="004D279B"/>
    <w:rsid w:val="004D27E3"/>
    <w:rsid w:val="004D2B8C"/>
    <w:rsid w:val="004D3636"/>
    <w:rsid w:val="004D3CB9"/>
    <w:rsid w:val="004D3E5D"/>
    <w:rsid w:val="004D789C"/>
    <w:rsid w:val="004D795E"/>
    <w:rsid w:val="004E3768"/>
    <w:rsid w:val="004E3CDB"/>
    <w:rsid w:val="004E4A11"/>
    <w:rsid w:val="004E4D03"/>
    <w:rsid w:val="004F16FC"/>
    <w:rsid w:val="004F1D2B"/>
    <w:rsid w:val="004F1D47"/>
    <w:rsid w:val="004F2207"/>
    <w:rsid w:val="004F4392"/>
    <w:rsid w:val="004F4AAD"/>
    <w:rsid w:val="004F7367"/>
    <w:rsid w:val="00500A1D"/>
    <w:rsid w:val="00501614"/>
    <w:rsid w:val="0050217E"/>
    <w:rsid w:val="005022CC"/>
    <w:rsid w:val="0050249F"/>
    <w:rsid w:val="00502675"/>
    <w:rsid w:val="00504A28"/>
    <w:rsid w:val="00505C19"/>
    <w:rsid w:val="00505E83"/>
    <w:rsid w:val="005100FF"/>
    <w:rsid w:val="0051022B"/>
    <w:rsid w:val="00510572"/>
    <w:rsid w:val="00510BDE"/>
    <w:rsid w:val="005131F6"/>
    <w:rsid w:val="00513906"/>
    <w:rsid w:val="00514EE6"/>
    <w:rsid w:val="00516072"/>
    <w:rsid w:val="00520380"/>
    <w:rsid w:val="00522914"/>
    <w:rsid w:val="00523E9C"/>
    <w:rsid w:val="005244F8"/>
    <w:rsid w:val="00525652"/>
    <w:rsid w:val="00530FF4"/>
    <w:rsid w:val="00532145"/>
    <w:rsid w:val="0053241A"/>
    <w:rsid w:val="0053266D"/>
    <w:rsid w:val="00532DB6"/>
    <w:rsid w:val="00533907"/>
    <w:rsid w:val="00533E88"/>
    <w:rsid w:val="00534680"/>
    <w:rsid w:val="005407D6"/>
    <w:rsid w:val="005418C0"/>
    <w:rsid w:val="00543601"/>
    <w:rsid w:val="00543627"/>
    <w:rsid w:val="00544892"/>
    <w:rsid w:val="005459DC"/>
    <w:rsid w:val="00546E95"/>
    <w:rsid w:val="0055165E"/>
    <w:rsid w:val="00551CB1"/>
    <w:rsid w:val="00551DD9"/>
    <w:rsid w:val="0055288A"/>
    <w:rsid w:val="005539BE"/>
    <w:rsid w:val="00556BDC"/>
    <w:rsid w:val="00556BEC"/>
    <w:rsid w:val="0056008F"/>
    <w:rsid w:val="005619F6"/>
    <w:rsid w:val="00561F79"/>
    <w:rsid w:val="005646C2"/>
    <w:rsid w:val="005665A7"/>
    <w:rsid w:val="00566C92"/>
    <w:rsid w:val="00566F3D"/>
    <w:rsid w:val="00567193"/>
    <w:rsid w:val="00570C0D"/>
    <w:rsid w:val="00571CA4"/>
    <w:rsid w:val="0057380D"/>
    <w:rsid w:val="005744C0"/>
    <w:rsid w:val="0057478A"/>
    <w:rsid w:val="005751D4"/>
    <w:rsid w:val="00577432"/>
    <w:rsid w:val="0058105B"/>
    <w:rsid w:val="0058166A"/>
    <w:rsid w:val="00581FD7"/>
    <w:rsid w:val="00582465"/>
    <w:rsid w:val="0058391B"/>
    <w:rsid w:val="00583B5C"/>
    <w:rsid w:val="005866F0"/>
    <w:rsid w:val="0058675C"/>
    <w:rsid w:val="005875FB"/>
    <w:rsid w:val="00587B3F"/>
    <w:rsid w:val="0059119D"/>
    <w:rsid w:val="00592CF8"/>
    <w:rsid w:val="00593D06"/>
    <w:rsid w:val="005942F2"/>
    <w:rsid w:val="0059511C"/>
    <w:rsid w:val="00595D01"/>
    <w:rsid w:val="00595D4C"/>
    <w:rsid w:val="005960F3"/>
    <w:rsid w:val="0059676A"/>
    <w:rsid w:val="00597810"/>
    <w:rsid w:val="005A00C5"/>
    <w:rsid w:val="005A09C4"/>
    <w:rsid w:val="005A168E"/>
    <w:rsid w:val="005A196C"/>
    <w:rsid w:val="005A22DC"/>
    <w:rsid w:val="005A28D8"/>
    <w:rsid w:val="005A28E0"/>
    <w:rsid w:val="005A2D16"/>
    <w:rsid w:val="005A301B"/>
    <w:rsid w:val="005A369B"/>
    <w:rsid w:val="005A4786"/>
    <w:rsid w:val="005A6044"/>
    <w:rsid w:val="005A659A"/>
    <w:rsid w:val="005B0B37"/>
    <w:rsid w:val="005B1DDA"/>
    <w:rsid w:val="005B1EBA"/>
    <w:rsid w:val="005B34E5"/>
    <w:rsid w:val="005B4D0F"/>
    <w:rsid w:val="005B6779"/>
    <w:rsid w:val="005C1A86"/>
    <w:rsid w:val="005C385E"/>
    <w:rsid w:val="005C3DA0"/>
    <w:rsid w:val="005C4AB8"/>
    <w:rsid w:val="005C7620"/>
    <w:rsid w:val="005C7950"/>
    <w:rsid w:val="005D1CA1"/>
    <w:rsid w:val="005D582F"/>
    <w:rsid w:val="005D5AEE"/>
    <w:rsid w:val="005D6EA1"/>
    <w:rsid w:val="005E185B"/>
    <w:rsid w:val="005E26CF"/>
    <w:rsid w:val="005E3379"/>
    <w:rsid w:val="005E4A71"/>
    <w:rsid w:val="005E5264"/>
    <w:rsid w:val="005E584D"/>
    <w:rsid w:val="005F0874"/>
    <w:rsid w:val="005F08ED"/>
    <w:rsid w:val="005F1CAA"/>
    <w:rsid w:val="005F20D1"/>
    <w:rsid w:val="005F231E"/>
    <w:rsid w:val="005F3737"/>
    <w:rsid w:val="005F51B0"/>
    <w:rsid w:val="005F6834"/>
    <w:rsid w:val="006003EF"/>
    <w:rsid w:val="006004E0"/>
    <w:rsid w:val="00601F5F"/>
    <w:rsid w:val="0060284E"/>
    <w:rsid w:val="00602CE7"/>
    <w:rsid w:val="00603A93"/>
    <w:rsid w:val="0060443B"/>
    <w:rsid w:val="006055C4"/>
    <w:rsid w:val="00607388"/>
    <w:rsid w:val="00610405"/>
    <w:rsid w:val="00610C5F"/>
    <w:rsid w:val="00613344"/>
    <w:rsid w:val="00614172"/>
    <w:rsid w:val="00614A56"/>
    <w:rsid w:val="006152D6"/>
    <w:rsid w:val="00615BCC"/>
    <w:rsid w:val="00620B3E"/>
    <w:rsid w:val="00620D75"/>
    <w:rsid w:val="00622F7B"/>
    <w:rsid w:val="006238E8"/>
    <w:rsid w:val="00624803"/>
    <w:rsid w:val="00625D04"/>
    <w:rsid w:val="00630DCD"/>
    <w:rsid w:val="00634227"/>
    <w:rsid w:val="00635EEC"/>
    <w:rsid w:val="0063616B"/>
    <w:rsid w:val="00637107"/>
    <w:rsid w:val="00643564"/>
    <w:rsid w:val="00651711"/>
    <w:rsid w:val="00653599"/>
    <w:rsid w:val="0065371A"/>
    <w:rsid w:val="00653A4C"/>
    <w:rsid w:val="006544E2"/>
    <w:rsid w:val="006567E9"/>
    <w:rsid w:val="0066351D"/>
    <w:rsid w:val="00663B93"/>
    <w:rsid w:val="00666DB4"/>
    <w:rsid w:val="00671EF0"/>
    <w:rsid w:val="006720CE"/>
    <w:rsid w:val="00672C6F"/>
    <w:rsid w:val="00673861"/>
    <w:rsid w:val="0067468A"/>
    <w:rsid w:val="00674997"/>
    <w:rsid w:val="00675999"/>
    <w:rsid w:val="00675F4B"/>
    <w:rsid w:val="00677106"/>
    <w:rsid w:val="0068249A"/>
    <w:rsid w:val="00684E16"/>
    <w:rsid w:val="0068576A"/>
    <w:rsid w:val="00685B88"/>
    <w:rsid w:val="00687573"/>
    <w:rsid w:val="00690B6B"/>
    <w:rsid w:val="00690E1C"/>
    <w:rsid w:val="00690F0C"/>
    <w:rsid w:val="00692743"/>
    <w:rsid w:val="00695238"/>
    <w:rsid w:val="0069648C"/>
    <w:rsid w:val="00697FB6"/>
    <w:rsid w:val="006A0318"/>
    <w:rsid w:val="006A0F25"/>
    <w:rsid w:val="006A0F58"/>
    <w:rsid w:val="006A1FF6"/>
    <w:rsid w:val="006A4B50"/>
    <w:rsid w:val="006A4C81"/>
    <w:rsid w:val="006A4D5A"/>
    <w:rsid w:val="006A5D56"/>
    <w:rsid w:val="006A65AB"/>
    <w:rsid w:val="006A6BC3"/>
    <w:rsid w:val="006A6CF8"/>
    <w:rsid w:val="006A707F"/>
    <w:rsid w:val="006B140A"/>
    <w:rsid w:val="006B1579"/>
    <w:rsid w:val="006B1805"/>
    <w:rsid w:val="006B184A"/>
    <w:rsid w:val="006B1B1F"/>
    <w:rsid w:val="006B1CD2"/>
    <w:rsid w:val="006B45E3"/>
    <w:rsid w:val="006B4665"/>
    <w:rsid w:val="006B6441"/>
    <w:rsid w:val="006B6A68"/>
    <w:rsid w:val="006B7221"/>
    <w:rsid w:val="006B7D00"/>
    <w:rsid w:val="006C4114"/>
    <w:rsid w:val="006C56CE"/>
    <w:rsid w:val="006C5771"/>
    <w:rsid w:val="006C654A"/>
    <w:rsid w:val="006C7EDC"/>
    <w:rsid w:val="006D013C"/>
    <w:rsid w:val="006D1EC8"/>
    <w:rsid w:val="006D3226"/>
    <w:rsid w:val="006D3686"/>
    <w:rsid w:val="006D48BF"/>
    <w:rsid w:val="006D4E0D"/>
    <w:rsid w:val="006D4E83"/>
    <w:rsid w:val="006D5687"/>
    <w:rsid w:val="006D679D"/>
    <w:rsid w:val="006D6DA8"/>
    <w:rsid w:val="006E045C"/>
    <w:rsid w:val="006E07A0"/>
    <w:rsid w:val="006E18F9"/>
    <w:rsid w:val="006E3EFF"/>
    <w:rsid w:val="006E5C27"/>
    <w:rsid w:val="006E7362"/>
    <w:rsid w:val="006F089E"/>
    <w:rsid w:val="006F0EF3"/>
    <w:rsid w:val="006F11F6"/>
    <w:rsid w:val="006F327E"/>
    <w:rsid w:val="006F61B6"/>
    <w:rsid w:val="006F74DC"/>
    <w:rsid w:val="00701A60"/>
    <w:rsid w:val="00701F42"/>
    <w:rsid w:val="007021C7"/>
    <w:rsid w:val="00703F50"/>
    <w:rsid w:val="00704499"/>
    <w:rsid w:val="00704573"/>
    <w:rsid w:val="0070526C"/>
    <w:rsid w:val="0070647E"/>
    <w:rsid w:val="0071156A"/>
    <w:rsid w:val="00711BA2"/>
    <w:rsid w:val="00712515"/>
    <w:rsid w:val="0071331D"/>
    <w:rsid w:val="0071427D"/>
    <w:rsid w:val="00714B01"/>
    <w:rsid w:val="00715AEF"/>
    <w:rsid w:val="00716457"/>
    <w:rsid w:val="0071787E"/>
    <w:rsid w:val="00720618"/>
    <w:rsid w:val="00720704"/>
    <w:rsid w:val="007214B6"/>
    <w:rsid w:val="00723E2E"/>
    <w:rsid w:val="00723F0C"/>
    <w:rsid w:val="00725095"/>
    <w:rsid w:val="0072700C"/>
    <w:rsid w:val="00727D20"/>
    <w:rsid w:val="007303D3"/>
    <w:rsid w:val="00730D3C"/>
    <w:rsid w:val="0073144A"/>
    <w:rsid w:val="00731675"/>
    <w:rsid w:val="007316B8"/>
    <w:rsid w:val="00731772"/>
    <w:rsid w:val="00731AFB"/>
    <w:rsid w:val="00732C4F"/>
    <w:rsid w:val="0073424A"/>
    <w:rsid w:val="00734FFF"/>
    <w:rsid w:val="00735ADA"/>
    <w:rsid w:val="00736DBA"/>
    <w:rsid w:val="007375E5"/>
    <w:rsid w:val="007407C2"/>
    <w:rsid w:val="0074095E"/>
    <w:rsid w:val="00741D02"/>
    <w:rsid w:val="00742DAE"/>
    <w:rsid w:val="0074509D"/>
    <w:rsid w:val="0074692B"/>
    <w:rsid w:val="00747350"/>
    <w:rsid w:val="00751B50"/>
    <w:rsid w:val="007526D0"/>
    <w:rsid w:val="007527CB"/>
    <w:rsid w:val="007531A3"/>
    <w:rsid w:val="00755563"/>
    <w:rsid w:val="007572D2"/>
    <w:rsid w:val="00757331"/>
    <w:rsid w:val="00757619"/>
    <w:rsid w:val="007577FA"/>
    <w:rsid w:val="00760769"/>
    <w:rsid w:val="00760F63"/>
    <w:rsid w:val="007619D7"/>
    <w:rsid w:val="0076262B"/>
    <w:rsid w:val="007627E0"/>
    <w:rsid w:val="0076640B"/>
    <w:rsid w:val="007675FA"/>
    <w:rsid w:val="00767AA0"/>
    <w:rsid w:val="00767D69"/>
    <w:rsid w:val="007715F2"/>
    <w:rsid w:val="00771DA4"/>
    <w:rsid w:val="007730F3"/>
    <w:rsid w:val="0077310B"/>
    <w:rsid w:val="00775499"/>
    <w:rsid w:val="00775924"/>
    <w:rsid w:val="007809A5"/>
    <w:rsid w:val="0078587D"/>
    <w:rsid w:val="0078631D"/>
    <w:rsid w:val="00790822"/>
    <w:rsid w:val="00791552"/>
    <w:rsid w:val="00791730"/>
    <w:rsid w:val="00794542"/>
    <w:rsid w:val="00794C42"/>
    <w:rsid w:val="00796306"/>
    <w:rsid w:val="007964B5"/>
    <w:rsid w:val="0079759B"/>
    <w:rsid w:val="007A12D2"/>
    <w:rsid w:val="007A2B68"/>
    <w:rsid w:val="007A321D"/>
    <w:rsid w:val="007A3695"/>
    <w:rsid w:val="007A379E"/>
    <w:rsid w:val="007A4837"/>
    <w:rsid w:val="007A49E9"/>
    <w:rsid w:val="007A7235"/>
    <w:rsid w:val="007B2122"/>
    <w:rsid w:val="007B45EC"/>
    <w:rsid w:val="007B5662"/>
    <w:rsid w:val="007B7A14"/>
    <w:rsid w:val="007C0F54"/>
    <w:rsid w:val="007C10BC"/>
    <w:rsid w:val="007C1C82"/>
    <w:rsid w:val="007C2061"/>
    <w:rsid w:val="007C28D4"/>
    <w:rsid w:val="007C3B47"/>
    <w:rsid w:val="007C3C37"/>
    <w:rsid w:val="007C4486"/>
    <w:rsid w:val="007C4A9F"/>
    <w:rsid w:val="007C53E6"/>
    <w:rsid w:val="007D0245"/>
    <w:rsid w:val="007D10ED"/>
    <w:rsid w:val="007D1264"/>
    <w:rsid w:val="007D1460"/>
    <w:rsid w:val="007D2570"/>
    <w:rsid w:val="007D485A"/>
    <w:rsid w:val="007D4A33"/>
    <w:rsid w:val="007D59CE"/>
    <w:rsid w:val="007E0222"/>
    <w:rsid w:val="007E1A4D"/>
    <w:rsid w:val="007E32CC"/>
    <w:rsid w:val="007E32F7"/>
    <w:rsid w:val="007E5209"/>
    <w:rsid w:val="007E6250"/>
    <w:rsid w:val="007E729F"/>
    <w:rsid w:val="007F0996"/>
    <w:rsid w:val="007F24BB"/>
    <w:rsid w:val="007F483A"/>
    <w:rsid w:val="007F72D9"/>
    <w:rsid w:val="007F7FD5"/>
    <w:rsid w:val="0080151D"/>
    <w:rsid w:val="008015BB"/>
    <w:rsid w:val="0080350E"/>
    <w:rsid w:val="00803645"/>
    <w:rsid w:val="00803AFF"/>
    <w:rsid w:val="008045B0"/>
    <w:rsid w:val="008072E4"/>
    <w:rsid w:val="0080785C"/>
    <w:rsid w:val="008111C6"/>
    <w:rsid w:val="00813B7E"/>
    <w:rsid w:val="00814E1B"/>
    <w:rsid w:val="00815258"/>
    <w:rsid w:val="008157EE"/>
    <w:rsid w:val="00815F49"/>
    <w:rsid w:val="00816428"/>
    <w:rsid w:val="00816EC0"/>
    <w:rsid w:val="008216B5"/>
    <w:rsid w:val="008219E6"/>
    <w:rsid w:val="00821C83"/>
    <w:rsid w:val="00822343"/>
    <w:rsid w:val="00822525"/>
    <w:rsid w:val="008237D0"/>
    <w:rsid w:val="00826176"/>
    <w:rsid w:val="008266AA"/>
    <w:rsid w:val="008268C5"/>
    <w:rsid w:val="008276B9"/>
    <w:rsid w:val="0082781D"/>
    <w:rsid w:val="00827E45"/>
    <w:rsid w:val="008322D5"/>
    <w:rsid w:val="00834407"/>
    <w:rsid w:val="00834741"/>
    <w:rsid w:val="00835AF7"/>
    <w:rsid w:val="00836A07"/>
    <w:rsid w:val="00836E86"/>
    <w:rsid w:val="0084022D"/>
    <w:rsid w:val="00840CE7"/>
    <w:rsid w:val="00840F82"/>
    <w:rsid w:val="00841F71"/>
    <w:rsid w:val="00843765"/>
    <w:rsid w:val="00845E95"/>
    <w:rsid w:val="00847A99"/>
    <w:rsid w:val="00850058"/>
    <w:rsid w:val="008508CE"/>
    <w:rsid w:val="00851AAB"/>
    <w:rsid w:val="00852729"/>
    <w:rsid w:val="00852DE6"/>
    <w:rsid w:val="00853002"/>
    <w:rsid w:val="00854172"/>
    <w:rsid w:val="00854181"/>
    <w:rsid w:val="00856FBC"/>
    <w:rsid w:val="0086178A"/>
    <w:rsid w:val="00861CF9"/>
    <w:rsid w:val="00862239"/>
    <w:rsid w:val="00864915"/>
    <w:rsid w:val="00867698"/>
    <w:rsid w:val="00872620"/>
    <w:rsid w:val="00873D30"/>
    <w:rsid w:val="00873FB2"/>
    <w:rsid w:val="0087420C"/>
    <w:rsid w:val="0087543E"/>
    <w:rsid w:val="00875A32"/>
    <w:rsid w:val="00875DEF"/>
    <w:rsid w:val="00876B24"/>
    <w:rsid w:val="00877FC4"/>
    <w:rsid w:val="0088010F"/>
    <w:rsid w:val="008801D3"/>
    <w:rsid w:val="00881B99"/>
    <w:rsid w:val="008831B9"/>
    <w:rsid w:val="00884005"/>
    <w:rsid w:val="00885FB5"/>
    <w:rsid w:val="0088638F"/>
    <w:rsid w:val="00887F25"/>
    <w:rsid w:val="00891AAB"/>
    <w:rsid w:val="00891D02"/>
    <w:rsid w:val="00892896"/>
    <w:rsid w:val="00896C5F"/>
    <w:rsid w:val="00897844"/>
    <w:rsid w:val="008A004D"/>
    <w:rsid w:val="008A1522"/>
    <w:rsid w:val="008A1AD2"/>
    <w:rsid w:val="008A2ACC"/>
    <w:rsid w:val="008A3C53"/>
    <w:rsid w:val="008A42F3"/>
    <w:rsid w:val="008A5C61"/>
    <w:rsid w:val="008A5C71"/>
    <w:rsid w:val="008A7D66"/>
    <w:rsid w:val="008B01AD"/>
    <w:rsid w:val="008B01CC"/>
    <w:rsid w:val="008B0DF3"/>
    <w:rsid w:val="008B1170"/>
    <w:rsid w:val="008B34F5"/>
    <w:rsid w:val="008B39F4"/>
    <w:rsid w:val="008B3E9A"/>
    <w:rsid w:val="008B4DA3"/>
    <w:rsid w:val="008B5104"/>
    <w:rsid w:val="008C3BC8"/>
    <w:rsid w:val="008C5578"/>
    <w:rsid w:val="008C6C91"/>
    <w:rsid w:val="008D13DC"/>
    <w:rsid w:val="008D14CC"/>
    <w:rsid w:val="008D2058"/>
    <w:rsid w:val="008D41FA"/>
    <w:rsid w:val="008D42C0"/>
    <w:rsid w:val="008D4518"/>
    <w:rsid w:val="008D4572"/>
    <w:rsid w:val="008D48D0"/>
    <w:rsid w:val="008E0519"/>
    <w:rsid w:val="008E29CE"/>
    <w:rsid w:val="008E344D"/>
    <w:rsid w:val="008E56A1"/>
    <w:rsid w:val="008E5CB0"/>
    <w:rsid w:val="008E7954"/>
    <w:rsid w:val="008F4302"/>
    <w:rsid w:val="008F46C3"/>
    <w:rsid w:val="008F5F41"/>
    <w:rsid w:val="008F62A4"/>
    <w:rsid w:val="008F69CC"/>
    <w:rsid w:val="008F6E57"/>
    <w:rsid w:val="008F748C"/>
    <w:rsid w:val="0090015E"/>
    <w:rsid w:val="00900D64"/>
    <w:rsid w:val="00903840"/>
    <w:rsid w:val="00903AF0"/>
    <w:rsid w:val="00903C6F"/>
    <w:rsid w:val="00904185"/>
    <w:rsid w:val="0090535E"/>
    <w:rsid w:val="0090605F"/>
    <w:rsid w:val="009127A9"/>
    <w:rsid w:val="00912B49"/>
    <w:rsid w:val="00913569"/>
    <w:rsid w:val="00913EC2"/>
    <w:rsid w:val="0091677D"/>
    <w:rsid w:val="009178A2"/>
    <w:rsid w:val="00917B68"/>
    <w:rsid w:val="00917F0D"/>
    <w:rsid w:val="0092137A"/>
    <w:rsid w:val="00921E5B"/>
    <w:rsid w:val="00927444"/>
    <w:rsid w:val="0092755F"/>
    <w:rsid w:val="00927F1B"/>
    <w:rsid w:val="0093221A"/>
    <w:rsid w:val="00934372"/>
    <w:rsid w:val="00934494"/>
    <w:rsid w:val="00934D0F"/>
    <w:rsid w:val="0093514A"/>
    <w:rsid w:val="009352E2"/>
    <w:rsid w:val="009360E7"/>
    <w:rsid w:val="00936190"/>
    <w:rsid w:val="0093651F"/>
    <w:rsid w:val="009372E1"/>
    <w:rsid w:val="00937ADE"/>
    <w:rsid w:val="00941349"/>
    <w:rsid w:val="00943038"/>
    <w:rsid w:val="00943065"/>
    <w:rsid w:val="00943A20"/>
    <w:rsid w:val="00943BBA"/>
    <w:rsid w:val="00944924"/>
    <w:rsid w:val="00944C68"/>
    <w:rsid w:val="00945AED"/>
    <w:rsid w:val="00946FDE"/>
    <w:rsid w:val="00950D52"/>
    <w:rsid w:val="00951DD0"/>
    <w:rsid w:val="00953CFB"/>
    <w:rsid w:val="00954573"/>
    <w:rsid w:val="00956222"/>
    <w:rsid w:val="00957031"/>
    <w:rsid w:val="00960375"/>
    <w:rsid w:val="00961014"/>
    <w:rsid w:val="00961E62"/>
    <w:rsid w:val="00962C0C"/>
    <w:rsid w:val="00963626"/>
    <w:rsid w:val="00963A3D"/>
    <w:rsid w:val="00964079"/>
    <w:rsid w:val="009659E4"/>
    <w:rsid w:val="00965DA7"/>
    <w:rsid w:val="00970F33"/>
    <w:rsid w:val="00971A70"/>
    <w:rsid w:val="00971D15"/>
    <w:rsid w:val="009727A2"/>
    <w:rsid w:val="009739AA"/>
    <w:rsid w:val="00973CF1"/>
    <w:rsid w:val="009749AD"/>
    <w:rsid w:val="00974C44"/>
    <w:rsid w:val="009751BA"/>
    <w:rsid w:val="00976998"/>
    <w:rsid w:val="00982197"/>
    <w:rsid w:val="00982CDE"/>
    <w:rsid w:val="00985AAF"/>
    <w:rsid w:val="00986720"/>
    <w:rsid w:val="00987731"/>
    <w:rsid w:val="00987D17"/>
    <w:rsid w:val="00987DDD"/>
    <w:rsid w:val="009905D2"/>
    <w:rsid w:val="00991338"/>
    <w:rsid w:val="00991602"/>
    <w:rsid w:val="00991965"/>
    <w:rsid w:val="00992180"/>
    <w:rsid w:val="0099353B"/>
    <w:rsid w:val="00995729"/>
    <w:rsid w:val="009958BE"/>
    <w:rsid w:val="0099731C"/>
    <w:rsid w:val="009973C1"/>
    <w:rsid w:val="009A38EB"/>
    <w:rsid w:val="009A5215"/>
    <w:rsid w:val="009A6082"/>
    <w:rsid w:val="009A6B9B"/>
    <w:rsid w:val="009A74D8"/>
    <w:rsid w:val="009B2C8B"/>
    <w:rsid w:val="009B37E3"/>
    <w:rsid w:val="009B4F19"/>
    <w:rsid w:val="009B774F"/>
    <w:rsid w:val="009B7E95"/>
    <w:rsid w:val="009C0B1E"/>
    <w:rsid w:val="009C30B3"/>
    <w:rsid w:val="009D0D80"/>
    <w:rsid w:val="009D27CA"/>
    <w:rsid w:val="009D29CA"/>
    <w:rsid w:val="009D30BE"/>
    <w:rsid w:val="009D486E"/>
    <w:rsid w:val="009D494C"/>
    <w:rsid w:val="009D6463"/>
    <w:rsid w:val="009D7D3E"/>
    <w:rsid w:val="009E057E"/>
    <w:rsid w:val="009E2AB9"/>
    <w:rsid w:val="009E3793"/>
    <w:rsid w:val="009E4724"/>
    <w:rsid w:val="009E4F7F"/>
    <w:rsid w:val="009E733E"/>
    <w:rsid w:val="009E7618"/>
    <w:rsid w:val="009F17D4"/>
    <w:rsid w:val="009F25D4"/>
    <w:rsid w:val="009F312C"/>
    <w:rsid w:val="009F6173"/>
    <w:rsid w:val="009F6598"/>
    <w:rsid w:val="009F6706"/>
    <w:rsid w:val="009F6F12"/>
    <w:rsid w:val="009F7C91"/>
    <w:rsid w:val="00A00CFD"/>
    <w:rsid w:val="00A00D17"/>
    <w:rsid w:val="00A017F2"/>
    <w:rsid w:val="00A02D88"/>
    <w:rsid w:val="00A034E8"/>
    <w:rsid w:val="00A03BFF"/>
    <w:rsid w:val="00A064DE"/>
    <w:rsid w:val="00A06712"/>
    <w:rsid w:val="00A1001C"/>
    <w:rsid w:val="00A10CDB"/>
    <w:rsid w:val="00A10E05"/>
    <w:rsid w:val="00A11688"/>
    <w:rsid w:val="00A13DCA"/>
    <w:rsid w:val="00A15316"/>
    <w:rsid w:val="00A16185"/>
    <w:rsid w:val="00A17AB3"/>
    <w:rsid w:val="00A17CD3"/>
    <w:rsid w:val="00A2199D"/>
    <w:rsid w:val="00A22984"/>
    <w:rsid w:val="00A23128"/>
    <w:rsid w:val="00A2360D"/>
    <w:rsid w:val="00A2489E"/>
    <w:rsid w:val="00A24DDE"/>
    <w:rsid w:val="00A25026"/>
    <w:rsid w:val="00A26BE4"/>
    <w:rsid w:val="00A30552"/>
    <w:rsid w:val="00A318A3"/>
    <w:rsid w:val="00A31B6A"/>
    <w:rsid w:val="00A32688"/>
    <w:rsid w:val="00A33764"/>
    <w:rsid w:val="00A346AD"/>
    <w:rsid w:val="00A361E0"/>
    <w:rsid w:val="00A37962"/>
    <w:rsid w:val="00A37C00"/>
    <w:rsid w:val="00A40115"/>
    <w:rsid w:val="00A4058D"/>
    <w:rsid w:val="00A4066A"/>
    <w:rsid w:val="00A40C64"/>
    <w:rsid w:val="00A43452"/>
    <w:rsid w:val="00A43C40"/>
    <w:rsid w:val="00A468AF"/>
    <w:rsid w:val="00A46B94"/>
    <w:rsid w:val="00A478E2"/>
    <w:rsid w:val="00A47C8A"/>
    <w:rsid w:val="00A47EA9"/>
    <w:rsid w:val="00A511D8"/>
    <w:rsid w:val="00A5325D"/>
    <w:rsid w:val="00A56CE4"/>
    <w:rsid w:val="00A579DB"/>
    <w:rsid w:val="00A62630"/>
    <w:rsid w:val="00A62B38"/>
    <w:rsid w:val="00A64642"/>
    <w:rsid w:val="00A66B3C"/>
    <w:rsid w:val="00A671C5"/>
    <w:rsid w:val="00A7083E"/>
    <w:rsid w:val="00A70980"/>
    <w:rsid w:val="00A712B5"/>
    <w:rsid w:val="00A72279"/>
    <w:rsid w:val="00A7278B"/>
    <w:rsid w:val="00A73084"/>
    <w:rsid w:val="00A75E1C"/>
    <w:rsid w:val="00A7661E"/>
    <w:rsid w:val="00A773A8"/>
    <w:rsid w:val="00A82F40"/>
    <w:rsid w:val="00A832B3"/>
    <w:rsid w:val="00A8394A"/>
    <w:rsid w:val="00A87525"/>
    <w:rsid w:val="00A878DA"/>
    <w:rsid w:val="00A87BD4"/>
    <w:rsid w:val="00A90B2B"/>
    <w:rsid w:val="00A90B54"/>
    <w:rsid w:val="00A917B3"/>
    <w:rsid w:val="00A92EB4"/>
    <w:rsid w:val="00A9329C"/>
    <w:rsid w:val="00A950A7"/>
    <w:rsid w:val="00A959E9"/>
    <w:rsid w:val="00A96632"/>
    <w:rsid w:val="00A96B39"/>
    <w:rsid w:val="00A9750C"/>
    <w:rsid w:val="00AA020E"/>
    <w:rsid w:val="00AA0AC2"/>
    <w:rsid w:val="00AA17C4"/>
    <w:rsid w:val="00AA1889"/>
    <w:rsid w:val="00AA1CCE"/>
    <w:rsid w:val="00AA31EE"/>
    <w:rsid w:val="00AA348D"/>
    <w:rsid w:val="00AA5AC8"/>
    <w:rsid w:val="00AA6352"/>
    <w:rsid w:val="00AA6787"/>
    <w:rsid w:val="00AA7BCE"/>
    <w:rsid w:val="00AA7D97"/>
    <w:rsid w:val="00AB1633"/>
    <w:rsid w:val="00AB19D9"/>
    <w:rsid w:val="00AB27F6"/>
    <w:rsid w:val="00AB2A46"/>
    <w:rsid w:val="00AB2E5E"/>
    <w:rsid w:val="00AB2FCD"/>
    <w:rsid w:val="00AB3569"/>
    <w:rsid w:val="00AB3C0B"/>
    <w:rsid w:val="00AB41D4"/>
    <w:rsid w:val="00AB5230"/>
    <w:rsid w:val="00AC0009"/>
    <w:rsid w:val="00AC2791"/>
    <w:rsid w:val="00AC42A5"/>
    <w:rsid w:val="00AC4447"/>
    <w:rsid w:val="00AC4A02"/>
    <w:rsid w:val="00AC4DAE"/>
    <w:rsid w:val="00AC52FA"/>
    <w:rsid w:val="00AC5724"/>
    <w:rsid w:val="00AC5998"/>
    <w:rsid w:val="00AC659F"/>
    <w:rsid w:val="00AC65C4"/>
    <w:rsid w:val="00AD06C0"/>
    <w:rsid w:val="00AD093A"/>
    <w:rsid w:val="00AD0A0A"/>
    <w:rsid w:val="00AD10B6"/>
    <w:rsid w:val="00AD11F4"/>
    <w:rsid w:val="00AD17E2"/>
    <w:rsid w:val="00AD2336"/>
    <w:rsid w:val="00AD587C"/>
    <w:rsid w:val="00AD5D7C"/>
    <w:rsid w:val="00AD5FF5"/>
    <w:rsid w:val="00AD6FA7"/>
    <w:rsid w:val="00AD7327"/>
    <w:rsid w:val="00AD746F"/>
    <w:rsid w:val="00AE14B6"/>
    <w:rsid w:val="00AE14CA"/>
    <w:rsid w:val="00AE2500"/>
    <w:rsid w:val="00AE31F8"/>
    <w:rsid w:val="00AE5837"/>
    <w:rsid w:val="00AE782E"/>
    <w:rsid w:val="00AF22A8"/>
    <w:rsid w:val="00AF3D8D"/>
    <w:rsid w:val="00AF5EB8"/>
    <w:rsid w:val="00AF6D28"/>
    <w:rsid w:val="00AF71C3"/>
    <w:rsid w:val="00AF769A"/>
    <w:rsid w:val="00AF7766"/>
    <w:rsid w:val="00AF79AF"/>
    <w:rsid w:val="00AF7EF5"/>
    <w:rsid w:val="00B01F25"/>
    <w:rsid w:val="00B0233B"/>
    <w:rsid w:val="00B04082"/>
    <w:rsid w:val="00B056CA"/>
    <w:rsid w:val="00B07149"/>
    <w:rsid w:val="00B10CBA"/>
    <w:rsid w:val="00B11AAF"/>
    <w:rsid w:val="00B13110"/>
    <w:rsid w:val="00B13429"/>
    <w:rsid w:val="00B138B8"/>
    <w:rsid w:val="00B15C64"/>
    <w:rsid w:val="00B1605A"/>
    <w:rsid w:val="00B169D3"/>
    <w:rsid w:val="00B16D86"/>
    <w:rsid w:val="00B179DB"/>
    <w:rsid w:val="00B200A7"/>
    <w:rsid w:val="00B202B7"/>
    <w:rsid w:val="00B21DA4"/>
    <w:rsid w:val="00B2226E"/>
    <w:rsid w:val="00B27EDF"/>
    <w:rsid w:val="00B301FF"/>
    <w:rsid w:val="00B30940"/>
    <w:rsid w:val="00B330E1"/>
    <w:rsid w:val="00B339BE"/>
    <w:rsid w:val="00B341D8"/>
    <w:rsid w:val="00B3469C"/>
    <w:rsid w:val="00B35335"/>
    <w:rsid w:val="00B35E60"/>
    <w:rsid w:val="00B40E8C"/>
    <w:rsid w:val="00B426CD"/>
    <w:rsid w:val="00B45D30"/>
    <w:rsid w:val="00B45E72"/>
    <w:rsid w:val="00B45F89"/>
    <w:rsid w:val="00B46278"/>
    <w:rsid w:val="00B46865"/>
    <w:rsid w:val="00B478D8"/>
    <w:rsid w:val="00B47CAA"/>
    <w:rsid w:val="00B50622"/>
    <w:rsid w:val="00B50F06"/>
    <w:rsid w:val="00B5109F"/>
    <w:rsid w:val="00B51247"/>
    <w:rsid w:val="00B51FB2"/>
    <w:rsid w:val="00B5253F"/>
    <w:rsid w:val="00B54214"/>
    <w:rsid w:val="00B5441A"/>
    <w:rsid w:val="00B55976"/>
    <w:rsid w:val="00B57B3B"/>
    <w:rsid w:val="00B60B78"/>
    <w:rsid w:val="00B61E41"/>
    <w:rsid w:val="00B62342"/>
    <w:rsid w:val="00B62D24"/>
    <w:rsid w:val="00B64671"/>
    <w:rsid w:val="00B66B64"/>
    <w:rsid w:val="00B671BD"/>
    <w:rsid w:val="00B67DAE"/>
    <w:rsid w:val="00B70E33"/>
    <w:rsid w:val="00B70FB8"/>
    <w:rsid w:val="00B7111B"/>
    <w:rsid w:val="00B71E62"/>
    <w:rsid w:val="00B71F58"/>
    <w:rsid w:val="00B7234C"/>
    <w:rsid w:val="00B7298C"/>
    <w:rsid w:val="00B746A0"/>
    <w:rsid w:val="00B7560B"/>
    <w:rsid w:val="00B77C29"/>
    <w:rsid w:val="00B8085D"/>
    <w:rsid w:val="00B811FD"/>
    <w:rsid w:val="00B8220E"/>
    <w:rsid w:val="00B82C7D"/>
    <w:rsid w:val="00B8366E"/>
    <w:rsid w:val="00B843BA"/>
    <w:rsid w:val="00B848A2"/>
    <w:rsid w:val="00B84D25"/>
    <w:rsid w:val="00B85A9E"/>
    <w:rsid w:val="00B870A3"/>
    <w:rsid w:val="00B87617"/>
    <w:rsid w:val="00B87911"/>
    <w:rsid w:val="00B87DD3"/>
    <w:rsid w:val="00B920C1"/>
    <w:rsid w:val="00B975C7"/>
    <w:rsid w:val="00B97656"/>
    <w:rsid w:val="00B977B6"/>
    <w:rsid w:val="00BA3845"/>
    <w:rsid w:val="00BA38D0"/>
    <w:rsid w:val="00BA55C5"/>
    <w:rsid w:val="00BA59DE"/>
    <w:rsid w:val="00BA5B6D"/>
    <w:rsid w:val="00BA63FA"/>
    <w:rsid w:val="00BA6866"/>
    <w:rsid w:val="00BA68A5"/>
    <w:rsid w:val="00BA7688"/>
    <w:rsid w:val="00BB0A6A"/>
    <w:rsid w:val="00BB0CDA"/>
    <w:rsid w:val="00BB2BE7"/>
    <w:rsid w:val="00BB4BAE"/>
    <w:rsid w:val="00BB4C36"/>
    <w:rsid w:val="00BB6106"/>
    <w:rsid w:val="00BB62AF"/>
    <w:rsid w:val="00BB66CE"/>
    <w:rsid w:val="00BB7D32"/>
    <w:rsid w:val="00BC1EDB"/>
    <w:rsid w:val="00BC2378"/>
    <w:rsid w:val="00BC2EC2"/>
    <w:rsid w:val="00BC2F88"/>
    <w:rsid w:val="00BC67EA"/>
    <w:rsid w:val="00BC7198"/>
    <w:rsid w:val="00BD150F"/>
    <w:rsid w:val="00BD1CF2"/>
    <w:rsid w:val="00BD2080"/>
    <w:rsid w:val="00BD2CEB"/>
    <w:rsid w:val="00BD304D"/>
    <w:rsid w:val="00BD3488"/>
    <w:rsid w:val="00BD3BA0"/>
    <w:rsid w:val="00BD4494"/>
    <w:rsid w:val="00BD4A44"/>
    <w:rsid w:val="00BD4F17"/>
    <w:rsid w:val="00BD5186"/>
    <w:rsid w:val="00BD5912"/>
    <w:rsid w:val="00BE122E"/>
    <w:rsid w:val="00BE15C0"/>
    <w:rsid w:val="00BE1886"/>
    <w:rsid w:val="00BE2BA2"/>
    <w:rsid w:val="00BE37C9"/>
    <w:rsid w:val="00BE3E11"/>
    <w:rsid w:val="00BE45A1"/>
    <w:rsid w:val="00BE5512"/>
    <w:rsid w:val="00BE6990"/>
    <w:rsid w:val="00BF0956"/>
    <w:rsid w:val="00BF22E6"/>
    <w:rsid w:val="00BF428E"/>
    <w:rsid w:val="00BF6688"/>
    <w:rsid w:val="00BF7863"/>
    <w:rsid w:val="00C00850"/>
    <w:rsid w:val="00C00B4F"/>
    <w:rsid w:val="00C01E19"/>
    <w:rsid w:val="00C067B4"/>
    <w:rsid w:val="00C07818"/>
    <w:rsid w:val="00C112FB"/>
    <w:rsid w:val="00C139C0"/>
    <w:rsid w:val="00C144CF"/>
    <w:rsid w:val="00C15156"/>
    <w:rsid w:val="00C1540D"/>
    <w:rsid w:val="00C174E5"/>
    <w:rsid w:val="00C17780"/>
    <w:rsid w:val="00C17DB9"/>
    <w:rsid w:val="00C20C75"/>
    <w:rsid w:val="00C213EF"/>
    <w:rsid w:val="00C2180C"/>
    <w:rsid w:val="00C21CD2"/>
    <w:rsid w:val="00C21F1B"/>
    <w:rsid w:val="00C22289"/>
    <w:rsid w:val="00C22B69"/>
    <w:rsid w:val="00C23413"/>
    <w:rsid w:val="00C23CEA"/>
    <w:rsid w:val="00C2496F"/>
    <w:rsid w:val="00C267FB"/>
    <w:rsid w:val="00C31870"/>
    <w:rsid w:val="00C3189B"/>
    <w:rsid w:val="00C33B4A"/>
    <w:rsid w:val="00C3516F"/>
    <w:rsid w:val="00C352F3"/>
    <w:rsid w:val="00C35645"/>
    <w:rsid w:val="00C35E7B"/>
    <w:rsid w:val="00C36721"/>
    <w:rsid w:val="00C37348"/>
    <w:rsid w:val="00C374EE"/>
    <w:rsid w:val="00C37B0D"/>
    <w:rsid w:val="00C37C39"/>
    <w:rsid w:val="00C415D8"/>
    <w:rsid w:val="00C417D0"/>
    <w:rsid w:val="00C42902"/>
    <w:rsid w:val="00C43839"/>
    <w:rsid w:val="00C44EFD"/>
    <w:rsid w:val="00C45CA7"/>
    <w:rsid w:val="00C51072"/>
    <w:rsid w:val="00C51AF4"/>
    <w:rsid w:val="00C52891"/>
    <w:rsid w:val="00C52901"/>
    <w:rsid w:val="00C53FF5"/>
    <w:rsid w:val="00C54F19"/>
    <w:rsid w:val="00C5633C"/>
    <w:rsid w:val="00C606FC"/>
    <w:rsid w:val="00C60EF1"/>
    <w:rsid w:val="00C61A72"/>
    <w:rsid w:val="00C624E6"/>
    <w:rsid w:val="00C63B1E"/>
    <w:rsid w:val="00C640B1"/>
    <w:rsid w:val="00C650CE"/>
    <w:rsid w:val="00C65E7C"/>
    <w:rsid w:val="00C65F9B"/>
    <w:rsid w:val="00C65FE4"/>
    <w:rsid w:val="00C678DA"/>
    <w:rsid w:val="00C7057F"/>
    <w:rsid w:val="00C7180E"/>
    <w:rsid w:val="00C71C07"/>
    <w:rsid w:val="00C72186"/>
    <w:rsid w:val="00C73A2A"/>
    <w:rsid w:val="00C73EDB"/>
    <w:rsid w:val="00C74FEC"/>
    <w:rsid w:val="00C77210"/>
    <w:rsid w:val="00C80296"/>
    <w:rsid w:val="00C80B82"/>
    <w:rsid w:val="00C80D87"/>
    <w:rsid w:val="00C80D8F"/>
    <w:rsid w:val="00C80ED6"/>
    <w:rsid w:val="00C812C2"/>
    <w:rsid w:val="00C83BC0"/>
    <w:rsid w:val="00C848DA"/>
    <w:rsid w:val="00C84C37"/>
    <w:rsid w:val="00C8544F"/>
    <w:rsid w:val="00C873BA"/>
    <w:rsid w:val="00C87F05"/>
    <w:rsid w:val="00C94208"/>
    <w:rsid w:val="00C958C7"/>
    <w:rsid w:val="00C97442"/>
    <w:rsid w:val="00C9759C"/>
    <w:rsid w:val="00CA0011"/>
    <w:rsid w:val="00CA0685"/>
    <w:rsid w:val="00CA0729"/>
    <w:rsid w:val="00CA085E"/>
    <w:rsid w:val="00CA0A81"/>
    <w:rsid w:val="00CA17F7"/>
    <w:rsid w:val="00CA3DED"/>
    <w:rsid w:val="00CA417D"/>
    <w:rsid w:val="00CA4345"/>
    <w:rsid w:val="00CA55B0"/>
    <w:rsid w:val="00CA5DA6"/>
    <w:rsid w:val="00CA7C3F"/>
    <w:rsid w:val="00CB2764"/>
    <w:rsid w:val="00CB2BF8"/>
    <w:rsid w:val="00CB35E3"/>
    <w:rsid w:val="00CB3935"/>
    <w:rsid w:val="00CB42C4"/>
    <w:rsid w:val="00CB572E"/>
    <w:rsid w:val="00CB73C3"/>
    <w:rsid w:val="00CB7726"/>
    <w:rsid w:val="00CB7958"/>
    <w:rsid w:val="00CB7C17"/>
    <w:rsid w:val="00CC19BC"/>
    <w:rsid w:val="00CC1E69"/>
    <w:rsid w:val="00CC5446"/>
    <w:rsid w:val="00CC635C"/>
    <w:rsid w:val="00CC65A4"/>
    <w:rsid w:val="00CC67BA"/>
    <w:rsid w:val="00CD014B"/>
    <w:rsid w:val="00CD2615"/>
    <w:rsid w:val="00CD3072"/>
    <w:rsid w:val="00CD48BB"/>
    <w:rsid w:val="00CD6415"/>
    <w:rsid w:val="00CD6465"/>
    <w:rsid w:val="00CD6A30"/>
    <w:rsid w:val="00CD6C42"/>
    <w:rsid w:val="00CD6C93"/>
    <w:rsid w:val="00CE083F"/>
    <w:rsid w:val="00CE13E2"/>
    <w:rsid w:val="00CE1D5B"/>
    <w:rsid w:val="00CE33EC"/>
    <w:rsid w:val="00CE3457"/>
    <w:rsid w:val="00CE3D00"/>
    <w:rsid w:val="00CE41DF"/>
    <w:rsid w:val="00CE480A"/>
    <w:rsid w:val="00CE6992"/>
    <w:rsid w:val="00CE70AA"/>
    <w:rsid w:val="00CF0BE9"/>
    <w:rsid w:val="00CF0C70"/>
    <w:rsid w:val="00CF21A2"/>
    <w:rsid w:val="00CF2C2C"/>
    <w:rsid w:val="00CF37C4"/>
    <w:rsid w:val="00CF39E3"/>
    <w:rsid w:val="00CF3D8C"/>
    <w:rsid w:val="00CF4124"/>
    <w:rsid w:val="00CF56D8"/>
    <w:rsid w:val="00CF6AA6"/>
    <w:rsid w:val="00CF7561"/>
    <w:rsid w:val="00D0546F"/>
    <w:rsid w:val="00D06F3B"/>
    <w:rsid w:val="00D109FE"/>
    <w:rsid w:val="00D11291"/>
    <w:rsid w:val="00D11911"/>
    <w:rsid w:val="00D13481"/>
    <w:rsid w:val="00D13D00"/>
    <w:rsid w:val="00D13DE7"/>
    <w:rsid w:val="00D14D69"/>
    <w:rsid w:val="00D15730"/>
    <w:rsid w:val="00D15DB2"/>
    <w:rsid w:val="00D15EEE"/>
    <w:rsid w:val="00D16F6B"/>
    <w:rsid w:val="00D17F43"/>
    <w:rsid w:val="00D20526"/>
    <w:rsid w:val="00D20FD6"/>
    <w:rsid w:val="00D22405"/>
    <w:rsid w:val="00D22DF5"/>
    <w:rsid w:val="00D23182"/>
    <w:rsid w:val="00D24B69"/>
    <w:rsid w:val="00D2618A"/>
    <w:rsid w:val="00D2638F"/>
    <w:rsid w:val="00D27D03"/>
    <w:rsid w:val="00D307E9"/>
    <w:rsid w:val="00D32C14"/>
    <w:rsid w:val="00D3454C"/>
    <w:rsid w:val="00D364D6"/>
    <w:rsid w:val="00D42B10"/>
    <w:rsid w:val="00D45643"/>
    <w:rsid w:val="00D50A3B"/>
    <w:rsid w:val="00D52A53"/>
    <w:rsid w:val="00D53D45"/>
    <w:rsid w:val="00D5454F"/>
    <w:rsid w:val="00D5505F"/>
    <w:rsid w:val="00D5551F"/>
    <w:rsid w:val="00D57939"/>
    <w:rsid w:val="00D60B6A"/>
    <w:rsid w:val="00D61591"/>
    <w:rsid w:val="00D6273B"/>
    <w:rsid w:val="00D64B2E"/>
    <w:rsid w:val="00D6698D"/>
    <w:rsid w:val="00D675A6"/>
    <w:rsid w:val="00D67DCC"/>
    <w:rsid w:val="00D70241"/>
    <w:rsid w:val="00D70E56"/>
    <w:rsid w:val="00D7107B"/>
    <w:rsid w:val="00D71B31"/>
    <w:rsid w:val="00D721FF"/>
    <w:rsid w:val="00D72245"/>
    <w:rsid w:val="00D73175"/>
    <w:rsid w:val="00D731F7"/>
    <w:rsid w:val="00D7725A"/>
    <w:rsid w:val="00D772F0"/>
    <w:rsid w:val="00D81C79"/>
    <w:rsid w:val="00D826C4"/>
    <w:rsid w:val="00D835FD"/>
    <w:rsid w:val="00D83C7E"/>
    <w:rsid w:val="00D84FA7"/>
    <w:rsid w:val="00D858C8"/>
    <w:rsid w:val="00D8597F"/>
    <w:rsid w:val="00D878BA"/>
    <w:rsid w:val="00D879D5"/>
    <w:rsid w:val="00D92063"/>
    <w:rsid w:val="00D92415"/>
    <w:rsid w:val="00D92E50"/>
    <w:rsid w:val="00D92FA4"/>
    <w:rsid w:val="00D92FEB"/>
    <w:rsid w:val="00D9355C"/>
    <w:rsid w:val="00D93DD9"/>
    <w:rsid w:val="00D94AB5"/>
    <w:rsid w:val="00D97FFE"/>
    <w:rsid w:val="00DA33F9"/>
    <w:rsid w:val="00DA5788"/>
    <w:rsid w:val="00DA5B53"/>
    <w:rsid w:val="00DA6ACF"/>
    <w:rsid w:val="00DB1899"/>
    <w:rsid w:val="00DB1C93"/>
    <w:rsid w:val="00DB2593"/>
    <w:rsid w:val="00DB701A"/>
    <w:rsid w:val="00DB71AA"/>
    <w:rsid w:val="00DB72C9"/>
    <w:rsid w:val="00DB7597"/>
    <w:rsid w:val="00DB75BD"/>
    <w:rsid w:val="00DB7C14"/>
    <w:rsid w:val="00DC0C00"/>
    <w:rsid w:val="00DC108E"/>
    <w:rsid w:val="00DC22A7"/>
    <w:rsid w:val="00DC288C"/>
    <w:rsid w:val="00DC489A"/>
    <w:rsid w:val="00DC56AA"/>
    <w:rsid w:val="00DC7F18"/>
    <w:rsid w:val="00DD19E0"/>
    <w:rsid w:val="00DD21E8"/>
    <w:rsid w:val="00DD2456"/>
    <w:rsid w:val="00DD58D1"/>
    <w:rsid w:val="00DD5CCF"/>
    <w:rsid w:val="00DD62D8"/>
    <w:rsid w:val="00DD765C"/>
    <w:rsid w:val="00DE0813"/>
    <w:rsid w:val="00DE0CC3"/>
    <w:rsid w:val="00DE112D"/>
    <w:rsid w:val="00DE1336"/>
    <w:rsid w:val="00DE2F0C"/>
    <w:rsid w:val="00DE2FBF"/>
    <w:rsid w:val="00DE379A"/>
    <w:rsid w:val="00DE5A71"/>
    <w:rsid w:val="00DE5C7A"/>
    <w:rsid w:val="00DE5F36"/>
    <w:rsid w:val="00DE762A"/>
    <w:rsid w:val="00DE7665"/>
    <w:rsid w:val="00DE7B9B"/>
    <w:rsid w:val="00DF0630"/>
    <w:rsid w:val="00DF0C10"/>
    <w:rsid w:val="00DF32A2"/>
    <w:rsid w:val="00DF5439"/>
    <w:rsid w:val="00DF5715"/>
    <w:rsid w:val="00DF59E0"/>
    <w:rsid w:val="00DF6C40"/>
    <w:rsid w:val="00DF7B1C"/>
    <w:rsid w:val="00DF7BEA"/>
    <w:rsid w:val="00E019B8"/>
    <w:rsid w:val="00E01B11"/>
    <w:rsid w:val="00E01E84"/>
    <w:rsid w:val="00E02460"/>
    <w:rsid w:val="00E05CBC"/>
    <w:rsid w:val="00E06B59"/>
    <w:rsid w:val="00E07077"/>
    <w:rsid w:val="00E07646"/>
    <w:rsid w:val="00E10332"/>
    <w:rsid w:val="00E10917"/>
    <w:rsid w:val="00E10C2E"/>
    <w:rsid w:val="00E10F98"/>
    <w:rsid w:val="00E15762"/>
    <w:rsid w:val="00E16353"/>
    <w:rsid w:val="00E17B1E"/>
    <w:rsid w:val="00E17FCA"/>
    <w:rsid w:val="00E21BF1"/>
    <w:rsid w:val="00E2215C"/>
    <w:rsid w:val="00E23C5D"/>
    <w:rsid w:val="00E23DE2"/>
    <w:rsid w:val="00E254B0"/>
    <w:rsid w:val="00E260FC"/>
    <w:rsid w:val="00E26644"/>
    <w:rsid w:val="00E31386"/>
    <w:rsid w:val="00E32EC1"/>
    <w:rsid w:val="00E345FD"/>
    <w:rsid w:val="00E3485C"/>
    <w:rsid w:val="00E349E3"/>
    <w:rsid w:val="00E37520"/>
    <w:rsid w:val="00E414D9"/>
    <w:rsid w:val="00E42311"/>
    <w:rsid w:val="00E429DC"/>
    <w:rsid w:val="00E43C2E"/>
    <w:rsid w:val="00E44C27"/>
    <w:rsid w:val="00E47354"/>
    <w:rsid w:val="00E504B2"/>
    <w:rsid w:val="00E50615"/>
    <w:rsid w:val="00E510A5"/>
    <w:rsid w:val="00E5300B"/>
    <w:rsid w:val="00E53CF6"/>
    <w:rsid w:val="00E54D25"/>
    <w:rsid w:val="00E5549E"/>
    <w:rsid w:val="00E55E47"/>
    <w:rsid w:val="00E55EAA"/>
    <w:rsid w:val="00E55F44"/>
    <w:rsid w:val="00E60421"/>
    <w:rsid w:val="00E60F08"/>
    <w:rsid w:val="00E62498"/>
    <w:rsid w:val="00E62C92"/>
    <w:rsid w:val="00E63B35"/>
    <w:rsid w:val="00E647A9"/>
    <w:rsid w:val="00E73744"/>
    <w:rsid w:val="00E747C8"/>
    <w:rsid w:val="00E74C2D"/>
    <w:rsid w:val="00E76932"/>
    <w:rsid w:val="00E774A9"/>
    <w:rsid w:val="00E802F6"/>
    <w:rsid w:val="00E825F9"/>
    <w:rsid w:val="00E835E6"/>
    <w:rsid w:val="00E8461D"/>
    <w:rsid w:val="00E857D5"/>
    <w:rsid w:val="00E905D2"/>
    <w:rsid w:val="00E91C24"/>
    <w:rsid w:val="00E93BAD"/>
    <w:rsid w:val="00E949E1"/>
    <w:rsid w:val="00E955FC"/>
    <w:rsid w:val="00E95E34"/>
    <w:rsid w:val="00E9618F"/>
    <w:rsid w:val="00E96A20"/>
    <w:rsid w:val="00E978C0"/>
    <w:rsid w:val="00E97F49"/>
    <w:rsid w:val="00EA1BD7"/>
    <w:rsid w:val="00EA3478"/>
    <w:rsid w:val="00EA4636"/>
    <w:rsid w:val="00EA4A23"/>
    <w:rsid w:val="00EA4E42"/>
    <w:rsid w:val="00EA5041"/>
    <w:rsid w:val="00EA6A51"/>
    <w:rsid w:val="00EA77AD"/>
    <w:rsid w:val="00EB0728"/>
    <w:rsid w:val="00EB0D09"/>
    <w:rsid w:val="00EB3275"/>
    <w:rsid w:val="00EB533E"/>
    <w:rsid w:val="00EB646E"/>
    <w:rsid w:val="00EB6CCC"/>
    <w:rsid w:val="00EC0B41"/>
    <w:rsid w:val="00EC38D2"/>
    <w:rsid w:val="00EC39D9"/>
    <w:rsid w:val="00EC3E0E"/>
    <w:rsid w:val="00EC467B"/>
    <w:rsid w:val="00EC54C2"/>
    <w:rsid w:val="00EC5983"/>
    <w:rsid w:val="00EC5EA3"/>
    <w:rsid w:val="00EC6700"/>
    <w:rsid w:val="00EC6F12"/>
    <w:rsid w:val="00ED433C"/>
    <w:rsid w:val="00ED6227"/>
    <w:rsid w:val="00ED6723"/>
    <w:rsid w:val="00EE245F"/>
    <w:rsid w:val="00EE27CA"/>
    <w:rsid w:val="00EE2F17"/>
    <w:rsid w:val="00EE38A6"/>
    <w:rsid w:val="00EE4DEA"/>
    <w:rsid w:val="00EE56DC"/>
    <w:rsid w:val="00EE5B6C"/>
    <w:rsid w:val="00EE6CBF"/>
    <w:rsid w:val="00EE74C2"/>
    <w:rsid w:val="00EE754E"/>
    <w:rsid w:val="00EF2047"/>
    <w:rsid w:val="00EF2FCA"/>
    <w:rsid w:val="00EF3049"/>
    <w:rsid w:val="00EF706C"/>
    <w:rsid w:val="00F018D1"/>
    <w:rsid w:val="00F0215A"/>
    <w:rsid w:val="00F021BF"/>
    <w:rsid w:val="00F04B99"/>
    <w:rsid w:val="00F05534"/>
    <w:rsid w:val="00F0651E"/>
    <w:rsid w:val="00F07694"/>
    <w:rsid w:val="00F07E13"/>
    <w:rsid w:val="00F10B98"/>
    <w:rsid w:val="00F10D61"/>
    <w:rsid w:val="00F13772"/>
    <w:rsid w:val="00F15798"/>
    <w:rsid w:val="00F159F4"/>
    <w:rsid w:val="00F17534"/>
    <w:rsid w:val="00F201AD"/>
    <w:rsid w:val="00F202AD"/>
    <w:rsid w:val="00F20BB0"/>
    <w:rsid w:val="00F21898"/>
    <w:rsid w:val="00F21B68"/>
    <w:rsid w:val="00F21EE5"/>
    <w:rsid w:val="00F22A79"/>
    <w:rsid w:val="00F23D02"/>
    <w:rsid w:val="00F244AE"/>
    <w:rsid w:val="00F25FA2"/>
    <w:rsid w:val="00F263FB"/>
    <w:rsid w:val="00F30790"/>
    <w:rsid w:val="00F30C3E"/>
    <w:rsid w:val="00F31122"/>
    <w:rsid w:val="00F33A3F"/>
    <w:rsid w:val="00F3429B"/>
    <w:rsid w:val="00F3496C"/>
    <w:rsid w:val="00F35C98"/>
    <w:rsid w:val="00F36226"/>
    <w:rsid w:val="00F37004"/>
    <w:rsid w:val="00F37A94"/>
    <w:rsid w:val="00F40FFC"/>
    <w:rsid w:val="00F41148"/>
    <w:rsid w:val="00F43F9C"/>
    <w:rsid w:val="00F44513"/>
    <w:rsid w:val="00F44596"/>
    <w:rsid w:val="00F45F3F"/>
    <w:rsid w:val="00F50CEE"/>
    <w:rsid w:val="00F5255C"/>
    <w:rsid w:val="00F527DA"/>
    <w:rsid w:val="00F54DB6"/>
    <w:rsid w:val="00F56D91"/>
    <w:rsid w:val="00F603C4"/>
    <w:rsid w:val="00F607C2"/>
    <w:rsid w:val="00F609C5"/>
    <w:rsid w:val="00F6173D"/>
    <w:rsid w:val="00F61A65"/>
    <w:rsid w:val="00F62302"/>
    <w:rsid w:val="00F623AD"/>
    <w:rsid w:val="00F624FF"/>
    <w:rsid w:val="00F627C4"/>
    <w:rsid w:val="00F62AFF"/>
    <w:rsid w:val="00F6484E"/>
    <w:rsid w:val="00F64B88"/>
    <w:rsid w:val="00F64E78"/>
    <w:rsid w:val="00F65EB1"/>
    <w:rsid w:val="00F730A1"/>
    <w:rsid w:val="00F74B02"/>
    <w:rsid w:val="00F75E61"/>
    <w:rsid w:val="00F75E94"/>
    <w:rsid w:val="00F764CD"/>
    <w:rsid w:val="00F76DC6"/>
    <w:rsid w:val="00F80F06"/>
    <w:rsid w:val="00F8119A"/>
    <w:rsid w:val="00F8133F"/>
    <w:rsid w:val="00F81B96"/>
    <w:rsid w:val="00F82554"/>
    <w:rsid w:val="00F83143"/>
    <w:rsid w:val="00F87038"/>
    <w:rsid w:val="00F87669"/>
    <w:rsid w:val="00F902DC"/>
    <w:rsid w:val="00F91707"/>
    <w:rsid w:val="00F923A6"/>
    <w:rsid w:val="00F94EEB"/>
    <w:rsid w:val="00F94EFE"/>
    <w:rsid w:val="00FA1676"/>
    <w:rsid w:val="00FA16DC"/>
    <w:rsid w:val="00FA68C9"/>
    <w:rsid w:val="00FA71D1"/>
    <w:rsid w:val="00FA7609"/>
    <w:rsid w:val="00FA7DB6"/>
    <w:rsid w:val="00FB0B20"/>
    <w:rsid w:val="00FB1267"/>
    <w:rsid w:val="00FB1630"/>
    <w:rsid w:val="00FB31EB"/>
    <w:rsid w:val="00FB3781"/>
    <w:rsid w:val="00FB37E4"/>
    <w:rsid w:val="00FC0676"/>
    <w:rsid w:val="00FC18E3"/>
    <w:rsid w:val="00FC20E6"/>
    <w:rsid w:val="00FC21CC"/>
    <w:rsid w:val="00FC2F43"/>
    <w:rsid w:val="00FC3FDE"/>
    <w:rsid w:val="00FC55B7"/>
    <w:rsid w:val="00FC6E39"/>
    <w:rsid w:val="00FD1E38"/>
    <w:rsid w:val="00FD1FAC"/>
    <w:rsid w:val="00FD456D"/>
    <w:rsid w:val="00FD5828"/>
    <w:rsid w:val="00FD75DE"/>
    <w:rsid w:val="00FD79D9"/>
    <w:rsid w:val="00FE0691"/>
    <w:rsid w:val="00FE09C0"/>
    <w:rsid w:val="00FE10D4"/>
    <w:rsid w:val="00FE237F"/>
    <w:rsid w:val="00FE2507"/>
    <w:rsid w:val="00FE313D"/>
    <w:rsid w:val="00FE49DB"/>
    <w:rsid w:val="00FE5E28"/>
    <w:rsid w:val="00FE6933"/>
    <w:rsid w:val="00FE7A28"/>
    <w:rsid w:val="00FF1349"/>
    <w:rsid w:val="00FF1D02"/>
    <w:rsid w:val="00FF1FEA"/>
    <w:rsid w:val="00FF47AB"/>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DD747CC"/>
  <w15:chartTrackingRefBased/>
  <w15:docId w15:val="{394D8943-1EE7-4197-B4E0-92C9544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4"/>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 w:type="paragraph" w:styleId="CommentSubject">
    <w:name w:val="annotation subject"/>
    <w:basedOn w:val="CommentText"/>
    <w:next w:val="CommentText"/>
    <w:link w:val="CommentSubjectChar"/>
    <w:rsid w:val="00036D92"/>
    <w:rPr>
      <w:b/>
      <w:bCs/>
    </w:rPr>
  </w:style>
  <w:style w:type="character" w:customStyle="1" w:styleId="CommentSubjectChar">
    <w:name w:val="Comment Subject Char"/>
    <w:basedOn w:val="CommentTextChar"/>
    <w:link w:val="CommentSubject"/>
    <w:rsid w:val="00036D92"/>
    <w:rPr>
      <w:b/>
      <w:bCs/>
      <w:lang w:eastAsia="en-US"/>
    </w:rPr>
  </w:style>
  <w:style w:type="paragraph" w:customStyle="1" w:styleId="jade-outdent">
    <w:name w:val="jade-outdent"/>
    <w:basedOn w:val="Normal"/>
    <w:rsid w:val="0032248F"/>
    <w:pPr>
      <w:spacing w:before="100" w:beforeAutospacing="1" w:after="100" w:afterAutospacing="1"/>
    </w:pPr>
    <w:rPr>
      <w:lang w:eastAsia="en-AU"/>
    </w:rPr>
  </w:style>
  <w:style w:type="character" w:customStyle="1" w:styleId="jade-ts-9">
    <w:name w:val="jade-ts-9"/>
    <w:basedOn w:val="DefaultParagraphFont"/>
    <w:rsid w:val="0032248F"/>
  </w:style>
  <w:style w:type="paragraph" w:customStyle="1" w:styleId="jade-noverticalmargins">
    <w:name w:val="jade-noverticalmargins"/>
    <w:basedOn w:val="Normal"/>
    <w:rsid w:val="0032248F"/>
    <w:pPr>
      <w:spacing w:before="100" w:beforeAutospacing="1" w:after="100" w:afterAutospacing="1"/>
    </w:pPr>
    <w:rPr>
      <w:lang w:eastAsia="en-AU"/>
    </w:rPr>
  </w:style>
  <w:style w:type="character" w:customStyle="1" w:styleId="jade-ts-10">
    <w:name w:val="jade-ts-10"/>
    <w:basedOn w:val="DefaultParagraphFont"/>
    <w:rsid w:val="006F0EF3"/>
  </w:style>
  <w:style w:type="paragraph" w:styleId="TOC5">
    <w:name w:val="toc 5"/>
    <w:basedOn w:val="Normal"/>
    <w:next w:val="Normal"/>
    <w:autoRedefine/>
    <w:rsid w:val="00215ED7"/>
    <w:pPr>
      <w:spacing w:after="100"/>
      <w:ind w:left="960"/>
    </w:pPr>
  </w:style>
  <w:style w:type="paragraph" w:customStyle="1" w:styleId="acthead5">
    <w:name w:val="acthead5"/>
    <w:basedOn w:val="Normal"/>
    <w:rsid w:val="00215ED7"/>
    <w:pPr>
      <w:spacing w:before="100" w:beforeAutospacing="1" w:after="100" w:afterAutospacing="1"/>
    </w:pPr>
    <w:rPr>
      <w:lang w:eastAsia="en-AU"/>
    </w:rPr>
  </w:style>
  <w:style w:type="paragraph" w:customStyle="1" w:styleId="subsection">
    <w:name w:val="subsection"/>
    <w:basedOn w:val="Normal"/>
    <w:rsid w:val="00215ED7"/>
    <w:pPr>
      <w:spacing w:before="100" w:beforeAutospacing="1" w:after="100" w:afterAutospacing="1"/>
    </w:pPr>
    <w:rPr>
      <w:lang w:eastAsia="en-AU"/>
    </w:rPr>
  </w:style>
  <w:style w:type="character" w:customStyle="1" w:styleId="charsectno">
    <w:name w:val="charsectno"/>
    <w:basedOn w:val="DefaultParagraphFont"/>
    <w:rsid w:val="00215ED7"/>
  </w:style>
  <w:style w:type="paragraph" w:customStyle="1" w:styleId="definition">
    <w:name w:val="definition"/>
    <w:basedOn w:val="Normal"/>
    <w:rsid w:val="00215ED7"/>
    <w:pPr>
      <w:spacing w:before="100" w:beforeAutospacing="1" w:after="100" w:afterAutospacing="1"/>
    </w:pPr>
    <w:rPr>
      <w:lang w:eastAsia="en-AU"/>
    </w:rPr>
  </w:style>
  <w:style w:type="paragraph" w:customStyle="1" w:styleId="paragraph">
    <w:name w:val="paragraph"/>
    <w:basedOn w:val="Normal"/>
    <w:rsid w:val="00215ED7"/>
    <w:pPr>
      <w:spacing w:before="100" w:beforeAutospacing="1" w:after="100" w:afterAutospacing="1"/>
    </w:pPr>
    <w:rPr>
      <w:lang w:eastAsia="en-AU"/>
    </w:rPr>
  </w:style>
  <w:style w:type="paragraph" w:customStyle="1" w:styleId="paragraphsub">
    <w:name w:val="paragraphsub"/>
    <w:basedOn w:val="Normal"/>
    <w:rsid w:val="00215ED7"/>
    <w:pPr>
      <w:spacing w:before="100" w:beforeAutospacing="1" w:after="100" w:afterAutospacing="1"/>
    </w:pPr>
    <w:rPr>
      <w:lang w:eastAsia="en-AU"/>
    </w:rPr>
  </w:style>
  <w:style w:type="paragraph" w:customStyle="1" w:styleId="subsection2">
    <w:name w:val="subsection2"/>
    <w:basedOn w:val="Normal"/>
    <w:rsid w:val="00215ED7"/>
    <w:pPr>
      <w:spacing w:before="100" w:beforeAutospacing="1" w:after="100" w:afterAutospacing="1"/>
    </w:pPr>
    <w:rPr>
      <w:lang w:eastAsia="en-AU"/>
    </w:rPr>
  </w:style>
  <w:style w:type="paragraph" w:customStyle="1" w:styleId="penalty">
    <w:name w:val="penalty"/>
    <w:basedOn w:val="Normal"/>
    <w:rsid w:val="00215ED7"/>
    <w:pPr>
      <w:spacing w:before="100" w:beforeAutospacing="1" w:after="100" w:afterAutospacing="1"/>
    </w:pPr>
    <w:rPr>
      <w:lang w:eastAsia="en-AU"/>
    </w:rPr>
  </w:style>
  <w:style w:type="paragraph" w:customStyle="1" w:styleId="paragraphsub-sub">
    <w:name w:val="paragraphsub-sub"/>
    <w:basedOn w:val="Normal"/>
    <w:rsid w:val="00215ED7"/>
    <w:pPr>
      <w:spacing w:before="100" w:beforeAutospacing="1" w:after="100" w:afterAutospacing="1"/>
    </w:pPr>
    <w:rPr>
      <w:lang w:eastAsia="en-AU"/>
    </w:rPr>
  </w:style>
  <w:style w:type="character" w:customStyle="1" w:styleId="jade-ts-7">
    <w:name w:val="jade-ts-7"/>
    <w:basedOn w:val="DefaultParagraphFont"/>
    <w:rsid w:val="00D92FA4"/>
  </w:style>
  <w:style w:type="character" w:customStyle="1" w:styleId="jade-ts-8">
    <w:name w:val="jade-ts-8"/>
    <w:basedOn w:val="DefaultParagraphFont"/>
    <w:rsid w:val="00D9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8">
      <w:bodyDiv w:val="1"/>
      <w:marLeft w:val="0"/>
      <w:marRight w:val="0"/>
      <w:marTop w:val="0"/>
      <w:marBottom w:val="0"/>
      <w:divBdr>
        <w:top w:val="none" w:sz="0" w:space="0" w:color="auto"/>
        <w:left w:val="none" w:sz="0" w:space="0" w:color="auto"/>
        <w:bottom w:val="none" w:sz="0" w:space="0" w:color="auto"/>
        <w:right w:val="none" w:sz="0" w:space="0" w:color="auto"/>
      </w:divBdr>
    </w:div>
    <w:div w:id="18705878">
      <w:bodyDiv w:val="1"/>
      <w:marLeft w:val="0"/>
      <w:marRight w:val="0"/>
      <w:marTop w:val="0"/>
      <w:marBottom w:val="0"/>
      <w:divBdr>
        <w:top w:val="none" w:sz="0" w:space="0" w:color="auto"/>
        <w:left w:val="none" w:sz="0" w:space="0" w:color="auto"/>
        <w:bottom w:val="none" w:sz="0" w:space="0" w:color="auto"/>
        <w:right w:val="none" w:sz="0" w:space="0" w:color="auto"/>
      </w:divBdr>
      <w:divsChild>
        <w:div w:id="66004998">
          <w:marLeft w:val="547"/>
          <w:marRight w:val="0"/>
          <w:marTop w:val="115"/>
          <w:marBottom w:val="0"/>
          <w:divBdr>
            <w:top w:val="none" w:sz="0" w:space="0" w:color="auto"/>
            <w:left w:val="none" w:sz="0" w:space="0" w:color="auto"/>
            <w:bottom w:val="none" w:sz="0" w:space="0" w:color="auto"/>
            <w:right w:val="none" w:sz="0" w:space="0" w:color="auto"/>
          </w:divBdr>
        </w:div>
      </w:divsChild>
    </w:div>
    <w:div w:id="294721766">
      <w:bodyDiv w:val="1"/>
      <w:marLeft w:val="0"/>
      <w:marRight w:val="0"/>
      <w:marTop w:val="0"/>
      <w:marBottom w:val="0"/>
      <w:divBdr>
        <w:top w:val="none" w:sz="0" w:space="0" w:color="auto"/>
        <w:left w:val="none" w:sz="0" w:space="0" w:color="auto"/>
        <w:bottom w:val="none" w:sz="0" w:space="0" w:color="auto"/>
        <w:right w:val="none" w:sz="0" w:space="0" w:color="auto"/>
      </w:divBdr>
      <w:divsChild>
        <w:div w:id="12982784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5496567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603415373">
          <w:marLeft w:val="960"/>
          <w:marRight w:val="0"/>
          <w:marTop w:val="480"/>
          <w:marBottom w:val="240"/>
          <w:divBdr>
            <w:top w:val="none" w:sz="0" w:space="0" w:color="auto"/>
            <w:left w:val="none" w:sz="0" w:space="0" w:color="auto"/>
            <w:bottom w:val="none" w:sz="0" w:space="0" w:color="auto"/>
            <w:right w:val="none" w:sz="0" w:space="0" w:color="auto"/>
          </w:divBdr>
          <w:divsChild>
            <w:div w:id="1719280301">
              <w:marLeft w:val="240"/>
              <w:marRight w:val="240"/>
              <w:marTop w:val="0"/>
              <w:marBottom w:val="0"/>
              <w:divBdr>
                <w:top w:val="none" w:sz="0" w:space="0" w:color="auto"/>
                <w:left w:val="none" w:sz="0" w:space="0" w:color="auto"/>
                <w:bottom w:val="none" w:sz="0" w:space="0" w:color="auto"/>
                <w:right w:val="none" w:sz="0" w:space="0" w:color="auto"/>
              </w:divBdr>
            </w:div>
          </w:divsChild>
        </w:div>
        <w:div w:id="723989236">
          <w:marLeft w:val="960"/>
          <w:marRight w:val="0"/>
          <w:marTop w:val="480"/>
          <w:marBottom w:val="240"/>
          <w:divBdr>
            <w:top w:val="none" w:sz="0" w:space="0" w:color="auto"/>
            <w:left w:val="none" w:sz="0" w:space="0" w:color="auto"/>
            <w:bottom w:val="none" w:sz="0" w:space="0" w:color="auto"/>
            <w:right w:val="none" w:sz="0" w:space="0" w:color="auto"/>
          </w:divBdr>
          <w:divsChild>
            <w:div w:id="1648515840">
              <w:marLeft w:val="240"/>
              <w:marRight w:val="240"/>
              <w:marTop w:val="0"/>
              <w:marBottom w:val="0"/>
              <w:divBdr>
                <w:top w:val="none" w:sz="0" w:space="0" w:color="auto"/>
                <w:left w:val="none" w:sz="0" w:space="0" w:color="auto"/>
                <w:bottom w:val="none" w:sz="0" w:space="0" w:color="auto"/>
                <w:right w:val="none" w:sz="0" w:space="0" w:color="auto"/>
              </w:divBdr>
            </w:div>
          </w:divsChild>
        </w:div>
        <w:div w:id="1536039518">
          <w:marLeft w:val="960"/>
          <w:marRight w:val="0"/>
          <w:marTop w:val="480"/>
          <w:marBottom w:val="240"/>
          <w:divBdr>
            <w:top w:val="none" w:sz="0" w:space="0" w:color="auto"/>
            <w:left w:val="none" w:sz="0" w:space="0" w:color="auto"/>
            <w:bottom w:val="none" w:sz="0" w:space="0" w:color="auto"/>
            <w:right w:val="none" w:sz="0" w:space="0" w:color="auto"/>
          </w:divBdr>
          <w:divsChild>
            <w:div w:id="515074317">
              <w:marLeft w:val="240"/>
              <w:marRight w:val="240"/>
              <w:marTop w:val="0"/>
              <w:marBottom w:val="0"/>
              <w:divBdr>
                <w:top w:val="none" w:sz="0" w:space="0" w:color="auto"/>
                <w:left w:val="none" w:sz="0" w:space="0" w:color="auto"/>
                <w:bottom w:val="none" w:sz="0" w:space="0" w:color="auto"/>
                <w:right w:val="none" w:sz="0" w:space="0" w:color="auto"/>
              </w:divBdr>
            </w:div>
            <w:div w:id="801385008">
              <w:marLeft w:val="240"/>
              <w:marRight w:val="240"/>
              <w:marTop w:val="0"/>
              <w:marBottom w:val="0"/>
              <w:divBdr>
                <w:top w:val="none" w:sz="0" w:space="0" w:color="auto"/>
                <w:left w:val="none" w:sz="0" w:space="0" w:color="auto"/>
                <w:bottom w:val="none" w:sz="0" w:space="0" w:color="auto"/>
                <w:right w:val="none" w:sz="0" w:space="0" w:color="auto"/>
              </w:divBdr>
            </w:div>
            <w:div w:id="4538627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74737758">
      <w:bodyDiv w:val="1"/>
      <w:marLeft w:val="0"/>
      <w:marRight w:val="0"/>
      <w:marTop w:val="0"/>
      <w:marBottom w:val="0"/>
      <w:divBdr>
        <w:top w:val="none" w:sz="0" w:space="0" w:color="auto"/>
        <w:left w:val="none" w:sz="0" w:space="0" w:color="auto"/>
        <w:bottom w:val="none" w:sz="0" w:space="0" w:color="auto"/>
        <w:right w:val="none" w:sz="0" w:space="0" w:color="auto"/>
      </w:divBdr>
      <w:divsChild>
        <w:div w:id="1112818594">
          <w:marLeft w:val="0"/>
          <w:marRight w:val="0"/>
          <w:marTop w:val="288"/>
          <w:marBottom w:val="0"/>
          <w:divBdr>
            <w:top w:val="none" w:sz="0" w:space="0" w:color="auto"/>
            <w:left w:val="none" w:sz="0" w:space="0" w:color="auto"/>
            <w:bottom w:val="none" w:sz="0" w:space="0" w:color="auto"/>
            <w:right w:val="none" w:sz="0" w:space="0" w:color="auto"/>
          </w:divBdr>
        </w:div>
        <w:div w:id="1507593092">
          <w:marLeft w:val="0"/>
          <w:marRight w:val="0"/>
          <w:marTop w:val="58"/>
          <w:marBottom w:val="0"/>
          <w:divBdr>
            <w:top w:val="none" w:sz="0" w:space="0" w:color="auto"/>
            <w:left w:val="none" w:sz="0" w:space="0" w:color="auto"/>
            <w:bottom w:val="none" w:sz="0" w:space="0" w:color="auto"/>
            <w:right w:val="none" w:sz="0" w:space="0" w:color="auto"/>
          </w:divBdr>
        </w:div>
        <w:div w:id="285359436">
          <w:marLeft w:val="0"/>
          <w:marRight w:val="0"/>
          <w:marTop w:val="115"/>
          <w:marBottom w:val="0"/>
          <w:divBdr>
            <w:top w:val="none" w:sz="0" w:space="0" w:color="auto"/>
            <w:left w:val="none" w:sz="0" w:space="0" w:color="auto"/>
            <w:bottom w:val="none" w:sz="0" w:space="0" w:color="auto"/>
            <w:right w:val="none" w:sz="0" w:space="0" w:color="auto"/>
          </w:divBdr>
        </w:div>
      </w:divsChild>
    </w:div>
    <w:div w:id="402530762">
      <w:bodyDiv w:val="1"/>
      <w:marLeft w:val="0"/>
      <w:marRight w:val="0"/>
      <w:marTop w:val="0"/>
      <w:marBottom w:val="0"/>
      <w:divBdr>
        <w:top w:val="none" w:sz="0" w:space="0" w:color="auto"/>
        <w:left w:val="none" w:sz="0" w:space="0" w:color="auto"/>
        <w:bottom w:val="none" w:sz="0" w:space="0" w:color="auto"/>
        <w:right w:val="none" w:sz="0" w:space="0" w:color="auto"/>
      </w:divBdr>
      <w:divsChild>
        <w:div w:id="3454071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375403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26397015">
          <w:marLeft w:val="960"/>
          <w:marRight w:val="0"/>
          <w:marTop w:val="480"/>
          <w:marBottom w:val="240"/>
          <w:divBdr>
            <w:top w:val="none" w:sz="0" w:space="0" w:color="auto"/>
            <w:left w:val="none" w:sz="0" w:space="0" w:color="auto"/>
            <w:bottom w:val="none" w:sz="0" w:space="0" w:color="auto"/>
            <w:right w:val="none" w:sz="0" w:space="0" w:color="auto"/>
          </w:divBdr>
          <w:divsChild>
            <w:div w:id="140932225">
              <w:marLeft w:val="240"/>
              <w:marRight w:val="240"/>
              <w:marTop w:val="0"/>
              <w:marBottom w:val="0"/>
              <w:divBdr>
                <w:top w:val="none" w:sz="0" w:space="0" w:color="auto"/>
                <w:left w:val="none" w:sz="0" w:space="0" w:color="auto"/>
                <w:bottom w:val="none" w:sz="0" w:space="0" w:color="auto"/>
                <w:right w:val="none" w:sz="0" w:space="0" w:color="auto"/>
              </w:divBdr>
            </w:div>
          </w:divsChild>
        </w:div>
        <w:div w:id="1631864474">
          <w:blockQuote w:val="1"/>
          <w:marLeft w:val="768"/>
          <w:marRight w:val="720"/>
          <w:marTop w:val="0"/>
          <w:marBottom w:val="0"/>
          <w:divBdr>
            <w:top w:val="none" w:sz="0" w:space="0" w:color="auto"/>
            <w:left w:val="none" w:sz="0" w:space="0" w:color="auto"/>
            <w:bottom w:val="none" w:sz="0" w:space="0" w:color="auto"/>
            <w:right w:val="none" w:sz="0" w:space="0" w:color="auto"/>
          </w:divBdr>
          <w:divsChild>
            <w:div w:id="94372909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71318986">
          <w:marLeft w:val="960"/>
          <w:marRight w:val="0"/>
          <w:marTop w:val="480"/>
          <w:marBottom w:val="240"/>
          <w:divBdr>
            <w:top w:val="none" w:sz="0" w:space="0" w:color="auto"/>
            <w:left w:val="none" w:sz="0" w:space="0" w:color="auto"/>
            <w:bottom w:val="none" w:sz="0" w:space="0" w:color="auto"/>
            <w:right w:val="none" w:sz="0" w:space="0" w:color="auto"/>
          </w:divBdr>
          <w:divsChild>
            <w:div w:id="640038985">
              <w:marLeft w:val="240"/>
              <w:marRight w:val="240"/>
              <w:marTop w:val="0"/>
              <w:marBottom w:val="0"/>
              <w:divBdr>
                <w:top w:val="none" w:sz="0" w:space="0" w:color="auto"/>
                <w:left w:val="none" w:sz="0" w:space="0" w:color="auto"/>
                <w:bottom w:val="none" w:sz="0" w:space="0" w:color="auto"/>
                <w:right w:val="none" w:sz="0" w:space="0" w:color="auto"/>
              </w:divBdr>
            </w:div>
          </w:divsChild>
        </w:div>
        <w:div w:id="1125008296">
          <w:marLeft w:val="960"/>
          <w:marRight w:val="0"/>
          <w:marTop w:val="480"/>
          <w:marBottom w:val="240"/>
          <w:divBdr>
            <w:top w:val="none" w:sz="0" w:space="0" w:color="auto"/>
            <w:left w:val="none" w:sz="0" w:space="0" w:color="auto"/>
            <w:bottom w:val="none" w:sz="0" w:space="0" w:color="auto"/>
            <w:right w:val="none" w:sz="0" w:space="0" w:color="auto"/>
          </w:divBdr>
          <w:divsChild>
            <w:div w:id="276062203">
              <w:marLeft w:val="240"/>
              <w:marRight w:val="240"/>
              <w:marTop w:val="0"/>
              <w:marBottom w:val="0"/>
              <w:divBdr>
                <w:top w:val="none" w:sz="0" w:space="0" w:color="auto"/>
                <w:left w:val="none" w:sz="0" w:space="0" w:color="auto"/>
                <w:bottom w:val="none" w:sz="0" w:space="0" w:color="auto"/>
                <w:right w:val="none" w:sz="0" w:space="0" w:color="auto"/>
              </w:divBdr>
            </w:div>
          </w:divsChild>
        </w:div>
        <w:div w:id="12624901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4471347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8797759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0519278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55523613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4854448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400566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160368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24108240">
          <w:blockQuote w:val="1"/>
          <w:marLeft w:val="768"/>
          <w:marRight w:val="720"/>
          <w:marTop w:val="0"/>
          <w:marBottom w:val="0"/>
          <w:divBdr>
            <w:top w:val="none" w:sz="0" w:space="0" w:color="auto"/>
            <w:left w:val="none" w:sz="0" w:space="0" w:color="auto"/>
            <w:bottom w:val="none" w:sz="0" w:space="0" w:color="auto"/>
            <w:right w:val="none" w:sz="0" w:space="0" w:color="auto"/>
          </w:divBdr>
          <w:divsChild>
            <w:div w:id="27020634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50090724">
          <w:marLeft w:val="960"/>
          <w:marRight w:val="0"/>
          <w:marTop w:val="480"/>
          <w:marBottom w:val="240"/>
          <w:divBdr>
            <w:top w:val="none" w:sz="0" w:space="0" w:color="auto"/>
            <w:left w:val="none" w:sz="0" w:space="0" w:color="auto"/>
            <w:bottom w:val="none" w:sz="0" w:space="0" w:color="auto"/>
            <w:right w:val="none" w:sz="0" w:space="0" w:color="auto"/>
          </w:divBdr>
          <w:divsChild>
            <w:div w:id="1813477061">
              <w:marLeft w:val="240"/>
              <w:marRight w:val="240"/>
              <w:marTop w:val="0"/>
              <w:marBottom w:val="0"/>
              <w:divBdr>
                <w:top w:val="none" w:sz="0" w:space="0" w:color="auto"/>
                <w:left w:val="none" w:sz="0" w:space="0" w:color="auto"/>
                <w:bottom w:val="none" w:sz="0" w:space="0" w:color="auto"/>
                <w:right w:val="none" w:sz="0" w:space="0" w:color="auto"/>
              </w:divBdr>
            </w:div>
            <w:div w:id="529951269">
              <w:marLeft w:val="240"/>
              <w:marRight w:val="240"/>
              <w:marTop w:val="0"/>
              <w:marBottom w:val="0"/>
              <w:divBdr>
                <w:top w:val="none" w:sz="0" w:space="0" w:color="auto"/>
                <w:left w:val="none" w:sz="0" w:space="0" w:color="auto"/>
                <w:bottom w:val="none" w:sz="0" w:space="0" w:color="auto"/>
                <w:right w:val="none" w:sz="0" w:space="0" w:color="auto"/>
              </w:divBdr>
            </w:div>
          </w:divsChild>
        </w:div>
        <w:div w:id="91478396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57802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57676613">
          <w:marLeft w:val="960"/>
          <w:marRight w:val="0"/>
          <w:marTop w:val="480"/>
          <w:marBottom w:val="240"/>
          <w:divBdr>
            <w:top w:val="none" w:sz="0" w:space="0" w:color="auto"/>
            <w:left w:val="none" w:sz="0" w:space="0" w:color="auto"/>
            <w:bottom w:val="none" w:sz="0" w:space="0" w:color="auto"/>
            <w:right w:val="none" w:sz="0" w:space="0" w:color="auto"/>
          </w:divBdr>
          <w:divsChild>
            <w:div w:id="534659723">
              <w:marLeft w:val="240"/>
              <w:marRight w:val="240"/>
              <w:marTop w:val="0"/>
              <w:marBottom w:val="0"/>
              <w:divBdr>
                <w:top w:val="none" w:sz="0" w:space="0" w:color="auto"/>
                <w:left w:val="none" w:sz="0" w:space="0" w:color="auto"/>
                <w:bottom w:val="none" w:sz="0" w:space="0" w:color="auto"/>
                <w:right w:val="none" w:sz="0" w:space="0" w:color="auto"/>
              </w:divBdr>
            </w:div>
            <w:div w:id="1748961283">
              <w:marLeft w:val="240"/>
              <w:marRight w:val="240"/>
              <w:marTop w:val="0"/>
              <w:marBottom w:val="0"/>
              <w:divBdr>
                <w:top w:val="none" w:sz="0" w:space="0" w:color="auto"/>
                <w:left w:val="none" w:sz="0" w:space="0" w:color="auto"/>
                <w:bottom w:val="none" w:sz="0" w:space="0" w:color="auto"/>
                <w:right w:val="none" w:sz="0" w:space="0" w:color="auto"/>
              </w:divBdr>
            </w:div>
          </w:divsChild>
        </w:div>
        <w:div w:id="720128225">
          <w:marLeft w:val="960"/>
          <w:marRight w:val="0"/>
          <w:marTop w:val="480"/>
          <w:marBottom w:val="240"/>
          <w:divBdr>
            <w:top w:val="none" w:sz="0" w:space="0" w:color="auto"/>
            <w:left w:val="none" w:sz="0" w:space="0" w:color="auto"/>
            <w:bottom w:val="none" w:sz="0" w:space="0" w:color="auto"/>
            <w:right w:val="none" w:sz="0" w:space="0" w:color="auto"/>
          </w:divBdr>
          <w:divsChild>
            <w:div w:id="964773771">
              <w:marLeft w:val="240"/>
              <w:marRight w:val="240"/>
              <w:marTop w:val="0"/>
              <w:marBottom w:val="0"/>
              <w:divBdr>
                <w:top w:val="none" w:sz="0" w:space="0" w:color="auto"/>
                <w:left w:val="none" w:sz="0" w:space="0" w:color="auto"/>
                <w:bottom w:val="none" w:sz="0" w:space="0" w:color="auto"/>
                <w:right w:val="none" w:sz="0" w:space="0" w:color="auto"/>
              </w:divBdr>
            </w:div>
          </w:divsChild>
        </w:div>
        <w:div w:id="1163665571">
          <w:marLeft w:val="960"/>
          <w:marRight w:val="0"/>
          <w:marTop w:val="480"/>
          <w:marBottom w:val="240"/>
          <w:divBdr>
            <w:top w:val="none" w:sz="0" w:space="0" w:color="auto"/>
            <w:left w:val="none" w:sz="0" w:space="0" w:color="auto"/>
            <w:bottom w:val="none" w:sz="0" w:space="0" w:color="auto"/>
            <w:right w:val="none" w:sz="0" w:space="0" w:color="auto"/>
          </w:divBdr>
          <w:divsChild>
            <w:div w:id="968240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679507166">
      <w:bodyDiv w:val="1"/>
      <w:marLeft w:val="0"/>
      <w:marRight w:val="0"/>
      <w:marTop w:val="0"/>
      <w:marBottom w:val="0"/>
      <w:divBdr>
        <w:top w:val="none" w:sz="0" w:space="0" w:color="auto"/>
        <w:left w:val="none" w:sz="0" w:space="0" w:color="auto"/>
        <w:bottom w:val="none" w:sz="0" w:space="0" w:color="auto"/>
        <w:right w:val="none" w:sz="0" w:space="0" w:color="auto"/>
      </w:divBdr>
    </w:div>
    <w:div w:id="693919304">
      <w:bodyDiv w:val="1"/>
      <w:marLeft w:val="0"/>
      <w:marRight w:val="0"/>
      <w:marTop w:val="0"/>
      <w:marBottom w:val="0"/>
      <w:divBdr>
        <w:top w:val="none" w:sz="0" w:space="0" w:color="auto"/>
        <w:left w:val="none" w:sz="0" w:space="0" w:color="auto"/>
        <w:bottom w:val="none" w:sz="0" w:space="0" w:color="auto"/>
        <w:right w:val="none" w:sz="0" w:space="0" w:color="auto"/>
      </w:divBdr>
    </w:div>
    <w:div w:id="714428452">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997808087">
      <w:bodyDiv w:val="1"/>
      <w:marLeft w:val="0"/>
      <w:marRight w:val="0"/>
      <w:marTop w:val="0"/>
      <w:marBottom w:val="0"/>
      <w:divBdr>
        <w:top w:val="none" w:sz="0" w:space="0" w:color="auto"/>
        <w:left w:val="none" w:sz="0" w:space="0" w:color="auto"/>
        <w:bottom w:val="none" w:sz="0" w:space="0" w:color="auto"/>
        <w:right w:val="none" w:sz="0" w:space="0" w:color="auto"/>
      </w:divBdr>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486627277">
      <w:bodyDiv w:val="1"/>
      <w:marLeft w:val="0"/>
      <w:marRight w:val="0"/>
      <w:marTop w:val="0"/>
      <w:marBottom w:val="0"/>
      <w:divBdr>
        <w:top w:val="none" w:sz="0" w:space="0" w:color="auto"/>
        <w:left w:val="none" w:sz="0" w:space="0" w:color="auto"/>
        <w:bottom w:val="none" w:sz="0" w:space="0" w:color="auto"/>
        <w:right w:val="none" w:sz="0" w:space="0" w:color="auto"/>
      </w:divBdr>
      <w:divsChild>
        <w:div w:id="1912697414">
          <w:marLeft w:val="0"/>
          <w:marRight w:val="0"/>
          <w:marTop w:val="0"/>
          <w:marBottom w:val="0"/>
          <w:divBdr>
            <w:top w:val="none" w:sz="0" w:space="0" w:color="auto"/>
            <w:left w:val="none" w:sz="0" w:space="0" w:color="auto"/>
            <w:bottom w:val="none" w:sz="0" w:space="0" w:color="auto"/>
            <w:right w:val="none" w:sz="0" w:space="0" w:color="auto"/>
          </w:divBdr>
          <w:divsChild>
            <w:div w:id="1557551026">
              <w:marLeft w:val="0"/>
              <w:marRight w:val="0"/>
              <w:marTop w:val="0"/>
              <w:marBottom w:val="0"/>
              <w:divBdr>
                <w:top w:val="none" w:sz="0" w:space="0" w:color="auto"/>
                <w:left w:val="none" w:sz="0" w:space="0" w:color="auto"/>
                <w:bottom w:val="none" w:sz="0" w:space="0" w:color="auto"/>
                <w:right w:val="none" w:sz="0" w:space="0" w:color="auto"/>
              </w:divBdr>
              <w:divsChild>
                <w:div w:id="346248318">
                  <w:blockQuote w:val="1"/>
                  <w:marLeft w:val="768"/>
                  <w:marRight w:val="720"/>
                  <w:marTop w:val="0"/>
                  <w:marBottom w:val="0"/>
                  <w:divBdr>
                    <w:top w:val="none" w:sz="0" w:space="0" w:color="auto"/>
                    <w:left w:val="none" w:sz="0" w:space="0" w:color="auto"/>
                    <w:bottom w:val="none" w:sz="0" w:space="0" w:color="auto"/>
                    <w:right w:val="none" w:sz="0" w:space="0" w:color="auto"/>
                  </w:divBdr>
                </w:div>
                <w:div w:id="1363479492">
                  <w:marLeft w:val="960"/>
                  <w:marRight w:val="0"/>
                  <w:marTop w:val="480"/>
                  <w:marBottom w:val="240"/>
                  <w:divBdr>
                    <w:top w:val="none" w:sz="0" w:space="0" w:color="auto"/>
                    <w:left w:val="none" w:sz="0" w:space="0" w:color="auto"/>
                    <w:bottom w:val="none" w:sz="0" w:space="0" w:color="auto"/>
                    <w:right w:val="none" w:sz="0" w:space="0" w:color="auto"/>
                  </w:divBdr>
                  <w:divsChild>
                    <w:div w:id="10293347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7063027">
          <w:marLeft w:val="0"/>
          <w:marRight w:val="0"/>
          <w:marTop w:val="0"/>
          <w:marBottom w:val="0"/>
          <w:divBdr>
            <w:top w:val="none" w:sz="0" w:space="0" w:color="auto"/>
            <w:left w:val="none" w:sz="0" w:space="0" w:color="auto"/>
            <w:bottom w:val="none" w:sz="0" w:space="0" w:color="auto"/>
            <w:right w:val="none" w:sz="0" w:space="0" w:color="auto"/>
          </w:divBdr>
          <w:divsChild>
            <w:div w:id="352536137">
              <w:marLeft w:val="0"/>
              <w:marRight w:val="0"/>
              <w:marTop w:val="0"/>
              <w:marBottom w:val="0"/>
              <w:divBdr>
                <w:top w:val="none" w:sz="0" w:space="0" w:color="auto"/>
                <w:left w:val="none" w:sz="0" w:space="0" w:color="auto"/>
                <w:bottom w:val="none" w:sz="0" w:space="0" w:color="auto"/>
                <w:right w:val="none" w:sz="0" w:space="0" w:color="auto"/>
              </w:divBdr>
              <w:divsChild>
                <w:div w:id="1694526672">
                  <w:marLeft w:val="960"/>
                  <w:marRight w:val="0"/>
                  <w:marTop w:val="480"/>
                  <w:marBottom w:val="240"/>
                  <w:divBdr>
                    <w:top w:val="none" w:sz="0" w:space="0" w:color="auto"/>
                    <w:left w:val="none" w:sz="0" w:space="0" w:color="auto"/>
                    <w:bottom w:val="none" w:sz="0" w:space="0" w:color="auto"/>
                    <w:right w:val="none" w:sz="0" w:space="0" w:color="auto"/>
                  </w:divBdr>
                  <w:divsChild>
                    <w:div w:id="533621171">
                      <w:marLeft w:val="240"/>
                      <w:marRight w:val="240"/>
                      <w:marTop w:val="0"/>
                      <w:marBottom w:val="0"/>
                      <w:divBdr>
                        <w:top w:val="none" w:sz="0" w:space="0" w:color="auto"/>
                        <w:left w:val="none" w:sz="0" w:space="0" w:color="auto"/>
                        <w:bottom w:val="none" w:sz="0" w:space="0" w:color="auto"/>
                        <w:right w:val="none" w:sz="0" w:space="0" w:color="auto"/>
                      </w:divBdr>
                    </w:div>
                    <w:div w:id="223684870">
                      <w:marLeft w:val="240"/>
                      <w:marRight w:val="240"/>
                      <w:marTop w:val="0"/>
                      <w:marBottom w:val="0"/>
                      <w:divBdr>
                        <w:top w:val="none" w:sz="0" w:space="0" w:color="auto"/>
                        <w:left w:val="none" w:sz="0" w:space="0" w:color="auto"/>
                        <w:bottom w:val="none" w:sz="0" w:space="0" w:color="auto"/>
                        <w:right w:val="none" w:sz="0" w:space="0" w:color="auto"/>
                      </w:divBdr>
                    </w:div>
                  </w:divsChild>
                </w:div>
                <w:div w:id="1689815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996465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36873016">
                  <w:marLeft w:val="960"/>
                  <w:marRight w:val="0"/>
                  <w:marTop w:val="480"/>
                  <w:marBottom w:val="240"/>
                  <w:divBdr>
                    <w:top w:val="none" w:sz="0" w:space="0" w:color="auto"/>
                    <w:left w:val="none" w:sz="0" w:space="0" w:color="auto"/>
                    <w:bottom w:val="none" w:sz="0" w:space="0" w:color="auto"/>
                    <w:right w:val="none" w:sz="0" w:space="0" w:color="auto"/>
                  </w:divBdr>
                  <w:divsChild>
                    <w:div w:id="809860875">
                      <w:marLeft w:val="240"/>
                      <w:marRight w:val="240"/>
                      <w:marTop w:val="0"/>
                      <w:marBottom w:val="0"/>
                      <w:divBdr>
                        <w:top w:val="none" w:sz="0" w:space="0" w:color="auto"/>
                        <w:left w:val="none" w:sz="0" w:space="0" w:color="auto"/>
                        <w:bottom w:val="none" w:sz="0" w:space="0" w:color="auto"/>
                        <w:right w:val="none" w:sz="0" w:space="0" w:color="auto"/>
                      </w:divBdr>
                    </w:div>
                    <w:div w:id="2146964166">
                      <w:marLeft w:val="240"/>
                      <w:marRight w:val="240"/>
                      <w:marTop w:val="0"/>
                      <w:marBottom w:val="0"/>
                      <w:divBdr>
                        <w:top w:val="none" w:sz="0" w:space="0" w:color="auto"/>
                        <w:left w:val="none" w:sz="0" w:space="0" w:color="auto"/>
                        <w:bottom w:val="none" w:sz="0" w:space="0" w:color="auto"/>
                        <w:right w:val="none" w:sz="0" w:space="0" w:color="auto"/>
                      </w:divBdr>
                    </w:div>
                  </w:divsChild>
                </w:div>
                <w:div w:id="19824803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71590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71867239">
                  <w:marLeft w:val="960"/>
                  <w:marRight w:val="0"/>
                  <w:marTop w:val="480"/>
                  <w:marBottom w:val="240"/>
                  <w:divBdr>
                    <w:top w:val="none" w:sz="0" w:space="0" w:color="auto"/>
                    <w:left w:val="none" w:sz="0" w:space="0" w:color="auto"/>
                    <w:bottom w:val="none" w:sz="0" w:space="0" w:color="auto"/>
                    <w:right w:val="none" w:sz="0" w:space="0" w:color="auto"/>
                  </w:divBdr>
                  <w:divsChild>
                    <w:div w:id="295722845">
                      <w:marLeft w:val="240"/>
                      <w:marRight w:val="240"/>
                      <w:marTop w:val="0"/>
                      <w:marBottom w:val="0"/>
                      <w:divBdr>
                        <w:top w:val="none" w:sz="0" w:space="0" w:color="auto"/>
                        <w:left w:val="none" w:sz="0" w:space="0" w:color="auto"/>
                        <w:bottom w:val="none" w:sz="0" w:space="0" w:color="auto"/>
                        <w:right w:val="none" w:sz="0" w:space="0" w:color="auto"/>
                      </w:divBdr>
                    </w:div>
                    <w:div w:id="641810106">
                      <w:marLeft w:val="240"/>
                      <w:marRight w:val="240"/>
                      <w:marTop w:val="0"/>
                      <w:marBottom w:val="0"/>
                      <w:divBdr>
                        <w:top w:val="none" w:sz="0" w:space="0" w:color="auto"/>
                        <w:left w:val="none" w:sz="0" w:space="0" w:color="auto"/>
                        <w:bottom w:val="none" w:sz="0" w:space="0" w:color="auto"/>
                        <w:right w:val="none" w:sz="0" w:space="0" w:color="auto"/>
                      </w:divBdr>
                    </w:div>
                    <w:div w:id="1970281906">
                      <w:marLeft w:val="240"/>
                      <w:marRight w:val="240"/>
                      <w:marTop w:val="0"/>
                      <w:marBottom w:val="0"/>
                      <w:divBdr>
                        <w:top w:val="none" w:sz="0" w:space="0" w:color="auto"/>
                        <w:left w:val="none" w:sz="0" w:space="0" w:color="auto"/>
                        <w:bottom w:val="none" w:sz="0" w:space="0" w:color="auto"/>
                        <w:right w:val="none" w:sz="0" w:space="0" w:color="auto"/>
                      </w:divBdr>
                    </w:div>
                    <w:div w:id="1161039775">
                      <w:marLeft w:val="240"/>
                      <w:marRight w:val="240"/>
                      <w:marTop w:val="0"/>
                      <w:marBottom w:val="0"/>
                      <w:divBdr>
                        <w:top w:val="none" w:sz="0" w:space="0" w:color="auto"/>
                        <w:left w:val="none" w:sz="0" w:space="0" w:color="auto"/>
                        <w:bottom w:val="none" w:sz="0" w:space="0" w:color="auto"/>
                        <w:right w:val="none" w:sz="0" w:space="0" w:color="auto"/>
                      </w:divBdr>
                    </w:div>
                    <w:div w:id="1486974842">
                      <w:marLeft w:val="240"/>
                      <w:marRight w:val="240"/>
                      <w:marTop w:val="0"/>
                      <w:marBottom w:val="0"/>
                      <w:divBdr>
                        <w:top w:val="none" w:sz="0" w:space="0" w:color="auto"/>
                        <w:left w:val="none" w:sz="0" w:space="0" w:color="auto"/>
                        <w:bottom w:val="none" w:sz="0" w:space="0" w:color="auto"/>
                        <w:right w:val="none" w:sz="0" w:space="0" w:color="auto"/>
                      </w:divBdr>
                    </w:div>
                    <w:div w:id="1060977610">
                      <w:marLeft w:val="240"/>
                      <w:marRight w:val="240"/>
                      <w:marTop w:val="0"/>
                      <w:marBottom w:val="0"/>
                      <w:divBdr>
                        <w:top w:val="none" w:sz="0" w:space="0" w:color="auto"/>
                        <w:left w:val="none" w:sz="0" w:space="0" w:color="auto"/>
                        <w:bottom w:val="none" w:sz="0" w:space="0" w:color="auto"/>
                        <w:right w:val="none" w:sz="0" w:space="0" w:color="auto"/>
                      </w:divBdr>
                    </w:div>
                    <w:div w:id="1141536581">
                      <w:marLeft w:val="240"/>
                      <w:marRight w:val="240"/>
                      <w:marTop w:val="0"/>
                      <w:marBottom w:val="0"/>
                      <w:divBdr>
                        <w:top w:val="none" w:sz="0" w:space="0" w:color="auto"/>
                        <w:left w:val="none" w:sz="0" w:space="0" w:color="auto"/>
                        <w:bottom w:val="none" w:sz="0" w:space="0" w:color="auto"/>
                        <w:right w:val="none" w:sz="0" w:space="0" w:color="auto"/>
                      </w:divBdr>
                    </w:div>
                    <w:div w:id="1329752834">
                      <w:marLeft w:val="240"/>
                      <w:marRight w:val="240"/>
                      <w:marTop w:val="0"/>
                      <w:marBottom w:val="0"/>
                      <w:divBdr>
                        <w:top w:val="none" w:sz="0" w:space="0" w:color="auto"/>
                        <w:left w:val="none" w:sz="0" w:space="0" w:color="auto"/>
                        <w:bottom w:val="none" w:sz="0" w:space="0" w:color="auto"/>
                        <w:right w:val="none" w:sz="0" w:space="0" w:color="auto"/>
                      </w:divBdr>
                    </w:div>
                  </w:divsChild>
                </w:div>
                <w:div w:id="18344851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1255163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26896507">
                  <w:marLeft w:val="960"/>
                  <w:marRight w:val="0"/>
                  <w:marTop w:val="480"/>
                  <w:marBottom w:val="240"/>
                  <w:divBdr>
                    <w:top w:val="none" w:sz="0" w:space="0" w:color="auto"/>
                    <w:left w:val="none" w:sz="0" w:space="0" w:color="auto"/>
                    <w:bottom w:val="none" w:sz="0" w:space="0" w:color="auto"/>
                    <w:right w:val="none" w:sz="0" w:space="0" w:color="auto"/>
                  </w:divBdr>
                  <w:divsChild>
                    <w:div w:id="894046971">
                      <w:marLeft w:val="240"/>
                      <w:marRight w:val="240"/>
                      <w:marTop w:val="0"/>
                      <w:marBottom w:val="0"/>
                      <w:divBdr>
                        <w:top w:val="none" w:sz="0" w:space="0" w:color="auto"/>
                        <w:left w:val="none" w:sz="0" w:space="0" w:color="auto"/>
                        <w:bottom w:val="none" w:sz="0" w:space="0" w:color="auto"/>
                        <w:right w:val="none" w:sz="0" w:space="0" w:color="auto"/>
                      </w:divBdr>
                    </w:div>
                    <w:div w:id="1184326281">
                      <w:marLeft w:val="240"/>
                      <w:marRight w:val="240"/>
                      <w:marTop w:val="0"/>
                      <w:marBottom w:val="0"/>
                      <w:divBdr>
                        <w:top w:val="none" w:sz="0" w:space="0" w:color="auto"/>
                        <w:left w:val="none" w:sz="0" w:space="0" w:color="auto"/>
                        <w:bottom w:val="none" w:sz="0" w:space="0" w:color="auto"/>
                        <w:right w:val="none" w:sz="0" w:space="0" w:color="auto"/>
                      </w:divBdr>
                    </w:div>
                    <w:div w:id="911161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31304953">
      <w:bodyDiv w:val="1"/>
      <w:marLeft w:val="0"/>
      <w:marRight w:val="0"/>
      <w:marTop w:val="0"/>
      <w:marBottom w:val="0"/>
      <w:divBdr>
        <w:top w:val="none" w:sz="0" w:space="0" w:color="auto"/>
        <w:left w:val="none" w:sz="0" w:space="0" w:color="auto"/>
        <w:bottom w:val="none" w:sz="0" w:space="0" w:color="auto"/>
        <w:right w:val="none" w:sz="0" w:space="0" w:color="auto"/>
      </w:divBdr>
    </w:div>
    <w:div w:id="1939828688">
      <w:bodyDiv w:val="1"/>
      <w:marLeft w:val="0"/>
      <w:marRight w:val="0"/>
      <w:marTop w:val="0"/>
      <w:marBottom w:val="0"/>
      <w:divBdr>
        <w:top w:val="none" w:sz="0" w:space="0" w:color="auto"/>
        <w:left w:val="none" w:sz="0" w:space="0" w:color="auto"/>
        <w:bottom w:val="none" w:sz="0" w:space="0" w:color="auto"/>
        <w:right w:val="none" w:sz="0" w:space="0" w:color="auto"/>
      </w:divBdr>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1980332289">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de.io/citation/3082428" TargetMode="External"/><Relationship Id="rId13" Type="http://schemas.openxmlformats.org/officeDocument/2006/relationships/hyperlink" Target="https://jade.io/article/188371" TargetMode="External"/><Relationship Id="rId18" Type="http://schemas.openxmlformats.org/officeDocument/2006/relationships/hyperlink" Target="https://jade.io/article/67250" TargetMode="External"/><Relationship Id="rId26"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 Id="rId3" Type="http://schemas.openxmlformats.org/officeDocument/2006/relationships/styles" Target="styles.xml"/><Relationship Id="rId21" Type="http://schemas.openxmlformats.org/officeDocument/2006/relationships/hyperlink" Target="https://jade.io/article/67250" TargetMode="External"/><Relationship Id="rId7" Type="http://schemas.openxmlformats.org/officeDocument/2006/relationships/endnotes" Target="endnotes.xml"/><Relationship Id="rId12" Type="http://schemas.openxmlformats.org/officeDocument/2006/relationships/hyperlink" Target="https://jade.io/article/188371/section/140579" TargetMode="External"/><Relationship Id="rId17" Type="http://schemas.openxmlformats.org/officeDocument/2006/relationships/hyperlink" Target="https://jade.io/article/119721/section/896" TargetMode="External"/><Relationship Id="rId25" Type="http://schemas.openxmlformats.org/officeDocument/2006/relationships/hyperlink" Target="https://www.childrenscourt.vic.gov.au/legal/guidelines-intermediary-pilot-progr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de.io/article/119721/section/896" TargetMode="External"/><Relationship Id="rId20" Type="http://schemas.openxmlformats.org/officeDocument/2006/relationships/hyperlink" Target="https://jade.io/article/67250/section/140269" TargetMode="External"/><Relationship Id="rId29"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188371" TargetMode="External"/><Relationship Id="rId24" Type="http://schemas.openxmlformats.org/officeDocument/2006/relationships/hyperlink" Target="https://jade.io/article/68319/section/1408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119721" TargetMode="External"/><Relationship Id="rId23" Type="http://schemas.openxmlformats.org/officeDocument/2006/relationships/hyperlink" Target="https://jade.io/article/68319/section/140890" TargetMode="External"/><Relationship Id="rId28" Type="http://schemas.openxmlformats.org/officeDocument/2006/relationships/hyperlink" Target="http://www.austlii.edu.au/cgi-bin/viewdoc/au/legis/vic/consol_act/cpa2009188/" TargetMode="External"/><Relationship Id="rId10" Type="http://schemas.openxmlformats.org/officeDocument/2006/relationships/hyperlink" Target="https://jade.io/article/296260" TargetMode="External"/><Relationship Id="rId19" Type="http://schemas.openxmlformats.org/officeDocument/2006/relationships/hyperlink" Target="https://jade.io/article/67250/section/14036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de.io/article/141882" TargetMode="External"/><Relationship Id="rId14" Type="http://schemas.openxmlformats.org/officeDocument/2006/relationships/hyperlink" Target="https://jade.io/article/188371/section/140331" TargetMode="External"/><Relationship Id="rId22" Type="http://schemas.openxmlformats.org/officeDocument/2006/relationships/hyperlink" Target="https://jade.io/article/68319" TargetMode="External"/><Relationship Id="rId27" Type="http://schemas.openxmlformats.org/officeDocument/2006/relationships/hyperlink" Target="http://www.austlii.edu.au/cgi-bin/viewdoc/au/legis/vic/consol_act/cpa2009188/s412.html" TargetMode="External"/><Relationship Id="rId3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75213</Words>
  <Characters>372090</Characters>
  <Application>Microsoft Office Word</Application>
  <DocSecurity>0</DocSecurity>
  <Lines>3100</Lines>
  <Paragraphs>892</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446411</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Magistrate Peter Power (CSV)</cp:lastModifiedBy>
  <cp:revision>2</cp:revision>
  <cp:lastPrinted>2021-02-11T23:35:00Z</cp:lastPrinted>
  <dcterms:created xsi:type="dcterms:W3CDTF">2022-06-20T06:03:00Z</dcterms:created>
  <dcterms:modified xsi:type="dcterms:W3CDTF">2022-06-20T06:03:00Z</dcterms:modified>
</cp:coreProperties>
</file>