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4E007" w14:textId="77777777" w:rsidR="00693223" w:rsidRDefault="00693223">
      <w:pPr>
        <w:pStyle w:val="Heading1"/>
        <w:numPr>
          <w:ilvl w:val="0"/>
          <w:numId w:val="0"/>
        </w:numPr>
        <w:spacing w:before="0" w:line="240" w:lineRule="auto"/>
        <w:jc w:val="center"/>
        <w:rPr>
          <w:rFonts w:ascii="Arial" w:hAnsi="Arial" w:cs="Arial"/>
          <w:b/>
          <w:bCs/>
          <w:sz w:val="40"/>
        </w:rPr>
      </w:pPr>
      <w:bookmarkStart w:id="0" w:name="_Toc30644233"/>
      <w:bookmarkStart w:id="1" w:name="_Toc30644636"/>
      <w:bookmarkStart w:id="2" w:name="_Toc30645186"/>
      <w:bookmarkStart w:id="3" w:name="_Toc30646397"/>
      <w:bookmarkStart w:id="4" w:name="_Toc30646692"/>
      <w:bookmarkStart w:id="5" w:name="_Toc30646803"/>
      <w:bookmarkStart w:id="6" w:name="_Toc30648160"/>
      <w:bookmarkStart w:id="7" w:name="_Toc30649058"/>
      <w:bookmarkStart w:id="8" w:name="_Toc30649134"/>
      <w:bookmarkStart w:id="9" w:name="_Toc30649395"/>
      <w:bookmarkStart w:id="10" w:name="_Toc30649720"/>
      <w:bookmarkStart w:id="11" w:name="_Toc30651660"/>
      <w:bookmarkStart w:id="12" w:name="_Toc30652650"/>
      <w:bookmarkStart w:id="13" w:name="_Toc30691554"/>
      <w:bookmarkStart w:id="14" w:name="_Toc30691934"/>
      <w:bookmarkStart w:id="15" w:name="_Toc30692693"/>
      <w:bookmarkStart w:id="16" w:name="_Toc30693072"/>
      <w:bookmarkStart w:id="17" w:name="_Toc30693450"/>
      <w:bookmarkStart w:id="18" w:name="_Toc30693828"/>
      <w:bookmarkStart w:id="19" w:name="_Toc30694209"/>
      <w:bookmarkStart w:id="20" w:name="_Toc30698798"/>
      <w:bookmarkStart w:id="21" w:name="_Toc30699176"/>
      <w:bookmarkStart w:id="22" w:name="_Toc30699561"/>
      <w:bookmarkStart w:id="23" w:name="_Toc30700716"/>
      <w:bookmarkStart w:id="24" w:name="_Toc30701103"/>
      <w:bookmarkStart w:id="25" w:name="_Toc30743712"/>
      <w:bookmarkStart w:id="26" w:name="_Toc30754535"/>
      <w:bookmarkStart w:id="27" w:name="_Toc30756975"/>
      <w:bookmarkStart w:id="28" w:name="_Toc30757524"/>
      <w:bookmarkStart w:id="29" w:name="_Toc30757924"/>
      <w:bookmarkStart w:id="30" w:name="_Toc30762685"/>
      <w:bookmarkStart w:id="31" w:name="_Toc30767339"/>
      <w:bookmarkStart w:id="32" w:name="_Toc34823355"/>
      <w:r>
        <w:rPr>
          <w:rFonts w:ascii="Arial" w:hAnsi="Arial" w:cs="Arial"/>
          <w:b/>
          <w:bCs/>
          <w:sz w:val="40"/>
        </w:rPr>
        <w:t xml:space="preserve">4.  FAMILY DIVISION </w:t>
      </w:r>
      <w:r w:rsidR="00403F1D">
        <w:rPr>
          <w:rFonts w:ascii="Arial" w:hAnsi="Arial" w:cs="Arial"/>
          <w:b/>
          <w:bCs/>
          <w:sz w:val="40"/>
        </w:rPr>
        <w:t>–</w:t>
      </w:r>
      <w:r>
        <w:rPr>
          <w:rFonts w:ascii="Arial" w:hAnsi="Arial" w:cs="Arial"/>
          <w:b/>
          <w:bCs/>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ascii="Arial" w:hAnsi="Arial" w:cs="Arial"/>
          <w:b/>
          <w:bCs/>
          <w:sz w:val="40"/>
        </w:rPr>
        <w:t>GENERAL</w:t>
      </w:r>
      <w:bookmarkEnd w:id="32"/>
    </w:p>
    <w:p w14:paraId="62D3682C" w14:textId="77777777" w:rsidR="00693223" w:rsidRPr="0030237B" w:rsidRDefault="00693223">
      <w:pPr>
        <w:jc w:val="both"/>
        <w:rPr>
          <w:rFonts w:ascii="Arial" w:hAnsi="Arial" w:cs="Arial"/>
          <w:sz w:val="8"/>
          <w:szCs w:val="20"/>
        </w:rPr>
      </w:pPr>
    </w:p>
    <w:p w14:paraId="63505518" w14:textId="77777777" w:rsidR="00693223" w:rsidRPr="00F6672C" w:rsidRDefault="00693223">
      <w:pPr>
        <w:pBdr>
          <w:top w:val="single" w:sz="4" w:space="1" w:color="auto"/>
          <w:left w:val="single" w:sz="4" w:space="4" w:color="auto"/>
          <w:bottom w:val="single" w:sz="4" w:space="1" w:color="auto"/>
          <w:right w:val="single" w:sz="4" w:space="4" w:color="auto"/>
        </w:pBdr>
        <w:rPr>
          <w:rFonts w:ascii="Arial" w:hAnsi="Arial" w:cs="Arial"/>
          <w:b/>
          <w:bCs/>
          <w:sz w:val="12"/>
        </w:rPr>
      </w:pPr>
    </w:p>
    <w:p w14:paraId="1BDD7641" w14:textId="77777777" w:rsidR="00693223" w:rsidRDefault="00693223">
      <w:pPr>
        <w:pBdr>
          <w:top w:val="single" w:sz="4" w:space="1" w:color="auto"/>
          <w:left w:val="single" w:sz="4" w:space="4" w:color="auto"/>
          <w:bottom w:val="single" w:sz="4" w:space="1" w:color="auto"/>
          <w:right w:val="single" w:sz="4" w:space="4" w:color="auto"/>
        </w:pBdr>
        <w:jc w:val="center"/>
        <w:rPr>
          <w:rFonts w:ascii="Arial" w:hAnsi="Arial" w:cs="Arial"/>
          <w:b/>
          <w:bCs/>
          <w:u w:val="single"/>
        </w:rPr>
      </w:pPr>
      <w:r>
        <w:rPr>
          <w:rFonts w:ascii="Arial" w:hAnsi="Arial" w:cs="Arial"/>
          <w:b/>
          <w:bCs/>
          <w:sz w:val="28"/>
          <w:u w:val="single"/>
        </w:rPr>
        <w:t>CONTENTS</w:t>
      </w:r>
    </w:p>
    <w:p w14:paraId="1A0E4ABF" w14:textId="77777777" w:rsidR="00693223" w:rsidRPr="00F6672C" w:rsidRDefault="00693223">
      <w:pPr>
        <w:pBdr>
          <w:top w:val="single" w:sz="4" w:space="1" w:color="auto"/>
          <w:left w:val="single" w:sz="4" w:space="4" w:color="auto"/>
          <w:bottom w:val="single" w:sz="4" w:space="1" w:color="auto"/>
          <w:right w:val="single" w:sz="4" w:space="4" w:color="auto"/>
        </w:pBdr>
        <w:rPr>
          <w:rFonts w:ascii="Arial" w:hAnsi="Arial" w:cs="Arial"/>
          <w:b/>
          <w:bCs/>
          <w:sz w:val="12"/>
        </w:rPr>
      </w:pPr>
    </w:p>
    <w:p w14:paraId="31563E88" w14:textId="77777777" w:rsidR="00693223" w:rsidRPr="00F54387" w:rsidRDefault="00785D2D">
      <w:pPr>
        <w:pBdr>
          <w:top w:val="single" w:sz="4" w:space="1" w:color="auto"/>
          <w:left w:val="single" w:sz="4" w:space="4" w:color="auto"/>
          <w:bottom w:val="single" w:sz="4" w:space="1" w:color="auto"/>
          <w:right w:val="single" w:sz="4" w:space="4" w:color="auto"/>
        </w:pBdr>
        <w:rPr>
          <w:rStyle w:val="Hyperlink"/>
          <w:rFonts w:ascii="Arial" w:hAnsi="Arial" w:cs="Arial"/>
          <w:b/>
          <w:bCs/>
          <w:color w:val="3333FF"/>
          <w:u w:val="none"/>
        </w:rPr>
      </w:pPr>
      <w:r w:rsidRPr="00F54387">
        <w:rPr>
          <w:rFonts w:ascii="Arial" w:hAnsi="Arial" w:cs="Arial"/>
          <w:b/>
          <w:bCs/>
          <w:color w:val="3333FF"/>
        </w:rPr>
        <w:fldChar w:fldCharType="begin"/>
      </w:r>
      <w:r w:rsidRPr="00F54387">
        <w:rPr>
          <w:rFonts w:ascii="Arial" w:hAnsi="Arial" w:cs="Arial"/>
          <w:b/>
          <w:bCs/>
          <w:color w:val="3333FF"/>
        </w:rPr>
        <w:instrText xml:space="preserve"> HYPERLINK  \l "_4.1_The_Child" </w:instrText>
      </w:r>
      <w:r w:rsidRPr="00F54387">
        <w:rPr>
          <w:rFonts w:ascii="Arial" w:hAnsi="Arial" w:cs="Arial"/>
          <w:b/>
          <w:bCs/>
          <w:color w:val="3333FF"/>
        </w:rPr>
      </w:r>
      <w:r w:rsidRPr="00F54387">
        <w:rPr>
          <w:rFonts w:ascii="Arial" w:hAnsi="Arial" w:cs="Arial"/>
          <w:b/>
          <w:bCs/>
          <w:color w:val="3333FF"/>
        </w:rPr>
        <w:fldChar w:fldCharType="separate"/>
      </w:r>
      <w:r w:rsidR="00693223" w:rsidRPr="00F54387">
        <w:rPr>
          <w:rStyle w:val="Hyperlink"/>
          <w:rFonts w:ascii="Arial" w:hAnsi="Arial" w:cs="Arial"/>
          <w:b/>
          <w:bCs/>
          <w:color w:val="3333FF"/>
          <w:u w:val="none"/>
        </w:rPr>
        <w:t>4.1</w:t>
      </w:r>
      <w:r w:rsidR="00693223" w:rsidRPr="00F54387">
        <w:rPr>
          <w:rStyle w:val="Hyperlink"/>
          <w:rFonts w:ascii="Arial" w:hAnsi="Arial" w:cs="Arial"/>
          <w:b/>
          <w:bCs/>
          <w:color w:val="3333FF"/>
          <w:u w:val="none"/>
        </w:rPr>
        <w:tab/>
      </w:r>
      <w:r w:rsidR="00D13996" w:rsidRPr="00F54387">
        <w:rPr>
          <w:rStyle w:val="Hyperlink"/>
          <w:rFonts w:ascii="Arial" w:hAnsi="Arial" w:cs="Arial"/>
          <w:b/>
          <w:bCs/>
          <w:color w:val="3333FF"/>
          <w:u w:val="none"/>
        </w:rPr>
        <w:tab/>
      </w:r>
      <w:r w:rsidR="00940D74" w:rsidRPr="00F54387">
        <w:rPr>
          <w:rStyle w:val="Hyperlink"/>
          <w:rFonts w:ascii="Arial" w:hAnsi="Arial" w:cs="Arial"/>
          <w:b/>
          <w:bCs/>
          <w:color w:val="3333FF"/>
          <w:u w:val="none"/>
        </w:rPr>
        <w:t xml:space="preserve">The </w:t>
      </w:r>
      <w:r w:rsidR="00693223" w:rsidRPr="00F54387">
        <w:rPr>
          <w:rStyle w:val="Hyperlink"/>
          <w:rFonts w:ascii="Arial" w:hAnsi="Arial" w:cs="Arial"/>
          <w:b/>
          <w:bCs/>
          <w:color w:val="3333FF"/>
          <w:u w:val="none"/>
        </w:rPr>
        <w:t xml:space="preserve">Child Protection </w:t>
      </w:r>
      <w:r w:rsidR="00940D74" w:rsidRPr="00F54387">
        <w:rPr>
          <w:rStyle w:val="Hyperlink"/>
          <w:rFonts w:ascii="Arial" w:hAnsi="Arial" w:cs="Arial"/>
          <w:b/>
          <w:bCs/>
          <w:color w:val="3333FF"/>
          <w:u w:val="none"/>
        </w:rPr>
        <w:t>Service</w:t>
      </w:r>
      <w:r w:rsidRPr="00F54387">
        <w:rPr>
          <w:rStyle w:val="Hyperlink"/>
          <w:rFonts w:ascii="Arial" w:hAnsi="Arial" w:cs="Arial"/>
          <w:b/>
          <w:bCs/>
          <w:color w:val="3333FF"/>
          <w:u w:val="none"/>
        </w:rPr>
        <w:t xml:space="preserve"> [‘DFFH’]</w:t>
      </w:r>
    </w:p>
    <w:p w14:paraId="54A9A346" w14:textId="77777777" w:rsidR="00693223" w:rsidRPr="00BE5170" w:rsidRDefault="00785D2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F54387">
        <w:rPr>
          <w:rFonts w:ascii="Arial" w:hAnsi="Arial" w:cs="Arial"/>
          <w:b/>
          <w:bCs/>
          <w:color w:val="3333FF"/>
        </w:rPr>
        <w:fldChar w:fldCharType="end"/>
      </w:r>
      <w:hyperlink w:anchor="_4.1.1_Functions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4.1.1</w:t>
        </w:r>
        <w:r w:rsidR="00693223" w:rsidRPr="00BE5170">
          <w:rPr>
            <w:rStyle w:val="Hyperlink"/>
            <w:rFonts w:ascii="Arial" w:hAnsi="Arial" w:cs="Arial"/>
            <w:b/>
            <w:bCs/>
            <w:sz w:val="20"/>
            <w:u w:val="none"/>
          </w:rPr>
          <w:tab/>
          <w:t>Functions of the Child Protection Service</w:t>
        </w:r>
      </w:hyperlink>
    </w:p>
    <w:p w14:paraId="0AE9934B" w14:textId="77777777" w:rsidR="00A82435" w:rsidRPr="00BE5170" w:rsidRDefault="00A262FE">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2_Duty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82435" w:rsidRPr="00BE5170">
          <w:rPr>
            <w:rStyle w:val="Hyperlink"/>
            <w:rFonts w:ascii="Arial" w:hAnsi="Arial" w:cs="Arial"/>
            <w:b/>
            <w:bCs/>
            <w:sz w:val="20"/>
            <w:u w:val="none"/>
          </w:rPr>
          <w:t>4.1.2</w:t>
        </w:r>
        <w:r w:rsidR="00A82435" w:rsidRPr="00BE5170">
          <w:rPr>
            <w:rStyle w:val="Hyperlink"/>
            <w:rFonts w:ascii="Arial" w:hAnsi="Arial" w:cs="Arial"/>
            <w:b/>
            <w:bCs/>
            <w:sz w:val="20"/>
            <w:u w:val="none"/>
          </w:rPr>
          <w:tab/>
          <w:t>Duty of care of the Child Protection Service</w:t>
        </w:r>
      </w:hyperlink>
    </w:p>
    <w:p w14:paraId="3DC45613" w14:textId="77777777" w:rsidR="00D451AD" w:rsidRPr="00BE5170" w:rsidRDefault="00A262FE">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3_Principles_governing"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4.1.3</w:t>
        </w:r>
        <w:r w:rsidR="00D451AD" w:rsidRPr="00BE5170">
          <w:rPr>
            <w:rStyle w:val="Hyperlink"/>
            <w:rFonts w:ascii="Arial" w:hAnsi="Arial" w:cs="Arial"/>
            <w:b/>
            <w:bCs/>
            <w:sz w:val="20"/>
            <w:u w:val="none"/>
          </w:rPr>
          <w:tab/>
          <w:t>Principles governing decision-making by the Child Protection Service</w:t>
        </w:r>
      </w:hyperlink>
    </w:p>
    <w:p w14:paraId="3026E8BA" w14:textId="77777777" w:rsidR="00693223" w:rsidRPr="00BE5170" w:rsidRDefault="00A262FE">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4_Volunta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w:t>
        </w:r>
        <w:r w:rsidR="00066867" w:rsidRPr="00BE5170">
          <w:rPr>
            <w:rStyle w:val="Hyperlink"/>
            <w:rFonts w:ascii="Arial" w:hAnsi="Arial" w:cs="Arial"/>
            <w:b/>
            <w:bCs/>
            <w:sz w:val="20"/>
            <w:u w:val="none"/>
          </w:rPr>
          <w:t>4</w:t>
        </w:r>
        <w:r w:rsidR="00693223" w:rsidRPr="00BE5170">
          <w:rPr>
            <w:rStyle w:val="Hyperlink"/>
            <w:rFonts w:ascii="Arial" w:hAnsi="Arial" w:cs="Arial"/>
            <w:b/>
            <w:bCs/>
            <w:sz w:val="20"/>
            <w:u w:val="none"/>
          </w:rPr>
          <w:tab/>
          <w:t>Voluntary intervention</w:t>
        </w:r>
      </w:hyperlink>
    </w:p>
    <w:p w14:paraId="5FBAE888" w14:textId="77777777" w:rsidR="00D451AD" w:rsidRPr="00BE5170" w:rsidRDefault="00A262FE">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5_Statuto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4.1.5</w:t>
        </w:r>
        <w:r w:rsidR="00D451AD" w:rsidRPr="00BE5170">
          <w:rPr>
            <w:rStyle w:val="Hyperlink"/>
            <w:rFonts w:ascii="Arial" w:hAnsi="Arial" w:cs="Arial"/>
            <w:b/>
            <w:bCs/>
            <w:sz w:val="20"/>
            <w:u w:val="none"/>
          </w:rPr>
          <w:tab/>
          <w:t>Statutory intervention</w:t>
        </w:r>
      </w:hyperlink>
    </w:p>
    <w:p w14:paraId="207795C1" w14:textId="77777777" w:rsidR="00CF2DFD" w:rsidRPr="00BE5170" w:rsidRDefault="00A262FE" w:rsidP="00CF2DF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6_The_Child" w:history="1">
        <w:r w:rsidR="00CF2DFD" w:rsidRPr="00BE5170">
          <w:rPr>
            <w:rStyle w:val="Hyperlink"/>
            <w:rFonts w:ascii="Arial" w:hAnsi="Arial" w:cs="Arial"/>
            <w:b/>
            <w:bCs/>
            <w:sz w:val="20"/>
            <w:u w:val="none"/>
          </w:rPr>
          <w:tab/>
        </w:r>
        <w:r w:rsidR="00CF2DFD" w:rsidRPr="00BE5170">
          <w:rPr>
            <w:rStyle w:val="Hyperlink"/>
            <w:rFonts w:ascii="Arial" w:hAnsi="Arial" w:cs="Arial"/>
            <w:b/>
            <w:bCs/>
            <w:sz w:val="20"/>
            <w:u w:val="none"/>
          </w:rPr>
          <w:tab/>
          <w:t>4.1.6</w:t>
        </w:r>
        <w:r w:rsidR="00CF2DFD" w:rsidRPr="00BE5170">
          <w:rPr>
            <w:rStyle w:val="Hyperlink"/>
            <w:rFonts w:ascii="Arial" w:hAnsi="Arial" w:cs="Arial"/>
            <w:b/>
            <w:bCs/>
            <w:sz w:val="20"/>
            <w:u w:val="none"/>
          </w:rPr>
          <w:tab/>
          <w:t>The Child Protection Service as a model litigant</w:t>
        </w:r>
      </w:hyperlink>
    </w:p>
    <w:p w14:paraId="26B8D99E" w14:textId="77777777" w:rsidR="00940D74" w:rsidRPr="00BE5170" w:rsidRDefault="00A262FE" w:rsidP="00940D74">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2_Role_of" w:history="1">
        <w:r w:rsidR="00940D74" w:rsidRPr="00BE5170">
          <w:rPr>
            <w:rStyle w:val="Hyperlink"/>
            <w:rFonts w:ascii="Arial" w:hAnsi="Arial" w:cs="Arial"/>
            <w:b/>
            <w:bCs/>
            <w:u w:val="none"/>
          </w:rPr>
          <w:t>4.2</w:t>
        </w:r>
        <w:r w:rsidR="00940D74" w:rsidRPr="00BE5170">
          <w:rPr>
            <w:rStyle w:val="Hyperlink"/>
            <w:rFonts w:ascii="Arial" w:hAnsi="Arial" w:cs="Arial"/>
            <w:b/>
            <w:bCs/>
            <w:u w:val="none"/>
          </w:rPr>
          <w:tab/>
        </w:r>
        <w:r w:rsidR="00940D74" w:rsidRPr="00BE5170">
          <w:rPr>
            <w:rStyle w:val="Hyperlink"/>
            <w:rFonts w:ascii="Arial" w:hAnsi="Arial" w:cs="Arial"/>
            <w:b/>
            <w:bCs/>
            <w:u w:val="none"/>
          </w:rPr>
          <w:tab/>
          <w:t>Role of the Children’s Court in Child Protection in Victoria</w:t>
        </w:r>
      </w:hyperlink>
    </w:p>
    <w:p w14:paraId="1C814756" w14:textId="77777777" w:rsidR="00693223" w:rsidRPr="00BE5170" w:rsidRDefault="00A262FE" w:rsidP="00D13996">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3_Jurisdiction_of" w:history="1">
        <w:r w:rsidR="00693223" w:rsidRPr="00BE5170">
          <w:rPr>
            <w:rStyle w:val="Hyperlink"/>
            <w:rFonts w:ascii="Arial" w:hAnsi="Arial" w:cs="Arial"/>
            <w:b/>
            <w:bCs/>
            <w:u w:val="none"/>
          </w:rPr>
          <w:t>4.</w:t>
        </w:r>
        <w:r w:rsidR="00940D74" w:rsidRPr="00BE5170">
          <w:rPr>
            <w:rStyle w:val="Hyperlink"/>
            <w:rFonts w:ascii="Arial" w:hAnsi="Arial" w:cs="Arial"/>
            <w:b/>
            <w:bCs/>
            <w:u w:val="none"/>
          </w:rPr>
          <w:t>3</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Jurisdiction of Family Division</w:t>
        </w:r>
      </w:hyperlink>
    </w:p>
    <w:p w14:paraId="269A65EA" w14:textId="77777777" w:rsidR="00693223" w:rsidRPr="00BE5170" w:rsidRDefault="00A262FE"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3.1_Jurisdiction_under"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.1</w:t>
        </w:r>
        <w:r w:rsidR="00693223" w:rsidRPr="00BE5170">
          <w:rPr>
            <w:rStyle w:val="Hyperlink"/>
            <w:rFonts w:ascii="Arial" w:hAnsi="Arial" w:cs="Arial"/>
            <w:b/>
            <w:bCs/>
            <w:sz w:val="20"/>
            <w:u w:val="none"/>
          </w:rPr>
          <w:tab/>
          <w:t>Jurisdiction under the CY</w:t>
        </w:r>
        <w:r w:rsidR="00497924" w:rsidRPr="00BE5170">
          <w:rPr>
            <w:rStyle w:val="Hyperlink"/>
            <w:rFonts w:ascii="Arial" w:hAnsi="Arial" w:cs="Arial"/>
            <w:b/>
            <w:bCs/>
            <w:sz w:val="20"/>
            <w:u w:val="none"/>
          </w:rPr>
          <w:t>F</w:t>
        </w:r>
        <w:r w:rsidR="00693223" w:rsidRPr="00BE5170">
          <w:rPr>
            <w:rStyle w:val="Hyperlink"/>
            <w:rFonts w:ascii="Arial" w:hAnsi="Arial" w:cs="Arial"/>
            <w:b/>
            <w:bCs/>
            <w:sz w:val="20"/>
            <w:u w:val="none"/>
          </w:rPr>
          <w:t>A</w:t>
        </w:r>
      </w:hyperlink>
    </w:p>
    <w:p w14:paraId="0C449A47" w14:textId="77777777" w:rsidR="00693223" w:rsidRPr="00BE5170" w:rsidRDefault="00A262FE">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2_Whether_jurisdiction"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.2</w:t>
        </w:r>
        <w:r w:rsidR="00693223" w:rsidRPr="00BE5170">
          <w:rPr>
            <w:rStyle w:val="Hyperlink"/>
            <w:rFonts w:ascii="Arial" w:hAnsi="Arial" w:cs="Arial"/>
            <w:b/>
            <w:bCs/>
            <w:sz w:val="20"/>
            <w:u w:val="none"/>
          </w:rPr>
          <w:tab/>
        </w:r>
        <w:r w:rsidR="008708AB">
          <w:rPr>
            <w:rStyle w:val="Hyperlink"/>
            <w:rFonts w:ascii="Arial" w:hAnsi="Arial" w:cs="Arial"/>
            <w:b/>
            <w:bCs/>
            <w:sz w:val="20"/>
            <w:u w:val="none"/>
          </w:rPr>
          <w:t>J</w:t>
        </w:r>
        <w:r w:rsidR="00693223" w:rsidRPr="00BE5170">
          <w:rPr>
            <w:rStyle w:val="Hyperlink"/>
            <w:rFonts w:ascii="Arial" w:hAnsi="Arial" w:cs="Arial"/>
            <w:b/>
            <w:bCs/>
            <w:sz w:val="20"/>
            <w:u w:val="none"/>
          </w:rPr>
          <w:t>urisdiction u</w:t>
        </w:r>
        <w:r w:rsidR="00693223" w:rsidRPr="00BE5170">
          <w:rPr>
            <w:rStyle w:val="Hyperlink"/>
            <w:rFonts w:ascii="Arial" w:hAnsi="Arial" w:cs="Arial"/>
            <w:b/>
            <w:bCs/>
            <w:sz w:val="20"/>
            <w:u w:val="none"/>
          </w:rPr>
          <w:t>n</w:t>
        </w:r>
        <w:r w:rsidR="00693223" w:rsidRPr="00BE5170">
          <w:rPr>
            <w:rStyle w:val="Hyperlink"/>
            <w:rFonts w:ascii="Arial" w:hAnsi="Arial" w:cs="Arial"/>
            <w:b/>
            <w:bCs/>
            <w:sz w:val="20"/>
            <w:u w:val="none"/>
          </w:rPr>
          <w:t>der the Family Law Act 1975 (</w:t>
        </w:r>
        <w:proofErr w:type="spellStart"/>
        <w:r w:rsidR="00693223" w:rsidRPr="00BE5170">
          <w:rPr>
            <w:rStyle w:val="Hyperlink"/>
            <w:rFonts w:ascii="Arial" w:hAnsi="Arial" w:cs="Arial"/>
            <w:b/>
            <w:bCs/>
            <w:sz w:val="20"/>
            <w:u w:val="none"/>
          </w:rPr>
          <w:t>Cth</w:t>
        </w:r>
        <w:proofErr w:type="spellEnd"/>
        <w:r w:rsidR="00693223" w:rsidRPr="00BE5170">
          <w:rPr>
            <w:rStyle w:val="Hyperlink"/>
            <w:rFonts w:ascii="Arial" w:hAnsi="Arial" w:cs="Arial"/>
            <w:b/>
            <w:bCs/>
            <w:sz w:val="20"/>
            <w:u w:val="none"/>
          </w:rPr>
          <w:t>) [as amended]</w:t>
        </w:r>
      </w:hyperlink>
    </w:p>
    <w:p w14:paraId="3EDF4838" w14:textId="77777777" w:rsidR="00693223" w:rsidRPr="00BE5170" w:rsidRDefault="00A262FE">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4_Definitions_of" w:history="1">
        <w:r w:rsidR="00693223" w:rsidRPr="00BE5170">
          <w:rPr>
            <w:rStyle w:val="Hyperlink"/>
            <w:rFonts w:ascii="Arial" w:hAnsi="Arial" w:cs="Arial"/>
            <w:b/>
            <w:bCs/>
            <w:u w:val="none"/>
          </w:rPr>
          <w:t>4.4</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Definition</w:t>
        </w:r>
        <w:r w:rsidR="002B604A" w:rsidRPr="00BE5170">
          <w:rPr>
            <w:rStyle w:val="Hyperlink"/>
            <w:rFonts w:ascii="Arial" w:hAnsi="Arial" w:cs="Arial"/>
            <w:b/>
            <w:bCs/>
            <w:u w:val="none"/>
          </w:rPr>
          <w:t>s</w:t>
        </w:r>
        <w:r w:rsidR="00693223" w:rsidRPr="00BE5170">
          <w:rPr>
            <w:rStyle w:val="Hyperlink"/>
            <w:rFonts w:ascii="Arial" w:hAnsi="Arial" w:cs="Arial"/>
            <w:b/>
            <w:bCs/>
            <w:u w:val="none"/>
          </w:rPr>
          <w:t xml:space="preserve"> of </w:t>
        </w:r>
        <w:r w:rsidR="002B604A" w:rsidRPr="00BE5170">
          <w:rPr>
            <w:rStyle w:val="Hyperlink"/>
            <w:rFonts w:ascii="Arial" w:hAnsi="Arial" w:cs="Arial"/>
            <w:b/>
            <w:bCs/>
            <w:u w:val="none"/>
          </w:rPr>
          <w:t xml:space="preserve">‘child’ &amp; </w:t>
        </w:r>
        <w:r w:rsidR="00693223" w:rsidRPr="00BE5170">
          <w:rPr>
            <w:rStyle w:val="Hyperlink"/>
            <w:rFonts w:ascii="Arial" w:hAnsi="Arial" w:cs="Arial"/>
            <w:b/>
            <w:bCs/>
            <w:u w:val="none"/>
          </w:rPr>
          <w:t>'parent'</w:t>
        </w:r>
      </w:hyperlink>
    </w:p>
    <w:p w14:paraId="16E26F8D" w14:textId="77777777" w:rsidR="00693223" w:rsidRPr="00BE5170" w:rsidRDefault="00A262FE">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5_Parental_responsibility" w:history="1">
        <w:r w:rsidR="00693223" w:rsidRPr="00BE5170">
          <w:rPr>
            <w:rStyle w:val="Hyperlink"/>
            <w:rFonts w:ascii="Arial" w:hAnsi="Arial" w:cs="Arial"/>
            <w:b/>
            <w:bCs/>
            <w:u w:val="none"/>
          </w:rPr>
          <w:t>4.5</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C31E36" w:rsidRPr="00BE5170">
          <w:rPr>
            <w:rStyle w:val="Hyperlink"/>
            <w:rFonts w:ascii="Arial" w:hAnsi="Arial" w:cs="Arial"/>
            <w:b/>
            <w:bCs/>
            <w:u w:val="none"/>
          </w:rPr>
          <w:t>Parental responsibility</w:t>
        </w:r>
        <w:r w:rsidR="00693223" w:rsidRPr="00BE5170">
          <w:rPr>
            <w:rStyle w:val="Hyperlink"/>
            <w:rFonts w:ascii="Arial" w:hAnsi="Arial" w:cs="Arial"/>
            <w:b/>
            <w:bCs/>
            <w:u w:val="none"/>
          </w:rPr>
          <w:t xml:space="preserve"> &amp; </w:t>
        </w:r>
        <w:r w:rsidR="00CF6AAD" w:rsidRPr="00BE5170">
          <w:rPr>
            <w:rStyle w:val="Hyperlink"/>
            <w:rFonts w:ascii="Arial" w:hAnsi="Arial" w:cs="Arial"/>
            <w:b/>
            <w:bCs/>
            <w:u w:val="none"/>
          </w:rPr>
          <w:t>contact</w:t>
        </w:r>
      </w:hyperlink>
    </w:p>
    <w:p w14:paraId="07DE3A96" w14:textId="77777777" w:rsidR="00693223" w:rsidRPr="00BE5170" w:rsidRDefault="00A262FE" w:rsidP="00787E9B">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4.5.1_Parental_responsibilit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4.5.1</w:t>
        </w:r>
        <w:r w:rsidR="00693223" w:rsidRPr="00BE5170">
          <w:rPr>
            <w:rStyle w:val="Hyperlink"/>
            <w:rFonts w:ascii="Arial" w:hAnsi="Arial" w:cs="Arial"/>
            <w:b/>
            <w:bCs/>
            <w:sz w:val="20"/>
            <w:u w:val="none"/>
          </w:rPr>
          <w:tab/>
        </w:r>
        <w:r w:rsidR="00787E9B" w:rsidRPr="00BE5170">
          <w:rPr>
            <w:rStyle w:val="Hyperlink"/>
            <w:rFonts w:ascii="Arial" w:hAnsi="Arial" w:cs="Arial"/>
            <w:b/>
            <w:bCs/>
            <w:sz w:val="20"/>
            <w:u w:val="none"/>
          </w:rPr>
          <w:t>Parental responsibility – Major long-term issue</w:t>
        </w:r>
      </w:hyperlink>
    </w:p>
    <w:p w14:paraId="737A2F1B" w14:textId="77777777" w:rsidR="00787E9B" w:rsidRPr="00BE5170" w:rsidRDefault="00A262FE" w:rsidP="00787E9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2_Where_carer" w:history="1">
        <w:r w:rsidR="00787E9B" w:rsidRPr="00BE5170">
          <w:rPr>
            <w:rStyle w:val="Hyperlink"/>
            <w:rFonts w:ascii="Arial" w:hAnsi="Arial" w:cs="Arial"/>
            <w:b/>
            <w:bCs/>
            <w:sz w:val="20"/>
            <w:u w:val="none"/>
          </w:rPr>
          <w:tab/>
        </w:r>
        <w:r w:rsidR="00787E9B" w:rsidRPr="00BE5170">
          <w:rPr>
            <w:rStyle w:val="Hyperlink"/>
            <w:rFonts w:ascii="Arial" w:hAnsi="Arial" w:cs="Arial"/>
            <w:b/>
            <w:bCs/>
            <w:sz w:val="20"/>
            <w:u w:val="none"/>
          </w:rPr>
          <w:tab/>
          <w:t>4.5.2</w:t>
        </w:r>
        <w:r w:rsidR="00787E9B" w:rsidRPr="00BE5170">
          <w:rPr>
            <w:rStyle w:val="Hyperlink"/>
            <w:rFonts w:ascii="Arial" w:hAnsi="Arial" w:cs="Arial"/>
            <w:b/>
            <w:bCs/>
            <w:sz w:val="20"/>
            <w:u w:val="none"/>
          </w:rPr>
          <w:tab/>
          <w:t>Where carer may exercise parental responsibility</w:t>
        </w:r>
      </w:hyperlink>
    </w:p>
    <w:p w14:paraId="316E1BDD" w14:textId="77777777" w:rsidR="00693223" w:rsidRPr="00BE5170" w:rsidRDefault="00A262F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3_Contact"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4.5.3</w:t>
        </w:r>
        <w:r w:rsidR="00693223"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hyperlink>
    </w:p>
    <w:p w14:paraId="682FCD44" w14:textId="77777777" w:rsidR="00693223" w:rsidRPr="00BE5170" w:rsidRDefault="00A262F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4_Terms_used"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4.5.4</w:t>
        </w:r>
        <w:r w:rsidR="00693223" w:rsidRPr="00BE5170">
          <w:rPr>
            <w:rStyle w:val="Hyperlink"/>
            <w:rFonts w:ascii="Arial" w:hAnsi="Arial" w:cs="Arial"/>
            <w:b/>
            <w:bCs/>
            <w:sz w:val="20"/>
            <w:u w:val="none"/>
          </w:rPr>
          <w:tab/>
          <w:t>Terms used in the Family Law Act</w:t>
        </w:r>
      </w:hyperlink>
    </w:p>
    <w:p w14:paraId="0CE29DB2" w14:textId="77777777" w:rsidR="00693223" w:rsidRPr="00BE5170" w:rsidRDefault="00A262FE">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6_Protective_intervention" w:history="1">
        <w:r w:rsidR="00693223" w:rsidRPr="00BE5170">
          <w:rPr>
            <w:rStyle w:val="Hyperlink"/>
            <w:rFonts w:ascii="Arial" w:hAnsi="Arial" w:cs="Arial"/>
            <w:b/>
            <w:bCs/>
            <w:u w:val="none"/>
          </w:rPr>
          <w:t>4.6</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D66DC3" w:rsidRPr="00BE5170">
          <w:rPr>
            <w:rStyle w:val="Hyperlink"/>
            <w:rFonts w:ascii="Arial" w:hAnsi="Arial" w:cs="Arial"/>
            <w:b/>
            <w:bCs/>
            <w:u w:val="none"/>
          </w:rPr>
          <w:t>P</w:t>
        </w:r>
        <w:r w:rsidR="007A7B63" w:rsidRPr="00BE5170">
          <w:rPr>
            <w:rStyle w:val="Hyperlink"/>
            <w:rFonts w:ascii="Arial" w:hAnsi="Arial" w:cs="Arial"/>
            <w:b/>
            <w:bCs/>
            <w:u w:val="none"/>
          </w:rPr>
          <w:t>rotective interven</w:t>
        </w:r>
        <w:r w:rsidR="00D66DC3" w:rsidRPr="00BE5170">
          <w:rPr>
            <w:rStyle w:val="Hyperlink"/>
            <w:rFonts w:ascii="Arial" w:hAnsi="Arial" w:cs="Arial"/>
            <w:b/>
            <w:bCs/>
            <w:u w:val="none"/>
          </w:rPr>
          <w:t>tion report</w:t>
        </w:r>
        <w:r w:rsidR="007A7B63" w:rsidRPr="00BE5170">
          <w:rPr>
            <w:rStyle w:val="Hyperlink"/>
            <w:rFonts w:ascii="Arial" w:hAnsi="Arial" w:cs="Arial"/>
            <w:b/>
            <w:bCs/>
            <w:u w:val="none"/>
          </w:rPr>
          <w:t xml:space="preserve">s [previously termed </w:t>
        </w:r>
        <w:r w:rsidR="00272B88" w:rsidRPr="00BE5170">
          <w:rPr>
            <w:rStyle w:val="Hyperlink"/>
            <w:rFonts w:ascii="Arial" w:hAnsi="Arial" w:cs="Arial"/>
            <w:b/>
            <w:bCs/>
            <w:u w:val="none"/>
          </w:rPr>
          <w:t>“</w:t>
        </w:r>
        <w:r w:rsidR="00693223" w:rsidRPr="00BE5170">
          <w:rPr>
            <w:rStyle w:val="Hyperlink"/>
            <w:rFonts w:ascii="Arial" w:hAnsi="Arial" w:cs="Arial"/>
            <w:b/>
            <w:bCs/>
            <w:u w:val="none"/>
          </w:rPr>
          <w:t>Notifications</w:t>
        </w:r>
        <w:r w:rsidR="00272B88" w:rsidRPr="00BE5170">
          <w:rPr>
            <w:rStyle w:val="Hyperlink"/>
            <w:rFonts w:ascii="Arial" w:hAnsi="Arial" w:cs="Arial"/>
            <w:b/>
            <w:bCs/>
            <w:u w:val="none"/>
          </w:rPr>
          <w:t>”</w:t>
        </w:r>
        <w:r w:rsidR="007A7B63" w:rsidRPr="00BE5170">
          <w:rPr>
            <w:rStyle w:val="Hyperlink"/>
            <w:rFonts w:ascii="Arial" w:hAnsi="Arial" w:cs="Arial"/>
            <w:b/>
            <w:bCs/>
            <w:u w:val="none"/>
          </w:rPr>
          <w:t>]</w:t>
        </w:r>
      </w:hyperlink>
    </w:p>
    <w:p w14:paraId="6CC87008" w14:textId="77777777" w:rsidR="00C64706" w:rsidRPr="00BE5170" w:rsidRDefault="00A262FE" w:rsidP="00F6672C">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4.6.1_Anonymity_of"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4.6.1</w:t>
        </w:r>
        <w:r w:rsidR="00C64706" w:rsidRPr="00BE5170">
          <w:rPr>
            <w:rStyle w:val="Hyperlink"/>
            <w:rFonts w:ascii="Arial" w:hAnsi="Arial" w:cs="Arial"/>
            <w:b/>
            <w:bCs/>
            <w:sz w:val="20"/>
            <w:u w:val="none"/>
          </w:rPr>
          <w:tab/>
          <w:t>Anonymity of protective intervention reporter [notifier]</w:t>
        </w:r>
      </w:hyperlink>
    </w:p>
    <w:p w14:paraId="607ECFDA" w14:textId="77777777" w:rsidR="00C64706" w:rsidRPr="00BE5170" w:rsidRDefault="00A262FE"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2_Mandatory_protective"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4.6.2</w:t>
        </w:r>
        <w:r w:rsidR="00C64706" w:rsidRPr="00BE5170">
          <w:rPr>
            <w:rStyle w:val="Hyperlink"/>
            <w:rFonts w:ascii="Arial" w:hAnsi="Arial" w:cs="Arial"/>
            <w:b/>
            <w:bCs/>
            <w:sz w:val="20"/>
            <w:u w:val="none"/>
          </w:rPr>
          <w:tab/>
          <w:t>Mandatory protective intervention report</w:t>
        </w:r>
      </w:hyperlink>
    </w:p>
    <w:p w14:paraId="7BF8BC3A" w14:textId="77777777" w:rsidR="00693223" w:rsidRPr="00BE5170" w:rsidRDefault="00A262FE"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3_Child_protec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4.6.</w:t>
        </w:r>
        <w:r w:rsidR="00C6470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8D3A55" w:rsidRPr="00BE5170">
          <w:rPr>
            <w:rStyle w:val="Hyperlink"/>
            <w:rFonts w:ascii="Arial" w:hAnsi="Arial" w:cs="Arial"/>
            <w:b/>
            <w:bCs/>
            <w:sz w:val="20"/>
            <w:u w:val="none"/>
          </w:rPr>
          <w:t>Child protection reports by report source – 1999-2000 &amp; 200</w:t>
        </w:r>
        <w:r w:rsidR="008B3B03" w:rsidRPr="00BE5170">
          <w:rPr>
            <w:rStyle w:val="Hyperlink"/>
            <w:rFonts w:ascii="Arial" w:hAnsi="Arial" w:cs="Arial"/>
            <w:b/>
            <w:bCs/>
            <w:sz w:val="20"/>
            <w:u w:val="none"/>
          </w:rPr>
          <w:t>7</w:t>
        </w:r>
        <w:r w:rsidR="008D3A55" w:rsidRPr="00BE5170">
          <w:rPr>
            <w:rStyle w:val="Hyperlink"/>
            <w:rFonts w:ascii="Arial" w:hAnsi="Arial" w:cs="Arial"/>
            <w:b/>
            <w:bCs/>
            <w:sz w:val="20"/>
            <w:u w:val="none"/>
          </w:rPr>
          <w:t>-2010</w:t>
        </w:r>
      </w:hyperlink>
    </w:p>
    <w:p w14:paraId="1059FBB4" w14:textId="77777777" w:rsidR="00693223" w:rsidRPr="00BE5170" w:rsidRDefault="00A262F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4_Trends_i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4.6.</w:t>
        </w:r>
        <w:r w:rsidR="00C64706" w:rsidRPr="00BE5170">
          <w:rPr>
            <w:rStyle w:val="Hyperlink"/>
            <w:rFonts w:ascii="Arial" w:hAnsi="Arial" w:cs="Arial"/>
            <w:b/>
            <w:bCs/>
            <w:sz w:val="20"/>
            <w:u w:val="none"/>
          </w:rPr>
          <w:t>4</w:t>
        </w:r>
        <w:r w:rsidR="00693223" w:rsidRPr="00BE5170">
          <w:rPr>
            <w:rStyle w:val="Hyperlink"/>
            <w:rFonts w:ascii="Arial" w:hAnsi="Arial" w:cs="Arial"/>
            <w:b/>
            <w:bCs/>
            <w:sz w:val="20"/>
            <w:u w:val="none"/>
          </w:rPr>
          <w:tab/>
          <w:t xml:space="preserve">Trends in </w:t>
        </w:r>
        <w:r w:rsidR="008D3A55" w:rsidRPr="00BE5170">
          <w:rPr>
            <w:rStyle w:val="Hyperlink"/>
            <w:rFonts w:ascii="Arial" w:hAnsi="Arial" w:cs="Arial"/>
            <w:b/>
            <w:bCs/>
            <w:sz w:val="20"/>
            <w:u w:val="none"/>
          </w:rPr>
          <w:t xml:space="preserve">child protection </w:t>
        </w:r>
        <w:r w:rsidR="00A23E26" w:rsidRPr="00BE5170">
          <w:rPr>
            <w:rStyle w:val="Hyperlink"/>
            <w:rFonts w:ascii="Arial" w:hAnsi="Arial" w:cs="Arial"/>
            <w:b/>
            <w:bCs/>
            <w:sz w:val="20"/>
            <w:u w:val="none"/>
          </w:rPr>
          <w:t>reports</w:t>
        </w:r>
        <w:r w:rsidR="00693223" w:rsidRPr="00BE5170">
          <w:rPr>
            <w:rStyle w:val="Hyperlink"/>
            <w:rFonts w:ascii="Arial" w:hAnsi="Arial" w:cs="Arial"/>
            <w:b/>
            <w:bCs/>
            <w:sz w:val="20"/>
            <w:u w:val="none"/>
          </w:rPr>
          <w:t xml:space="preserve"> 1989</w:t>
        </w:r>
        <w:r w:rsidR="00E732EA" w:rsidRPr="00BE5170">
          <w:rPr>
            <w:rStyle w:val="Hyperlink"/>
            <w:rFonts w:ascii="Arial" w:hAnsi="Arial" w:cs="Arial"/>
            <w:b/>
            <w:bCs/>
            <w:sz w:val="20"/>
            <w:u w:val="none"/>
          </w:rPr>
          <w:t>-1990</w:t>
        </w:r>
        <w:r w:rsidR="00693223" w:rsidRPr="00BE5170">
          <w:rPr>
            <w:rStyle w:val="Hyperlink"/>
            <w:rFonts w:ascii="Arial" w:hAnsi="Arial" w:cs="Arial"/>
            <w:b/>
            <w:bCs/>
            <w:sz w:val="20"/>
            <w:u w:val="none"/>
          </w:rPr>
          <w:t xml:space="preserve"> to </w:t>
        </w:r>
        <w:r w:rsidR="00240B5E" w:rsidRPr="00BE5170">
          <w:rPr>
            <w:rStyle w:val="Hyperlink"/>
            <w:rFonts w:ascii="Arial" w:hAnsi="Arial" w:cs="Arial"/>
            <w:b/>
            <w:bCs/>
            <w:sz w:val="20"/>
            <w:u w:val="none"/>
          </w:rPr>
          <w:t>201</w:t>
        </w:r>
        <w:r w:rsidR="00A309B2" w:rsidRPr="00BE5170">
          <w:rPr>
            <w:rStyle w:val="Hyperlink"/>
            <w:rFonts w:ascii="Arial" w:hAnsi="Arial" w:cs="Arial"/>
            <w:b/>
            <w:bCs/>
            <w:sz w:val="20"/>
            <w:u w:val="none"/>
          </w:rPr>
          <w:t>2</w:t>
        </w:r>
        <w:r w:rsidR="00240B5E" w:rsidRPr="00BE5170">
          <w:rPr>
            <w:rStyle w:val="Hyperlink"/>
            <w:rFonts w:ascii="Arial" w:hAnsi="Arial" w:cs="Arial"/>
            <w:b/>
            <w:bCs/>
            <w:sz w:val="20"/>
            <w:u w:val="none"/>
          </w:rPr>
          <w:t>-201</w:t>
        </w:r>
        <w:r w:rsidR="00A309B2" w:rsidRPr="00BE5170">
          <w:rPr>
            <w:rStyle w:val="Hyperlink"/>
            <w:rFonts w:ascii="Arial" w:hAnsi="Arial" w:cs="Arial"/>
            <w:b/>
            <w:bCs/>
            <w:sz w:val="20"/>
            <w:u w:val="none"/>
          </w:rPr>
          <w:t>3</w:t>
        </w:r>
      </w:hyperlink>
    </w:p>
    <w:p w14:paraId="6719DAF7" w14:textId="77777777" w:rsidR="009855F0" w:rsidRPr="00BE5170" w:rsidRDefault="00A262F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5_Australian_rate" w:history="1">
        <w:r w:rsidR="00D451AD" w:rsidRPr="00BE5170">
          <w:rPr>
            <w:rStyle w:val="Hyperlink"/>
            <w:rFonts w:ascii="Arial" w:hAnsi="Arial" w:cs="Arial"/>
            <w:b/>
            <w:bCs/>
            <w:sz w:val="20"/>
            <w:u w:val="none"/>
          </w:rPr>
          <w:tab/>
        </w:r>
        <w:r w:rsidR="009855F0" w:rsidRPr="00BE5170">
          <w:rPr>
            <w:rStyle w:val="Hyperlink"/>
            <w:rFonts w:ascii="Arial" w:hAnsi="Arial" w:cs="Arial"/>
            <w:b/>
            <w:bCs/>
            <w:sz w:val="20"/>
            <w:u w:val="none"/>
          </w:rPr>
          <w:tab/>
          <w:t>4.6.</w:t>
        </w:r>
        <w:r w:rsidR="00C64706" w:rsidRPr="00BE5170">
          <w:rPr>
            <w:rStyle w:val="Hyperlink"/>
            <w:rFonts w:ascii="Arial" w:hAnsi="Arial" w:cs="Arial"/>
            <w:b/>
            <w:bCs/>
            <w:sz w:val="20"/>
            <w:u w:val="none"/>
          </w:rPr>
          <w:t>5</w:t>
        </w:r>
        <w:r w:rsidR="009855F0" w:rsidRPr="00BE5170">
          <w:rPr>
            <w:rStyle w:val="Hyperlink"/>
            <w:rFonts w:ascii="Arial" w:hAnsi="Arial" w:cs="Arial"/>
            <w:b/>
            <w:bCs/>
            <w:sz w:val="20"/>
            <w:u w:val="none"/>
          </w:rPr>
          <w:tab/>
          <w:t>Australian rate of reports of alleged child abuse</w:t>
        </w:r>
      </w:hyperlink>
    </w:p>
    <w:p w14:paraId="65F226DF" w14:textId="77777777" w:rsidR="00693223" w:rsidRPr="00BE5170" w:rsidRDefault="00A262FE">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7_Representation_of" w:history="1">
        <w:r w:rsidR="00693223" w:rsidRPr="00BE5170">
          <w:rPr>
            <w:rStyle w:val="Hyperlink"/>
            <w:rFonts w:ascii="Arial" w:hAnsi="Arial" w:cs="Arial"/>
            <w:b/>
            <w:bCs/>
            <w:u w:val="none"/>
          </w:rPr>
          <w:t>4.7</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Representation of children in the Family Division of the Court</w:t>
        </w:r>
      </w:hyperlink>
    </w:p>
    <w:p w14:paraId="15CA1D7E" w14:textId="77777777" w:rsidR="00C70722" w:rsidRPr="00BE5170" w:rsidRDefault="00A262FE"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7.1_Obligation_to" w:history="1">
        <w:r w:rsidR="00C70722" w:rsidRPr="00BE5170">
          <w:rPr>
            <w:rStyle w:val="Hyperlink"/>
            <w:rFonts w:ascii="Arial" w:hAnsi="Arial" w:cs="Arial"/>
            <w:b/>
            <w:bCs/>
            <w:sz w:val="20"/>
            <w:u w:val="none"/>
          </w:rPr>
          <w:tab/>
        </w:r>
        <w:r w:rsidR="00C70722" w:rsidRPr="00BE5170">
          <w:rPr>
            <w:rStyle w:val="Hyperlink"/>
            <w:rFonts w:ascii="Arial" w:hAnsi="Arial" w:cs="Arial"/>
            <w:b/>
            <w:bCs/>
            <w:sz w:val="20"/>
            <w:u w:val="none"/>
          </w:rPr>
          <w:tab/>
          <w:t>4.7.1</w:t>
        </w:r>
        <w:r w:rsidR="00C70722" w:rsidRPr="00BE5170">
          <w:rPr>
            <w:rStyle w:val="Hyperlink"/>
            <w:rFonts w:ascii="Arial" w:hAnsi="Arial" w:cs="Arial"/>
            <w:b/>
            <w:bCs/>
            <w:sz w:val="20"/>
            <w:u w:val="none"/>
          </w:rPr>
          <w:tab/>
          <w:t>Obligation to afford child a fair hearing</w:t>
        </w:r>
      </w:hyperlink>
    </w:p>
    <w:p w14:paraId="05DA3482" w14:textId="77777777" w:rsidR="00FB23AB" w:rsidRPr="00BE5170" w:rsidRDefault="00A262FE" w:rsidP="00FB23A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2_Models_of" w:history="1">
        <w:r w:rsidR="00FB23AB" w:rsidRPr="00BE5170">
          <w:rPr>
            <w:rStyle w:val="Hyperlink"/>
            <w:rFonts w:ascii="Arial" w:hAnsi="Arial" w:cs="Arial"/>
            <w:b/>
            <w:bCs/>
            <w:sz w:val="20"/>
            <w:u w:val="none"/>
          </w:rPr>
          <w:tab/>
        </w:r>
        <w:r w:rsidR="00FB23AB" w:rsidRPr="00BE5170">
          <w:rPr>
            <w:rStyle w:val="Hyperlink"/>
            <w:rFonts w:ascii="Arial" w:hAnsi="Arial" w:cs="Arial"/>
            <w:b/>
            <w:bCs/>
            <w:sz w:val="20"/>
            <w:u w:val="none"/>
          </w:rPr>
          <w:tab/>
          <w:t>4.7.2</w:t>
        </w:r>
        <w:r w:rsidR="00FB23AB" w:rsidRPr="00BE5170">
          <w:rPr>
            <w:rStyle w:val="Hyperlink"/>
            <w:rFonts w:ascii="Arial" w:hAnsi="Arial" w:cs="Arial"/>
            <w:b/>
            <w:bCs/>
            <w:sz w:val="20"/>
            <w:u w:val="none"/>
          </w:rPr>
          <w:tab/>
          <w:t>Models of child representation</w:t>
        </w:r>
      </w:hyperlink>
    </w:p>
    <w:p w14:paraId="1F1D0884" w14:textId="77777777" w:rsidR="00693223" w:rsidRPr="00BE5170" w:rsidRDefault="00A262FE" w:rsidP="00C7072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3_Child_usuall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3</w:t>
        </w:r>
        <w:r w:rsidR="00693223" w:rsidRPr="00BE5170">
          <w:rPr>
            <w:rStyle w:val="Hyperlink"/>
            <w:rFonts w:ascii="Arial" w:hAnsi="Arial" w:cs="Arial"/>
            <w:b/>
            <w:bCs/>
            <w:sz w:val="20"/>
            <w:u w:val="none"/>
          </w:rPr>
          <w:tab/>
          <w:t xml:space="preserve">Child usually represented if </w:t>
        </w:r>
        <w:r w:rsidR="003E2B31" w:rsidRPr="00BE5170">
          <w:rPr>
            <w:rStyle w:val="Hyperlink"/>
            <w:rFonts w:ascii="Arial" w:hAnsi="Arial" w:cs="Arial"/>
            <w:b/>
            <w:bCs/>
            <w:sz w:val="20"/>
            <w:u w:val="none"/>
          </w:rPr>
          <w:t>aged 10 years or more</w:t>
        </w:r>
      </w:hyperlink>
    </w:p>
    <w:p w14:paraId="37DC66A7" w14:textId="77777777" w:rsidR="00693223" w:rsidRPr="00BE5170" w:rsidRDefault="00A262F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4_Representation_of"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4</w:t>
        </w:r>
        <w:r w:rsidR="00693223" w:rsidRPr="00BE5170">
          <w:rPr>
            <w:rStyle w:val="Hyperlink"/>
            <w:rFonts w:ascii="Arial" w:hAnsi="Arial" w:cs="Arial"/>
            <w:b/>
            <w:bCs/>
            <w:sz w:val="20"/>
            <w:u w:val="none"/>
          </w:rPr>
          <w:tab/>
        </w:r>
        <w:proofErr w:type="spellStart"/>
        <w:r w:rsidR="0063057F" w:rsidRPr="00BE5170">
          <w:rPr>
            <w:rStyle w:val="Hyperlink"/>
            <w:rFonts w:ascii="Arial" w:hAnsi="Arial" w:cs="Arial"/>
            <w:b/>
            <w:bCs/>
            <w:sz w:val="20"/>
            <w:u w:val="none"/>
          </w:rPr>
          <w:t>Represent’n</w:t>
        </w:r>
        <w:proofErr w:type="spellEnd"/>
        <w:r w:rsidR="0063057F" w:rsidRPr="00BE5170">
          <w:rPr>
            <w:rStyle w:val="Hyperlink"/>
            <w:rFonts w:ascii="Arial" w:hAnsi="Arial" w:cs="Arial"/>
            <w:b/>
            <w:bCs/>
            <w:sz w:val="20"/>
            <w:u w:val="none"/>
          </w:rPr>
          <w:t xml:space="preserve"> of </w:t>
        </w:r>
        <w:r w:rsidR="001D3F93" w:rsidRPr="00BE5170">
          <w:rPr>
            <w:rStyle w:val="Hyperlink"/>
            <w:rFonts w:ascii="Arial" w:hAnsi="Arial" w:cs="Arial"/>
            <w:b/>
            <w:bCs/>
            <w:sz w:val="20"/>
            <w:u w:val="none"/>
          </w:rPr>
          <w:t xml:space="preserve">child </w:t>
        </w:r>
        <w:r w:rsidR="0063057F" w:rsidRPr="00BE5170">
          <w:rPr>
            <w:rStyle w:val="Hyperlink"/>
            <w:rFonts w:ascii="Arial" w:hAnsi="Arial" w:cs="Arial"/>
            <w:b/>
            <w:bCs/>
            <w:sz w:val="20"/>
            <w:u w:val="none"/>
          </w:rPr>
          <w:t xml:space="preserve">under 10 or </w:t>
        </w:r>
        <w:r w:rsidR="001D3F93" w:rsidRPr="00BE5170">
          <w:rPr>
            <w:rStyle w:val="Hyperlink"/>
            <w:rFonts w:ascii="Arial" w:hAnsi="Arial" w:cs="Arial"/>
            <w:b/>
            <w:bCs/>
            <w:sz w:val="20"/>
            <w:u w:val="none"/>
          </w:rPr>
          <w:t>not mature enough to give instructions</w:t>
        </w:r>
      </w:hyperlink>
    </w:p>
    <w:p w14:paraId="1D5ADF13" w14:textId="77777777" w:rsidR="0094744E" w:rsidRPr="00BE5170" w:rsidRDefault="00A262FE" w:rsidP="0094744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5_Representing_more" w:history="1">
        <w:r w:rsidR="0094744E" w:rsidRPr="00BE5170">
          <w:rPr>
            <w:rStyle w:val="Hyperlink"/>
            <w:rFonts w:ascii="Arial" w:hAnsi="Arial" w:cs="Arial"/>
            <w:b/>
            <w:bCs/>
            <w:sz w:val="20"/>
            <w:u w:val="none"/>
          </w:rPr>
          <w:tab/>
        </w:r>
        <w:r w:rsidR="0094744E" w:rsidRPr="00BE5170">
          <w:rPr>
            <w:rStyle w:val="Hyperlink"/>
            <w:rFonts w:ascii="Arial" w:hAnsi="Arial" w:cs="Arial"/>
            <w:b/>
            <w:bCs/>
            <w:sz w:val="20"/>
            <w:u w:val="none"/>
          </w:rPr>
          <w:tab/>
          <w:t>4.7.</w:t>
        </w:r>
        <w:r w:rsidR="00FB23AB" w:rsidRPr="00BE5170">
          <w:rPr>
            <w:rStyle w:val="Hyperlink"/>
            <w:rFonts w:ascii="Arial" w:hAnsi="Arial" w:cs="Arial"/>
            <w:b/>
            <w:bCs/>
            <w:sz w:val="20"/>
            <w:u w:val="none"/>
          </w:rPr>
          <w:t>5</w:t>
        </w:r>
        <w:r w:rsidR="0094744E" w:rsidRPr="00BE5170">
          <w:rPr>
            <w:rStyle w:val="Hyperlink"/>
            <w:rFonts w:ascii="Arial" w:hAnsi="Arial" w:cs="Arial"/>
            <w:b/>
            <w:bCs/>
            <w:sz w:val="20"/>
            <w:u w:val="none"/>
          </w:rPr>
          <w:tab/>
          <w:t>Representing more than one child in a proceeding</w:t>
        </w:r>
      </w:hyperlink>
    </w:p>
    <w:p w14:paraId="422C9D8A" w14:textId="77777777" w:rsidR="003252C3" w:rsidRPr="00BE5170" w:rsidRDefault="00A262FE" w:rsidP="003252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6_Child_representation" w:history="1">
        <w:r w:rsidR="003252C3" w:rsidRPr="00BE5170">
          <w:rPr>
            <w:rStyle w:val="Hyperlink"/>
            <w:rFonts w:ascii="Arial" w:hAnsi="Arial" w:cs="Arial"/>
            <w:b/>
            <w:bCs/>
            <w:sz w:val="20"/>
            <w:u w:val="none"/>
          </w:rPr>
          <w:tab/>
        </w:r>
        <w:r w:rsidR="003252C3" w:rsidRPr="00BE5170">
          <w:rPr>
            <w:rStyle w:val="Hyperlink"/>
            <w:rFonts w:ascii="Arial" w:hAnsi="Arial" w:cs="Arial"/>
            <w:b/>
            <w:bCs/>
            <w:sz w:val="20"/>
            <w:u w:val="none"/>
          </w:rPr>
          <w:tab/>
          <w:t>4.7.</w:t>
        </w:r>
        <w:r w:rsidR="0094744E" w:rsidRPr="00BE5170">
          <w:rPr>
            <w:rStyle w:val="Hyperlink"/>
            <w:rFonts w:ascii="Arial" w:hAnsi="Arial" w:cs="Arial"/>
            <w:b/>
            <w:bCs/>
            <w:sz w:val="20"/>
            <w:u w:val="none"/>
          </w:rPr>
          <w:t>6</w:t>
        </w:r>
        <w:r w:rsidR="003252C3" w:rsidRPr="00BE5170">
          <w:rPr>
            <w:rStyle w:val="Hyperlink"/>
            <w:rFonts w:ascii="Arial" w:hAnsi="Arial" w:cs="Arial"/>
            <w:b/>
            <w:bCs/>
            <w:sz w:val="20"/>
            <w:u w:val="none"/>
          </w:rPr>
          <w:tab/>
          <w:t>Child representation in Children's Court and Family Court compared</w:t>
        </w:r>
      </w:hyperlink>
    </w:p>
    <w:p w14:paraId="44A49578" w14:textId="77777777" w:rsidR="00693223" w:rsidRPr="00BE5170" w:rsidRDefault="00A262F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7_Recommendations_by" w:history="1">
        <w:r w:rsidR="00D451AD" w:rsidRPr="00BE5170">
          <w:rPr>
            <w:rStyle w:val="Hyperlink"/>
            <w:rFonts w:ascii="Arial" w:hAnsi="Arial" w:cs="Arial"/>
            <w:b/>
            <w:bCs/>
            <w:sz w:val="20"/>
            <w:u w:val="none"/>
          </w:rPr>
          <w:tab/>
        </w:r>
        <w:r w:rsidR="00176C77" w:rsidRPr="00BE5170">
          <w:rPr>
            <w:rStyle w:val="Hyperlink"/>
            <w:rFonts w:ascii="Arial" w:hAnsi="Arial" w:cs="Arial"/>
            <w:b/>
            <w:bCs/>
            <w:sz w:val="20"/>
            <w:u w:val="none"/>
          </w:rPr>
          <w:tab/>
          <w:t>4.7.</w:t>
        </w:r>
        <w:r w:rsidR="009B3556" w:rsidRPr="00BE5170">
          <w:rPr>
            <w:rStyle w:val="Hyperlink"/>
            <w:rFonts w:ascii="Arial" w:hAnsi="Arial" w:cs="Arial"/>
            <w:b/>
            <w:bCs/>
            <w:sz w:val="20"/>
            <w:u w:val="none"/>
          </w:rPr>
          <w:t>7</w:t>
        </w:r>
        <w:r w:rsidR="00693223" w:rsidRPr="00BE5170">
          <w:rPr>
            <w:rStyle w:val="Hyperlink"/>
            <w:rFonts w:ascii="Arial" w:hAnsi="Arial" w:cs="Arial"/>
            <w:b/>
            <w:bCs/>
            <w:sz w:val="20"/>
            <w:u w:val="none"/>
          </w:rPr>
          <w:tab/>
          <w:t>Recommendations by Australian Law Reform Commission</w:t>
        </w:r>
      </w:hyperlink>
    </w:p>
    <w:p w14:paraId="7906EA5E" w14:textId="77777777" w:rsidR="00F917A7" w:rsidRPr="00BE5170" w:rsidRDefault="00A262FE" w:rsidP="00F917A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8_Recommendations_by" w:history="1">
        <w:r w:rsidR="00F917A7" w:rsidRPr="00BE5170">
          <w:rPr>
            <w:rStyle w:val="Hyperlink"/>
            <w:rFonts w:ascii="Arial" w:hAnsi="Arial" w:cs="Arial"/>
            <w:b/>
            <w:bCs/>
            <w:sz w:val="20"/>
            <w:u w:val="none"/>
          </w:rPr>
          <w:tab/>
        </w:r>
        <w:r w:rsidR="00F917A7" w:rsidRPr="00BE5170">
          <w:rPr>
            <w:rStyle w:val="Hyperlink"/>
            <w:rFonts w:ascii="Arial" w:hAnsi="Arial" w:cs="Arial"/>
            <w:b/>
            <w:bCs/>
            <w:sz w:val="20"/>
            <w:u w:val="none"/>
          </w:rPr>
          <w:tab/>
          <w:t>4.7.</w:t>
        </w:r>
        <w:r w:rsidR="009B3556" w:rsidRPr="00BE5170">
          <w:rPr>
            <w:rStyle w:val="Hyperlink"/>
            <w:rFonts w:ascii="Arial" w:hAnsi="Arial" w:cs="Arial"/>
            <w:b/>
            <w:bCs/>
            <w:sz w:val="20"/>
            <w:u w:val="none"/>
          </w:rPr>
          <w:t>8</w:t>
        </w:r>
        <w:r w:rsidR="00F917A7" w:rsidRPr="00BE5170">
          <w:rPr>
            <w:rStyle w:val="Hyperlink"/>
            <w:rFonts w:ascii="Arial" w:hAnsi="Arial" w:cs="Arial"/>
            <w:b/>
            <w:bCs/>
            <w:sz w:val="20"/>
            <w:u w:val="none"/>
          </w:rPr>
          <w:tab/>
          <w:t>Recommendations by Victorian Law Reform Commission</w:t>
        </w:r>
      </w:hyperlink>
    </w:p>
    <w:p w14:paraId="195A06D2" w14:textId="77777777" w:rsidR="009E5DAC" w:rsidRPr="00BE5170" w:rsidRDefault="00A262FE" w:rsidP="009E5DA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9_Recommendations_by" w:history="1">
        <w:r w:rsidR="009E5DAC" w:rsidRPr="00BE5170">
          <w:rPr>
            <w:rStyle w:val="Hyperlink"/>
            <w:rFonts w:ascii="Arial" w:hAnsi="Arial" w:cs="Arial"/>
            <w:b/>
            <w:bCs/>
            <w:sz w:val="20"/>
            <w:u w:val="none"/>
          </w:rPr>
          <w:tab/>
        </w:r>
        <w:r w:rsidR="009E5DAC" w:rsidRPr="00BE5170">
          <w:rPr>
            <w:rStyle w:val="Hyperlink"/>
            <w:rFonts w:ascii="Arial" w:hAnsi="Arial" w:cs="Arial"/>
            <w:b/>
            <w:bCs/>
            <w:sz w:val="20"/>
            <w:u w:val="none"/>
          </w:rPr>
          <w:tab/>
          <w:t>4.7.</w:t>
        </w:r>
        <w:r w:rsidR="009B3556" w:rsidRPr="00BE5170">
          <w:rPr>
            <w:rStyle w:val="Hyperlink"/>
            <w:rFonts w:ascii="Arial" w:hAnsi="Arial" w:cs="Arial"/>
            <w:b/>
            <w:bCs/>
            <w:sz w:val="20"/>
            <w:u w:val="none"/>
          </w:rPr>
          <w:t>9</w:t>
        </w:r>
        <w:r w:rsidR="009E5DAC" w:rsidRPr="00BE5170">
          <w:rPr>
            <w:rStyle w:val="Hyperlink"/>
            <w:rFonts w:ascii="Arial" w:hAnsi="Arial" w:cs="Arial"/>
            <w:b/>
            <w:bCs/>
            <w:sz w:val="20"/>
            <w:u w:val="none"/>
          </w:rPr>
          <w:tab/>
          <w:t>Recommendations by the “Cummins Inquiry”</w:t>
        </w:r>
      </w:hyperlink>
    </w:p>
    <w:p w14:paraId="2DC464B5" w14:textId="77777777" w:rsidR="000B2C51" w:rsidRPr="00BE5170" w:rsidRDefault="00A262FE" w:rsidP="000B2C5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10_Representation_of" w:history="1">
        <w:r w:rsidR="000B2C51" w:rsidRPr="00BE5170">
          <w:rPr>
            <w:rStyle w:val="Hyperlink"/>
            <w:rFonts w:ascii="Arial" w:hAnsi="Arial" w:cs="Arial"/>
            <w:b/>
            <w:bCs/>
            <w:sz w:val="20"/>
            <w:u w:val="none"/>
          </w:rPr>
          <w:tab/>
        </w:r>
        <w:r w:rsidR="000B2C51" w:rsidRPr="00BE5170">
          <w:rPr>
            <w:rStyle w:val="Hyperlink"/>
            <w:rFonts w:ascii="Arial" w:hAnsi="Arial" w:cs="Arial"/>
            <w:b/>
            <w:bCs/>
            <w:sz w:val="20"/>
            <w:u w:val="none"/>
          </w:rPr>
          <w:tab/>
          <w:t>4.7.</w:t>
        </w:r>
        <w:r w:rsidR="008D7F61" w:rsidRPr="00BE5170">
          <w:rPr>
            <w:rStyle w:val="Hyperlink"/>
            <w:rFonts w:ascii="Arial" w:hAnsi="Arial" w:cs="Arial"/>
            <w:b/>
            <w:bCs/>
            <w:sz w:val="20"/>
            <w:u w:val="none"/>
          </w:rPr>
          <w:t>1</w:t>
        </w:r>
        <w:r w:rsidR="009B3556" w:rsidRPr="00BE5170">
          <w:rPr>
            <w:rStyle w:val="Hyperlink"/>
            <w:rFonts w:ascii="Arial" w:hAnsi="Arial" w:cs="Arial"/>
            <w:b/>
            <w:bCs/>
            <w:sz w:val="20"/>
            <w:u w:val="none"/>
          </w:rPr>
          <w:t>0</w:t>
        </w:r>
        <w:r w:rsidR="000B2C51" w:rsidRPr="00BE5170">
          <w:rPr>
            <w:rStyle w:val="Hyperlink"/>
            <w:rFonts w:ascii="Arial" w:hAnsi="Arial" w:cs="Arial"/>
            <w:b/>
            <w:bCs/>
            <w:sz w:val="20"/>
            <w:u w:val="none"/>
          </w:rPr>
          <w:tab/>
          <w:t>Representation of child who is not respondent or applicant under FVPA</w:t>
        </w:r>
      </w:hyperlink>
    </w:p>
    <w:p w14:paraId="625832FE" w14:textId="77777777" w:rsidR="00693223" w:rsidRPr="00BE5170" w:rsidRDefault="00A262FE">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8_Conduct_of" w:history="1">
        <w:r w:rsidR="00693223" w:rsidRPr="00BE5170">
          <w:rPr>
            <w:rStyle w:val="Hyperlink"/>
            <w:rFonts w:ascii="Arial" w:hAnsi="Arial" w:cs="Arial"/>
            <w:b/>
            <w:bCs/>
            <w:u w:val="none"/>
          </w:rPr>
          <w:t>4.8</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Conduct of proceedings in Family Division</w:t>
        </w:r>
      </w:hyperlink>
    </w:p>
    <w:p w14:paraId="6CA91FCD" w14:textId="77777777" w:rsidR="00693223" w:rsidRPr="00BE5170" w:rsidRDefault="00A262FE"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8.1_Informal_procedure"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4.8.1</w:t>
        </w:r>
        <w:r w:rsidR="00693223" w:rsidRPr="00BE5170">
          <w:rPr>
            <w:rStyle w:val="Hyperlink"/>
            <w:rFonts w:ascii="Arial" w:hAnsi="Arial" w:cs="Arial"/>
            <w:b/>
            <w:bCs/>
            <w:sz w:val="20"/>
            <w:u w:val="none"/>
          </w:rPr>
          <w:tab/>
          <w:t>Informal procedure</w:t>
        </w:r>
      </w:hyperlink>
    </w:p>
    <w:p w14:paraId="2F35DA09" w14:textId="77777777" w:rsidR="00693223" w:rsidRPr="00BE5170" w:rsidRDefault="00A262F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2_Court_ma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D6007D" w:rsidRPr="00BE5170">
          <w:rPr>
            <w:rStyle w:val="Hyperlink"/>
            <w:rFonts w:ascii="Arial" w:hAnsi="Arial" w:cs="Arial"/>
            <w:b/>
            <w:bCs/>
            <w:sz w:val="20"/>
            <w:u w:val="none"/>
          </w:rPr>
          <w:t>2</w:t>
        </w:r>
        <w:r w:rsidR="00693223" w:rsidRPr="00BE5170">
          <w:rPr>
            <w:rStyle w:val="Hyperlink"/>
            <w:rFonts w:ascii="Arial" w:hAnsi="Arial" w:cs="Arial"/>
            <w:b/>
            <w:bCs/>
            <w:sz w:val="20"/>
            <w:u w:val="none"/>
          </w:rPr>
          <w:tab/>
        </w:r>
        <w:r w:rsidR="00D36D17" w:rsidRPr="00BE5170">
          <w:rPr>
            <w:rStyle w:val="Hyperlink"/>
            <w:rFonts w:ascii="Arial" w:hAnsi="Arial" w:cs="Arial"/>
            <w:b/>
            <w:bCs/>
            <w:sz w:val="20"/>
            <w:u w:val="none"/>
          </w:rPr>
          <w:t>Court may inform itself as it thinks fit - Rules of evidence not mandatory</w:t>
        </w:r>
      </w:hyperlink>
    </w:p>
    <w:p w14:paraId="3FFA47BD" w14:textId="77777777" w:rsidR="00D6007D" w:rsidRPr="00BE5170" w:rsidRDefault="00A262FE" w:rsidP="00D600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Impact_of" w:history="1">
        <w:r w:rsidR="00D6007D" w:rsidRPr="00BE5170">
          <w:rPr>
            <w:rStyle w:val="Hyperlink"/>
            <w:rFonts w:ascii="Arial" w:hAnsi="Arial" w:cs="Arial"/>
            <w:b/>
            <w:bCs/>
            <w:sz w:val="20"/>
            <w:u w:val="none"/>
          </w:rPr>
          <w:tab/>
        </w:r>
        <w:r w:rsidR="00D6007D" w:rsidRPr="00BE5170">
          <w:rPr>
            <w:rStyle w:val="Hyperlink"/>
            <w:rFonts w:ascii="Arial" w:hAnsi="Arial" w:cs="Arial"/>
            <w:b/>
            <w:bCs/>
            <w:sz w:val="20"/>
            <w:u w:val="none"/>
          </w:rPr>
          <w:tab/>
          <w:t>4.8.3</w:t>
        </w:r>
        <w:r w:rsidR="00D6007D" w:rsidRPr="00BE5170">
          <w:rPr>
            <w:rStyle w:val="Hyperlink"/>
            <w:rFonts w:ascii="Arial" w:hAnsi="Arial" w:cs="Arial"/>
            <w:b/>
            <w:bCs/>
            <w:sz w:val="20"/>
            <w:u w:val="none"/>
          </w:rPr>
          <w:tab/>
          <w:t>Impact of the “best interests” principle on the Court’s procedure</w:t>
        </w:r>
      </w:hyperlink>
    </w:p>
    <w:p w14:paraId="7F9EE789" w14:textId="77777777" w:rsidR="00693223" w:rsidRPr="00BE5170" w:rsidRDefault="00A262F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4_Findings_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48483D" w:rsidRPr="00BE5170">
          <w:rPr>
            <w:rStyle w:val="Hyperlink"/>
            <w:rFonts w:ascii="Arial" w:hAnsi="Arial" w:cs="Arial"/>
            <w:b/>
            <w:bCs/>
            <w:sz w:val="20"/>
            <w:u w:val="none"/>
          </w:rPr>
          <w:t>4</w:t>
        </w:r>
        <w:r w:rsidR="00693223" w:rsidRPr="00BE5170">
          <w:rPr>
            <w:rStyle w:val="Hyperlink"/>
            <w:rFonts w:ascii="Arial" w:hAnsi="Arial" w:cs="Arial"/>
            <w:b/>
            <w:bCs/>
            <w:sz w:val="20"/>
            <w:u w:val="none"/>
          </w:rPr>
          <w:tab/>
          <w:t>Findings on balance of probabilities</w:t>
        </w:r>
      </w:hyperlink>
    </w:p>
    <w:p w14:paraId="0E2576B9" w14:textId="77777777" w:rsidR="00693223" w:rsidRPr="00BE5170" w:rsidRDefault="00A262F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5_Expert_evidence"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48483D" w:rsidRPr="00BE5170">
          <w:rPr>
            <w:rStyle w:val="Hyperlink"/>
            <w:rFonts w:ascii="Arial" w:hAnsi="Arial" w:cs="Arial"/>
            <w:b/>
            <w:bCs/>
            <w:sz w:val="20"/>
            <w:u w:val="none"/>
          </w:rPr>
          <w:t>5</w:t>
        </w:r>
        <w:r w:rsidR="00693223" w:rsidRPr="00BE5170">
          <w:rPr>
            <w:rStyle w:val="Hyperlink"/>
            <w:rFonts w:ascii="Arial" w:hAnsi="Arial" w:cs="Arial"/>
            <w:b/>
            <w:bCs/>
            <w:sz w:val="20"/>
            <w:u w:val="none"/>
          </w:rPr>
          <w:tab/>
          <w:t>Expert evidence</w:t>
        </w:r>
      </w:hyperlink>
    </w:p>
    <w:p w14:paraId="4E4845BD" w14:textId="77777777" w:rsidR="00775DC6" w:rsidRPr="00BE5170" w:rsidRDefault="00A262F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6_Attendance_of" w:history="1">
        <w:r w:rsidR="00775DC6" w:rsidRPr="00BE5170">
          <w:rPr>
            <w:rStyle w:val="Hyperlink"/>
            <w:rFonts w:ascii="Arial" w:hAnsi="Arial" w:cs="Arial"/>
            <w:b/>
            <w:bCs/>
            <w:sz w:val="20"/>
            <w:u w:val="none"/>
          </w:rPr>
          <w:tab/>
        </w:r>
        <w:r w:rsidR="00775DC6" w:rsidRPr="00BE5170">
          <w:rPr>
            <w:rStyle w:val="Hyperlink"/>
            <w:rFonts w:ascii="Arial" w:hAnsi="Arial" w:cs="Arial"/>
            <w:b/>
            <w:bCs/>
            <w:sz w:val="20"/>
            <w:u w:val="none"/>
          </w:rPr>
          <w:tab/>
          <w:t>4.8.6</w:t>
        </w:r>
        <w:r w:rsidR="00775DC6" w:rsidRPr="00BE5170">
          <w:rPr>
            <w:rStyle w:val="Hyperlink"/>
            <w:rFonts w:ascii="Arial" w:hAnsi="Arial" w:cs="Arial"/>
            <w:b/>
            <w:bCs/>
            <w:sz w:val="20"/>
            <w:u w:val="none"/>
          </w:rPr>
          <w:tab/>
          <w:t>Attendance of child at Court</w:t>
        </w:r>
      </w:hyperlink>
    </w:p>
    <w:p w14:paraId="45A835C8" w14:textId="77777777" w:rsidR="00693223" w:rsidRPr="00BE5170" w:rsidRDefault="00A262FE">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9_Family_Division" w:history="1">
        <w:r w:rsidR="00693223" w:rsidRPr="00BE5170">
          <w:rPr>
            <w:rStyle w:val="Hyperlink"/>
            <w:rFonts w:ascii="Arial" w:hAnsi="Arial" w:cs="Arial"/>
            <w:b/>
            <w:bCs/>
            <w:u w:val="none"/>
          </w:rPr>
          <w:t>4.9</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Family Division Court hearings</w:t>
        </w:r>
      </w:hyperlink>
    </w:p>
    <w:p w14:paraId="6124167E" w14:textId="77777777" w:rsidR="00693223" w:rsidRPr="00BE5170" w:rsidRDefault="00A262FE"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9.1_Apprehension_–"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4.9.</w:t>
        </w:r>
        <w:r w:rsidR="00775DC6" w:rsidRPr="00BE5170">
          <w:rPr>
            <w:rStyle w:val="Hyperlink"/>
            <w:rFonts w:ascii="Arial" w:hAnsi="Arial" w:cs="Arial"/>
            <w:b/>
            <w:bCs/>
            <w:sz w:val="20"/>
            <w:u w:val="none"/>
          </w:rPr>
          <w:t>1</w:t>
        </w:r>
        <w:r w:rsidR="00693223" w:rsidRPr="00BE5170">
          <w:rPr>
            <w:rStyle w:val="Hyperlink"/>
            <w:rFonts w:ascii="Arial" w:hAnsi="Arial" w:cs="Arial"/>
            <w:b/>
            <w:bCs/>
            <w:sz w:val="20"/>
            <w:u w:val="none"/>
          </w:rPr>
          <w:tab/>
        </w:r>
        <w:r w:rsidR="003325AD" w:rsidRPr="00BE5170">
          <w:rPr>
            <w:rStyle w:val="Hyperlink"/>
            <w:rFonts w:ascii="Arial" w:hAnsi="Arial" w:cs="Arial"/>
            <w:b/>
            <w:bCs/>
            <w:sz w:val="20"/>
            <w:u w:val="none"/>
          </w:rPr>
          <w:t xml:space="preserve">Apprehension </w:t>
        </w:r>
        <w:r w:rsidR="009F5B0E" w:rsidRPr="00BE5170">
          <w:rPr>
            <w:rStyle w:val="Hyperlink"/>
            <w:rFonts w:ascii="Arial" w:hAnsi="Arial" w:cs="Arial"/>
            <w:b/>
            <w:bCs/>
            <w:sz w:val="20"/>
            <w:u w:val="none"/>
          </w:rPr>
          <w:t>–</w:t>
        </w:r>
        <w:r w:rsidR="003325AD" w:rsidRPr="00BE5170">
          <w:rPr>
            <w:rStyle w:val="Hyperlink"/>
            <w:rFonts w:ascii="Arial" w:hAnsi="Arial" w:cs="Arial"/>
            <w:b/>
            <w:bCs/>
            <w:sz w:val="20"/>
            <w:u w:val="none"/>
          </w:rPr>
          <w:t xml:space="preserve"> H</w:t>
        </w:r>
        <w:r w:rsidR="00E31A12" w:rsidRPr="00BE5170">
          <w:rPr>
            <w:rStyle w:val="Hyperlink"/>
            <w:rFonts w:ascii="Arial" w:hAnsi="Arial" w:cs="Arial"/>
            <w:b/>
            <w:bCs/>
            <w:sz w:val="20"/>
            <w:u w:val="none"/>
          </w:rPr>
          <w:t>earing</w:t>
        </w:r>
        <w:r w:rsidR="009F5B0E" w:rsidRPr="00BE5170">
          <w:rPr>
            <w:rStyle w:val="Hyperlink"/>
            <w:rFonts w:ascii="Arial" w:hAnsi="Arial" w:cs="Arial"/>
            <w:b/>
            <w:bCs/>
            <w:sz w:val="20"/>
            <w:u w:val="none"/>
          </w:rPr>
          <w:t xml:space="preserve"> </w:t>
        </w:r>
        <w:r w:rsidR="00E31A12" w:rsidRPr="00BE5170">
          <w:rPr>
            <w:rStyle w:val="Hyperlink"/>
            <w:rFonts w:ascii="Arial" w:hAnsi="Arial" w:cs="Arial"/>
            <w:b/>
            <w:bCs/>
            <w:sz w:val="20"/>
            <w:u w:val="none"/>
          </w:rPr>
          <w:t>after child placed in e</w:t>
        </w:r>
        <w:r w:rsidR="002229EE" w:rsidRPr="00BE5170">
          <w:rPr>
            <w:rStyle w:val="Hyperlink"/>
            <w:rFonts w:ascii="Arial" w:hAnsi="Arial" w:cs="Arial"/>
            <w:b/>
            <w:bCs/>
            <w:sz w:val="20"/>
            <w:u w:val="none"/>
          </w:rPr>
          <w:t>mergency care</w:t>
        </w:r>
      </w:hyperlink>
    </w:p>
    <w:p w14:paraId="407FBBA3" w14:textId="77777777" w:rsidR="00693223" w:rsidRPr="00BE5170" w:rsidRDefault="00A262F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2_Men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2</w:t>
        </w:r>
        <w:r w:rsidR="00693223" w:rsidRPr="00BE5170">
          <w:rPr>
            <w:rStyle w:val="Hyperlink"/>
            <w:rFonts w:ascii="Arial" w:hAnsi="Arial" w:cs="Arial"/>
            <w:b/>
            <w:bCs/>
            <w:sz w:val="20"/>
            <w:u w:val="none"/>
          </w:rPr>
          <w:tab/>
          <w:t>Mention</w:t>
        </w:r>
      </w:hyperlink>
    </w:p>
    <w:p w14:paraId="7F4E2A36" w14:textId="77777777" w:rsidR="00693223" w:rsidRPr="00BE5170" w:rsidRDefault="00A262F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3_Concilia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484481" w:rsidRPr="00BE5170">
          <w:rPr>
            <w:rStyle w:val="Hyperlink"/>
            <w:rFonts w:ascii="Arial" w:hAnsi="Arial" w:cs="Arial"/>
            <w:b/>
            <w:bCs/>
            <w:sz w:val="20"/>
            <w:u w:val="none"/>
          </w:rPr>
          <w:t>Concil</w:t>
        </w:r>
        <w:r w:rsidR="006D2D55" w:rsidRPr="00BE5170">
          <w:rPr>
            <w:rStyle w:val="Hyperlink"/>
            <w:rFonts w:ascii="Arial" w:hAnsi="Arial" w:cs="Arial"/>
            <w:b/>
            <w:bCs/>
            <w:sz w:val="20"/>
            <w:u w:val="none"/>
          </w:rPr>
          <w:t>iation</w:t>
        </w:r>
      </w:hyperlink>
    </w:p>
    <w:p w14:paraId="74B65D30" w14:textId="77777777" w:rsidR="002229EE" w:rsidRPr="00BE5170" w:rsidRDefault="00A262F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_First_directions" w:history="1">
        <w:r w:rsidR="002229EE"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.4</w:t>
        </w:r>
        <w:r w:rsidR="002229EE" w:rsidRPr="00BE5170">
          <w:rPr>
            <w:rStyle w:val="Hyperlink"/>
            <w:rFonts w:ascii="Arial" w:hAnsi="Arial" w:cs="Arial"/>
            <w:b/>
            <w:bCs/>
            <w:sz w:val="20"/>
            <w:u w:val="none"/>
          </w:rPr>
          <w:tab/>
          <w:t xml:space="preserve">First </w:t>
        </w:r>
        <w:r w:rsidR="007867B3" w:rsidRPr="00BE5170">
          <w:rPr>
            <w:rStyle w:val="Hyperlink"/>
            <w:rFonts w:ascii="Arial" w:hAnsi="Arial" w:cs="Arial"/>
            <w:b/>
            <w:bCs/>
            <w:sz w:val="20"/>
            <w:u w:val="none"/>
          </w:rPr>
          <w:t>d</w:t>
        </w:r>
        <w:r w:rsidR="002229EE" w:rsidRPr="00BE5170">
          <w:rPr>
            <w:rStyle w:val="Hyperlink"/>
            <w:rFonts w:ascii="Arial" w:hAnsi="Arial" w:cs="Arial"/>
            <w:b/>
            <w:bCs/>
            <w:sz w:val="20"/>
            <w:u w:val="none"/>
          </w:rPr>
          <w:t>irections hearing</w:t>
        </w:r>
        <w:r w:rsidR="007867B3" w:rsidRPr="00BE5170">
          <w:rPr>
            <w:rStyle w:val="Hyperlink"/>
            <w:rFonts w:ascii="Arial" w:hAnsi="Arial" w:cs="Arial"/>
            <w:b/>
            <w:bCs/>
            <w:sz w:val="20"/>
            <w:u w:val="none"/>
          </w:rPr>
          <w:t xml:space="preserve"> &amp; Directions hearing preceding a contest</w:t>
        </w:r>
      </w:hyperlink>
    </w:p>
    <w:p w14:paraId="1321F925" w14:textId="77777777" w:rsidR="0030237B" w:rsidRPr="00BE5170" w:rsidRDefault="00A262F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A_Readiness_Hearing" w:history="1">
        <w:r w:rsidR="0030237B" w:rsidRPr="00BE5170">
          <w:rPr>
            <w:rStyle w:val="Hyperlink"/>
            <w:rFonts w:ascii="Arial" w:hAnsi="Arial" w:cs="Arial"/>
            <w:b/>
            <w:bCs/>
            <w:sz w:val="20"/>
            <w:u w:val="none"/>
          </w:rPr>
          <w:tab/>
        </w:r>
        <w:r w:rsidR="0030237B" w:rsidRPr="00BE5170">
          <w:rPr>
            <w:rStyle w:val="Hyperlink"/>
            <w:rFonts w:ascii="Arial" w:hAnsi="Arial" w:cs="Arial"/>
            <w:b/>
            <w:bCs/>
            <w:sz w:val="20"/>
            <w:u w:val="none"/>
          </w:rPr>
          <w:tab/>
          <w:t>4.9.4A</w:t>
        </w:r>
        <w:r w:rsidR="0030237B" w:rsidRPr="00BE5170">
          <w:rPr>
            <w:rStyle w:val="Hyperlink"/>
            <w:rFonts w:ascii="Arial" w:hAnsi="Arial" w:cs="Arial"/>
            <w:b/>
            <w:bCs/>
            <w:sz w:val="20"/>
            <w:u w:val="none"/>
          </w:rPr>
          <w:tab/>
          <w:t>Readiness hearings</w:t>
        </w:r>
      </w:hyperlink>
    </w:p>
    <w:p w14:paraId="195FB9EA" w14:textId="77777777" w:rsidR="00693223" w:rsidRPr="00BE5170" w:rsidRDefault="00A262F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5_Contested_hearing" w:history="1">
        <w:r w:rsidR="00D451AD"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.5</w:t>
        </w:r>
        <w:r w:rsidR="00693223" w:rsidRPr="00BE5170">
          <w:rPr>
            <w:rStyle w:val="Hyperlink"/>
            <w:rFonts w:ascii="Arial" w:hAnsi="Arial" w:cs="Arial"/>
            <w:b/>
            <w:bCs/>
            <w:sz w:val="20"/>
            <w:u w:val="none"/>
          </w:rPr>
          <w:tab/>
          <w:t>Contested hearing</w:t>
        </w:r>
      </w:hyperlink>
    </w:p>
    <w:p w14:paraId="086C05B3" w14:textId="77777777" w:rsidR="001A06D3" w:rsidRPr="00BE5170" w:rsidRDefault="00A262F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6_Marram-Ngala_Ganbu" w:history="1">
        <w:r w:rsidR="001A06D3" w:rsidRPr="00BE5170">
          <w:rPr>
            <w:rStyle w:val="Hyperlink"/>
            <w:rFonts w:ascii="Arial" w:hAnsi="Arial" w:cs="Arial"/>
            <w:b/>
            <w:bCs/>
            <w:sz w:val="20"/>
            <w:u w:val="none"/>
          </w:rPr>
          <w:tab/>
        </w:r>
        <w:r w:rsidR="001A06D3" w:rsidRPr="00BE5170">
          <w:rPr>
            <w:rStyle w:val="Hyperlink"/>
            <w:rFonts w:ascii="Arial" w:hAnsi="Arial" w:cs="Arial"/>
            <w:b/>
            <w:bCs/>
            <w:sz w:val="20"/>
            <w:u w:val="none"/>
          </w:rPr>
          <w:tab/>
          <w:t>4.9.6</w:t>
        </w:r>
        <w:r w:rsidR="001A06D3" w:rsidRPr="00BE5170">
          <w:rPr>
            <w:rStyle w:val="Hyperlink"/>
            <w:rFonts w:ascii="Arial" w:hAnsi="Arial" w:cs="Arial"/>
            <w:b/>
            <w:bCs/>
            <w:sz w:val="20"/>
            <w:u w:val="none"/>
          </w:rPr>
          <w:tab/>
          <w:t xml:space="preserve">Marram-Ngala </w:t>
        </w:r>
        <w:proofErr w:type="spellStart"/>
        <w:r w:rsidR="001A06D3" w:rsidRPr="00BE5170">
          <w:rPr>
            <w:rStyle w:val="Hyperlink"/>
            <w:rFonts w:ascii="Arial" w:hAnsi="Arial" w:cs="Arial"/>
            <w:b/>
            <w:bCs/>
            <w:sz w:val="20"/>
            <w:u w:val="none"/>
          </w:rPr>
          <w:t>Ganbu</w:t>
        </w:r>
        <w:proofErr w:type="spellEnd"/>
        <w:r w:rsidR="001A06D3" w:rsidRPr="00BE5170">
          <w:rPr>
            <w:rStyle w:val="Hyperlink"/>
            <w:rFonts w:ascii="Arial" w:hAnsi="Arial" w:cs="Arial"/>
            <w:b/>
            <w:bCs/>
            <w:sz w:val="20"/>
            <w:u w:val="none"/>
          </w:rPr>
          <w:t xml:space="preserve"> Program</w:t>
        </w:r>
      </w:hyperlink>
    </w:p>
    <w:p w14:paraId="332366A4" w14:textId="77777777" w:rsidR="00A338D2" w:rsidRPr="0030237B" w:rsidRDefault="00A338D2" w:rsidP="00A338D2">
      <w:pPr>
        <w:pBdr>
          <w:top w:val="single" w:sz="4" w:space="1" w:color="auto"/>
          <w:left w:val="single" w:sz="4" w:space="4" w:color="auto"/>
          <w:bottom w:val="single" w:sz="4" w:space="1" w:color="auto"/>
          <w:right w:val="single" w:sz="4" w:space="4" w:color="auto"/>
        </w:pBdr>
        <w:rPr>
          <w:rFonts w:ascii="Arial" w:hAnsi="Arial" w:cs="Arial"/>
          <w:b/>
          <w:bCs/>
          <w:sz w:val="10"/>
          <w:szCs w:val="22"/>
        </w:rPr>
      </w:pPr>
    </w:p>
    <w:p w14:paraId="70256769" w14:textId="77777777" w:rsidR="00693223" w:rsidRDefault="00693223">
      <w:pPr>
        <w:pStyle w:val="Heading1"/>
        <w:numPr>
          <w:ilvl w:val="0"/>
          <w:numId w:val="0"/>
        </w:numPr>
        <w:spacing w:before="0" w:line="240" w:lineRule="auto"/>
        <w:jc w:val="center"/>
        <w:rPr>
          <w:rFonts w:ascii="Arial" w:hAnsi="Arial" w:cs="Arial"/>
          <w:b/>
          <w:bCs/>
          <w:sz w:val="40"/>
        </w:rPr>
      </w:pPr>
      <w:r>
        <w:rPr>
          <w:rFonts w:ascii="Arial" w:hAnsi="Arial" w:cs="Arial"/>
        </w:rPr>
        <w:br w:type="page"/>
      </w:r>
      <w:r>
        <w:rPr>
          <w:rFonts w:ascii="Arial" w:hAnsi="Arial" w:cs="Arial"/>
          <w:b/>
          <w:bCs/>
          <w:sz w:val="40"/>
        </w:rPr>
        <w:lastRenderedPageBreak/>
        <w:t>4.  FAMILY DIVISION - GENERAL</w:t>
      </w:r>
    </w:p>
    <w:p w14:paraId="65FD0C12" w14:textId="77777777" w:rsidR="00693223" w:rsidRPr="00E14F02" w:rsidRDefault="00693223">
      <w:pPr>
        <w:jc w:val="both"/>
        <w:rPr>
          <w:rFonts w:ascii="Arial" w:hAnsi="Arial" w:cs="Arial"/>
          <w:sz w:val="12"/>
        </w:rPr>
      </w:pPr>
    </w:p>
    <w:p w14:paraId="37C50227" w14:textId="77777777" w:rsidR="00693223" w:rsidRPr="00EF65CA" w:rsidRDefault="00693223">
      <w:pPr>
        <w:pBdr>
          <w:top w:val="single" w:sz="4" w:space="1" w:color="auto"/>
          <w:left w:val="single" w:sz="4" w:space="4" w:color="auto"/>
          <w:bottom w:val="single" w:sz="4" w:space="1" w:color="auto"/>
          <w:right w:val="single" w:sz="4" w:space="4" w:color="auto"/>
        </w:pBdr>
        <w:rPr>
          <w:rFonts w:ascii="Arial" w:hAnsi="Arial" w:cs="Arial"/>
          <w:b/>
          <w:bCs/>
          <w:sz w:val="10"/>
        </w:rPr>
      </w:pPr>
      <w:bookmarkStart w:id="33" w:name="_Toc30607525"/>
      <w:bookmarkStart w:id="34" w:name="_Toc30607654"/>
      <w:bookmarkStart w:id="35" w:name="_Toc30607979"/>
      <w:bookmarkStart w:id="36" w:name="_Toc30608812"/>
      <w:bookmarkStart w:id="37" w:name="_Toc30610026"/>
      <w:bookmarkStart w:id="38" w:name="_Toc30610270"/>
      <w:bookmarkStart w:id="39" w:name="_Toc30638424"/>
      <w:bookmarkStart w:id="40" w:name="_Toc30644234"/>
      <w:bookmarkStart w:id="41" w:name="_Toc30644637"/>
      <w:bookmarkStart w:id="42" w:name="_Toc30645187"/>
      <w:bookmarkStart w:id="43" w:name="_Toc30646398"/>
      <w:bookmarkStart w:id="44" w:name="_Toc30646693"/>
      <w:bookmarkStart w:id="45" w:name="_Toc30646804"/>
      <w:bookmarkStart w:id="46" w:name="_Toc30648161"/>
      <w:bookmarkStart w:id="47" w:name="_Toc30649059"/>
      <w:bookmarkStart w:id="48" w:name="_Toc30649135"/>
      <w:bookmarkStart w:id="49" w:name="_Toc30649396"/>
      <w:bookmarkStart w:id="50" w:name="_Toc30649721"/>
      <w:bookmarkStart w:id="51" w:name="_Toc30651661"/>
      <w:bookmarkStart w:id="52" w:name="_Toc30652651"/>
      <w:bookmarkStart w:id="53" w:name="_Toc30652747"/>
      <w:bookmarkStart w:id="54" w:name="_Toc30654092"/>
      <w:bookmarkStart w:id="55" w:name="_Toc30654443"/>
      <w:bookmarkStart w:id="56" w:name="_Toc30655062"/>
      <w:bookmarkStart w:id="57" w:name="_Toc30655319"/>
      <w:bookmarkStart w:id="58" w:name="_Toc30656997"/>
      <w:bookmarkStart w:id="59" w:name="_Toc30661746"/>
      <w:bookmarkStart w:id="60" w:name="_Toc30666434"/>
      <w:bookmarkStart w:id="61" w:name="_Toc30666664"/>
      <w:bookmarkStart w:id="62" w:name="_Toc30667839"/>
      <w:bookmarkStart w:id="63" w:name="_Toc30669217"/>
      <w:bookmarkStart w:id="64" w:name="_Toc30671433"/>
      <w:bookmarkStart w:id="65" w:name="_Toc30673960"/>
      <w:bookmarkStart w:id="66" w:name="_Toc30691182"/>
      <w:bookmarkStart w:id="67" w:name="_Toc30691555"/>
      <w:bookmarkStart w:id="68" w:name="_Toc30691935"/>
      <w:bookmarkStart w:id="69" w:name="_Toc30692694"/>
      <w:bookmarkStart w:id="70" w:name="_Toc30693073"/>
      <w:bookmarkStart w:id="71" w:name="_Toc30693451"/>
      <w:bookmarkStart w:id="72" w:name="_Toc30693829"/>
      <w:bookmarkStart w:id="73" w:name="_Toc30694210"/>
      <w:bookmarkStart w:id="74" w:name="_Toc30698799"/>
      <w:bookmarkStart w:id="75" w:name="_Toc30699177"/>
      <w:bookmarkStart w:id="76" w:name="_Toc30699562"/>
      <w:bookmarkStart w:id="77" w:name="_Toc30700717"/>
      <w:bookmarkStart w:id="78" w:name="_Toc30701104"/>
      <w:bookmarkStart w:id="79" w:name="_Toc30743713"/>
      <w:bookmarkStart w:id="80" w:name="_Toc30754536"/>
      <w:bookmarkStart w:id="81" w:name="_Toc30756976"/>
      <w:bookmarkStart w:id="82" w:name="_Toc30757525"/>
      <w:bookmarkStart w:id="83" w:name="_Toc30757925"/>
      <w:bookmarkStart w:id="84" w:name="_Toc30762686"/>
      <w:bookmarkStart w:id="85" w:name="_Toc30767340"/>
      <w:bookmarkStart w:id="86" w:name="_Toc34823356"/>
    </w:p>
    <w:p w14:paraId="1BF0766D" w14:textId="77777777" w:rsidR="00693223" w:rsidRDefault="00693223">
      <w:pPr>
        <w:pBdr>
          <w:top w:val="single" w:sz="4" w:space="1" w:color="auto"/>
          <w:left w:val="single" w:sz="4" w:space="4" w:color="auto"/>
          <w:bottom w:val="single" w:sz="4" w:space="1" w:color="auto"/>
          <w:right w:val="single" w:sz="4" w:space="4" w:color="auto"/>
        </w:pBdr>
        <w:jc w:val="center"/>
        <w:rPr>
          <w:rFonts w:ascii="Arial" w:hAnsi="Arial" w:cs="Arial"/>
          <w:b/>
          <w:bCs/>
          <w:u w:val="single"/>
        </w:rPr>
      </w:pPr>
      <w:r>
        <w:rPr>
          <w:rFonts w:ascii="Arial" w:hAnsi="Arial" w:cs="Arial"/>
          <w:b/>
          <w:bCs/>
          <w:sz w:val="28"/>
          <w:u w:val="single"/>
        </w:rPr>
        <w:t>CONTENTS [continued]</w:t>
      </w:r>
    </w:p>
    <w:p w14:paraId="72FBE86B" w14:textId="77777777" w:rsidR="00497924" w:rsidRPr="00BE5170" w:rsidRDefault="00A262FE" w:rsidP="00497924">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0_Alternative_Dispute" w:history="1">
        <w:r w:rsidR="00A338D2" w:rsidRPr="00BE5170">
          <w:rPr>
            <w:rStyle w:val="Hyperlink"/>
            <w:rFonts w:ascii="Arial" w:hAnsi="Arial" w:cs="Arial"/>
            <w:b/>
            <w:bCs/>
            <w:u w:val="none"/>
          </w:rPr>
          <w:t>4.10</w:t>
        </w:r>
        <w:r w:rsidR="003C760C" w:rsidRPr="00BE5170">
          <w:rPr>
            <w:rStyle w:val="Hyperlink"/>
            <w:rFonts w:ascii="Arial" w:hAnsi="Arial" w:cs="Arial"/>
            <w:b/>
            <w:bCs/>
            <w:u w:val="none"/>
          </w:rPr>
          <w:tab/>
        </w:r>
        <w:r w:rsidR="007C7752" w:rsidRPr="00BE5170">
          <w:rPr>
            <w:rStyle w:val="Hyperlink"/>
            <w:rFonts w:ascii="Arial" w:hAnsi="Arial" w:cs="Arial"/>
            <w:b/>
            <w:bCs/>
            <w:u w:val="none"/>
          </w:rPr>
          <w:t>A</w:t>
        </w:r>
        <w:r w:rsidR="005A4138" w:rsidRPr="00BE5170">
          <w:rPr>
            <w:rStyle w:val="Hyperlink"/>
            <w:rFonts w:ascii="Arial" w:hAnsi="Arial" w:cs="Arial"/>
            <w:b/>
            <w:bCs/>
            <w:u w:val="none"/>
          </w:rPr>
          <w:t>lternative</w:t>
        </w:r>
        <w:r w:rsidR="00411866" w:rsidRPr="00BE5170">
          <w:rPr>
            <w:rStyle w:val="Hyperlink"/>
            <w:rFonts w:ascii="Arial" w:hAnsi="Arial" w:cs="Arial"/>
            <w:b/>
            <w:bCs/>
            <w:u w:val="none"/>
          </w:rPr>
          <w:t xml:space="preserve"> </w:t>
        </w:r>
        <w:r w:rsidR="00AF5500" w:rsidRPr="00BE5170">
          <w:rPr>
            <w:rStyle w:val="Hyperlink"/>
            <w:rFonts w:ascii="Arial" w:hAnsi="Arial" w:cs="Arial"/>
            <w:b/>
            <w:bCs/>
            <w:u w:val="none"/>
          </w:rPr>
          <w:t>Dispute Resolution</w:t>
        </w:r>
      </w:hyperlink>
    </w:p>
    <w:p w14:paraId="4510533F" w14:textId="77777777" w:rsidR="00497924" w:rsidRPr="00BE5170" w:rsidRDefault="00A262FE"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10.1_Conciliation_Conferences" w:history="1">
        <w:r w:rsidR="00D451AD" w:rsidRPr="00BE5170">
          <w:rPr>
            <w:rStyle w:val="Hyperlink"/>
            <w:rFonts w:ascii="Arial" w:hAnsi="Arial" w:cs="Arial"/>
            <w:b/>
            <w:bCs/>
            <w:sz w:val="20"/>
            <w:u w:val="none"/>
          </w:rPr>
          <w:tab/>
        </w:r>
        <w:r w:rsidR="00497924" w:rsidRPr="00BE5170">
          <w:rPr>
            <w:rStyle w:val="Hyperlink"/>
            <w:rFonts w:ascii="Arial" w:hAnsi="Arial" w:cs="Arial"/>
            <w:b/>
            <w:bCs/>
            <w:sz w:val="20"/>
            <w:u w:val="none"/>
          </w:rPr>
          <w:tab/>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.1</w:t>
        </w:r>
        <w:r w:rsidR="00EE4D2D" w:rsidRPr="00BE5170">
          <w:rPr>
            <w:rStyle w:val="Hyperlink"/>
            <w:rFonts w:ascii="Arial" w:hAnsi="Arial" w:cs="Arial"/>
            <w:b/>
            <w:bCs/>
            <w:sz w:val="20"/>
            <w:u w:val="none"/>
          </w:rPr>
          <w:tab/>
        </w:r>
        <w:r w:rsidR="00801CD5" w:rsidRPr="00BE5170">
          <w:rPr>
            <w:rStyle w:val="Hyperlink"/>
            <w:rFonts w:ascii="Arial" w:hAnsi="Arial" w:cs="Arial"/>
            <w:b/>
            <w:bCs/>
            <w:sz w:val="20"/>
            <w:u w:val="none"/>
          </w:rPr>
          <w:t>Concilia</w:t>
        </w:r>
        <w:r w:rsidR="009A5523" w:rsidRPr="00BE5170">
          <w:rPr>
            <w:rStyle w:val="Hyperlink"/>
            <w:rFonts w:ascii="Arial" w:hAnsi="Arial" w:cs="Arial"/>
            <w:b/>
            <w:bCs/>
            <w:sz w:val="20"/>
            <w:u w:val="none"/>
          </w:rPr>
          <w:t>tion Conferences</w:t>
        </w:r>
      </w:hyperlink>
    </w:p>
    <w:p w14:paraId="1E5673D3" w14:textId="77777777" w:rsidR="004C5BBD" w:rsidRPr="00BE5170" w:rsidRDefault="00A262FE" w:rsidP="004C5BB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2_Jurisdiction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t>4.10.</w:t>
        </w:r>
        <w:r w:rsidR="009A5523" w:rsidRPr="00BE5170">
          <w:rPr>
            <w:rStyle w:val="Hyperlink"/>
            <w:rFonts w:ascii="Arial" w:hAnsi="Arial" w:cs="Arial"/>
            <w:b/>
            <w:bCs/>
            <w:sz w:val="20"/>
            <w:u w:val="none"/>
          </w:rPr>
          <w:t>2</w:t>
        </w:r>
        <w:r w:rsidR="009A5523" w:rsidRPr="00BE5170">
          <w:rPr>
            <w:rStyle w:val="Hyperlink"/>
            <w:rFonts w:ascii="Arial" w:hAnsi="Arial" w:cs="Arial"/>
            <w:b/>
            <w:bCs/>
            <w:sz w:val="20"/>
            <w:u w:val="none"/>
          </w:rPr>
          <w:tab/>
        </w:r>
        <w:r w:rsidR="004C5BBD" w:rsidRPr="00BE5170">
          <w:rPr>
            <w:rStyle w:val="Hyperlink"/>
            <w:rFonts w:ascii="Arial" w:hAnsi="Arial" w:cs="Arial"/>
            <w:b/>
            <w:bCs/>
            <w:sz w:val="20"/>
            <w:u w:val="none"/>
          </w:rPr>
          <w:t>Jurisdiction &amp; Purpose</w:t>
        </w:r>
        <w:r w:rsidR="005623CD" w:rsidRPr="00BE5170">
          <w:rPr>
            <w:rStyle w:val="Hyperlink"/>
            <w:rFonts w:ascii="Arial" w:hAnsi="Arial" w:cs="Arial"/>
            <w:b/>
            <w:bCs/>
            <w:sz w:val="20"/>
            <w:u w:val="none"/>
          </w:rPr>
          <w:t xml:space="preserve"> of </w:t>
        </w:r>
        <w:r w:rsidR="00801CD5" w:rsidRPr="00BE5170">
          <w:rPr>
            <w:rStyle w:val="Hyperlink"/>
            <w:rFonts w:ascii="Arial" w:hAnsi="Arial" w:cs="Arial"/>
            <w:b/>
            <w:bCs/>
            <w:sz w:val="20"/>
            <w:u w:val="none"/>
          </w:rPr>
          <w:t>C</w:t>
        </w:r>
        <w:r w:rsidR="009A5523" w:rsidRPr="00BE5170">
          <w:rPr>
            <w:rStyle w:val="Hyperlink"/>
            <w:rFonts w:ascii="Arial" w:hAnsi="Arial" w:cs="Arial"/>
            <w:b/>
            <w:bCs/>
            <w:sz w:val="20"/>
            <w:u w:val="none"/>
          </w:rPr>
          <w:t>C</w:t>
        </w:r>
      </w:hyperlink>
    </w:p>
    <w:p w14:paraId="75A63A9E" w14:textId="77777777" w:rsidR="00497924" w:rsidRPr="00BE5170" w:rsidRDefault="00A262FE"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3_Convenor"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3</w:t>
        </w:r>
        <w:r w:rsidR="009A5523" w:rsidRPr="00BE5170">
          <w:rPr>
            <w:rStyle w:val="Hyperlink"/>
            <w:rFonts w:ascii="Arial" w:hAnsi="Arial" w:cs="Arial"/>
            <w:b/>
            <w:bCs/>
            <w:sz w:val="20"/>
            <w:u w:val="none"/>
          </w:rPr>
          <w:tab/>
        </w:r>
        <w:r w:rsidR="005A3FD8" w:rsidRPr="00BE5170">
          <w:rPr>
            <w:rStyle w:val="Hyperlink"/>
            <w:rFonts w:ascii="Arial" w:hAnsi="Arial" w:cs="Arial"/>
            <w:b/>
            <w:bCs/>
            <w:sz w:val="20"/>
            <w:u w:val="none"/>
          </w:rPr>
          <w:t>Convenor</w:t>
        </w:r>
      </w:hyperlink>
    </w:p>
    <w:p w14:paraId="0523BEDB" w14:textId="77777777" w:rsidR="0071271A" w:rsidRPr="00BE5170" w:rsidRDefault="00A262FE"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4_Repeal_of" w:history="1">
        <w:r w:rsidR="00D451AD" w:rsidRPr="00BE5170">
          <w:rPr>
            <w:rStyle w:val="Hyperlink"/>
            <w:rFonts w:ascii="Arial" w:hAnsi="Arial" w:cs="Arial"/>
            <w:b/>
            <w:bCs/>
            <w:sz w:val="20"/>
            <w:u w:val="none"/>
          </w:rPr>
          <w:tab/>
        </w:r>
        <w:r w:rsidR="0071271A" w:rsidRPr="00BE5170">
          <w:rPr>
            <w:rStyle w:val="Hyperlink"/>
            <w:rFonts w:ascii="Arial" w:hAnsi="Arial" w:cs="Arial"/>
            <w:b/>
            <w:bCs/>
            <w:sz w:val="20"/>
            <w:u w:val="none"/>
          </w:rPr>
          <w:tab/>
          <w:t>4.10.</w:t>
        </w:r>
        <w:r w:rsidR="009A5523" w:rsidRPr="00BE5170">
          <w:rPr>
            <w:rStyle w:val="Hyperlink"/>
            <w:rFonts w:ascii="Arial" w:hAnsi="Arial" w:cs="Arial"/>
            <w:b/>
            <w:bCs/>
            <w:sz w:val="20"/>
            <w:u w:val="none"/>
          </w:rPr>
          <w:t>4</w:t>
        </w:r>
        <w:r w:rsidR="009A5523" w:rsidRPr="00BE5170">
          <w:rPr>
            <w:rStyle w:val="Hyperlink"/>
            <w:rFonts w:ascii="Arial" w:hAnsi="Arial" w:cs="Arial"/>
            <w:b/>
            <w:bCs/>
            <w:sz w:val="20"/>
            <w:u w:val="none"/>
          </w:rPr>
          <w:tab/>
        </w:r>
        <w:r w:rsidR="00801CD5" w:rsidRPr="00BE5170">
          <w:rPr>
            <w:rStyle w:val="Hyperlink"/>
            <w:rFonts w:ascii="Arial" w:hAnsi="Arial" w:cs="Arial"/>
            <w:b/>
            <w:bCs/>
            <w:sz w:val="20"/>
            <w:u w:val="none"/>
          </w:rPr>
          <w:t>Repeal of</w:t>
        </w:r>
        <w:r w:rsidR="0071271A" w:rsidRPr="00BE5170">
          <w:rPr>
            <w:rStyle w:val="Hyperlink"/>
            <w:rFonts w:ascii="Arial" w:hAnsi="Arial" w:cs="Arial"/>
            <w:b/>
            <w:bCs/>
            <w:sz w:val="20"/>
            <w:u w:val="none"/>
          </w:rPr>
          <w:t xml:space="preserve"> advisory conference</w:t>
        </w:r>
        <w:r w:rsidR="00801CD5" w:rsidRPr="00BE5170">
          <w:rPr>
            <w:rStyle w:val="Hyperlink"/>
            <w:rFonts w:ascii="Arial" w:hAnsi="Arial" w:cs="Arial"/>
            <w:b/>
            <w:bCs/>
            <w:sz w:val="20"/>
            <w:u w:val="none"/>
          </w:rPr>
          <w:t xml:space="preserve"> provisions</w:t>
        </w:r>
      </w:hyperlink>
    </w:p>
    <w:p w14:paraId="475D89FC" w14:textId="77777777" w:rsidR="009A5523" w:rsidRPr="00BE5170" w:rsidRDefault="00A262FE"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5_Attendance_at"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5</w:t>
        </w:r>
        <w:r w:rsidR="009A5523" w:rsidRPr="00BE5170">
          <w:rPr>
            <w:rStyle w:val="Hyperlink"/>
            <w:rFonts w:ascii="Arial" w:hAnsi="Arial" w:cs="Arial"/>
            <w:b/>
            <w:bCs/>
            <w:sz w:val="20"/>
            <w:u w:val="none"/>
          </w:rPr>
          <w:tab/>
          <w:t>Attendance at</w:t>
        </w:r>
        <w:r w:rsidR="009A5523" w:rsidRPr="00BE5170">
          <w:rPr>
            <w:rStyle w:val="Hyperlink"/>
            <w:rFonts w:ascii="Arial" w:hAnsi="Arial" w:cs="Arial"/>
            <w:b/>
            <w:sz w:val="20"/>
            <w:u w:val="none"/>
          </w:rPr>
          <w:t xml:space="preserve"> </w:t>
        </w:r>
        <w:r w:rsidR="00801CD5" w:rsidRPr="00BE5170">
          <w:rPr>
            <w:rStyle w:val="Hyperlink"/>
            <w:rFonts w:ascii="Arial" w:hAnsi="Arial" w:cs="Arial"/>
            <w:b/>
            <w:sz w:val="20"/>
            <w:u w:val="none"/>
          </w:rPr>
          <w:t>C</w:t>
        </w:r>
        <w:r w:rsidR="009A5523" w:rsidRPr="00BE5170">
          <w:rPr>
            <w:rStyle w:val="Hyperlink"/>
            <w:rFonts w:ascii="Arial" w:hAnsi="Arial" w:cs="Arial"/>
            <w:b/>
            <w:sz w:val="20"/>
            <w:u w:val="none"/>
          </w:rPr>
          <w:t>C</w:t>
        </w:r>
      </w:hyperlink>
    </w:p>
    <w:p w14:paraId="6A836BC0" w14:textId="77777777" w:rsidR="00497924" w:rsidRPr="00BE5170" w:rsidRDefault="00A262FE" w:rsidP="009A552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6_Guidelines_&amp;"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t>4.10.6</w:t>
        </w:r>
        <w:r w:rsidR="009A5523" w:rsidRPr="00BE5170">
          <w:rPr>
            <w:rStyle w:val="Hyperlink"/>
            <w:rFonts w:ascii="Arial" w:hAnsi="Arial" w:cs="Arial"/>
            <w:b/>
            <w:bCs/>
            <w:sz w:val="20"/>
            <w:u w:val="none"/>
          </w:rPr>
          <w:tab/>
        </w:r>
        <w:r w:rsidR="0071271A" w:rsidRPr="00BE5170">
          <w:rPr>
            <w:rStyle w:val="Hyperlink"/>
            <w:rFonts w:ascii="Arial" w:hAnsi="Arial" w:cs="Arial"/>
            <w:b/>
            <w:bCs/>
            <w:sz w:val="20"/>
            <w:u w:val="none"/>
          </w:rPr>
          <w:t xml:space="preserve">Guidelines &amp; </w:t>
        </w:r>
        <w:r w:rsidR="00497924" w:rsidRPr="00BE5170">
          <w:rPr>
            <w:rStyle w:val="Hyperlink"/>
            <w:rFonts w:ascii="Arial" w:hAnsi="Arial" w:cs="Arial"/>
            <w:b/>
            <w:bCs/>
            <w:sz w:val="20"/>
            <w:u w:val="none"/>
          </w:rPr>
          <w:t>Procedure</w:t>
        </w:r>
      </w:hyperlink>
    </w:p>
    <w:p w14:paraId="4EC99178" w14:textId="77777777" w:rsidR="007A7BE3" w:rsidRPr="00BE5170" w:rsidRDefault="00A262FE"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7_Reports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7A7BE3" w:rsidRPr="00BE5170">
          <w:rPr>
            <w:rStyle w:val="Hyperlink"/>
            <w:rFonts w:ascii="Arial" w:hAnsi="Arial" w:cs="Arial"/>
            <w:b/>
            <w:bCs/>
            <w:sz w:val="20"/>
            <w:u w:val="none"/>
          </w:rPr>
          <w:t>4.10.7</w:t>
        </w:r>
        <w:r w:rsidR="00EE4D2D" w:rsidRPr="00BE5170">
          <w:rPr>
            <w:rStyle w:val="Hyperlink"/>
            <w:rFonts w:ascii="Arial" w:hAnsi="Arial" w:cs="Arial"/>
            <w:b/>
            <w:bCs/>
            <w:sz w:val="20"/>
            <w:u w:val="none"/>
          </w:rPr>
          <w:tab/>
        </w:r>
        <w:r w:rsidR="00F301D1" w:rsidRPr="00BE5170">
          <w:rPr>
            <w:rStyle w:val="Hyperlink"/>
            <w:rFonts w:ascii="Arial" w:hAnsi="Arial" w:cs="Arial"/>
            <w:b/>
            <w:bCs/>
            <w:sz w:val="20"/>
            <w:u w:val="none"/>
          </w:rPr>
          <w:t>Reports &amp; Confidentiality</w:t>
        </w:r>
      </w:hyperlink>
    </w:p>
    <w:p w14:paraId="25DE97F0" w14:textId="77777777" w:rsidR="0048483D" w:rsidRPr="00BE5170" w:rsidRDefault="00A262FE"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8_Court_orders" w:history="1">
        <w:r w:rsidR="0048483D" w:rsidRPr="00BE5170">
          <w:rPr>
            <w:rStyle w:val="Hyperlink"/>
            <w:rFonts w:ascii="Arial" w:hAnsi="Arial" w:cs="Arial"/>
            <w:b/>
            <w:bCs/>
            <w:sz w:val="20"/>
            <w:u w:val="none"/>
          </w:rPr>
          <w:tab/>
        </w:r>
        <w:r w:rsidR="0048483D" w:rsidRPr="00BE5170">
          <w:rPr>
            <w:rStyle w:val="Hyperlink"/>
            <w:rFonts w:ascii="Arial" w:hAnsi="Arial" w:cs="Arial"/>
            <w:b/>
            <w:bCs/>
            <w:sz w:val="20"/>
            <w:u w:val="none"/>
          </w:rPr>
          <w:tab/>
          <w:t>4.10.</w:t>
        </w:r>
        <w:r w:rsidR="00F301D1" w:rsidRPr="00BE5170">
          <w:rPr>
            <w:rStyle w:val="Hyperlink"/>
            <w:rFonts w:ascii="Arial" w:hAnsi="Arial" w:cs="Arial"/>
            <w:b/>
            <w:bCs/>
            <w:sz w:val="20"/>
            <w:u w:val="none"/>
          </w:rPr>
          <w:t>8</w:t>
        </w:r>
        <w:r w:rsidR="0048483D" w:rsidRPr="00BE5170">
          <w:rPr>
            <w:rStyle w:val="Hyperlink"/>
            <w:rFonts w:ascii="Arial" w:hAnsi="Arial" w:cs="Arial"/>
            <w:b/>
            <w:bCs/>
            <w:sz w:val="20"/>
            <w:u w:val="none"/>
          </w:rPr>
          <w:tab/>
        </w:r>
        <w:r w:rsidR="00F301D1" w:rsidRPr="00BE5170">
          <w:rPr>
            <w:rStyle w:val="Hyperlink"/>
            <w:rFonts w:ascii="Arial" w:hAnsi="Arial" w:cs="Arial"/>
            <w:b/>
            <w:bCs/>
            <w:sz w:val="20"/>
            <w:u w:val="none"/>
          </w:rPr>
          <w:t>Court orders</w:t>
        </w:r>
      </w:hyperlink>
    </w:p>
    <w:p w14:paraId="6777A8E1" w14:textId="77777777" w:rsidR="00F301D1" w:rsidRPr="00BE5170" w:rsidRDefault="00A262FE"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9_Statistics" w:history="1">
        <w:r w:rsidR="00F301D1" w:rsidRPr="00BE5170">
          <w:rPr>
            <w:rStyle w:val="Hyperlink"/>
            <w:rFonts w:ascii="Arial" w:hAnsi="Arial" w:cs="Arial"/>
            <w:b/>
            <w:bCs/>
            <w:sz w:val="20"/>
            <w:u w:val="none"/>
          </w:rPr>
          <w:tab/>
        </w:r>
        <w:r w:rsidR="00F301D1" w:rsidRPr="00BE5170">
          <w:rPr>
            <w:rStyle w:val="Hyperlink"/>
            <w:rFonts w:ascii="Arial" w:hAnsi="Arial" w:cs="Arial"/>
            <w:b/>
            <w:bCs/>
            <w:sz w:val="20"/>
            <w:u w:val="none"/>
          </w:rPr>
          <w:tab/>
          <w:t>4.10.9</w:t>
        </w:r>
        <w:r w:rsidR="00F301D1" w:rsidRPr="00BE5170">
          <w:rPr>
            <w:rStyle w:val="Hyperlink"/>
            <w:rFonts w:ascii="Arial" w:hAnsi="Arial" w:cs="Arial"/>
            <w:b/>
            <w:bCs/>
            <w:sz w:val="20"/>
            <w:u w:val="none"/>
          </w:rPr>
          <w:tab/>
          <w:t>Statistics</w:t>
        </w:r>
      </w:hyperlink>
    </w:p>
    <w:p w14:paraId="74969FA5" w14:textId="77777777" w:rsidR="00F0138C" w:rsidRPr="00BE5170" w:rsidRDefault="00A262FE"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10__Judicial" w:history="1">
        <w:r w:rsidR="00F0138C" w:rsidRPr="00BE5170">
          <w:rPr>
            <w:rStyle w:val="Hyperlink"/>
            <w:rFonts w:ascii="Arial" w:hAnsi="Arial" w:cs="Arial"/>
            <w:b/>
            <w:bCs/>
            <w:sz w:val="20"/>
            <w:u w:val="none"/>
          </w:rPr>
          <w:tab/>
        </w:r>
        <w:r w:rsidR="00F0138C" w:rsidRPr="00BE5170">
          <w:rPr>
            <w:rStyle w:val="Hyperlink"/>
            <w:rFonts w:ascii="Arial" w:hAnsi="Arial" w:cs="Arial"/>
            <w:b/>
            <w:bCs/>
            <w:sz w:val="20"/>
            <w:u w:val="none"/>
          </w:rPr>
          <w:tab/>
          <w:t>4.10.</w:t>
        </w:r>
        <w:r w:rsidR="00F301D1" w:rsidRPr="00BE5170">
          <w:rPr>
            <w:rStyle w:val="Hyperlink"/>
            <w:rFonts w:ascii="Arial" w:hAnsi="Arial" w:cs="Arial"/>
            <w:b/>
            <w:bCs/>
            <w:sz w:val="20"/>
            <w:u w:val="none"/>
          </w:rPr>
          <w:t>10</w:t>
        </w:r>
        <w:r w:rsidR="00F0138C" w:rsidRPr="00BE5170">
          <w:rPr>
            <w:rStyle w:val="Hyperlink"/>
            <w:rFonts w:ascii="Arial" w:hAnsi="Arial" w:cs="Arial"/>
            <w:b/>
            <w:bCs/>
            <w:sz w:val="20"/>
            <w:u w:val="none"/>
          </w:rPr>
          <w:tab/>
          <w:t>Judicial Resolution Conferences</w:t>
        </w:r>
      </w:hyperlink>
    </w:p>
    <w:p w14:paraId="517769F6" w14:textId="77777777" w:rsidR="00693223" w:rsidRPr="00BE5170" w:rsidRDefault="00A262FE">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1_Children's_Court" w:history="1">
        <w:r w:rsidR="00693223" w:rsidRPr="00BE5170">
          <w:rPr>
            <w:rStyle w:val="Hyperlink"/>
            <w:rFonts w:ascii="Arial" w:hAnsi="Arial" w:cs="Arial"/>
            <w:b/>
            <w:bCs/>
            <w:u w:val="none"/>
          </w:rPr>
          <w:t>4.1</w:t>
        </w:r>
        <w:r w:rsidR="00A338D2" w:rsidRPr="00BE5170">
          <w:rPr>
            <w:rStyle w:val="Hyperlink"/>
            <w:rFonts w:ascii="Arial" w:hAnsi="Arial" w:cs="Arial"/>
            <w:b/>
            <w:bCs/>
            <w:u w:val="none"/>
          </w:rPr>
          <w:t>1</w:t>
        </w:r>
        <w:r w:rsidR="00693223" w:rsidRPr="00BE5170">
          <w:rPr>
            <w:rStyle w:val="Hyperlink"/>
            <w:rFonts w:ascii="Arial" w:hAnsi="Arial" w:cs="Arial"/>
            <w:b/>
            <w:bCs/>
            <w:u w:val="none"/>
          </w:rPr>
          <w:tab/>
          <w:t>Children's Court &amp; Family Court compared &amp; contrasted</w:t>
        </w:r>
      </w:hyperlink>
    </w:p>
    <w:p w14:paraId="6D28E74B" w14:textId="77777777" w:rsidR="00693223" w:rsidRPr="00BE5170" w:rsidRDefault="00A262FE" w:rsidP="007E7E01">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11.1__Public"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4.1</w:t>
        </w:r>
        <w:r w:rsidR="00A338D2" w:rsidRPr="00BE5170">
          <w:rPr>
            <w:rStyle w:val="Hyperlink"/>
            <w:rFonts w:ascii="Arial" w:hAnsi="Arial" w:cs="Arial"/>
            <w:b/>
            <w:bCs/>
            <w:sz w:val="20"/>
            <w:u w:val="none"/>
          </w:rPr>
          <w:t>1</w:t>
        </w:r>
        <w:r w:rsidR="00693223" w:rsidRPr="00BE5170">
          <w:rPr>
            <w:rStyle w:val="Hyperlink"/>
            <w:rFonts w:ascii="Arial" w:hAnsi="Arial" w:cs="Arial"/>
            <w:b/>
            <w:bCs/>
            <w:sz w:val="20"/>
            <w:u w:val="none"/>
          </w:rPr>
          <w:t>.1</w:t>
        </w:r>
        <w:r w:rsidR="004C5BBD" w:rsidRPr="00BE5170">
          <w:rPr>
            <w:rStyle w:val="Hyperlink"/>
            <w:rFonts w:ascii="Arial" w:hAnsi="Arial" w:cs="Arial"/>
            <w:b/>
            <w:bCs/>
            <w:sz w:val="20"/>
            <w:u w:val="none"/>
          </w:rPr>
          <w:tab/>
        </w:r>
        <w:r w:rsidR="00693223" w:rsidRPr="00BE5170">
          <w:rPr>
            <w:rStyle w:val="Hyperlink"/>
            <w:rFonts w:ascii="Arial" w:hAnsi="Arial" w:cs="Arial"/>
            <w:b/>
            <w:bCs/>
            <w:sz w:val="20"/>
            <w:u w:val="none"/>
          </w:rPr>
          <w:t>Public law versus private law</w:t>
        </w:r>
      </w:hyperlink>
    </w:p>
    <w:p w14:paraId="553E1BC9" w14:textId="77777777" w:rsidR="00693223" w:rsidRPr="00BE5170" w:rsidRDefault="00A262FE">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2__Responsibilities"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.2</w:t>
        </w:r>
        <w:r w:rsidR="00EE4D2D" w:rsidRPr="00BE5170">
          <w:rPr>
            <w:rStyle w:val="Hyperlink"/>
            <w:rFonts w:ascii="Arial" w:hAnsi="Arial" w:cs="Arial"/>
            <w:b/>
            <w:bCs/>
            <w:sz w:val="20"/>
            <w:u w:val="none"/>
          </w:rPr>
          <w:tab/>
        </w:r>
        <w:r w:rsidR="00183039">
          <w:rPr>
            <w:rStyle w:val="Hyperlink"/>
            <w:rFonts w:ascii="Arial" w:hAnsi="Arial" w:cs="Arial"/>
            <w:b/>
            <w:bCs/>
            <w:sz w:val="20"/>
            <w:u w:val="none"/>
          </w:rPr>
          <w:t>R</w:t>
        </w:r>
        <w:r w:rsidR="00693223" w:rsidRPr="00BE5170">
          <w:rPr>
            <w:rStyle w:val="Hyperlink"/>
            <w:rFonts w:ascii="Arial" w:hAnsi="Arial" w:cs="Arial"/>
            <w:b/>
            <w:bCs/>
            <w:sz w:val="20"/>
            <w:u w:val="none"/>
          </w:rPr>
          <w:t>esponsibilities and obligations of the Family Court to children</w:t>
        </w:r>
      </w:hyperlink>
    </w:p>
    <w:p w14:paraId="4ABCCB74" w14:textId="77777777" w:rsidR="00693223" w:rsidRPr="00BE5170" w:rsidRDefault="00A262FE">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3__Notification" w:history="1">
        <w:r w:rsidR="00A338D2"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4.11</w:t>
        </w:r>
        <w:r w:rsidR="00693223" w:rsidRPr="00BE5170">
          <w:rPr>
            <w:rStyle w:val="Hyperlink"/>
            <w:rFonts w:ascii="Arial" w:hAnsi="Arial" w:cs="Arial"/>
            <w:b/>
            <w:bCs/>
            <w:sz w:val="20"/>
            <w:u w:val="none"/>
          </w:rPr>
          <w:t>.3</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Notification by the Family Court to State welfare authorities</w:t>
        </w:r>
      </w:hyperlink>
    </w:p>
    <w:p w14:paraId="47D60E63" w14:textId="77777777" w:rsidR="00693223" w:rsidRPr="00BE5170" w:rsidRDefault="00A262FE">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4__Representation"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.4</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Representation of children</w:t>
        </w:r>
      </w:hyperlink>
    </w:p>
    <w:p w14:paraId="79F2BF5B" w14:textId="77777777" w:rsidR="00693223" w:rsidRDefault="00A262FE">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5__Priority"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.5</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Priority of orders</w:t>
        </w:r>
      </w:hyperlink>
    </w:p>
    <w:p w14:paraId="70A40CA1" w14:textId="77777777" w:rsidR="00802EC5" w:rsidRPr="00D74C22" w:rsidRDefault="00802EC5">
      <w:pPr>
        <w:pBdr>
          <w:top w:val="single" w:sz="4" w:space="1" w:color="auto"/>
          <w:left w:val="single" w:sz="4" w:space="4" w:color="auto"/>
          <w:bottom w:val="single" w:sz="4" w:space="1" w:color="auto"/>
          <w:right w:val="single" w:sz="4" w:space="4" w:color="auto"/>
        </w:pBdr>
        <w:rPr>
          <w:rFonts w:ascii="Arial" w:hAnsi="Arial" w:cs="Arial"/>
          <w:b/>
          <w:bCs/>
          <w:sz w:val="20"/>
        </w:rPr>
      </w:pPr>
      <w:r w:rsidRPr="00D74C22">
        <w:rPr>
          <w:rFonts w:ascii="Arial" w:hAnsi="Arial" w:cs="Arial"/>
          <w:b/>
          <w:bCs/>
          <w:sz w:val="20"/>
        </w:rPr>
        <w:tab/>
      </w:r>
      <w:r w:rsidRPr="00D74C22">
        <w:rPr>
          <w:rFonts w:ascii="Arial" w:hAnsi="Arial" w:cs="Arial"/>
          <w:b/>
          <w:bCs/>
          <w:sz w:val="20"/>
        </w:rPr>
        <w:tab/>
      </w:r>
      <w:hyperlink w:anchor="_4.11.6__Sharing" w:history="1">
        <w:r w:rsidRPr="00D74C22">
          <w:rPr>
            <w:rStyle w:val="Hyperlink"/>
            <w:rFonts w:ascii="Arial" w:hAnsi="Arial" w:cs="Arial"/>
            <w:b/>
            <w:bCs/>
            <w:sz w:val="20"/>
            <w:u w:val="none"/>
          </w:rPr>
          <w:t>4.11.6</w:t>
        </w:r>
        <w:r w:rsidRPr="00D74C22">
          <w:rPr>
            <w:rStyle w:val="Hyperlink"/>
            <w:rFonts w:ascii="Arial" w:hAnsi="Arial" w:cs="Arial"/>
            <w:b/>
            <w:bCs/>
            <w:sz w:val="20"/>
            <w:u w:val="none"/>
          </w:rPr>
          <w:tab/>
          <w:t>Sharing of materials between Children’s Court &amp; Family Court</w:t>
        </w:r>
      </w:hyperlink>
    </w:p>
    <w:p w14:paraId="60855F04" w14:textId="77777777" w:rsidR="00693223" w:rsidRPr="00BE5170" w:rsidRDefault="00A262FE">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2_Relationship_between" w:history="1">
        <w:r w:rsidR="00693223" w:rsidRPr="00BE5170">
          <w:rPr>
            <w:rStyle w:val="Hyperlink"/>
            <w:rFonts w:ascii="Arial" w:hAnsi="Arial" w:cs="Arial"/>
            <w:b/>
            <w:bCs/>
            <w:u w:val="none"/>
          </w:rPr>
          <w:t>4.1</w:t>
        </w:r>
        <w:r w:rsidR="00A338D2" w:rsidRPr="00BE5170">
          <w:rPr>
            <w:rStyle w:val="Hyperlink"/>
            <w:rFonts w:ascii="Arial" w:hAnsi="Arial" w:cs="Arial"/>
            <w:b/>
            <w:bCs/>
            <w:u w:val="none"/>
          </w:rPr>
          <w:t>2</w:t>
        </w:r>
        <w:r w:rsidR="00693223" w:rsidRPr="00BE5170">
          <w:rPr>
            <w:rStyle w:val="Hyperlink"/>
            <w:rFonts w:ascii="Arial" w:hAnsi="Arial" w:cs="Arial"/>
            <w:b/>
            <w:bCs/>
            <w:u w:val="none"/>
          </w:rPr>
          <w:tab/>
          <w:t>Relationship between attachment and child's emotional wellbeing</w:t>
        </w:r>
      </w:hyperlink>
    </w:p>
    <w:p w14:paraId="779B1742" w14:textId="77777777" w:rsidR="00693223" w:rsidRPr="00BE5170" w:rsidRDefault="00A262FE">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3_Shared_care" w:history="1">
        <w:r w:rsidR="00A338D2" w:rsidRPr="00BE5170">
          <w:rPr>
            <w:rStyle w:val="Hyperlink"/>
            <w:rFonts w:ascii="Arial" w:hAnsi="Arial" w:cs="Arial"/>
            <w:b/>
            <w:bCs/>
            <w:u w:val="none"/>
          </w:rPr>
          <w:t>4.13</w:t>
        </w:r>
        <w:r w:rsidR="00693223" w:rsidRPr="00BE5170">
          <w:rPr>
            <w:rStyle w:val="Hyperlink"/>
            <w:rFonts w:ascii="Arial" w:hAnsi="Arial" w:cs="Arial"/>
            <w:b/>
            <w:bCs/>
            <w:u w:val="none"/>
          </w:rPr>
          <w:tab/>
          <w:t>Shared care of a young child</w:t>
        </w:r>
      </w:hyperlink>
    </w:p>
    <w:p w14:paraId="13D83405" w14:textId="77777777" w:rsidR="00E14F02" w:rsidRPr="00BE5170" w:rsidRDefault="00A262FE" w:rsidP="00E14F0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4_Frequency_of" w:history="1">
        <w:r w:rsidR="00E14F02" w:rsidRPr="00BE5170">
          <w:rPr>
            <w:rStyle w:val="Hyperlink"/>
            <w:rFonts w:ascii="Arial" w:hAnsi="Arial" w:cs="Arial"/>
            <w:b/>
            <w:bCs/>
            <w:u w:val="none"/>
          </w:rPr>
          <w:t>4.14</w:t>
        </w:r>
        <w:r w:rsidR="00E14F02" w:rsidRPr="00BE5170">
          <w:rPr>
            <w:rStyle w:val="Hyperlink"/>
            <w:rFonts w:ascii="Arial" w:hAnsi="Arial" w:cs="Arial"/>
            <w:b/>
            <w:bCs/>
            <w:u w:val="none"/>
          </w:rPr>
          <w:tab/>
          <w:t xml:space="preserve">Frequency of </w:t>
        </w:r>
        <w:r w:rsidR="00CF6AAD" w:rsidRPr="00BE5170">
          <w:rPr>
            <w:rStyle w:val="Hyperlink"/>
            <w:rFonts w:ascii="Arial" w:hAnsi="Arial" w:cs="Arial"/>
            <w:b/>
            <w:bCs/>
            <w:u w:val="none"/>
          </w:rPr>
          <w:t>contact</w:t>
        </w:r>
        <w:r w:rsidR="00E14F02" w:rsidRPr="00BE5170">
          <w:rPr>
            <w:rStyle w:val="Hyperlink"/>
            <w:rFonts w:ascii="Arial" w:hAnsi="Arial" w:cs="Arial"/>
            <w:b/>
            <w:bCs/>
            <w:u w:val="none"/>
          </w:rPr>
          <w:t xml:space="preserve"> between </w:t>
        </w:r>
        <w:r w:rsidR="00EF65CA" w:rsidRPr="00BE5170">
          <w:rPr>
            <w:rStyle w:val="Hyperlink"/>
            <w:rFonts w:ascii="Arial" w:hAnsi="Arial" w:cs="Arial"/>
            <w:b/>
            <w:bCs/>
            <w:u w:val="none"/>
          </w:rPr>
          <w:t>young child</w:t>
        </w:r>
        <w:r w:rsidR="00E14F02" w:rsidRPr="00BE5170">
          <w:rPr>
            <w:rStyle w:val="Hyperlink"/>
            <w:rFonts w:ascii="Arial" w:hAnsi="Arial" w:cs="Arial"/>
            <w:b/>
            <w:bCs/>
            <w:u w:val="none"/>
          </w:rPr>
          <w:t xml:space="preserve"> and parent</w:t>
        </w:r>
      </w:hyperlink>
    </w:p>
    <w:p w14:paraId="68504CCD" w14:textId="77777777" w:rsidR="007E7E01" w:rsidRPr="00BE5170" w:rsidRDefault="00A262FE"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r:id="rId8" w:anchor="_4.14.1__" w:history="1">
        <w:r w:rsidR="007E7E01" w:rsidRPr="00BE5170">
          <w:rPr>
            <w:rStyle w:val="Hyperlink"/>
            <w:rFonts w:ascii="Arial" w:hAnsi="Arial" w:cs="Arial"/>
            <w:b/>
            <w:bCs/>
            <w:sz w:val="20"/>
            <w:u w:val="none"/>
          </w:rPr>
          <w:tab/>
        </w:r>
        <w:r w:rsidR="007E7E01" w:rsidRPr="00BE5170">
          <w:rPr>
            <w:rStyle w:val="Hyperlink"/>
            <w:rFonts w:ascii="Arial" w:hAnsi="Arial" w:cs="Arial"/>
            <w:b/>
            <w:bCs/>
            <w:sz w:val="20"/>
            <w:u w:val="none"/>
          </w:rPr>
          <w:tab/>
          <w:t>4.14.1</w:t>
        </w:r>
        <w:r w:rsidR="007E7E01" w:rsidRPr="00BE5170">
          <w:rPr>
            <w:rStyle w:val="Hyperlink"/>
            <w:rFonts w:ascii="Arial" w:hAnsi="Arial" w:cs="Arial"/>
            <w:b/>
            <w:bCs/>
            <w:sz w:val="20"/>
            <w:u w:val="none"/>
          </w:rPr>
          <w:tab/>
        </w:r>
        <w:r w:rsidR="004E7031" w:rsidRPr="00BE5170">
          <w:rPr>
            <w:rStyle w:val="Hyperlink"/>
            <w:rFonts w:ascii="Arial" w:hAnsi="Arial" w:cs="Arial"/>
            <w:b/>
            <w:bCs/>
            <w:sz w:val="20"/>
            <w:u w:val="none"/>
          </w:rPr>
          <w:t xml:space="preserve">“Baby on Board” and </w:t>
        </w:r>
        <w:r w:rsidR="00A078F1" w:rsidRPr="00BE5170">
          <w:rPr>
            <w:rStyle w:val="Hyperlink"/>
            <w:rFonts w:ascii="Arial" w:hAnsi="Arial" w:cs="Arial"/>
            <w:b/>
            <w:bCs/>
            <w:sz w:val="20"/>
            <w:u w:val="none"/>
          </w:rPr>
          <w:t>research</w:t>
        </w:r>
        <w:r w:rsidR="00C63A0D" w:rsidRPr="00BE5170">
          <w:rPr>
            <w:rStyle w:val="Hyperlink"/>
            <w:rFonts w:ascii="Arial" w:hAnsi="Arial" w:cs="Arial"/>
            <w:b/>
            <w:bCs/>
            <w:sz w:val="20"/>
            <w:u w:val="none"/>
          </w:rPr>
          <w:t xml:space="preserve"> cited therein</w:t>
        </w:r>
      </w:hyperlink>
    </w:p>
    <w:p w14:paraId="6B9F3C05" w14:textId="77777777" w:rsidR="007E7E01" w:rsidRPr="00BE5170" w:rsidRDefault="00A262FE"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4.2__Case" w:history="1">
        <w:r w:rsidR="007E7E01" w:rsidRPr="00BE5170">
          <w:rPr>
            <w:rStyle w:val="Hyperlink"/>
            <w:rFonts w:ascii="Arial" w:hAnsi="Arial" w:cs="Arial"/>
            <w:b/>
            <w:bCs/>
            <w:sz w:val="20"/>
            <w:u w:val="none"/>
          </w:rPr>
          <w:tab/>
        </w:r>
        <w:r w:rsidR="007E7E01" w:rsidRPr="00BE5170">
          <w:rPr>
            <w:rStyle w:val="Hyperlink"/>
            <w:rFonts w:ascii="Arial" w:hAnsi="Arial" w:cs="Arial"/>
            <w:b/>
            <w:bCs/>
            <w:sz w:val="20"/>
            <w:u w:val="none"/>
          </w:rPr>
          <w:tab/>
          <w:t>4.14.2</w:t>
        </w:r>
        <w:r w:rsidR="007E7E01" w:rsidRPr="00BE5170">
          <w:rPr>
            <w:rStyle w:val="Hyperlink"/>
            <w:rFonts w:ascii="Arial" w:hAnsi="Arial" w:cs="Arial"/>
            <w:b/>
            <w:bCs/>
            <w:sz w:val="20"/>
            <w:u w:val="none"/>
          </w:rPr>
          <w:tab/>
          <w:t>Case law</w:t>
        </w:r>
      </w:hyperlink>
    </w:p>
    <w:p w14:paraId="56CE8D11" w14:textId="77777777" w:rsidR="00F236C2" w:rsidRPr="00BE5170" w:rsidRDefault="00A262FE"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4.3__American" w:history="1">
        <w:r w:rsidR="00806118" w:rsidRPr="00BE5170">
          <w:rPr>
            <w:rStyle w:val="Hyperlink"/>
            <w:rFonts w:ascii="Arial" w:hAnsi="Arial" w:cs="Arial"/>
            <w:b/>
            <w:bCs/>
            <w:sz w:val="20"/>
            <w:u w:val="none"/>
          </w:rPr>
          <w:tab/>
        </w:r>
        <w:r w:rsidR="00806118" w:rsidRPr="00BE5170">
          <w:rPr>
            <w:rStyle w:val="Hyperlink"/>
            <w:rFonts w:ascii="Arial" w:hAnsi="Arial" w:cs="Arial"/>
            <w:b/>
            <w:bCs/>
            <w:sz w:val="20"/>
            <w:u w:val="none"/>
          </w:rPr>
          <w:tab/>
          <w:t>4.14.3</w:t>
        </w:r>
        <w:r w:rsidR="00806118" w:rsidRPr="00BE5170">
          <w:rPr>
            <w:rStyle w:val="Hyperlink"/>
            <w:rFonts w:ascii="Arial" w:hAnsi="Arial" w:cs="Arial"/>
            <w:b/>
            <w:bCs/>
            <w:sz w:val="20"/>
            <w:u w:val="none"/>
          </w:rPr>
          <w:tab/>
        </w:r>
        <w:r w:rsidR="00183039">
          <w:rPr>
            <w:rStyle w:val="Hyperlink"/>
            <w:rFonts w:ascii="Arial" w:hAnsi="Arial" w:cs="Arial"/>
            <w:b/>
            <w:bCs/>
            <w:sz w:val="20"/>
            <w:u w:val="none"/>
          </w:rPr>
          <w:t>A</w:t>
        </w:r>
        <w:r w:rsidR="00F236C2" w:rsidRPr="00BE5170">
          <w:rPr>
            <w:rStyle w:val="Hyperlink"/>
            <w:rFonts w:ascii="Arial" w:hAnsi="Arial" w:cs="Arial"/>
            <w:b/>
            <w:bCs/>
            <w:sz w:val="20"/>
            <w:u w:val="none"/>
          </w:rPr>
          <w:t xml:space="preserve">merican judicial </w:t>
        </w:r>
        <w:r w:rsidR="00247BF7" w:rsidRPr="00BE5170">
          <w:rPr>
            <w:rStyle w:val="Hyperlink"/>
            <w:rFonts w:ascii="Arial" w:hAnsi="Arial" w:cs="Arial"/>
            <w:b/>
            <w:bCs/>
            <w:sz w:val="20"/>
            <w:u w:val="none"/>
          </w:rPr>
          <w:t>guidelines</w:t>
        </w:r>
        <w:r w:rsidR="00806118" w:rsidRPr="00BE5170">
          <w:rPr>
            <w:rStyle w:val="Hyperlink"/>
            <w:rFonts w:ascii="Arial" w:hAnsi="Arial" w:cs="Arial"/>
            <w:b/>
            <w:bCs/>
            <w:sz w:val="20"/>
            <w:u w:val="none"/>
          </w:rPr>
          <w:t xml:space="preserve"> 2009</w:t>
        </w:r>
      </w:hyperlink>
    </w:p>
    <w:p w14:paraId="4D06ABC1" w14:textId="77777777" w:rsidR="00EF65CA" w:rsidRPr="00BE5170" w:rsidRDefault="00A262FE" w:rsidP="00EF65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4.4__Contact" w:history="1">
        <w:r w:rsidR="00EF65CA" w:rsidRPr="00BE5170">
          <w:rPr>
            <w:rStyle w:val="Hyperlink"/>
            <w:rFonts w:ascii="Arial" w:hAnsi="Arial" w:cs="Arial"/>
            <w:b/>
            <w:bCs/>
            <w:sz w:val="20"/>
            <w:u w:val="none"/>
          </w:rPr>
          <w:tab/>
        </w:r>
        <w:r w:rsidR="00EF65CA" w:rsidRPr="00BE5170">
          <w:rPr>
            <w:rStyle w:val="Hyperlink"/>
            <w:rFonts w:ascii="Arial" w:hAnsi="Arial" w:cs="Arial"/>
            <w:b/>
            <w:bCs/>
            <w:sz w:val="20"/>
            <w:u w:val="none"/>
          </w:rPr>
          <w:tab/>
          <w:t>4.14.4</w:t>
        </w:r>
        <w:r w:rsidR="00EF65CA"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r w:rsidR="00EF65CA" w:rsidRPr="00BE5170">
          <w:rPr>
            <w:rStyle w:val="Hyperlink"/>
            <w:rFonts w:ascii="Arial" w:hAnsi="Arial" w:cs="Arial"/>
            <w:b/>
            <w:bCs/>
            <w:sz w:val="20"/>
            <w:u w:val="none"/>
          </w:rPr>
          <w:t xml:space="preserve"> conditions </w:t>
        </w:r>
        <w:r w:rsidR="00310561" w:rsidRPr="00BE5170">
          <w:rPr>
            <w:rStyle w:val="Hyperlink"/>
            <w:rFonts w:ascii="Arial" w:hAnsi="Arial" w:cs="Arial"/>
            <w:b/>
            <w:bCs/>
            <w:sz w:val="20"/>
            <w:u w:val="none"/>
          </w:rPr>
          <w:t xml:space="preserve">are </w:t>
        </w:r>
        <w:r w:rsidR="00EF65CA" w:rsidRPr="00BE5170">
          <w:rPr>
            <w:rStyle w:val="Hyperlink"/>
            <w:rFonts w:ascii="Arial" w:hAnsi="Arial" w:cs="Arial"/>
            <w:b/>
            <w:bCs/>
            <w:sz w:val="20"/>
            <w:u w:val="none"/>
          </w:rPr>
          <w:t>an integral part of a court order</w:t>
        </w:r>
      </w:hyperlink>
    </w:p>
    <w:p w14:paraId="13F7D825" w14:textId="77777777" w:rsidR="00FB53EB" w:rsidRPr="00BE5170" w:rsidRDefault="00A262FE">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5_Cumulative_harm" w:history="1">
        <w:r w:rsidR="00497924" w:rsidRPr="00BE5170">
          <w:rPr>
            <w:rStyle w:val="Hyperlink"/>
            <w:rFonts w:ascii="Arial" w:hAnsi="Arial" w:cs="Arial"/>
            <w:b/>
            <w:bCs/>
            <w:u w:val="none"/>
          </w:rPr>
          <w:t>4.1</w:t>
        </w:r>
        <w:r w:rsidR="00E14F02" w:rsidRPr="00BE5170">
          <w:rPr>
            <w:rStyle w:val="Hyperlink"/>
            <w:rFonts w:ascii="Arial" w:hAnsi="Arial" w:cs="Arial"/>
            <w:b/>
            <w:bCs/>
            <w:u w:val="none"/>
          </w:rPr>
          <w:t>5</w:t>
        </w:r>
        <w:r w:rsidR="00693223" w:rsidRPr="00BE5170">
          <w:rPr>
            <w:rStyle w:val="Hyperlink"/>
            <w:rFonts w:ascii="Arial" w:hAnsi="Arial" w:cs="Arial"/>
            <w:b/>
            <w:bCs/>
            <w:u w:val="none"/>
          </w:rPr>
          <w:tab/>
        </w:r>
        <w:r w:rsidR="00FB53EB" w:rsidRPr="00BE5170">
          <w:rPr>
            <w:rStyle w:val="Hyperlink"/>
            <w:rFonts w:ascii="Arial" w:hAnsi="Arial" w:cs="Arial"/>
            <w:b/>
            <w:bCs/>
            <w:u w:val="none"/>
          </w:rPr>
          <w:t>Cumulative harm</w:t>
        </w:r>
      </w:hyperlink>
    </w:p>
    <w:p w14:paraId="262BAC6E" w14:textId="77777777" w:rsidR="00F034D2" w:rsidRPr="00BE5170" w:rsidRDefault="00A262FE" w:rsidP="00F034D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6_Effect_on" w:history="1">
        <w:r w:rsidR="00F034D2" w:rsidRPr="00BE5170">
          <w:rPr>
            <w:rStyle w:val="Hyperlink"/>
            <w:rFonts w:ascii="Arial" w:hAnsi="Arial" w:cs="Arial"/>
            <w:b/>
            <w:bCs/>
            <w:u w:val="none"/>
          </w:rPr>
          <w:t>4.16</w:t>
        </w:r>
        <w:r w:rsidR="00F034D2" w:rsidRPr="00BE5170">
          <w:rPr>
            <w:rStyle w:val="Hyperlink"/>
            <w:rFonts w:ascii="Arial" w:hAnsi="Arial" w:cs="Arial"/>
            <w:b/>
            <w:bCs/>
            <w:u w:val="none"/>
          </w:rPr>
          <w:tab/>
        </w:r>
        <w:r w:rsidR="006A48FD" w:rsidRPr="00BE5170">
          <w:rPr>
            <w:rStyle w:val="Hyperlink"/>
            <w:rFonts w:ascii="Arial" w:hAnsi="Arial" w:cs="Arial"/>
            <w:b/>
            <w:bCs/>
            <w:u w:val="none"/>
          </w:rPr>
          <w:t>Effect on child of separation from primary attachment figure</w:t>
        </w:r>
      </w:hyperlink>
    </w:p>
    <w:p w14:paraId="7482B925" w14:textId="77777777" w:rsidR="00580B58" w:rsidRPr="00BE5170" w:rsidRDefault="00BE5170" w:rsidP="00580B58">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begin"/>
      </w:r>
      <w:r w:rsidRPr="00BE5170">
        <w:rPr>
          <w:rFonts w:ascii="Arial" w:hAnsi="Arial" w:cs="Arial"/>
          <w:b/>
          <w:bCs/>
          <w:color w:val="000000"/>
        </w:rPr>
        <w:instrText xml:space="preserve"> HYPERLINK  \l "_4.17_Family_Drug" </w:instrText>
      </w:r>
      <w:r w:rsidRPr="00BE5170">
        <w:rPr>
          <w:rFonts w:ascii="Arial" w:hAnsi="Arial" w:cs="Arial"/>
          <w:b/>
          <w:bCs/>
          <w:color w:val="000000"/>
        </w:rPr>
      </w:r>
      <w:r w:rsidRPr="00BE5170">
        <w:rPr>
          <w:rFonts w:ascii="Arial" w:hAnsi="Arial" w:cs="Arial"/>
          <w:b/>
          <w:bCs/>
          <w:color w:val="000000"/>
        </w:rPr>
        <w:fldChar w:fldCharType="separate"/>
      </w:r>
      <w:r w:rsidR="00580B58" w:rsidRPr="00BE5170">
        <w:rPr>
          <w:rStyle w:val="Hyperlink"/>
          <w:rFonts w:ascii="Arial" w:hAnsi="Arial" w:cs="Arial"/>
          <w:b/>
          <w:bCs/>
          <w:u w:val="none"/>
        </w:rPr>
        <w:t>4.17</w:t>
      </w:r>
      <w:r w:rsidR="00580B58" w:rsidRPr="00BE5170">
        <w:rPr>
          <w:rStyle w:val="Hyperlink"/>
          <w:rFonts w:ascii="Arial" w:hAnsi="Arial" w:cs="Arial"/>
          <w:b/>
          <w:bCs/>
          <w:u w:val="none"/>
        </w:rPr>
        <w:tab/>
        <w:t>Family Drug Treatment Court</w:t>
      </w:r>
    </w:p>
    <w:p w14:paraId="5605C1B1" w14:textId="77777777" w:rsidR="00693223" w:rsidRPr="00BE5170" w:rsidRDefault="00BE5170">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BE5170">
        <w:rPr>
          <w:rFonts w:ascii="Arial" w:hAnsi="Arial" w:cs="Arial"/>
          <w:b/>
          <w:bCs/>
          <w:color w:val="000000"/>
        </w:rPr>
        <w:fldChar w:fldCharType="end"/>
      </w:r>
      <w:hyperlink w:anchor="_4.18_Some_other" w:history="1">
        <w:r w:rsidR="00E14F02" w:rsidRPr="00BE5170">
          <w:rPr>
            <w:rStyle w:val="Hyperlink"/>
            <w:rFonts w:ascii="Arial" w:hAnsi="Arial" w:cs="Arial"/>
            <w:b/>
            <w:bCs/>
            <w:u w:val="none"/>
          </w:rPr>
          <w:t>4.1</w:t>
        </w:r>
        <w:r w:rsidR="00580B58" w:rsidRPr="00BE5170">
          <w:rPr>
            <w:rStyle w:val="Hyperlink"/>
            <w:rFonts w:ascii="Arial" w:hAnsi="Arial" w:cs="Arial"/>
            <w:b/>
            <w:bCs/>
            <w:u w:val="none"/>
          </w:rPr>
          <w:t>8</w:t>
        </w:r>
        <w:r w:rsidR="00E14F02" w:rsidRPr="00BE5170">
          <w:rPr>
            <w:rStyle w:val="Hyperlink"/>
            <w:rFonts w:ascii="Arial" w:hAnsi="Arial" w:cs="Arial"/>
            <w:b/>
            <w:bCs/>
            <w:u w:val="none"/>
          </w:rPr>
          <w:tab/>
        </w:r>
        <w:r w:rsidR="00693223" w:rsidRPr="00BE5170">
          <w:rPr>
            <w:rStyle w:val="Hyperlink"/>
            <w:rFonts w:ascii="Arial" w:hAnsi="Arial" w:cs="Arial"/>
            <w:b/>
            <w:bCs/>
            <w:u w:val="none"/>
          </w:rPr>
          <w:t>Some other relevant papers</w:t>
        </w:r>
      </w:hyperlink>
    </w:p>
    <w:p w14:paraId="35E489E1" w14:textId="77777777" w:rsidR="00693223" w:rsidRPr="00EF65CA" w:rsidRDefault="00693223">
      <w:pPr>
        <w:pBdr>
          <w:top w:val="single" w:sz="4" w:space="1" w:color="auto"/>
          <w:left w:val="single" w:sz="4" w:space="4" w:color="auto"/>
          <w:bottom w:val="single" w:sz="4" w:space="1" w:color="auto"/>
          <w:right w:val="single" w:sz="4" w:space="4" w:color="auto"/>
        </w:pBdr>
        <w:rPr>
          <w:rFonts w:ascii="Arial" w:hAnsi="Arial" w:cs="Arial"/>
          <w:b/>
          <w:bCs/>
          <w:sz w:val="10"/>
        </w:rPr>
      </w:pPr>
    </w:p>
    <w:p w14:paraId="1B8A49C4" w14:textId="77777777" w:rsidR="00160EB1" w:rsidRDefault="00160EB1">
      <w:pPr>
        <w:jc w:val="both"/>
        <w:rPr>
          <w:rFonts w:ascii="Arial" w:hAnsi="Arial" w:cs="Arial"/>
          <w:sz w:val="18"/>
        </w:rPr>
      </w:pPr>
    </w:p>
    <w:p w14:paraId="233CB38E" w14:textId="77777777" w:rsidR="00A56DB8" w:rsidRPr="00830010" w:rsidRDefault="00A56DB8" w:rsidP="00A56DB8">
      <w:pPr>
        <w:shd w:val="clear" w:color="auto" w:fill="000000"/>
        <w:ind w:left="-57" w:right="-85"/>
        <w:jc w:val="both"/>
        <w:rPr>
          <w:rFonts w:ascii="Arial" w:hAnsi="Arial" w:cs="Arial"/>
          <w:b/>
          <w:bCs/>
          <w:sz w:val="22"/>
          <w:szCs w:val="32"/>
        </w:rPr>
      </w:pPr>
      <w:r w:rsidRPr="00830010">
        <w:rPr>
          <w:rFonts w:ascii="Arial" w:hAnsi="Arial" w:cs="Arial"/>
          <w:b/>
          <w:bCs/>
          <w:sz w:val="22"/>
          <w:szCs w:val="32"/>
        </w:rPr>
        <w:t>IN THESE RESEARCH MATERIALS A REFERENCE TO THE “FAMILY COURT” OR THE “FAMILY COURT OF AUSTRALIA” IS A REFERENCE TO WHAT IS NOW KNOWN AS THE “FEDERAL CIRCUIT COURT AND FAMILY COURT OF AUSTRALIA”.</w:t>
      </w:r>
    </w:p>
    <w:p w14:paraId="6AC10FC5" w14:textId="77777777" w:rsidR="00A56DB8" w:rsidRDefault="00A56DB8" w:rsidP="00A56DB8">
      <w:pPr>
        <w:rPr>
          <w:rFonts w:ascii="Arial" w:hAnsi="Arial" w:cs="Arial"/>
          <w:color w:val="000000"/>
          <w:sz w:val="18"/>
          <w:szCs w:val="22"/>
        </w:rPr>
      </w:pPr>
    </w:p>
    <w:p w14:paraId="0B86F9D2" w14:textId="77777777" w:rsidR="005B4417" w:rsidRDefault="005B4417" w:rsidP="005B4417">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"What is learned in childhood is engraved in stone."</w:t>
      </w:r>
    </w:p>
    <w:p w14:paraId="542AAD6D" w14:textId="77777777" w:rsidR="005B4417" w:rsidRDefault="009A5DF9" w:rsidP="005B4417">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sz w:val="20"/>
        </w:rPr>
        <w:t>Mary McAleese</w:t>
      </w:r>
      <w:r w:rsidR="005B4417">
        <w:rPr>
          <w:rFonts w:ascii="Arial" w:hAnsi="Arial" w:cs="Arial"/>
          <w:sz w:val="20"/>
        </w:rPr>
        <w:t xml:space="preserve"> (Pr</w:t>
      </w:r>
      <w:r>
        <w:rPr>
          <w:rFonts w:ascii="Arial" w:hAnsi="Arial" w:cs="Arial"/>
          <w:sz w:val="20"/>
        </w:rPr>
        <w:t xml:space="preserve">esident of </w:t>
      </w:r>
      <w:smartTag w:uri="urn:schemas-microsoft-com:office:smarttags" w:element="country-region">
        <w:r>
          <w:rPr>
            <w:rFonts w:ascii="Arial" w:hAnsi="Arial" w:cs="Arial"/>
            <w:sz w:val="20"/>
          </w:rPr>
          <w:t>Ireland</w:t>
        </w:r>
      </w:smartTag>
      <w:r>
        <w:rPr>
          <w:rFonts w:ascii="Arial" w:hAnsi="Arial" w:cs="Arial"/>
          <w:sz w:val="20"/>
        </w:rPr>
        <w:t xml:space="preserve"> – </w:t>
      </w:r>
      <w:smartTag w:uri="urn:schemas-microsoft-com:office:smarttags" w:element="City">
        <w:smartTag w:uri="urn:schemas-microsoft-com:office:smarttags" w:element="place">
          <w:r>
            <w:rPr>
              <w:rFonts w:ascii="Arial" w:hAnsi="Arial" w:cs="Arial"/>
              <w:sz w:val="20"/>
            </w:rPr>
            <w:t>Belfast</w:t>
          </w:r>
        </w:smartTag>
      </w:smartTag>
      <w:r>
        <w:rPr>
          <w:rFonts w:ascii="Arial" w:hAnsi="Arial" w:cs="Arial"/>
          <w:sz w:val="20"/>
        </w:rPr>
        <w:t>, August 2006</w:t>
      </w:r>
      <w:r w:rsidR="005B4417">
        <w:rPr>
          <w:rFonts w:ascii="Arial" w:hAnsi="Arial" w:cs="Arial"/>
          <w:sz w:val="20"/>
        </w:rPr>
        <w:t>)</w:t>
      </w:r>
    </w:p>
    <w:p w14:paraId="044C1B06" w14:textId="77777777" w:rsidR="005B4417" w:rsidRPr="00EF65CA" w:rsidRDefault="005B4417">
      <w:pPr>
        <w:jc w:val="both"/>
        <w:rPr>
          <w:rFonts w:ascii="Arial" w:hAnsi="Arial" w:cs="Arial"/>
          <w:sz w:val="14"/>
        </w:rPr>
      </w:pPr>
    </w:p>
    <w:p w14:paraId="76B56249" w14:textId="77777777" w:rsidR="00693223" w:rsidRDefault="00693223">
      <w:pPr>
        <w:pStyle w:val="Heading2"/>
        <w:tabs>
          <w:tab w:val="left" w:pos="567"/>
        </w:tabs>
        <w:spacing w:line="240" w:lineRule="auto"/>
        <w:rPr>
          <w:rFonts w:ascii="Arial" w:hAnsi="Arial" w:cs="Arial"/>
          <w:b/>
          <w:bCs/>
        </w:rPr>
      </w:pPr>
      <w:bookmarkStart w:id="87" w:name="_4.1_The_Child"/>
      <w:bookmarkStart w:id="88" w:name="B41"/>
      <w:bookmarkEnd w:id="87"/>
      <w:bookmarkEnd w:id="88"/>
      <w:r>
        <w:rPr>
          <w:rFonts w:ascii="Arial" w:hAnsi="Arial" w:cs="Arial"/>
          <w:b/>
          <w:bCs/>
        </w:rPr>
        <w:t>4.1</w:t>
      </w:r>
      <w:r>
        <w:rPr>
          <w:rFonts w:ascii="Arial" w:hAnsi="Arial" w:cs="Arial"/>
          <w:b/>
          <w:bCs/>
        </w:rPr>
        <w:tab/>
      </w:r>
      <w:r w:rsidR="00940D74">
        <w:rPr>
          <w:rFonts w:ascii="Arial" w:hAnsi="Arial" w:cs="Arial"/>
          <w:b/>
          <w:bCs/>
        </w:rPr>
        <w:t xml:space="preserve">The </w:t>
      </w:r>
      <w:r>
        <w:rPr>
          <w:rFonts w:ascii="Arial" w:hAnsi="Arial" w:cs="Arial"/>
          <w:b/>
          <w:bCs/>
        </w:rPr>
        <w:t xml:space="preserve">Child Protection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940D74">
        <w:rPr>
          <w:rFonts w:ascii="Arial" w:hAnsi="Arial" w:cs="Arial"/>
          <w:b/>
          <w:bCs/>
        </w:rPr>
        <w:t>Service</w:t>
      </w:r>
      <w:r w:rsidR="00785D2D">
        <w:rPr>
          <w:rFonts w:ascii="Arial" w:hAnsi="Arial" w:cs="Arial"/>
          <w:b/>
          <w:bCs/>
        </w:rPr>
        <w:t xml:space="preserve"> [‘DFFH’]</w:t>
      </w:r>
    </w:p>
    <w:p w14:paraId="278871B3" w14:textId="77777777" w:rsidR="00693223" w:rsidRPr="00EF65CA" w:rsidRDefault="00693223">
      <w:pPr>
        <w:jc w:val="both"/>
        <w:rPr>
          <w:rFonts w:ascii="Arial" w:hAnsi="Arial" w:cs="Arial"/>
          <w:sz w:val="14"/>
        </w:rPr>
      </w:pPr>
    </w:p>
    <w:p w14:paraId="387E9826" w14:textId="77777777" w:rsidR="00693223" w:rsidRDefault="0069322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Most Victorian children and young people are adequately cared for and nurtured by their family. </w:t>
      </w:r>
      <w:r w:rsidR="00B05EC7">
        <w:rPr>
          <w:rFonts w:ascii="Arial" w:hAnsi="Arial" w:cs="Arial"/>
          <w:sz w:val="20"/>
          <w:szCs w:val="20"/>
        </w:rPr>
        <w:t xml:space="preserve"> </w:t>
      </w:r>
      <w:r>
        <w:rPr>
          <w:rFonts w:ascii="Arial" w:hAnsi="Arial" w:cs="Arial"/>
          <w:sz w:val="20"/>
          <w:szCs w:val="20"/>
        </w:rPr>
        <w:t xml:space="preserve">It is only when parents or caregivers are unable or unwilling to protect children against significant harm that the Child Protection Service of the Victorian Government's Department of </w:t>
      </w:r>
      <w:r w:rsidR="00785D2D">
        <w:rPr>
          <w:rFonts w:ascii="Arial" w:hAnsi="Arial" w:cs="Arial"/>
          <w:sz w:val="20"/>
          <w:szCs w:val="20"/>
        </w:rPr>
        <w:t xml:space="preserve">Families, Fairness and Housing ('DFFH’ or ‘the Department') – formerly called the Department of </w:t>
      </w:r>
      <w:r w:rsidR="00520BE4">
        <w:rPr>
          <w:rFonts w:ascii="Arial" w:hAnsi="Arial" w:cs="Arial"/>
          <w:sz w:val="20"/>
          <w:szCs w:val="20"/>
        </w:rPr>
        <w:t xml:space="preserve">Health &amp; </w:t>
      </w:r>
      <w:r>
        <w:rPr>
          <w:rFonts w:ascii="Arial" w:hAnsi="Arial" w:cs="Arial"/>
          <w:sz w:val="20"/>
          <w:szCs w:val="20"/>
        </w:rPr>
        <w:t xml:space="preserve">Human Services </w:t>
      </w:r>
      <w:r w:rsidR="00785D2D">
        <w:rPr>
          <w:rFonts w:ascii="Arial" w:hAnsi="Arial" w:cs="Arial"/>
          <w:sz w:val="20"/>
          <w:szCs w:val="20"/>
        </w:rPr>
        <w:t>('DHHS') or the Department of Human Services (</w:t>
      </w:r>
      <w:r w:rsidR="002E0E92">
        <w:rPr>
          <w:rFonts w:ascii="Arial" w:hAnsi="Arial" w:cs="Arial"/>
          <w:sz w:val="20"/>
          <w:szCs w:val="20"/>
        </w:rPr>
        <w:t xml:space="preserve">‘DHS’ or </w:t>
      </w:r>
      <w:r w:rsidR="00785D2D">
        <w:rPr>
          <w:rFonts w:ascii="Arial" w:hAnsi="Arial" w:cs="Arial"/>
          <w:sz w:val="20"/>
          <w:szCs w:val="20"/>
        </w:rPr>
        <w:t xml:space="preserve">‘DOHS’) – </w:t>
      </w:r>
      <w:r>
        <w:rPr>
          <w:rFonts w:ascii="Arial" w:hAnsi="Arial" w:cs="Arial"/>
          <w:sz w:val="20"/>
          <w:szCs w:val="20"/>
        </w:rPr>
        <w:t>intervenes</w:t>
      </w:r>
      <w:r w:rsidR="00785D2D">
        <w:rPr>
          <w:rFonts w:ascii="Arial" w:hAnsi="Arial" w:cs="Arial"/>
          <w:sz w:val="20"/>
          <w:szCs w:val="20"/>
        </w:rPr>
        <w:t xml:space="preserve"> </w:t>
      </w:r>
      <w:r>
        <w:rPr>
          <w:rFonts w:ascii="Arial" w:hAnsi="Arial" w:cs="Arial"/>
          <w:sz w:val="20"/>
          <w:szCs w:val="20"/>
        </w:rPr>
        <w:t xml:space="preserve">to protect children and young people.  The permanent head of the Department is entitled 'the Secretary' [s.3 of the </w:t>
      </w:r>
      <w:r>
        <w:rPr>
          <w:rFonts w:ascii="Arial" w:hAnsi="Arial" w:cs="Arial"/>
          <w:iCs/>
          <w:sz w:val="20"/>
          <w:u w:val="single"/>
        </w:rPr>
        <w:t>Children</w:t>
      </w:r>
      <w:r w:rsidR="007A7B63">
        <w:rPr>
          <w:rFonts w:ascii="Arial" w:hAnsi="Arial" w:cs="Arial"/>
          <w:iCs/>
          <w:sz w:val="20"/>
          <w:u w:val="single"/>
        </w:rPr>
        <w:t xml:space="preserve">, Youth and Families Act </w:t>
      </w:r>
      <w:r w:rsidR="007A7B63">
        <w:rPr>
          <w:rFonts w:ascii="Arial" w:hAnsi="Arial" w:cs="Arial"/>
          <w:sz w:val="20"/>
          <w:u w:val="single"/>
        </w:rPr>
        <w:t>2005</w:t>
      </w:r>
      <w:r>
        <w:rPr>
          <w:rFonts w:ascii="Arial" w:hAnsi="Arial" w:cs="Arial"/>
          <w:sz w:val="20"/>
          <w:u w:val="single"/>
        </w:rPr>
        <w:t xml:space="preserve"> (Vic)</w:t>
      </w:r>
      <w:r>
        <w:rPr>
          <w:rFonts w:ascii="Arial" w:hAnsi="Arial" w:cs="Arial"/>
          <w:sz w:val="20"/>
        </w:rPr>
        <w:t xml:space="preserve"> [No.</w:t>
      </w:r>
      <w:r w:rsidR="007A7B63">
        <w:rPr>
          <w:rFonts w:ascii="Arial" w:hAnsi="Arial" w:cs="Arial"/>
          <w:sz w:val="20"/>
        </w:rPr>
        <w:t>9</w:t>
      </w:r>
      <w:r>
        <w:rPr>
          <w:rFonts w:ascii="Arial" w:hAnsi="Arial" w:cs="Arial"/>
          <w:sz w:val="20"/>
        </w:rPr>
        <w:t>6/</w:t>
      </w:r>
      <w:r w:rsidR="007A7B63">
        <w:rPr>
          <w:rFonts w:ascii="Arial" w:hAnsi="Arial" w:cs="Arial"/>
          <w:sz w:val="20"/>
        </w:rPr>
        <w:t>2005</w:t>
      </w:r>
      <w:r>
        <w:rPr>
          <w:rFonts w:ascii="Arial" w:hAnsi="Arial" w:cs="Arial"/>
          <w:sz w:val="20"/>
        </w:rPr>
        <w:t>] ('the CY</w:t>
      </w:r>
      <w:r w:rsidR="007A7B63">
        <w:rPr>
          <w:rFonts w:ascii="Arial" w:hAnsi="Arial" w:cs="Arial"/>
          <w:sz w:val="20"/>
        </w:rPr>
        <w:t>F</w:t>
      </w:r>
      <w:r>
        <w:rPr>
          <w:rFonts w:ascii="Arial" w:hAnsi="Arial" w:cs="Arial"/>
          <w:sz w:val="20"/>
        </w:rPr>
        <w:t>A')</w:t>
      </w:r>
      <w:r w:rsidR="00FB77B7">
        <w:rPr>
          <w:rFonts w:ascii="Arial" w:hAnsi="Arial" w:cs="Arial"/>
          <w:sz w:val="20"/>
        </w:rPr>
        <w:t>]</w:t>
      </w:r>
      <w:r>
        <w:rPr>
          <w:rFonts w:ascii="Arial" w:hAnsi="Arial" w:cs="Arial"/>
          <w:sz w:val="20"/>
          <w:szCs w:val="20"/>
        </w:rPr>
        <w:t>.</w:t>
      </w:r>
    </w:p>
    <w:p w14:paraId="6B9FC584" w14:textId="77777777" w:rsidR="00693223" w:rsidRPr="00E14F02" w:rsidRDefault="00693223">
      <w:pPr>
        <w:pStyle w:val="NormalWeb"/>
        <w:spacing w:before="0" w:beforeAutospacing="0" w:after="0" w:afterAutospacing="0"/>
        <w:jc w:val="both"/>
        <w:rPr>
          <w:rFonts w:ascii="Arial" w:hAnsi="Arial" w:cs="Arial"/>
          <w:sz w:val="18"/>
          <w:szCs w:val="20"/>
        </w:rPr>
      </w:pPr>
    </w:p>
    <w:p w14:paraId="6B693F61" w14:textId="77777777" w:rsidR="00693223" w:rsidRDefault="00693223" w:rsidP="00A56DB8">
      <w:pPr>
        <w:pStyle w:val="Heading3"/>
        <w:keepNext/>
        <w:keepLines/>
        <w:widowControl/>
        <w:spacing w:line="240" w:lineRule="auto"/>
        <w:rPr>
          <w:rFonts w:ascii="Arial" w:hAnsi="Arial" w:cs="Arial"/>
          <w:b/>
          <w:bCs/>
          <w:sz w:val="20"/>
        </w:rPr>
      </w:pPr>
      <w:bookmarkStart w:id="89" w:name="_4.1.1_Functions_of"/>
      <w:bookmarkStart w:id="90" w:name="B41x1"/>
      <w:bookmarkStart w:id="91" w:name="_Toc30644235"/>
      <w:bookmarkStart w:id="92" w:name="_Toc30644638"/>
      <w:bookmarkStart w:id="93" w:name="_Toc30645188"/>
      <w:bookmarkStart w:id="94" w:name="_Toc30646399"/>
      <w:bookmarkStart w:id="95" w:name="_Toc30646694"/>
      <w:bookmarkStart w:id="96" w:name="_Toc30646805"/>
      <w:bookmarkStart w:id="97" w:name="_Toc30648162"/>
      <w:bookmarkStart w:id="98" w:name="_Toc30649060"/>
      <w:bookmarkStart w:id="99" w:name="_Toc30649136"/>
      <w:bookmarkStart w:id="100" w:name="_Toc30649397"/>
      <w:bookmarkStart w:id="101" w:name="_Toc30649722"/>
      <w:bookmarkStart w:id="102" w:name="_Toc30651662"/>
      <w:bookmarkStart w:id="103" w:name="_Toc30652652"/>
      <w:bookmarkStart w:id="104" w:name="_Toc30652748"/>
      <w:bookmarkStart w:id="105" w:name="_Toc30654093"/>
      <w:bookmarkStart w:id="106" w:name="_Toc30654444"/>
      <w:bookmarkStart w:id="107" w:name="_Toc30655063"/>
      <w:bookmarkStart w:id="108" w:name="_Toc30655320"/>
      <w:bookmarkStart w:id="109" w:name="_Toc30656998"/>
      <w:bookmarkStart w:id="110" w:name="_Toc30661747"/>
      <w:bookmarkStart w:id="111" w:name="_Toc30666435"/>
      <w:bookmarkStart w:id="112" w:name="_Toc30666665"/>
      <w:bookmarkStart w:id="113" w:name="_Toc30667840"/>
      <w:bookmarkStart w:id="114" w:name="_Toc30669218"/>
      <w:bookmarkStart w:id="115" w:name="_Toc30671434"/>
      <w:bookmarkStart w:id="116" w:name="_Toc30673961"/>
      <w:bookmarkStart w:id="117" w:name="_Toc30691183"/>
      <w:bookmarkStart w:id="118" w:name="_Toc30691556"/>
      <w:bookmarkStart w:id="119" w:name="_Toc30691936"/>
      <w:bookmarkStart w:id="120" w:name="_Toc30692695"/>
      <w:bookmarkStart w:id="121" w:name="_Toc30693074"/>
      <w:bookmarkStart w:id="122" w:name="_Toc30693452"/>
      <w:bookmarkStart w:id="123" w:name="_Toc30693830"/>
      <w:bookmarkStart w:id="124" w:name="_Toc30694211"/>
      <w:bookmarkStart w:id="125" w:name="_Toc30698800"/>
      <w:bookmarkStart w:id="126" w:name="_Toc30699178"/>
      <w:bookmarkStart w:id="127" w:name="_Toc30699563"/>
      <w:bookmarkStart w:id="128" w:name="_Toc30700718"/>
      <w:bookmarkStart w:id="129" w:name="_Toc30701105"/>
      <w:bookmarkStart w:id="130" w:name="_Toc30743714"/>
      <w:bookmarkStart w:id="131" w:name="_Toc30754537"/>
      <w:bookmarkStart w:id="132" w:name="_Toc30756977"/>
      <w:bookmarkStart w:id="133" w:name="_Toc30757526"/>
      <w:bookmarkStart w:id="134" w:name="_Toc30757926"/>
      <w:bookmarkStart w:id="135" w:name="_Toc30762687"/>
      <w:bookmarkStart w:id="136" w:name="_Toc30767341"/>
      <w:bookmarkStart w:id="137" w:name="_Toc34823357"/>
      <w:bookmarkEnd w:id="89"/>
      <w:bookmarkEnd w:id="90"/>
      <w:r>
        <w:rPr>
          <w:rFonts w:ascii="Arial" w:hAnsi="Arial" w:cs="Arial"/>
          <w:b/>
          <w:bCs/>
          <w:sz w:val="20"/>
        </w:rPr>
        <w:lastRenderedPageBreak/>
        <w:t>4.1.1</w:t>
      </w:r>
      <w:r>
        <w:rPr>
          <w:rFonts w:ascii="Arial" w:hAnsi="Arial" w:cs="Arial"/>
          <w:b/>
          <w:bCs/>
          <w:sz w:val="20"/>
        </w:rPr>
        <w:tab/>
        <w:t>Functions of the Child Protection Service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FB151C4" w14:textId="77777777" w:rsidR="00693223" w:rsidRPr="00E14F02" w:rsidRDefault="00693223">
      <w:pPr>
        <w:pStyle w:val="Heading3"/>
        <w:spacing w:line="240" w:lineRule="auto"/>
        <w:rPr>
          <w:rFonts w:ascii="Arial" w:hAnsi="Arial" w:cs="Arial"/>
          <w:b/>
          <w:bCs/>
          <w:sz w:val="18"/>
        </w:rPr>
      </w:pPr>
    </w:p>
    <w:p w14:paraId="109AAAD7" w14:textId="77777777" w:rsidR="00693223" w:rsidRDefault="00693223">
      <w:pPr>
        <w:jc w:val="both"/>
        <w:rPr>
          <w:rFonts w:ascii="Arial" w:hAnsi="Arial" w:cs="Arial"/>
          <w:sz w:val="20"/>
        </w:rPr>
      </w:pPr>
      <w:r>
        <w:rPr>
          <w:rFonts w:ascii="Arial" w:hAnsi="Arial" w:cs="Arial"/>
          <w:sz w:val="20"/>
        </w:rPr>
        <w:t xml:space="preserve">The main functions of the </w:t>
      </w:r>
      <w:r>
        <w:rPr>
          <w:rFonts w:ascii="Arial" w:hAnsi="Arial" w:cs="Arial"/>
          <w:sz w:val="20"/>
          <w:u w:val="single"/>
        </w:rPr>
        <w:t>Child Protection Service</w:t>
      </w:r>
      <w:r>
        <w:rPr>
          <w:rFonts w:ascii="Arial" w:hAnsi="Arial" w:cs="Arial"/>
          <w:sz w:val="20"/>
        </w:rPr>
        <w:t xml:space="preserve"> are:</w:t>
      </w:r>
    </w:p>
    <w:p w14:paraId="1898BD65" w14:textId="77777777" w:rsidR="00693223" w:rsidRDefault="00693223" w:rsidP="002239D1">
      <w:pPr>
        <w:numPr>
          <w:ilvl w:val="0"/>
          <w:numId w:val="6"/>
        </w:numPr>
        <w:tabs>
          <w:tab w:val="clear" w:pos="360"/>
          <w:tab w:val="num" w:pos="363"/>
          <w:tab w:val="num" w:pos="720"/>
        </w:tabs>
        <w:ind w:left="357" w:hanging="357"/>
        <w:rPr>
          <w:sz w:val="20"/>
        </w:rPr>
      </w:pPr>
      <w:r>
        <w:rPr>
          <w:rFonts w:ascii="Arial" w:hAnsi="Arial" w:cs="Arial"/>
          <w:sz w:val="20"/>
        </w:rPr>
        <w:t>to investigate matters where it is alleged that a child is at risk of significant harm;</w:t>
      </w:r>
    </w:p>
    <w:p w14:paraId="36A68384" w14:textId="77777777" w:rsidR="00693223" w:rsidRDefault="00693223" w:rsidP="002239D1">
      <w:pPr>
        <w:numPr>
          <w:ilvl w:val="0"/>
          <w:numId w:val="6"/>
        </w:numPr>
        <w:tabs>
          <w:tab w:val="clear" w:pos="360"/>
          <w:tab w:val="num" w:pos="363"/>
          <w:tab w:val="num" w:pos="720"/>
        </w:tabs>
        <w:rPr>
          <w:sz w:val="20"/>
        </w:rPr>
      </w:pPr>
      <w:r>
        <w:rPr>
          <w:rFonts w:ascii="Arial" w:hAnsi="Arial" w:cs="Arial"/>
          <w:sz w:val="20"/>
        </w:rPr>
        <w:t>to refer children and families to services that assist in providing the ongoing safety and well-being of the children;</w:t>
      </w:r>
    </w:p>
    <w:p w14:paraId="2D101ECB" w14:textId="77777777" w:rsidR="00693223" w:rsidRDefault="00693223" w:rsidP="002239D1">
      <w:pPr>
        <w:numPr>
          <w:ilvl w:val="0"/>
          <w:numId w:val="6"/>
        </w:numPr>
        <w:tabs>
          <w:tab w:val="clear" w:pos="360"/>
          <w:tab w:val="num" w:pos="363"/>
          <w:tab w:val="num" w:pos="720"/>
        </w:tabs>
        <w:rPr>
          <w:sz w:val="20"/>
        </w:rPr>
      </w:pPr>
      <w:r>
        <w:rPr>
          <w:rFonts w:ascii="Arial" w:hAnsi="Arial" w:cs="Arial"/>
          <w:sz w:val="20"/>
        </w:rPr>
        <w:t>to take matters before the Children's Court if the child's safety cannot be ensured within the family;</w:t>
      </w:r>
    </w:p>
    <w:p w14:paraId="5E7A224B" w14:textId="77777777" w:rsidR="00693223" w:rsidRDefault="00693223" w:rsidP="002239D1">
      <w:pPr>
        <w:numPr>
          <w:ilvl w:val="0"/>
          <w:numId w:val="6"/>
        </w:numPr>
        <w:tabs>
          <w:tab w:val="clear" w:pos="360"/>
          <w:tab w:val="num" w:pos="363"/>
          <w:tab w:val="num" w:pos="720"/>
        </w:tabs>
        <w:rPr>
          <w:sz w:val="20"/>
        </w:rPr>
      </w:pPr>
      <w:r>
        <w:rPr>
          <w:rFonts w:ascii="Arial" w:hAnsi="Arial" w:cs="Arial"/>
          <w:sz w:val="20"/>
        </w:rPr>
        <w:t>to supervise children on legal orders granted by the Children's Court; and</w:t>
      </w:r>
    </w:p>
    <w:p w14:paraId="0E827B34" w14:textId="77777777" w:rsidR="00693223" w:rsidRDefault="00693223" w:rsidP="002239D1">
      <w:pPr>
        <w:numPr>
          <w:ilvl w:val="0"/>
          <w:numId w:val="6"/>
        </w:numPr>
        <w:tabs>
          <w:tab w:val="clear" w:pos="360"/>
          <w:tab w:val="num" w:pos="363"/>
          <w:tab w:val="num" w:pos="720"/>
        </w:tabs>
        <w:rPr>
          <w:sz w:val="20"/>
        </w:rPr>
      </w:pPr>
      <w:r>
        <w:rPr>
          <w:rFonts w:ascii="Arial" w:hAnsi="Arial" w:cs="Arial"/>
          <w:sz w:val="20"/>
        </w:rPr>
        <w:t>to provide and fund accommodation services, specialist support services, and adoption and permanent care to those children and adolescents in need.</w:t>
      </w:r>
    </w:p>
    <w:p w14:paraId="3EBD3935" w14:textId="77777777" w:rsidR="00A82435" w:rsidRPr="00E14F02" w:rsidRDefault="00A82435" w:rsidP="00A82435">
      <w:pPr>
        <w:pStyle w:val="NormalWeb"/>
        <w:spacing w:before="0" w:beforeAutospacing="0" w:after="0" w:afterAutospacing="0"/>
        <w:jc w:val="both"/>
        <w:rPr>
          <w:rFonts w:ascii="Arial" w:hAnsi="Arial" w:cs="Arial"/>
          <w:sz w:val="18"/>
          <w:szCs w:val="20"/>
        </w:rPr>
      </w:pPr>
    </w:p>
    <w:p w14:paraId="7C486C62" w14:textId="77777777" w:rsidR="00512A88" w:rsidRDefault="00512A88"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a paper entitled “National comparison of child protection systems”, published by the Australian Institute of Family Studies as No.22 Autumn 2005, </w:t>
      </w:r>
      <w:r w:rsidR="007F1C5C">
        <w:rPr>
          <w:rFonts w:ascii="Arial" w:hAnsi="Arial" w:cs="Arial"/>
          <w:sz w:val="20"/>
          <w:szCs w:val="20"/>
        </w:rPr>
        <w:t>the authors Leah Bromfield and Daryl Higgins provided a national snapshot of Australian statutory child protection services and concluded that despite different legislative frameworks and some operational differences, Australian state and territory statutory child protection services are providing very similar models of intervention.</w:t>
      </w:r>
    </w:p>
    <w:p w14:paraId="0172EC68" w14:textId="77777777" w:rsidR="00512A88" w:rsidRDefault="00512A88" w:rsidP="00A82435">
      <w:pPr>
        <w:pStyle w:val="NormalWeb"/>
        <w:spacing w:before="0" w:beforeAutospacing="0" w:after="0" w:afterAutospacing="0"/>
        <w:jc w:val="both"/>
        <w:rPr>
          <w:rFonts w:ascii="Arial" w:hAnsi="Arial" w:cs="Arial"/>
          <w:sz w:val="20"/>
          <w:szCs w:val="20"/>
        </w:rPr>
      </w:pPr>
    </w:p>
    <w:p w14:paraId="30E40E8D" w14:textId="77777777" w:rsidR="00A82435" w:rsidRDefault="00A82435" w:rsidP="00497924">
      <w:pPr>
        <w:pStyle w:val="Heading3"/>
        <w:keepNext/>
        <w:keepLines/>
        <w:spacing w:line="240" w:lineRule="auto"/>
        <w:rPr>
          <w:rFonts w:ascii="Arial" w:hAnsi="Arial" w:cs="Arial"/>
          <w:b/>
          <w:bCs/>
          <w:sz w:val="20"/>
        </w:rPr>
      </w:pPr>
      <w:bookmarkStart w:id="138" w:name="_4.1.2_Duty_of"/>
      <w:bookmarkStart w:id="139" w:name="B41x2"/>
      <w:bookmarkEnd w:id="138"/>
      <w:bookmarkEnd w:id="139"/>
      <w:r>
        <w:rPr>
          <w:rFonts w:ascii="Arial" w:hAnsi="Arial" w:cs="Arial"/>
          <w:b/>
          <w:bCs/>
          <w:sz w:val="20"/>
        </w:rPr>
        <w:t>4.1.2</w:t>
      </w:r>
      <w:r>
        <w:rPr>
          <w:rFonts w:ascii="Arial" w:hAnsi="Arial" w:cs="Arial"/>
          <w:b/>
          <w:bCs/>
          <w:sz w:val="20"/>
        </w:rPr>
        <w:tab/>
        <w:t>Duty of care of the Child Protection Service</w:t>
      </w:r>
    </w:p>
    <w:p w14:paraId="380EF69D" w14:textId="77777777" w:rsidR="00A82435" w:rsidRDefault="00A82435" w:rsidP="00497924">
      <w:pPr>
        <w:pStyle w:val="Heading3"/>
        <w:keepNext/>
        <w:keepLines/>
        <w:spacing w:line="240" w:lineRule="auto"/>
        <w:rPr>
          <w:rFonts w:ascii="Arial" w:hAnsi="Arial" w:cs="Arial"/>
          <w:b/>
          <w:bCs/>
          <w:sz w:val="20"/>
        </w:rPr>
      </w:pPr>
    </w:p>
    <w:p w14:paraId="3117BDA4" w14:textId="77777777" w:rsidR="00693223" w:rsidRDefault="00693223" w:rsidP="00A338D2">
      <w:pPr>
        <w:pStyle w:val="NormalWeb"/>
        <w:keepNext/>
        <w:keepLines/>
        <w:spacing w:before="0" w:beforeAutospacing="0" w:after="0" w:afterAutospacing="0"/>
        <w:jc w:val="both"/>
        <w:rPr>
          <w:rFonts w:ascii="Arial" w:hAnsi="Arial" w:cs="Arial"/>
          <w:sz w:val="20"/>
        </w:rPr>
      </w:pPr>
      <w:r>
        <w:rPr>
          <w:rFonts w:ascii="Arial" w:hAnsi="Arial" w:cs="Arial"/>
          <w:sz w:val="20"/>
        </w:rPr>
        <w:t xml:space="preserve">In </w:t>
      </w:r>
      <w:r>
        <w:rPr>
          <w:rFonts w:ascii="Arial" w:hAnsi="Arial" w:cs="Arial"/>
          <w:i/>
          <w:iCs/>
          <w:sz w:val="20"/>
        </w:rPr>
        <w:t>Sullivan v Moody</w:t>
      </w:r>
      <w:r>
        <w:rPr>
          <w:rFonts w:ascii="Arial" w:hAnsi="Arial" w:cs="Arial"/>
          <w:sz w:val="20"/>
        </w:rPr>
        <w:t xml:space="preserve"> (2001) 207 CLR 562 and two associated cases the High Court emphasised that the primary duty of care of the South Australian equivalent of the Department was to the child.  Hence it did not owe any duty of care to a parent insofar as such duty would put it in the position of having incompatible duties to more than one person.  At p.582 the Court said:</w:t>
      </w:r>
    </w:p>
    <w:p w14:paraId="76D2FB37" w14:textId="77777777" w:rsidR="00693223" w:rsidRDefault="00693223">
      <w:pPr>
        <w:ind w:left="454" w:right="454"/>
        <w:jc w:val="both"/>
        <w:rPr>
          <w:rFonts w:ascii="Arial" w:hAnsi="Arial" w:cs="Arial"/>
          <w:sz w:val="20"/>
        </w:rPr>
      </w:pPr>
      <w:r>
        <w:rPr>
          <w:rFonts w:ascii="Arial" w:hAnsi="Arial" w:cs="Arial"/>
          <w:sz w:val="20"/>
        </w:rPr>
        <w:t>"[W]hen public authorities, or their officers are charged with the responsibility of conducting investigations, or exercising powers, in the public interest, or in the interests of a specified class of persons, the law would not ordinarily subject them to a duty to have regard to the interests of another class of persons where that would impose upon them conflicting claims or obligations.”</w:t>
      </w:r>
    </w:p>
    <w:p w14:paraId="16FC677E" w14:textId="77777777" w:rsidR="005B4417" w:rsidRDefault="005B4417" w:rsidP="005B4417">
      <w:pPr>
        <w:jc w:val="both"/>
        <w:rPr>
          <w:rFonts w:ascii="Arial" w:hAnsi="Arial" w:cs="Arial"/>
          <w:sz w:val="20"/>
        </w:rPr>
      </w:pPr>
    </w:p>
    <w:p w14:paraId="6C1AFFA6" w14:textId="77777777" w:rsidR="00693223" w:rsidRDefault="00693223" w:rsidP="00A56DB8">
      <w:pPr>
        <w:pStyle w:val="NormalWeb"/>
        <w:spacing w:before="0" w:beforeAutospacing="0" w:after="0" w:afterAutospacing="0"/>
        <w:jc w:val="both"/>
        <w:rPr>
          <w:rFonts w:ascii="Arial" w:hAnsi="Arial" w:cs="Arial"/>
          <w:sz w:val="16"/>
        </w:rPr>
      </w:pPr>
      <w:r>
        <w:rPr>
          <w:rFonts w:ascii="Arial" w:hAnsi="Arial" w:cs="Arial"/>
          <w:sz w:val="20"/>
        </w:rPr>
        <w:t xml:space="preserve">The High Court concluded </w:t>
      </w:r>
      <w:r>
        <w:rPr>
          <w:rFonts w:ascii="Arial" w:hAnsi="Arial" w:cs="Arial"/>
          <w:i/>
          <w:sz w:val="20"/>
        </w:rPr>
        <w:t>Sullivan v Moody</w:t>
      </w:r>
      <w:r>
        <w:rPr>
          <w:rFonts w:ascii="Arial" w:hAnsi="Arial" w:cs="Arial"/>
          <w:sz w:val="20"/>
        </w:rPr>
        <w:t xml:space="preserve"> by saying that inconsistency would arise if, in the proper discharge of its responsibilities a Government department was under a legal duty to protect person who were suspected or might be suspected of being the sources of the harm being investigated.  The principle in </w:t>
      </w:r>
      <w:r>
        <w:rPr>
          <w:rFonts w:ascii="Arial" w:hAnsi="Arial" w:cs="Arial"/>
          <w:i/>
          <w:iCs/>
          <w:sz w:val="20"/>
        </w:rPr>
        <w:t>Sullivan v Moody</w:t>
      </w:r>
      <w:r>
        <w:rPr>
          <w:rFonts w:ascii="Arial" w:hAnsi="Arial" w:cs="Arial"/>
          <w:sz w:val="20"/>
        </w:rPr>
        <w:t xml:space="preserve"> was followed in relation to the Victorian child protection authority in </w:t>
      </w:r>
      <w:proofErr w:type="spellStart"/>
      <w:r>
        <w:rPr>
          <w:rFonts w:ascii="Arial" w:hAnsi="Arial" w:cs="Arial"/>
          <w:i/>
          <w:iCs/>
          <w:sz w:val="20"/>
        </w:rPr>
        <w:t>Zunica</w:t>
      </w:r>
      <w:proofErr w:type="spellEnd"/>
      <w:r>
        <w:rPr>
          <w:rFonts w:ascii="Arial" w:hAnsi="Arial" w:cs="Arial"/>
          <w:i/>
          <w:iCs/>
          <w:sz w:val="20"/>
        </w:rPr>
        <w:t xml:space="preserve"> v State of Victoria</w:t>
      </w:r>
      <w:r>
        <w:rPr>
          <w:rFonts w:ascii="Arial" w:hAnsi="Arial" w:cs="Arial"/>
          <w:sz w:val="20"/>
        </w:rPr>
        <w:t xml:space="preserve"> [2004] VSC 80 where </w:t>
      </w:r>
      <w:proofErr w:type="spellStart"/>
      <w:r>
        <w:rPr>
          <w:rFonts w:ascii="Arial" w:hAnsi="Arial" w:cs="Arial"/>
          <w:sz w:val="20"/>
        </w:rPr>
        <w:t>Bongiorno</w:t>
      </w:r>
      <w:proofErr w:type="spellEnd"/>
      <w:r>
        <w:rPr>
          <w:rFonts w:ascii="Arial" w:hAnsi="Arial" w:cs="Arial"/>
          <w:sz w:val="20"/>
        </w:rPr>
        <w:t xml:space="preserve"> J struck out a claim in negligence, malicious prosecution, abuse of process and misfeasance brought by a mother against the Department arising out of a family dispute and a subsequent Children's Court action.  See also </w:t>
      </w:r>
      <w:r>
        <w:rPr>
          <w:rFonts w:ascii="Arial" w:hAnsi="Arial" w:cs="Arial"/>
          <w:i/>
          <w:sz w:val="20"/>
        </w:rPr>
        <w:t xml:space="preserve">Cannon v </w:t>
      </w:r>
      <w:proofErr w:type="spellStart"/>
      <w:r>
        <w:rPr>
          <w:rFonts w:ascii="Arial" w:hAnsi="Arial" w:cs="Arial"/>
          <w:i/>
          <w:sz w:val="20"/>
        </w:rPr>
        <w:t>Tahche</w:t>
      </w:r>
      <w:proofErr w:type="spellEnd"/>
      <w:r>
        <w:rPr>
          <w:rFonts w:ascii="Arial" w:hAnsi="Arial" w:cs="Arial"/>
          <w:i/>
          <w:sz w:val="20"/>
        </w:rPr>
        <w:t xml:space="preserve"> </w:t>
      </w:r>
      <w:r>
        <w:rPr>
          <w:rFonts w:ascii="Arial" w:hAnsi="Arial" w:cs="Arial"/>
          <w:sz w:val="20"/>
        </w:rPr>
        <w:t>(2002) 5 VR 317.</w:t>
      </w:r>
    </w:p>
    <w:p w14:paraId="62CE69F4" w14:textId="77777777" w:rsidR="00693223" w:rsidRDefault="00693223">
      <w:pPr>
        <w:pStyle w:val="NormalWeb"/>
        <w:spacing w:before="0" w:beforeAutospacing="0" w:after="0" w:afterAutospacing="0"/>
        <w:jc w:val="both"/>
        <w:rPr>
          <w:rFonts w:ascii="Arial" w:hAnsi="Arial" w:cs="Arial"/>
          <w:sz w:val="20"/>
          <w:szCs w:val="20"/>
        </w:rPr>
      </w:pPr>
    </w:p>
    <w:p w14:paraId="23C3B027" w14:textId="77777777" w:rsidR="00007F00" w:rsidRDefault="00007F0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By contrast, in </w:t>
      </w:r>
      <w:r w:rsidRPr="00397BB2">
        <w:rPr>
          <w:rFonts w:ascii="Arial" w:hAnsi="Arial" w:cs="Arial"/>
          <w:i/>
          <w:sz w:val="20"/>
          <w:szCs w:val="20"/>
        </w:rPr>
        <w:t>SB v State of N</w:t>
      </w:r>
      <w:r w:rsidR="00397BB2">
        <w:rPr>
          <w:rFonts w:ascii="Arial" w:hAnsi="Arial" w:cs="Arial"/>
          <w:i/>
          <w:sz w:val="20"/>
          <w:szCs w:val="20"/>
        </w:rPr>
        <w:t>SW</w:t>
      </w:r>
      <w:r>
        <w:rPr>
          <w:rFonts w:ascii="Arial" w:hAnsi="Arial" w:cs="Arial"/>
          <w:sz w:val="20"/>
          <w:szCs w:val="20"/>
        </w:rPr>
        <w:t xml:space="preserve"> [2004] VSC 514 Redlich J </w:t>
      </w:r>
      <w:r w:rsidR="00512A88">
        <w:rPr>
          <w:rFonts w:ascii="Arial" w:hAnsi="Arial" w:cs="Arial"/>
          <w:sz w:val="20"/>
          <w:szCs w:val="20"/>
        </w:rPr>
        <w:t>held that the NSW child protection authority owed and was in breach of a duty of care to a ward who had been sexually abused by a foster parent and then restored to her natural father who, for the balance of the wardship, pursued an incestuous relationship from which resulted two children.</w:t>
      </w:r>
      <w:r w:rsidR="0082133C">
        <w:rPr>
          <w:rFonts w:ascii="Arial" w:hAnsi="Arial" w:cs="Arial"/>
          <w:sz w:val="20"/>
          <w:szCs w:val="20"/>
        </w:rPr>
        <w:t xml:space="preserve">  In an exhaustive judgment his Honour analysed a large number of cases in which the common law and statutory duties of child protection authorities were discussed and in so doing distinguished the English line of authority epitomized by </w:t>
      </w:r>
      <w:r w:rsidR="0082133C" w:rsidRPr="00D34610">
        <w:rPr>
          <w:rFonts w:ascii="Arial" w:hAnsi="Arial" w:cs="Arial"/>
          <w:i/>
          <w:sz w:val="20"/>
          <w:szCs w:val="20"/>
        </w:rPr>
        <w:t>X (Minors) v Bedfordshire County Council</w:t>
      </w:r>
      <w:r w:rsidR="0082133C">
        <w:rPr>
          <w:rFonts w:ascii="Arial" w:hAnsi="Arial" w:cs="Arial"/>
          <w:sz w:val="20"/>
          <w:szCs w:val="20"/>
        </w:rPr>
        <w:t xml:space="preserve"> </w:t>
      </w:r>
      <w:r w:rsidR="00F95054" w:rsidRPr="00F95054">
        <w:rPr>
          <w:rFonts w:ascii="Arial" w:hAnsi="Arial" w:cs="Arial"/>
          <w:sz w:val="20"/>
          <w:szCs w:val="20"/>
        </w:rPr>
        <w:t>[1995] 2 AC 633</w:t>
      </w:r>
      <w:r w:rsidR="0082133C" w:rsidRPr="00F95054">
        <w:rPr>
          <w:rFonts w:ascii="Arial" w:hAnsi="Arial" w:cs="Arial"/>
          <w:sz w:val="20"/>
          <w:szCs w:val="20"/>
        </w:rPr>
        <w:t xml:space="preserve">.  </w:t>
      </w:r>
      <w:r w:rsidR="0082133C">
        <w:rPr>
          <w:rFonts w:ascii="Arial" w:hAnsi="Arial" w:cs="Arial"/>
          <w:sz w:val="20"/>
          <w:szCs w:val="20"/>
        </w:rPr>
        <w:t>At [</w:t>
      </w:r>
      <w:r w:rsidR="00D45DD9">
        <w:rPr>
          <w:rFonts w:ascii="Arial" w:hAnsi="Arial" w:cs="Arial"/>
          <w:sz w:val="20"/>
          <w:szCs w:val="20"/>
        </w:rPr>
        <w:t>298</w:t>
      </w:r>
      <w:r w:rsidR="0082133C">
        <w:rPr>
          <w:rFonts w:ascii="Arial" w:hAnsi="Arial" w:cs="Arial"/>
          <w:sz w:val="20"/>
          <w:szCs w:val="20"/>
        </w:rPr>
        <w:t>]-[</w:t>
      </w:r>
      <w:r w:rsidR="00D45DD9">
        <w:rPr>
          <w:rFonts w:ascii="Arial" w:hAnsi="Arial" w:cs="Arial"/>
          <w:sz w:val="20"/>
          <w:szCs w:val="20"/>
        </w:rPr>
        <w:t>300</w:t>
      </w:r>
      <w:r w:rsidR="0082133C">
        <w:rPr>
          <w:rFonts w:ascii="Arial" w:hAnsi="Arial" w:cs="Arial"/>
          <w:sz w:val="20"/>
          <w:szCs w:val="20"/>
        </w:rPr>
        <w:t>] his Honour held:</w:t>
      </w:r>
    </w:p>
    <w:p w14:paraId="25497AF9" w14:textId="77777777" w:rsidR="00397BB2"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[298] </w:t>
      </w:r>
      <w:r w:rsidR="00D34610" w:rsidRPr="00D34610">
        <w:rPr>
          <w:rFonts w:ascii="Arial" w:hAnsi="Arial" w:cs="Arial"/>
          <w:sz w:val="20"/>
          <w:szCs w:val="20"/>
        </w:rPr>
        <w:t xml:space="preserve">“The failure to intervene to protect the Plaintiff was not a policy matter for the Defendant.  The present case, unlike </w:t>
      </w:r>
      <w:r w:rsidR="00D34610" w:rsidRPr="00D34610">
        <w:rPr>
          <w:rFonts w:ascii="Arial" w:hAnsi="Arial" w:cs="Arial"/>
          <w:i/>
          <w:sz w:val="20"/>
          <w:szCs w:val="20"/>
        </w:rPr>
        <w:t>Brodie v Singleton Shire Council</w:t>
      </w:r>
      <w:r w:rsidR="00D34610" w:rsidRPr="00D34610">
        <w:rPr>
          <w:rFonts w:ascii="Arial" w:hAnsi="Arial" w:cs="Arial"/>
          <w:sz w:val="20"/>
          <w:szCs w:val="20"/>
        </w:rPr>
        <w:t xml:space="preserve"> </w:t>
      </w:r>
      <w:r w:rsidR="00D45DD9" w:rsidRPr="00D45DD9">
        <w:rPr>
          <w:rFonts w:ascii="Arial" w:hAnsi="Arial" w:cs="Arial"/>
          <w:sz w:val="20"/>
          <w:szCs w:val="20"/>
        </w:rPr>
        <w:t xml:space="preserve">(2001) 206 CLR 512 </w:t>
      </w:r>
      <w:r w:rsidR="00D34610" w:rsidRPr="00D34610">
        <w:rPr>
          <w:rFonts w:ascii="Arial" w:hAnsi="Arial" w:cs="Arial"/>
          <w:sz w:val="20"/>
          <w:szCs w:val="20"/>
        </w:rPr>
        <w:t xml:space="preserve">or </w:t>
      </w:r>
      <w:r w:rsidR="00D34610" w:rsidRPr="00D34610">
        <w:rPr>
          <w:rFonts w:ascii="Arial" w:hAnsi="Arial" w:cs="Arial"/>
          <w:i/>
          <w:sz w:val="20"/>
          <w:szCs w:val="20"/>
        </w:rPr>
        <w:t>Graham Barclay Oysters</w:t>
      </w:r>
      <w:r w:rsidR="00D45DD9">
        <w:rPr>
          <w:rFonts w:ascii="Arial" w:hAnsi="Arial" w:cs="Arial"/>
          <w:i/>
          <w:sz w:val="20"/>
          <w:szCs w:val="20"/>
        </w:rPr>
        <w:t xml:space="preserve"> v Ryan </w:t>
      </w:r>
      <w:r w:rsidR="00D45DD9" w:rsidRPr="00D45DD9">
        <w:rPr>
          <w:rFonts w:ascii="Arial" w:hAnsi="Arial" w:cs="Arial"/>
          <w:sz w:val="20"/>
          <w:szCs w:val="20"/>
        </w:rPr>
        <w:t>(2002) 211 CLR 540</w:t>
      </w:r>
      <w:r w:rsidR="00D45DD9">
        <w:rPr>
          <w:rFonts w:ascii="Arial" w:hAnsi="Arial" w:cs="Arial"/>
          <w:sz w:val="20"/>
          <w:szCs w:val="20"/>
        </w:rPr>
        <w:t xml:space="preserve">, </w:t>
      </w:r>
      <w:r w:rsidR="00D34610" w:rsidRPr="00D34610">
        <w:rPr>
          <w:rFonts w:ascii="Arial" w:hAnsi="Arial" w:cs="Arial"/>
          <w:sz w:val="20"/>
          <w:szCs w:val="20"/>
        </w:rPr>
        <w:t xml:space="preserve">does not involve an examination of the spending priorities of a statutory authority, or of the spending discretions of the Minister or the Department, even though, as </w:t>
      </w:r>
      <w:r w:rsidR="00D34610" w:rsidRPr="00D34610">
        <w:rPr>
          <w:rFonts w:ascii="Arial" w:hAnsi="Arial" w:cs="Arial"/>
          <w:i/>
          <w:sz w:val="20"/>
          <w:szCs w:val="20"/>
        </w:rPr>
        <w:t>Brodie</w:t>
      </w:r>
      <w:r w:rsidR="00D34610" w:rsidRPr="00D34610">
        <w:rPr>
          <w:rFonts w:ascii="Arial" w:hAnsi="Arial" w:cs="Arial"/>
          <w:sz w:val="20"/>
          <w:szCs w:val="20"/>
        </w:rPr>
        <w:t xml:space="preserve"> illustrates, it may be proper and necessary for a court to engage in such an examination in certain cases.  This case is not one concerning the conduct of the legislature or the executive in raising revenue or allocating resources and as such is not immune from judicial review on the ground that it is a political matter</w:t>
      </w:r>
      <w:r w:rsidR="00D45DD9">
        <w:rPr>
          <w:rFonts w:ascii="Arial" w:hAnsi="Arial" w:cs="Arial"/>
          <w:sz w:val="20"/>
          <w:szCs w:val="20"/>
        </w:rPr>
        <w:t xml:space="preserve">: </w:t>
      </w:r>
      <w:r w:rsidR="00D45DD9" w:rsidRPr="00D45DD9">
        <w:rPr>
          <w:rFonts w:ascii="Arial" w:hAnsi="Arial" w:cs="Arial"/>
          <w:sz w:val="20"/>
          <w:szCs w:val="20"/>
        </w:rPr>
        <w:t>see</w:t>
      </w:r>
      <w:r w:rsidR="00D45DD9">
        <w:rPr>
          <w:rFonts w:ascii="Arial" w:hAnsi="Arial" w:cs="Arial"/>
          <w:sz w:val="20"/>
          <w:szCs w:val="20"/>
        </w:rPr>
        <w:t xml:space="preserve"> </w:t>
      </w:r>
      <w:r w:rsidR="00D45DD9" w:rsidRPr="00D45DD9">
        <w:rPr>
          <w:rFonts w:ascii="Arial" w:hAnsi="Arial" w:cs="Arial"/>
          <w:i/>
          <w:sz w:val="20"/>
          <w:szCs w:val="20"/>
        </w:rPr>
        <w:t>Graham Barclay Oysters</w:t>
      </w:r>
      <w:r w:rsidR="00D45DD9" w:rsidRPr="00D45DD9">
        <w:rPr>
          <w:rFonts w:ascii="Arial" w:hAnsi="Arial" w:cs="Arial"/>
          <w:sz w:val="20"/>
          <w:szCs w:val="20"/>
        </w:rPr>
        <w:t xml:space="preserve"> per Gleeson CJ at 554-555 [7]-[9]</w:t>
      </w:r>
      <w:r w:rsidR="00D45DD9">
        <w:rPr>
          <w:rFonts w:ascii="Arial" w:hAnsi="Arial" w:cs="Arial"/>
          <w:sz w:val="20"/>
          <w:szCs w:val="20"/>
        </w:rPr>
        <w:t xml:space="preserve">. </w:t>
      </w:r>
      <w:r w:rsidR="00D34610" w:rsidRPr="00D34610">
        <w:rPr>
          <w:rFonts w:ascii="Arial" w:hAnsi="Arial" w:cs="Arial"/>
          <w:sz w:val="20"/>
          <w:szCs w:val="20"/>
        </w:rPr>
        <w:t xml:space="preserve">The Defendant’s decision not to exercise its powers to protect the Plaintiff is therefore justiciable.  Further, the Defendant’s failure to exercise of its powers to protect the Plaintiff was an operational matter, rather than one of policy, which was theoretically based upon </w:t>
      </w:r>
      <w:r w:rsidR="00D34610" w:rsidRPr="00D34610">
        <w:rPr>
          <w:rFonts w:ascii="Arial" w:hAnsi="Arial" w:cs="Arial"/>
          <w:sz w:val="20"/>
          <w:szCs w:val="20"/>
        </w:rPr>
        <w:lastRenderedPageBreak/>
        <w:t>expert or professional opinion and upon general standards of reasonableness.  As such, it is subject to a duty of care.</w:t>
      </w:r>
    </w:p>
    <w:p w14:paraId="0EFF5BC8" w14:textId="77777777" w:rsidR="00D34610"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[299] </w:t>
      </w:r>
      <w:r w:rsidR="00D34610" w:rsidRPr="00D34610">
        <w:rPr>
          <w:rFonts w:ascii="Arial" w:hAnsi="Arial" w:cs="Arial"/>
          <w:sz w:val="20"/>
          <w:szCs w:val="20"/>
        </w:rPr>
        <w:t xml:space="preserve">There is no incompatibility between the existence of such a duty and the Department’s statutory responsibilities.  The duty would serve to enhance the standards observed by the Department and its officers and will further the principal objectives of the legislation.  The imposition of a duty of care on the Defendant does not cut across the legislative intent of the Act, as was the case in </w:t>
      </w:r>
      <w:r w:rsidR="00D34610" w:rsidRPr="00D34610">
        <w:rPr>
          <w:rFonts w:ascii="Arial" w:hAnsi="Arial" w:cs="Arial"/>
          <w:i/>
          <w:sz w:val="20"/>
          <w:szCs w:val="20"/>
        </w:rPr>
        <w:t>Sullivan v Moody</w:t>
      </w:r>
      <w:r w:rsidR="00D34610" w:rsidRPr="00D34610">
        <w:rPr>
          <w:rFonts w:ascii="Arial" w:hAnsi="Arial" w:cs="Arial"/>
          <w:sz w:val="20"/>
          <w:szCs w:val="20"/>
        </w:rPr>
        <w:t>.  As the name of the Act indicates, the general legislative intent of the Act is the protection of child welfare.  The duty of care toward children injured by reason of the exercise or failure to exercise powers granted under the Act may clearly co-exist with, and be consistent with, the purposes of the Act.  Recognition of a duty would serve to emphasise the primary responsibility of the Department and its officers to promote the welfare of chi</w:t>
      </w:r>
      <w:r w:rsidR="00D34610">
        <w:rPr>
          <w:rFonts w:ascii="Arial" w:hAnsi="Arial" w:cs="Arial"/>
          <w:sz w:val="20"/>
          <w:szCs w:val="20"/>
        </w:rPr>
        <w:t>ldren generally and its wards.</w:t>
      </w:r>
    </w:p>
    <w:p w14:paraId="7570B968" w14:textId="77777777" w:rsidR="00D34610" w:rsidRPr="00D34610" w:rsidRDefault="008B516B" w:rsidP="00A56DB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[300] </w:t>
      </w:r>
      <w:r w:rsidR="00D34610" w:rsidRPr="00D34610">
        <w:rPr>
          <w:rFonts w:ascii="Arial" w:hAnsi="Arial" w:cs="Arial"/>
          <w:sz w:val="20"/>
          <w:szCs w:val="20"/>
        </w:rPr>
        <w:t xml:space="preserve">There is no policy reason to protect authorities exercising statutory powers in circumstances where the child is already a ward of the authority.  </w:t>
      </w:r>
      <w:r w:rsidR="00D34610" w:rsidRPr="00D34610">
        <w:rPr>
          <w:rFonts w:ascii="Arial" w:hAnsi="Arial" w:cs="Arial"/>
          <w:i/>
          <w:sz w:val="20"/>
          <w:szCs w:val="20"/>
        </w:rPr>
        <w:t>X v Bedfordshire C</w:t>
      </w:r>
      <w:r w:rsidR="00D34610">
        <w:rPr>
          <w:rFonts w:ascii="Arial" w:hAnsi="Arial" w:cs="Arial"/>
          <w:i/>
          <w:sz w:val="20"/>
          <w:szCs w:val="20"/>
        </w:rPr>
        <w:t xml:space="preserve">ounty </w:t>
      </w:r>
      <w:r w:rsidR="00D34610" w:rsidRPr="00D34610">
        <w:rPr>
          <w:rFonts w:ascii="Arial" w:hAnsi="Arial" w:cs="Arial"/>
          <w:i/>
          <w:sz w:val="20"/>
          <w:szCs w:val="20"/>
        </w:rPr>
        <w:t>C</w:t>
      </w:r>
      <w:r w:rsidR="00D34610">
        <w:rPr>
          <w:rFonts w:ascii="Arial" w:hAnsi="Arial" w:cs="Arial"/>
          <w:i/>
          <w:sz w:val="20"/>
          <w:szCs w:val="20"/>
        </w:rPr>
        <w:t>ouncil</w:t>
      </w:r>
      <w:r w:rsidR="00D34610" w:rsidRPr="00D34610">
        <w:rPr>
          <w:rFonts w:ascii="Arial" w:hAnsi="Arial" w:cs="Arial"/>
          <w:sz w:val="20"/>
          <w:szCs w:val="20"/>
        </w:rPr>
        <w:t xml:space="preserve"> is distinguishable as being concerned with an authority that refrains from removing a child from his or her parents in the first place. </w:t>
      </w:r>
      <w:r w:rsidR="00D45DD9">
        <w:rPr>
          <w:rFonts w:ascii="Arial" w:hAnsi="Arial" w:cs="Arial"/>
          <w:sz w:val="20"/>
          <w:szCs w:val="20"/>
        </w:rPr>
        <w:t xml:space="preserve">[Contrast the facts in </w:t>
      </w:r>
      <w:r w:rsidR="00D45DD9" w:rsidRPr="00D45DD9">
        <w:rPr>
          <w:rFonts w:ascii="Arial" w:hAnsi="Arial" w:cs="Arial"/>
          <w:i/>
          <w:sz w:val="20"/>
          <w:szCs w:val="20"/>
        </w:rPr>
        <w:t xml:space="preserve">Barrett v </w:t>
      </w:r>
      <w:smartTag w:uri="urn:schemas-microsoft-com:office:smarttags" w:element="City">
        <w:r w:rsidR="00D45DD9" w:rsidRPr="00D45DD9">
          <w:rPr>
            <w:rFonts w:ascii="Arial" w:hAnsi="Arial" w:cs="Arial"/>
            <w:i/>
            <w:sz w:val="20"/>
            <w:szCs w:val="20"/>
          </w:rPr>
          <w:t>Enfield</w:t>
        </w:r>
      </w:smartTag>
      <w:r w:rsidR="00D45DD9" w:rsidRPr="00D45DD9">
        <w:rPr>
          <w:rFonts w:ascii="Arial" w:hAnsi="Arial" w:cs="Arial"/>
          <w:i/>
          <w:sz w:val="20"/>
          <w:szCs w:val="20"/>
        </w:rPr>
        <w:t xml:space="preserve"> </w:t>
      </w:r>
      <w:smartTag w:uri="urn:schemas-microsoft-com:office:smarttags" w:element="City">
        <w:smartTag w:uri="urn:schemas-microsoft-com:office:smarttags" w:element="place">
          <w:r w:rsidR="00D45DD9" w:rsidRPr="00D45DD9">
            <w:rPr>
              <w:rFonts w:ascii="Arial" w:hAnsi="Arial" w:cs="Arial"/>
              <w:i/>
              <w:sz w:val="20"/>
              <w:szCs w:val="20"/>
            </w:rPr>
            <w:t>London</w:t>
          </w:r>
        </w:smartTag>
      </w:smartTag>
      <w:r w:rsidR="00D45DD9" w:rsidRPr="00D45DD9">
        <w:rPr>
          <w:rFonts w:ascii="Arial" w:hAnsi="Arial" w:cs="Arial"/>
          <w:i/>
          <w:sz w:val="20"/>
          <w:szCs w:val="20"/>
        </w:rPr>
        <w:t xml:space="preserve"> Borough</w:t>
      </w:r>
      <w:r w:rsidR="00D45DD9" w:rsidRPr="00D45DD9">
        <w:rPr>
          <w:rFonts w:ascii="Arial" w:hAnsi="Arial" w:cs="Arial"/>
          <w:sz w:val="20"/>
          <w:szCs w:val="20"/>
        </w:rPr>
        <w:t xml:space="preserve"> [2001] 2 AC 550</w:t>
      </w:r>
      <w:r w:rsidR="00D45DD9">
        <w:rPr>
          <w:rFonts w:ascii="Arial" w:hAnsi="Arial" w:cs="Arial"/>
          <w:sz w:val="20"/>
          <w:szCs w:val="20"/>
        </w:rPr>
        <w:t>.</w:t>
      </w:r>
      <w:r w:rsidR="00D45DD9" w:rsidRPr="00D45DD9">
        <w:rPr>
          <w:rFonts w:ascii="Arial" w:hAnsi="Arial" w:cs="Arial"/>
          <w:sz w:val="20"/>
          <w:szCs w:val="20"/>
        </w:rPr>
        <w:t>]</w:t>
      </w:r>
      <w:r w:rsidR="00D34610" w:rsidRPr="00D34610">
        <w:rPr>
          <w:rFonts w:ascii="Arial" w:hAnsi="Arial" w:cs="Arial"/>
          <w:sz w:val="20"/>
          <w:szCs w:val="20"/>
        </w:rPr>
        <w:t xml:space="preserve"> The policy considerations which explain that case have been called into question.  The concept that social workers will become defensive in the making of delicate or urgent decisions should not be accepted as valid.  Even if it were so, it should not constitute a sufficient reason to deny a duty which is imposed upon other professions making equally demanding judgments.  For the reasons expressed in the recent decisions to which I have referred, a duty is not to be denied on this ground.  The existence of a concurrent common law duty, is likely to encourage the maintenance of higher standards in pursuing the paramount objective of the welfare of the child.</w:t>
      </w:r>
      <w:r w:rsidR="00D34610">
        <w:rPr>
          <w:rFonts w:ascii="Arial" w:hAnsi="Arial" w:cs="Arial"/>
          <w:sz w:val="20"/>
          <w:szCs w:val="20"/>
        </w:rPr>
        <w:t>”</w:t>
      </w:r>
    </w:p>
    <w:p w14:paraId="0085BC01" w14:textId="77777777" w:rsidR="00397BB2" w:rsidRDefault="00397BB2">
      <w:pPr>
        <w:pStyle w:val="NormalWeb"/>
        <w:spacing w:before="0" w:beforeAutospacing="0" w:after="0" w:afterAutospacing="0"/>
        <w:jc w:val="both"/>
        <w:rPr>
          <w:rFonts w:ascii="Arial" w:hAnsi="Arial" w:cs="Arial"/>
          <w:sz w:val="20"/>
          <w:szCs w:val="20"/>
        </w:rPr>
      </w:pPr>
    </w:p>
    <w:p w14:paraId="258A1129" w14:textId="77777777" w:rsidR="00A24F8C" w:rsidRDefault="00066867" w:rsidP="00A24F8C">
      <w:pPr>
        <w:pStyle w:val="Heading3"/>
        <w:keepNext/>
        <w:keepLines/>
        <w:spacing w:line="240" w:lineRule="auto"/>
        <w:rPr>
          <w:rFonts w:ascii="Arial" w:hAnsi="Arial" w:cs="Arial"/>
          <w:b/>
          <w:bCs/>
          <w:sz w:val="20"/>
        </w:rPr>
      </w:pPr>
      <w:bookmarkStart w:id="140" w:name="_4.1.3_Principles_governing"/>
      <w:bookmarkStart w:id="141" w:name="B41x3"/>
      <w:bookmarkEnd w:id="140"/>
      <w:bookmarkEnd w:id="141"/>
      <w:r>
        <w:rPr>
          <w:rFonts w:ascii="Arial" w:hAnsi="Arial" w:cs="Arial"/>
          <w:b/>
          <w:bCs/>
          <w:sz w:val="20"/>
        </w:rPr>
        <w:t>4.1.3</w:t>
      </w:r>
      <w:r>
        <w:rPr>
          <w:rFonts w:ascii="Arial" w:hAnsi="Arial" w:cs="Arial"/>
          <w:b/>
          <w:bCs/>
          <w:sz w:val="20"/>
        </w:rPr>
        <w:tab/>
      </w:r>
      <w:r w:rsidR="006D081C">
        <w:rPr>
          <w:rFonts w:ascii="Arial" w:hAnsi="Arial" w:cs="Arial"/>
          <w:b/>
          <w:bCs/>
          <w:sz w:val="20"/>
        </w:rPr>
        <w:t>Principles governing d</w:t>
      </w:r>
      <w:r>
        <w:rPr>
          <w:rFonts w:ascii="Arial" w:hAnsi="Arial" w:cs="Arial"/>
          <w:b/>
          <w:bCs/>
          <w:sz w:val="20"/>
        </w:rPr>
        <w:t xml:space="preserve">ecision-making </w:t>
      </w:r>
      <w:r w:rsidR="006D081C">
        <w:rPr>
          <w:rFonts w:ascii="Arial" w:hAnsi="Arial" w:cs="Arial"/>
          <w:b/>
          <w:bCs/>
          <w:sz w:val="20"/>
        </w:rPr>
        <w:t xml:space="preserve">by the </w:t>
      </w:r>
      <w:r>
        <w:rPr>
          <w:rFonts w:ascii="Arial" w:hAnsi="Arial" w:cs="Arial"/>
          <w:b/>
          <w:bCs/>
          <w:sz w:val="20"/>
        </w:rPr>
        <w:t>Child Protection Service</w:t>
      </w:r>
    </w:p>
    <w:p w14:paraId="3CC11E79" w14:textId="77777777" w:rsidR="006D081C" w:rsidRDefault="006D081C" w:rsidP="006D081C">
      <w:pPr>
        <w:spacing w:before="120"/>
        <w:jc w:val="both"/>
        <w:rPr>
          <w:rFonts w:ascii="Arial" w:hAnsi="Arial" w:cs="Arial"/>
          <w:sz w:val="20"/>
        </w:rPr>
      </w:pPr>
      <w:r>
        <w:rPr>
          <w:rFonts w:ascii="Arial" w:hAnsi="Arial" w:cs="Arial"/>
          <w:sz w:val="20"/>
        </w:rPr>
        <w:t xml:space="preserve">Sections 8(2) of the CYFA requires the Secretary of </w:t>
      </w:r>
      <w:r w:rsidR="00785D2D">
        <w:rPr>
          <w:rFonts w:ascii="Arial" w:hAnsi="Arial" w:cs="Arial"/>
          <w:sz w:val="20"/>
        </w:rPr>
        <w:t>DFFH</w:t>
      </w:r>
      <w:r>
        <w:rPr>
          <w:rFonts w:ascii="Arial" w:hAnsi="Arial" w:cs="Arial"/>
          <w:sz w:val="20"/>
        </w:rPr>
        <w:t xml:space="preserve">, where relevant, to have regard to the principles set out in </w:t>
      </w:r>
    </w:p>
    <w:p w14:paraId="57BADF5C" w14:textId="77777777" w:rsidR="006D081C" w:rsidRDefault="006D081C" w:rsidP="006D081C">
      <w:pPr>
        <w:numPr>
          <w:ilvl w:val="0"/>
          <w:numId w:val="13"/>
        </w:numPr>
        <w:jc w:val="both"/>
        <w:rPr>
          <w:rFonts w:ascii="Arial" w:hAnsi="Arial" w:cs="Arial"/>
          <w:sz w:val="20"/>
        </w:rPr>
      </w:pPr>
      <w:r>
        <w:rPr>
          <w:rFonts w:ascii="Arial" w:hAnsi="Arial" w:cs="Arial"/>
          <w:sz w:val="20"/>
        </w:rPr>
        <w:t>s.10 – the “best interests” principle; and</w:t>
      </w:r>
    </w:p>
    <w:p w14:paraId="3717B506" w14:textId="77777777" w:rsidR="006D081C" w:rsidRDefault="006D081C" w:rsidP="006D081C">
      <w:pPr>
        <w:numPr>
          <w:ilvl w:val="0"/>
          <w:numId w:val="13"/>
        </w:numPr>
        <w:jc w:val="both"/>
        <w:rPr>
          <w:rFonts w:ascii="Arial" w:hAnsi="Arial" w:cs="Arial"/>
          <w:sz w:val="20"/>
        </w:rPr>
      </w:pPr>
      <w:r>
        <w:rPr>
          <w:rFonts w:ascii="Arial" w:hAnsi="Arial" w:cs="Arial"/>
          <w:sz w:val="20"/>
        </w:rPr>
        <w:t>s.11 – additional general decision-making principles; and</w:t>
      </w:r>
    </w:p>
    <w:p w14:paraId="23887089" w14:textId="77777777" w:rsidR="006D081C" w:rsidRDefault="006D081C" w:rsidP="006D081C">
      <w:pPr>
        <w:numPr>
          <w:ilvl w:val="0"/>
          <w:numId w:val="13"/>
        </w:numPr>
        <w:jc w:val="both"/>
        <w:rPr>
          <w:rFonts w:ascii="Arial" w:hAnsi="Arial" w:cs="Arial"/>
          <w:sz w:val="20"/>
        </w:rPr>
      </w:pPr>
      <w:r>
        <w:rPr>
          <w:rFonts w:ascii="Arial" w:hAnsi="Arial" w:cs="Arial"/>
          <w:sz w:val="20"/>
        </w:rPr>
        <w:t>ss.12-14 – additional decision-making principles for Aboriginal children-</w:t>
      </w:r>
    </w:p>
    <w:p w14:paraId="44520AF1" w14:textId="77777777" w:rsidR="006D081C" w:rsidRDefault="006D081C" w:rsidP="006D081C">
      <w:pPr>
        <w:jc w:val="both"/>
        <w:rPr>
          <w:rFonts w:ascii="Arial" w:hAnsi="Arial" w:cs="Arial"/>
          <w:sz w:val="20"/>
        </w:rPr>
      </w:pPr>
      <w:r>
        <w:rPr>
          <w:rFonts w:ascii="Arial" w:hAnsi="Arial" w:cs="Arial"/>
          <w:sz w:val="20"/>
        </w:rPr>
        <w:t>in making any decision or taking any action under the CYFA or in providing any service under the CYFA to children and families.  However, s.8(2) does not apply in relation to any decision or action under Chapter 5 [Children and the Criminal Law] or Chapter 7 [The Children’s Court of Victoria] in relation to any matter under Chapter 5.</w:t>
      </w:r>
    </w:p>
    <w:p w14:paraId="1A7A8ADB" w14:textId="77777777" w:rsidR="006D081C" w:rsidRDefault="006D081C" w:rsidP="006D081C">
      <w:pPr>
        <w:jc w:val="both"/>
        <w:rPr>
          <w:rFonts w:ascii="Arial" w:hAnsi="Arial" w:cs="Arial"/>
          <w:sz w:val="20"/>
        </w:rPr>
      </w:pPr>
    </w:p>
    <w:p w14:paraId="6A2DBC16" w14:textId="77777777" w:rsidR="006D081C" w:rsidRDefault="006D081C" w:rsidP="006D081C">
      <w:pPr>
        <w:jc w:val="both"/>
        <w:rPr>
          <w:rFonts w:ascii="Arial" w:hAnsi="Arial" w:cs="Arial"/>
          <w:sz w:val="20"/>
        </w:rPr>
      </w:pPr>
      <w:r>
        <w:rPr>
          <w:rFonts w:ascii="Arial" w:hAnsi="Arial" w:cs="Arial"/>
          <w:sz w:val="20"/>
        </w:rPr>
        <w:t>Section 8(3) imposes a similar obligation on a community service established under s.44 or registered under s.46 of the CYFA.</w:t>
      </w:r>
    </w:p>
    <w:p w14:paraId="77959199" w14:textId="77777777" w:rsidR="006D081C" w:rsidRDefault="006D081C" w:rsidP="006D081C">
      <w:pPr>
        <w:jc w:val="both"/>
        <w:rPr>
          <w:rFonts w:ascii="Arial" w:hAnsi="Arial" w:cs="Arial"/>
          <w:sz w:val="20"/>
        </w:rPr>
      </w:pPr>
    </w:p>
    <w:p w14:paraId="3FFF9338" w14:textId="77777777" w:rsidR="006D081C" w:rsidRDefault="006D081C" w:rsidP="006D081C">
      <w:pPr>
        <w:jc w:val="both"/>
        <w:rPr>
          <w:rFonts w:ascii="Arial" w:hAnsi="Arial" w:cs="Arial"/>
          <w:sz w:val="20"/>
        </w:rPr>
      </w:pPr>
      <w:r>
        <w:rPr>
          <w:rFonts w:ascii="Arial" w:hAnsi="Arial" w:cs="Arial"/>
          <w:sz w:val="20"/>
        </w:rPr>
        <w:t>Section 10(1) of the CYFA provides that for the purposes of the CYFA the best interests of the child must always be paramount.</w:t>
      </w:r>
    </w:p>
    <w:p w14:paraId="4ABF8FE7" w14:textId="77777777" w:rsidR="006D081C" w:rsidRDefault="006D081C" w:rsidP="006D081C">
      <w:pPr>
        <w:jc w:val="both"/>
        <w:rPr>
          <w:rFonts w:ascii="Arial" w:hAnsi="Arial" w:cs="Arial"/>
          <w:sz w:val="20"/>
        </w:rPr>
      </w:pPr>
    </w:p>
    <w:p w14:paraId="3200727A" w14:textId="77777777" w:rsidR="006D081C" w:rsidRDefault="006D081C" w:rsidP="006D081C">
      <w:pPr>
        <w:jc w:val="both"/>
        <w:rPr>
          <w:rFonts w:ascii="Arial" w:hAnsi="Arial" w:cs="Arial"/>
          <w:sz w:val="20"/>
        </w:rPr>
      </w:pPr>
      <w:r>
        <w:rPr>
          <w:rFonts w:ascii="Arial" w:hAnsi="Arial" w:cs="Arial"/>
          <w:sz w:val="20"/>
        </w:rPr>
        <w:t>Section 10(2) 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w:t>
      </w:r>
    </w:p>
    <w:p w14:paraId="563478D4" w14:textId="77777777" w:rsidR="006D081C" w:rsidRDefault="006D081C" w:rsidP="006D081C">
      <w:pPr>
        <w:jc w:val="both"/>
        <w:rPr>
          <w:rFonts w:ascii="Arial" w:hAnsi="Arial" w:cs="Arial"/>
          <w:sz w:val="20"/>
        </w:rPr>
      </w:pPr>
    </w:p>
    <w:p w14:paraId="360C33EF" w14:textId="77777777" w:rsidR="006D081C" w:rsidRDefault="006D081C" w:rsidP="006D081C">
      <w:pPr>
        <w:jc w:val="both"/>
        <w:rPr>
          <w:rFonts w:ascii="Arial" w:hAnsi="Arial" w:cs="Arial"/>
          <w:sz w:val="20"/>
        </w:rPr>
      </w:pPr>
      <w:r>
        <w:rPr>
          <w:rFonts w:ascii="Arial" w:hAnsi="Arial" w:cs="Arial"/>
          <w:sz w:val="20"/>
        </w:rPr>
        <w:t xml:space="preserve">Section 10(3) lists 18 other matters to which consideration must also be given, where relevant, in determining what decision to make or action to take in </w:t>
      </w:r>
      <w:r w:rsidR="00D21449">
        <w:rPr>
          <w:rFonts w:ascii="Arial" w:hAnsi="Arial" w:cs="Arial"/>
          <w:sz w:val="20"/>
        </w:rPr>
        <w:t>the best interests of a child.</w:t>
      </w:r>
    </w:p>
    <w:p w14:paraId="0D312647" w14:textId="77777777" w:rsidR="006D081C" w:rsidRDefault="006D081C">
      <w:pPr>
        <w:pStyle w:val="NormalWeb"/>
        <w:spacing w:before="0" w:beforeAutospacing="0" w:after="0" w:afterAutospacing="0"/>
        <w:jc w:val="both"/>
        <w:rPr>
          <w:rFonts w:ascii="Arial" w:hAnsi="Arial" w:cs="Arial"/>
          <w:sz w:val="20"/>
          <w:szCs w:val="20"/>
        </w:rPr>
      </w:pPr>
    </w:p>
    <w:p w14:paraId="31962C17" w14:textId="77777777" w:rsidR="006D081C" w:rsidRDefault="006D081C" w:rsidP="006D081C">
      <w:pPr>
        <w:jc w:val="both"/>
        <w:rPr>
          <w:rFonts w:ascii="Arial" w:hAnsi="Arial" w:cs="Arial"/>
          <w:b/>
          <w:bCs/>
          <w:sz w:val="20"/>
        </w:rPr>
      </w:pPr>
      <w:r>
        <w:rPr>
          <w:rFonts w:ascii="Arial" w:hAnsi="Arial" w:cs="Arial"/>
          <w:sz w:val="20"/>
        </w:rPr>
        <w:t>Sections 11 &amp; 12 of the CYFA list 12 other principles to which consideration must also be given by the Secretary or a community service – expressly not by the Court - in making a decision or taking an action in relation to a child.</w:t>
      </w:r>
    </w:p>
    <w:p w14:paraId="69262DF8" w14:textId="77777777" w:rsidR="006D081C" w:rsidRDefault="006D081C" w:rsidP="006D081C">
      <w:pPr>
        <w:rPr>
          <w:rFonts w:ascii="Arial" w:hAnsi="Arial" w:cs="Arial"/>
          <w:b/>
          <w:bCs/>
          <w:sz w:val="20"/>
        </w:rPr>
      </w:pPr>
    </w:p>
    <w:p w14:paraId="78BE6519" w14:textId="77777777" w:rsidR="006D081C" w:rsidRPr="00D96BB7" w:rsidRDefault="006D081C" w:rsidP="006D081C">
      <w:pPr>
        <w:jc w:val="both"/>
        <w:rPr>
          <w:rFonts w:ascii="Arial" w:hAnsi="Arial" w:cs="Arial"/>
          <w:bCs/>
          <w:sz w:val="20"/>
        </w:rPr>
      </w:pPr>
      <w:r w:rsidRPr="00D96BB7">
        <w:rPr>
          <w:rFonts w:ascii="Arial" w:hAnsi="Arial" w:cs="Arial"/>
          <w:bCs/>
          <w:sz w:val="20"/>
        </w:rPr>
        <w:t xml:space="preserve">Section </w:t>
      </w:r>
      <w:r>
        <w:rPr>
          <w:rFonts w:ascii="Arial" w:hAnsi="Arial" w:cs="Arial"/>
          <w:bCs/>
          <w:sz w:val="20"/>
        </w:rPr>
        <w:t>13(1) of the CYFA provides that if it is in best interests of an Aboriginal child to be placed in out of home care, in making that placement regard must be had to-</w:t>
      </w:r>
    </w:p>
    <w:p w14:paraId="3B396066" w14:textId="77777777" w:rsidR="006D081C" w:rsidRDefault="006D081C" w:rsidP="006D081C">
      <w:pPr>
        <w:tabs>
          <w:tab w:val="left" w:pos="363"/>
        </w:tabs>
        <w:jc w:val="both"/>
        <w:rPr>
          <w:rFonts w:ascii="Arial" w:hAnsi="Arial" w:cs="Arial"/>
          <w:sz w:val="20"/>
        </w:rPr>
      </w:pPr>
      <w:r w:rsidRPr="00D96BB7">
        <w:rPr>
          <w:rFonts w:ascii="Arial" w:hAnsi="Arial" w:cs="Arial"/>
          <w:sz w:val="20"/>
        </w:rPr>
        <w:t>(a</w:t>
      </w:r>
      <w:r>
        <w:rPr>
          <w:rFonts w:ascii="Arial" w:hAnsi="Arial" w:cs="Arial"/>
          <w:sz w:val="20"/>
        </w:rPr>
        <w:t>)</w:t>
      </w:r>
      <w:r>
        <w:rPr>
          <w:rFonts w:ascii="Arial" w:hAnsi="Arial" w:cs="Arial"/>
          <w:sz w:val="20"/>
        </w:rPr>
        <w:tab/>
        <w:t>the advice of the relevant Aboriginal agency; and</w:t>
      </w:r>
    </w:p>
    <w:p w14:paraId="23340DAF" w14:textId="77777777" w:rsidR="006D081C" w:rsidRDefault="006D081C" w:rsidP="006D081C">
      <w:pPr>
        <w:tabs>
          <w:tab w:val="left" w:pos="363"/>
        </w:tabs>
        <w:jc w:val="both"/>
        <w:rPr>
          <w:rFonts w:ascii="Arial" w:hAnsi="Arial" w:cs="Arial"/>
          <w:sz w:val="20"/>
        </w:rPr>
      </w:pPr>
      <w:r>
        <w:rPr>
          <w:rFonts w:ascii="Arial" w:hAnsi="Arial" w:cs="Arial"/>
          <w:sz w:val="20"/>
        </w:rPr>
        <w:t>(b)</w:t>
      </w:r>
      <w:r>
        <w:rPr>
          <w:rFonts w:ascii="Arial" w:hAnsi="Arial" w:cs="Arial"/>
          <w:sz w:val="20"/>
        </w:rPr>
        <w:tab/>
        <w:t>the criteria in s.13(2); and</w:t>
      </w:r>
    </w:p>
    <w:p w14:paraId="1EFDCA3E" w14:textId="77777777" w:rsidR="006D081C" w:rsidRDefault="006D081C" w:rsidP="006D081C">
      <w:pPr>
        <w:tabs>
          <w:tab w:val="left" w:pos="363"/>
        </w:tabs>
        <w:jc w:val="both"/>
        <w:rPr>
          <w:rFonts w:ascii="Arial" w:hAnsi="Arial" w:cs="Arial"/>
          <w:sz w:val="20"/>
        </w:rPr>
      </w:pPr>
      <w:r>
        <w:rPr>
          <w:rFonts w:ascii="Arial" w:hAnsi="Arial" w:cs="Arial"/>
          <w:sz w:val="20"/>
        </w:rPr>
        <w:lastRenderedPageBreak/>
        <w:t>(c)</w:t>
      </w:r>
      <w:r>
        <w:rPr>
          <w:rFonts w:ascii="Arial" w:hAnsi="Arial" w:cs="Arial"/>
          <w:sz w:val="20"/>
        </w:rPr>
        <w:tab/>
        <w:t>the principles in s.14.</w:t>
      </w:r>
    </w:p>
    <w:p w14:paraId="094473EF" w14:textId="77777777" w:rsidR="006D081C" w:rsidRDefault="006D081C" w:rsidP="006D081C">
      <w:pPr>
        <w:rPr>
          <w:rFonts w:ascii="Arial" w:hAnsi="Arial" w:cs="Arial"/>
          <w:b/>
          <w:bCs/>
          <w:sz w:val="20"/>
        </w:rPr>
      </w:pPr>
    </w:p>
    <w:p w14:paraId="22204F46" w14:textId="5C26A4F4" w:rsidR="007A7B63" w:rsidRDefault="006D081C">
      <w:pPr>
        <w:pStyle w:val="NormalWeb"/>
        <w:spacing w:before="0" w:beforeAutospacing="0" w:after="0" w:afterAutospacing="0"/>
        <w:jc w:val="both"/>
        <w:rPr>
          <w:rFonts w:ascii="Arial" w:hAnsi="Arial" w:cs="Arial"/>
          <w:sz w:val="20"/>
          <w:szCs w:val="20"/>
        </w:rPr>
      </w:pPr>
      <w:r>
        <w:rPr>
          <w:rFonts w:ascii="Arial" w:hAnsi="Arial" w:cs="Arial"/>
          <w:sz w:val="20"/>
          <w:szCs w:val="20"/>
        </w:rPr>
        <w:t>All of these principles are discussed in much greater d</w:t>
      </w:r>
      <w:r w:rsidR="00B05EC7">
        <w:rPr>
          <w:rFonts w:ascii="Arial" w:hAnsi="Arial" w:cs="Arial"/>
          <w:sz w:val="20"/>
          <w:szCs w:val="20"/>
        </w:rPr>
        <w:t xml:space="preserve">etail in these materials in </w:t>
      </w:r>
      <w:r w:rsidR="005A4756">
        <w:rPr>
          <w:rFonts w:ascii="Arial" w:hAnsi="Arial" w:cs="Arial"/>
          <w:sz w:val="20"/>
          <w:szCs w:val="20"/>
        </w:rPr>
        <w:t>part</w:t>
      </w:r>
      <w:r>
        <w:rPr>
          <w:rFonts w:ascii="Arial" w:hAnsi="Arial" w:cs="Arial"/>
          <w:sz w:val="20"/>
          <w:szCs w:val="20"/>
        </w:rPr>
        <w:t xml:space="preserve"> </w:t>
      </w:r>
      <w:r w:rsidR="00B05EC7">
        <w:rPr>
          <w:rFonts w:ascii="Arial" w:hAnsi="Arial" w:cs="Arial"/>
          <w:sz w:val="20"/>
          <w:szCs w:val="20"/>
        </w:rPr>
        <w:t xml:space="preserve">5.10 </w:t>
      </w:r>
      <w:r>
        <w:rPr>
          <w:rFonts w:ascii="Arial" w:hAnsi="Arial" w:cs="Arial"/>
          <w:sz w:val="20"/>
          <w:szCs w:val="20"/>
        </w:rPr>
        <w:t xml:space="preserve">entitled “Decision-making Principles for </w:t>
      </w:r>
      <w:r w:rsidR="00B05EC7">
        <w:rPr>
          <w:rFonts w:ascii="Arial" w:hAnsi="Arial" w:cs="Arial"/>
          <w:sz w:val="20"/>
          <w:szCs w:val="20"/>
        </w:rPr>
        <w:t>Family Division matters” in c</w:t>
      </w:r>
      <w:r>
        <w:rPr>
          <w:rFonts w:ascii="Arial" w:hAnsi="Arial" w:cs="Arial"/>
          <w:sz w:val="20"/>
          <w:szCs w:val="20"/>
        </w:rPr>
        <w:t xml:space="preserve">hapter </w:t>
      </w:r>
      <w:r w:rsidR="00B05EC7">
        <w:rPr>
          <w:rFonts w:ascii="Arial" w:hAnsi="Arial" w:cs="Arial"/>
          <w:sz w:val="20"/>
          <w:szCs w:val="20"/>
        </w:rPr>
        <w:t>5:</w:t>
      </w:r>
      <w:r>
        <w:rPr>
          <w:rFonts w:ascii="Arial" w:hAnsi="Arial" w:cs="Arial"/>
          <w:sz w:val="20"/>
          <w:szCs w:val="20"/>
        </w:rPr>
        <w:t xml:space="preserve"> “Family Division – Child Protection”.</w:t>
      </w:r>
    </w:p>
    <w:p w14:paraId="4C8DF3CA" w14:textId="77777777" w:rsidR="00066867" w:rsidRDefault="00066867">
      <w:pPr>
        <w:pStyle w:val="NormalWeb"/>
        <w:spacing w:before="0" w:beforeAutospacing="0" w:after="0" w:afterAutospacing="0"/>
        <w:jc w:val="both"/>
        <w:rPr>
          <w:rFonts w:ascii="Arial" w:hAnsi="Arial" w:cs="Arial"/>
          <w:sz w:val="20"/>
          <w:szCs w:val="20"/>
        </w:rPr>
      </w:pPr>
    </w:p>
    <w:p w14:paraId="7CCE7188" w14:textId="77777777" w:rsidR="00693223" w:rsidRDefault="00693223">
      <w:pPr>
        <w:pStyle w:val="Heading3"/>
        <w:keepNext/>
        <w:keepLines/>
        <w:spacing w:line="240" w:lineRule="auto"/>
        <w:rPr>
          <w:rFonts w:ascii="Arial" w:hAnsi="Arial" w:cs="Arial"/>
          <w:b/>
          <w:bCs/>
          <w:sz w:val="20"/>
        </w:rPr>
      </w:pPr>
      <w:bookmarkStart w:id="142" w:name="_4.1.4_Voluntary_intervention"/>
      <w:bookmarkStart w:id="143" w:name="B41x4"/>
      <w:bookmarkStart w:id="144" w:name="_Toc30644236"/>
      <w:bookmarkStart w:id="145" w:name="_Toc30644639"/>
      <w:bookmarkStart w:id="146" w:name="_Toc30645189"/>
      <w:bookmarkStart w:id="147" w:name="_Toc30646400"/>
      <w:bookmarkStart w:id="148" w:name="_Toc30646695"/>
      <w:bookmarkStart w:id="149" w:name="_Toc30646806"/>
      <w:bookmarkStart w:id="150" w:name="_Toc30648163"/>
      <w:bookmarkStart w:id="151" w:name="_Toc30649061"/>
      <w:bookmarkStart w:id="152" w:name="_Toc30649137"/>
      <w:bookmarkStart w:id="153" w:name="_Toc30649398"/>
      <w:bookmarkStart w:id="154" w:name="_Toc30649723"/>
      <w:bookmarkStart w:id="155" w:name="_Toc30651663"/>
      <w:bookmarkStart w:id="156" w:name="_Toc30652653"/>
      <w:bookmarkStart w:id="157" w:name="_Toc30652749"/>
      <w:bookmarkStart w:id="158" w:name="_Toc30654094"/>
      <w:bookmarkStart w:id="159" w:name="_Toc30654445"/>
      <w:bookmarkStart w:id="160" w:name="_Toc30655064"/>
      <w:bookmarkStart w:id="161" w:name="_Toc30655321"/>
      <w:bookmarkStart w:id="162" w:name="_Toc30656999"/>
      <w:bookmarkStart w:id="163" w:name="_Toc30661748"/>
      <w:bookmarkStart w:id="164" w:name="_Toc30666436"/>
      <w:bookmarkStart w:id="165" w:name="_Toc30666666"/>
      <w:bookmarkStart w:id="166" w:name="_Toc30667841"/>
      <w:bookmarkStart w:id="167" w:name="_Toc30669219"/>
      <w:bookmarkStart w:id="168" w:name="_Toc30671435"/>
      <w:bookmarkStart w:id="169" w:name="_Toc30673962"/>
      <w:bookmarkStart w:id="170" w:name="_Toc30691184"/>
      <w:bookmarkStart w:id="171" w:name="_Toc30691557"/>
      <w:bookmarkStart w:id="172" w:name="_Toc30691937"/>
      <w:bookmarkStart w:id="173" w:name="_Toc30692696"/>
      <w:bookmarkStart w:id="174" w:name="_Toc30693075"/>
      <w:bookmarkStart w:id="175" w:name="_Toc30693453"/>
      <w:bookmarkStart w:id="176" w:name="_Toc30693831"/>
      <w:bookmarkStart w:id="177" w:name="_Toc30694212"/>
      <w:bookmarkStart w:id="178" w:name="_Toc30698801"/>
      <w:bookmarkStart w:id="179" w:name="_Toc30699179"/>
      <w:bookmarkStart w:id="180" w:name="_Toc30699564"/>
      <w:bookmarkStart w:id="181" w:name="_Toc30700719"/>
      <w:bookmarkStart w:id="182" w:name="_Toc30701106"/>
      <w:bookmarkStart w:id="183" w:name="_Toc30743715"/>
      <w:bookmarkStart w:id="184" w:name="_Toc30754538"/>
      <w:bookmarkStart w:id="185" w:name="_Toc30756978"/>
      <w:bookmarkStart w:id="186" w:name="_Toc30757527"/>
      <w:bookmarkStart w:id="187" w:name="_Toc30757927"/>
      <w:bookmarkStart w:id="188" w:name="_Toc30762688"/>
      <w:bookmarkStart w:id="189" w:name="_Toc30767342"/>
      <w:bookmarkStart w:id="190" w:name="_Toc34823358"/>
      <w:bookmarkEnd w:id="142"/>
      <w:bookmarkEnd w:id="143"/>
      <w:r>
        <w:rPr>
          <w:rFonts w:ascii="Arial" w:hAnsi="Arial" w:cs="Arial"/>
          <w:b/>
          <w:bCs/>
          <w:sz w:val="20"/>
        </w:rPr>
        <w:t>4.1.</w:t>
      </w:r>
      <w:r w:rsidR="00066867">
        <w:rPr>
          <w:rFonts w:ascii="Arial" w:hAnsi="Arial" w:cs="Arial"/>
          <w:b/>
          <w:bCs/>
          <w:sz w:val="20"/>
        </w:rPr>
        <w:t>4</w:t>
      </w:r>
      <w:r>
        <w:rPr>
          <w:rFonts w:ascii="Arial" w:hAnsi="Arial" w:cs="Arial"/>
          <w:b/>
          <w:bCs/>
          <w:sz w:val="20"/>
        </w:rPr>
        <w:tab/>
        <w:t>Voluntary intervention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6E676DA" w14:textId="77777777" w:rsidR="00693223" w:rsidRDefault="00693223">
      <w:pPr>
        <w:pStyle w:val="Heading3"/>
        <w:keepNext/>
        <w:keepLines/>
        <w:spacing w:line="240" w:lineRule="auto"/>
        <w:rPr>
          <w:rFonts w:ascii="Arial" w:hAnsi="Arial" w:cs="Arial"/>
          <w:b/>
          <w:bCs/>
          <w:sz w:val="20"/>
        </w:rPr>
      </w:pPr>
    </w:p>
    <w:p w14:paraId="226A5A32" w14:textId="77777777" w:rsidR="00693223" w:rsidRDefault="00693223" w:rsidP="006D586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Frequently the Department will intervene with the consent of all family members and work voluntarily with the family to provide appropriate protection for a child.  In 1997-98 the Department substantiated 7,412 </w:t>
      </w:r>
      <w:r w:rsidR="006D5863">
        <w:rPr>
          <w:rFonts w:ascii="Arial" w:hAnsi="Arial" w:cs="Arial"/>
          <w:sz w:val="20"/>
          <w:szCs w:val="20"/>
        </w:rPr>
        <w:t>report</w:t>
      </w:r>
      <w:r>
        <w:rPr>
          <w:rFonts w:ascii="Arial" w:hAnsi="Arial" w:cs="Arial"/>
          <w:sz w:val="20"/>
          <w:szCs w:val="20"/>
        </w:rPr>
        <w:t xml:space="preserve">s but issued only 2,135 protection applications.  </w:t>
      </w:r>
      <w:r w:rsidR="006D5863">
        <w:rPr>
          <w:rFonts w:ascii="Arial" w:hAnsi="Arial" w:cs="Arial"/>
          <w:sz w:val="20"/>
          <w:szCs w:val="20"/>
        </w:rPr>
        <w:t xml:space="preserve">In </w:t>
      </w:r>
      <w:r w:rsidR="006D5863" w:rsidRPr="00B310F4">
        <w:rPr>
          <w:rFonts w:ascii="Arial" w:hAnsi="Arial" w:cs="Arial"/>
          <w:sz w:val="20"/>
          <w:szCs w:val="20"/>
        </w:rPr>
        <w:t xml:space="preserve">2006-07 </w:t>
      </w:r>
      <w:r w:rsidR="00231CCE" w:rsidRPr="00B310F4">
        <w:rPr>
          <w:rFonts w:ascii="Arial" w:hAnsi="Arial" w:cs="Arial"/>
          <w:sz w:val="20"/>
          <w:szCs w:val="20"/>
        </w:rPr>
        <w:t xml:space="preserve">it issued </w:t>
      </w:r>
      <w:r w:rsidR="006D5863" w:rsidRPr="00B310F4">
        <w:rPr>
          <w:rFonts w:ascii="Arial" w:hAnsi="Arial" w:cs="Arial"/>
          <w:sz w:val="20"/>
          <w:szCs w:val="20"/>
        </w:rPr>
        <w:t xml:space="preserve">a greater proportion of protection applications: </w:t>
      </w:r>
      <w:r w:rsidR="00231CCE" w:rsidRPr="00B310F4">
        <w:rPr>
          <w:rFonts w:ascii="Arial" w:hAnsi="Arial" w:cs="Arial"/>
          <w:sz w:val="20"/>
          <w:szCs w:val="20"/>
        </w:rPr>
        <w:t xml:space="preserve">3,077 out of 6,828 substantiations.  </w:t>
      </w:r>
      <w:r w:rsidR="00120B81" w:rsidRPr="00B310F4">
        <w:rPr>
          <w:rFonts w:ascii="Arial" w:hAnsi="Arial" w:cs="Arial"/>
          <w:sz w:val="20"/>
          <w:szCs w:val="20"/>
        </w:rPr>
        <w:t>The proportion fell slightly in</w:t>
      </w:r>
      <w:r w:rsidR="00B05EC7" w:rsidRPr="00B310F4">
        <w:rPr>
          <w:rFonts w:ascii="Arial" w:hAnsi="Arial" w:cs="Arial"/>
          <w:sz w:val="20"/>
          <w:szCs w:val="20"/>
        </w:rPr>
        <w:t xml:space="preserve"> 201</w:t>
      </w:r>
      <w:r w:rsidR="00377430">
        <w:rPr>
          <w:rFonts w:ascii="Arial" w:hAnsi="Arial" w:cs="Arial"/>
          <w:sz w:val="20"/>
          <w:szCs w:val="20"/>
        </w:rPr>
        <w:t>1</w:t>
      </w:r>
      <w:r w:rsidR="00B05EC7" w:rsidRPr="00B310F4">
        <w:rPr>
          <w:rFonts w:ascii="Arial" w:hAnsi="Arial" w:cs="Arial"/>
          <w:sz w:val="20"/>
          <w:szCs w:val="20"/>
        </w:rPr>
        <w:t>-1</w:t>
      </w:r>
      <w:r w:rsidR="00377430">
        <w:rPr>
          <w:rFonts w:ascii="Arial" w:hAnsi="Arial" w:cs="Arial"/>
          <w:sz w:val="20"/>
          <w:szCs w:val="20"/>
        </w:rPr>
        <w:t>2</w:t>
      </w:r>
      <w:r w:rsidR="00B05EC7" w:rsidRPr="00B310F4">
        <w:rPr>
          <w:rFonts w:ascii="Arial" w:hAnsi="Arial" w:cs="Arial"/>
          <w:sz w:val="20"/>
          <w:szCs w:val="20"/>
        </w:rPr>
        <w:t xml:space="preserve"> </w:t>
      </w:r>
      <w:r w:rsidR="00120B81" w:rsidRPr="00B310F4">
        <w:rPr>
          <w:rFonts w:ascii="Arial" w:hAnsi="Arial" w:cs="Arial"/>
          <w:sz w:val="20"/>
          <w:szCs w:val="20"/>
        </w:rPr>
        <w:t xml:space="preserve">when </w:t>
      </w:r>
      <w:r w:rsidR="00B05EC7" w:rsidRPr="00B310F4">
        <w:rPr>
          <w:rFonts w:ascii="Arial" w:hAnsi="Arial" w:cs="Arial"/>
          <w:sz w:val="20"/>
          <w:szCs w:val="20"/>
        </w:rPr>
        <w:t xml:space="preserve">it issued </w:t>
      </w:r>
      <w:r w:rsidR="00217229" w:rsidRPr="00B310F4">
        <w:rPr>
          <w:rFonts w:ascii="Arial" w:hAnsi="Arial" w:cs="Arial"/>
          <w:sz w:val="20"/>
          <w:szCs w:val="20"/>
        </w:rPr>
        <w:t>3,</w:t>
      </w:r>
      <w:r w:rsidR="00377430">
        <w:rPr>
          <w:rFonts w:ascii="Arial" w:hAnsi="Arial" w:cs="Arial"/>
          <w:sz w:val="20"/>
          <w:szCs w:val="20"/>
        </w:rPr>
        <w:t>920</w:t>
      </w:r>
      <w:r w:rsidR="00B05EC7" w:rsidRPr="00B310F4">
        <w:rPr>
          <w:rFonts w:ascii="Arial" w:hAnsi="Arial" w:cs="Arial"/>
          <w:sz w:val="20"/>
          <w:szCs w:val="20"/>
        </w:rPr>
        <w:t xml:space="preserve"> </w:t>
      </w:r>
      <w:r w:rsidR="00217229" w:rsidRPr="00B310F4">
        <w:rPr>
          <w:rFonts w:ascii="Arial" w:hAnsi="Arial" w:cs="Arial"/>
          <w:sz w:val="20"/>
          <w:szCs w:val="20"/>
        </w:rPr>
        <w:t xml:space="preserve">protection applications </w:t>
      </w:r>
      <w:r w:rsidR="00B05EC7" w:rsidRPr="00B310F4">
        <w:rPr>
          <w:rFonts w:ascii="Arial" w:hAnsi="Arial" w:cs="Arial"/>
          <w:sz w:val="20"/>
          <w:szCs w:val="20"/>
        </w:rPr>
        <w:t xml:space="preserve">out of </w:t>
      </w:r>
      <w:r w:rsidR="00217229" w:rsidRPr="00B310F4">
        <w:rPr>
          <w:rFonts w:ascii="Arial" w:hAnsi="Arial" w:cs="Arial"/>
          <w:sz w:val="20"/>
          <w:szCs w:val="20"/>
        </w:rPr>
        <w:t>9,075</w:t>
      </w:r>
      <w:r w:rsidR="00B05EC7" w:rsidRPr="00B310F4">
        <w:rPr>
          <w:rFonts w:ascii="Arial" w:hAnsi="Arial" w:cs="Arial"/>
          <w:sz w:val="20"/>
          <w:szCs w:val="20"/>
        </w:rPr>
        <w:t xml:space="preserve"> substantiations</w:t>
      </w:r>
      <w:r w:rsidR="00787E9B">
        <w:rPr>
          <w:rFonts w:ascii="Arial" w:hAnsi="Arial" w:cs="Arial"/>
          <w:sz w:val="20"/>
          <w:szCs w:val="20"/>
        </w:rPr>
        <w:t xml:space="preserve"> and fell again in 2012-13 when it issued 3,804 protection applications out of 10</w:t>
      </w:r>
      <w:r w:rsidR="00D533E2">
        <w:rPr>
          <w:rFonts w:ascii="Arial" w:hAnsi="Arial" w:cs="Arial"/>
          <w:sz w:val="20"/>
          <w:szCs w:val="20"/>
        </w:rPr>
        <w:t>,</w:t>
      </w:r>
      <w:r w:rsidR="00787E9B">
        <w:rPr>
          <w:rFonts w:ascii="Arial" w:hAnsi="Arial" w:cs="Arial"/>
          <w:sz w:val="20"/>
          <w:szCs w:val="20"/>
        </w:rPr>
        <w:t>489</w:t>
      </w:r>
      <w:r w:rsidR="00D533E2">
        <w:rPr>
          <w:rFonts w:ascii="Arial" w:hAnsi="Arial" w:cs="Arial"/>
          <w:sz w:val="20"/>
          <w:szCs w:val="20"/>
        </w:rPr>
        <w:t xml:space="preserve"> substantiations</w:t>
      </w:r>
      <w:r w:rsidR="00E30DD8">
        <w:rPr>
          <w:rFonts w:ascii="Arial" w:hAnsi="Arial" w:cs="Arial"/>
          <w:sz w:val="20"/>
          <w:szCs w:val="20"/>
        </w:rPr>
        <w:t xml:space="preserve"> but increased in 2013-2014</w:t>
      </w:r>
      <w:r w:rsidR="00D533E2">
        <w:rPr>
          <w:rFonts w:ascii="Arial" w:hAnsi="Arial" w:cs="Arial"/>
          <w:sz w:val="20"/>
          <w:szCs w:val="20"/>
        </w:rPr>
        <w:t xml:space="preserve">.  </w:t>
      </w:r>
      <w:r w:rsidRPr="00B310F4">
        <w:rPr>
          <w:rFonts w:ascii="Arial" w:hAnsi="Arial" w:cs="Arial"/>
          <w:sz w:val="20"/>
          <w:szCs w:val="20"/>
        </w:rPr>
        <w:t xml:space="preserve">One can infer that </w:t>
      </w:r>
      <w:r w:rsidR="00231CCE" w:rsidRPr="00B310F4">
        <w:rPr>
          <w:rFonts w:ascii="Arial" w:hAnsi="Arial" w:cs="Arial"/>
          <w:sz w:val="20"/>
          <w:szCs w:val="20"/>
        </w:rPr>
        <w:t>it</w:t>
      </w:r>
      <w:r w:rsidRPr="00B310F4">
        <w:rPr>
          <w:rFonts w:ascii="Arial" w:hAnsi="Arial" w:cs="Arial"/>
          <w:sz w:val="20"/>
          <w:szCs w:val="20"/>
        </w:rPr>
        <w:t xml:space="preserve"> dealt </w:t>
      </w:r>
      <w:r w:rsidR="001152F2" w:rsidRPr="00B310F4">
        <w:rPr>
          <w:rFonts w:ascii="Arial" w:hAnsi="Arial" w:cs="Arial"/>
          <w:sz w:val="20"/>
          <w:szCs w:val="20"/>
        </w:rPr>
        <w:t xml:space="preserve">on a voluntary basis </w:t>
      </w:r>
      <w:r w:rsidRPr="00B310F4">
        <w:rPr>
          <w:rFonts w:ascii="Arial" w:hAnsi="Arial" w:cs="Arial"/>
          <w:sz w:val="20"/>
          <w:szCs w:val="20"/>
        </w:rPr>
        <w:t>with</w:t>
      </w:r>
      <w:r>
        <w:rPr>
          <w:rFonts w:ascii="Arial" w:hAnsi="Arial" w:cs="Arial"/>
          <w:sz w:val="20"/>
          <w:szCs w:val="20"/>
        </w:rPr>
        <w:t xml:space="preserve"> </w:t>
      </w:r>
      <w:r w:rsidR="00F4004D">
        <w:rPr>
          <w:rFonts w:ascii="Arial" w:hAnsi="Arial" w:cs="Arial"/>
          <w:sz w:val="20"/>
          <w:szCs w:val="20"/>
        </w:rPr>
        <w:t xml:space="preserve">at least some of </w:t>
      </w:r>
      <w:r>
        <w:rPr>
          <w:rFonts w:ascii="Arial" w:hAnsi="Arial" w:cs="Arial"/>
          <w:sz w:val="20"/>
          <w:szCs w:val="20"/>
        </w:rPr>
        <w:t>th</w:t>
      </w:r>
      <w:r w:rsidR="001152F2">
        <w:rPr>
          <w:rFonts w:ascii="Arial" w:hAnsi="Arial" w:cs="Arial"/>
          <w:sz w:val="20"/>
          <w:szCs w:val="20"/>
        </w:rPr>
        <w:t>ose substantiations which were not breaches of existing orders.</w:t>
      </w:r>
    </w:p>
    <w:p w14:paraId="6512F133" w14:textId="77777777" w:rsidR="00787E9B" w:rsidRDefault="00787E9B">
      <w:pPr>
        <w:pStyle w:val="NormalWeb"/>
        <w:spacing w:before="0" w:beforeAutospacing="0" w:after="0" w:afterAutospacing="0"/>
        <w:jc w:val="both"/>
        <w:rPr>
          <w:rFonts w:ascii="Arial" w:hAnsi="Arial" w:cs="Arial"/>
          <w:sz w:val="20"/>
          <w:szCs w:val="20"/>
        </w:rPr>
      </w:pPr>
    </w:p>
    <w:p w14:paraId="22BC24D8" w14:textId="77777777" w:rsidR="00693223" w:rsidRDefault="00066867">
      <w:pPr>
        <w:pStyle w:val="Heading3"/>
        <w:spacing w:line="240" w:lineRule="auto"/>
        <w:rPr>
          <w:rFonts w:ascii="Arial" w:hAnsi="Arial" w:cs="Arial"/>
          <w:b/>
          <w:bCs/>
          <w:sz w:val="20"/>
        </w:rPr>
      </w:pPr>
      <w:bookmarkStart w:id="191" w:name="_4.1.5_Statutory_intervention"/>
      <w:bookmarkStart w:id="192" w:name="B41x5"/>
      <w:bookmarkStart w:id="193" w:name="_Toc30644237"/>
      <w:bookmarkStart w:id="194" w:name="_Toc30644640"/>
      <w:bookmarkStart w:id="195" w:name="_Toc30645190"/>
      <w:bookmarkStart w:id="196" w:name="_Toc30646401"/>
      <w:bookmarkStart w:id="197" w:name="_Toc30646696"/>
      <w:bookmarkStart w:id="198" w:name="_Toc30646807"/>
      <w:bookmarkStart w:id="199" w:name="_Toc30648164"/>
      <w:bookmarkStart w:id="200" w:name="_Toc30649062"/>
      <w:bookmarkStart w:id="201" w:name="_Toc30649138"/>
      <w:bookmarkStart w:id="202" w:name="_Toc30649399"/>
      <w:bookmarkStart w:id="203" w:name="_Toc30649724"/>
      <w:bookmarkStart w:id="204" w:name="_Toc30651664"/>
      <w:bookmarkStart w:id="205" w:name="_Toc30652654"/>
      <w:bookmarkStart w:id="206" w:name="_Toc30652750"/>
      <w:bookmarkStart w:id="207" w:name="_Toc30654095"/>
      <w:bookmarkStart w:id="208" w:name="_Toc30654446"/>
      <w:bookmarkStart w:id="209" w:name="_Toc30655065"/>
      <w:bookmarkStart w:id="210" w:name="_Toc30655322"/>
      <w:bookmarkStart w:id="211" w:name="_Toc30657000"/>
      <w:bookmarkStart w:id="212" w:name="_Toc30661749"/>
      <w:bookmarkStart w:id="213" w:name="_Toc30666437"/>
      <w:bookmarkStart w:id="214" w:name="_Toc30666667"/>
      <w:bookmarkStart w:id="215" w:name="_Toc30667842"/>
      <w:bookmarkStart w:id="216" w:name="_Toc30669220"/>
      <w:bookmarkStart w:id="217" w:name="_Toc30671436"/>
      <w:bookmarkStart w:id="218" w:name="_Toc30673963"/>
      <w:bookmarkStart w:id="219" w:name="_Toc30691185"/>
      <w:bookmarkStart w:id="220" w:name="_Toc30691558"/>
      <w:bookmarkStart w:id="221" w:name="_Toc30691938"/>
      <w:bookmarkStart w:id="222" w:name="_Toc30692697"/>
      <w:bookmarkStart w:id="223" w:name="_Toc30693076"/>
      <w:bookmarkStart w:id="224" w:name="_Toc30693454"/>
      <w:bookmarkStart w:id="225" w:name="_Toc30693832"/>
      <w:bookmarkStart w:id="226" w:name="_Toc30694213"/>
      <w:bookmarkStart w:id="227" w:name="_Toc30698802"/>
      <w:bookmarkStart w:id="228" w:name="_Toc30699180"/>
      <w:bookmarkStart w:id="229" w:name="_Toc30699565"/>
      <w:bookmarkStart w:id="230" w:name="_Toc30700720"/>
      <w:bookmarkStart w:id="231" w:name="_Toc30701107"/>
      <w:bookmarkStart w:id="232" w:name="_Toc30743716"/>
      <w:bookmarkStart w:id="233" w:name="_Toc30754539"/>
      <w:bookmarkStart w:id="234" w:name="_Toc30756979"/>
      <w:bookmarkStart w:id="235" w:name="_Toc30757528"/>
      <w:bookmarkStart w:id="236" w:name="_Toc30757928"/>
      <w:bookmarkStart w:id="237" w:name="_Toc30762689"/>
      <w:bookmarkStart w:id="238" w:name="_Toc30767343"/>
      <w:bookmarkStart w:id="239" w:name="_Toc34823359"/>
      <w:bookmarkEnd w:id="191"/>
      <w:bookmarkEnd w:id="192"/>
      <w:r>
        <w:rPr>
          <w:rFonts w:ascii="Arial" w:hAnsi="Arial" w:cs="Arial"/>
          <w:b/>
          <w:bCs/>
          <w:sz w:val="20"/>
        </w:rPr>
        <w:t>4.1.5</w:t>
      </w:r>
      <w:r w:rsidR="00693223">
        <w:rPr>
          <w:rFonts w:ascii="Arial" w:hAnsi="Arial" w:cs="Arial"/>
          <w:b/>
          <w:bCs/>
          <w:sz w:val="20"/>
        </w:rPr>
        <w:tab/>
        <w:t>Statutory intervention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6DE3ADA" w14:textId="77777777" w:rsidR="00693223" w:rsidRDefault="00693223">
      <w:pPr>
        <w:pStyle w:val="Heading3"/>
        <w:spacing w:line="240" w:lineRule="auto"/>
        <w:rPr>
          <w:rFonts w:ascii="Arial" w:hAnsi="Arial" w:cs="Arial"/>
          <w:b/>
          <w:bCs/>
          <w:sz w:val="20"/>
        </w:rPr>
      </w:pPr>
    </w:p>
    <w:p w14:paraId="36848281" w14:textId="77777777" w:rsidR="00693223" w:rsidRDefault="00693223">
      <w:pPr>
        <w:jc w:val="both"/>
        <w:rPr>
          <w:rFonts w:ascii="Arial" w:hAnsi="Arial" w:cs="Arial"/>
          <w:sz w:val="20"/>
        </w:rPr>
      </w:pPr>
      <w:r>
        <w:rPr>
          <w:rFonts w:ascii="Arial" w:hAnsi="Arial" w:cs="Arial"/>
          <w:sz w:val="20"/>
        </w:rPr>
        <w:t xml:space="preserve">However, in </w:t>
      </w:r>
      <w:r w:rsidR="000D35D1">
        <w:rPr>
          <w:rFonts w:ascii="Arial" w:hAnsi="Arial" w:cs="Arial"/>
          <w:sz w:val="20"/>
        </w:rPr>
        <w:t>the</w:t>
      </w:r>
      <w:r>
        <w:rPr>
          <w:rFonts w:ascii="Arial" w:hAnsi="Arial" w:cs="Arial"/>
          <w:sz w:val="20"/>
        </w:rPr>
        <w:t xml:space="preserve"> smaller proportion of cases in which the risk to the child is regarded as serious and/or chronic, the Department will intervene by exercising its statutory powers under the </w:t>
      </w:r>
      <w:r>
        <w:rPr>
          <w:rFonts w:ascii="Arial" w:hAnsi="Arial" w:cs="Arial"/>
          <w:color w:val="000000"/>
          <w:sz w:val="20"/>
        </w:rPr>
        <w:t>CY</w:t>
      </w:r>
      <w:r w:rsidR="00EE46E4">
        <w:rPr>
          <w:rFonts w:ascii="Arial" w:hAnsi="Arial" w:cs="Arial"/>
          <w:color w:val="000000"/>
          <w:sz w:val="20"/>
        </w:rPr>
        <w:t>F</w:t>
      </w:r>
      <w:r>
        <w:rPr>
          <w:rFonts w:ascii="Arial" w:hAnsi="Arial" w:cs="Arial"/>
          <w:color w:val="000000"/>
          <w:sz w:val="20"/>
        </w:rPr>
        <w:t xml:space="preserve">A, powers described by Nathan J in </w:t>
      </w:r>
      <w:r>
        <w:rPr>
          <w:rFonts w:ascii="Arial" w:hAnsi="Arial" w:cs="Arial"/>
          <w:i/>
          <w:iCs/>
          <w:color w:val="000000"/>
          <w:sz w:val="20"/>
        </w:rPr>
        <w:t>BS v CGB &amp; DOHS</w:t>
      </w:r>
      <w:r>
        <w:rPr>
          <w:rFonts w:ascii="Arial" w:hAnsi="Arial" w:cs="Arial"/>
          <w:color w:val="000000"/>
          <w:sz w:val="20"/>
        </w:rPr>
        <w:t xml:space="preserve"> [2000] VSC 566 as "awesome".  </w:t>
      </w:r>
      <w:r>
        <w:rPr>
          <w:rFonts w:ascii="Arial" w:hAnsi="Arial" w:cs="Arial"/>
          <w:sz w:val="20"/>
        </w:rPr>
        <w:t>It is only in cases where a delegate of the Secretary has decided that parents or caregivers cannot care for a child safely that the Department causes the Children's Court to become involved.</w:t>
      </w:r>
    </w:p>
    <w:p w14:paraId="148F6961" w14:textId="77777777" w:rsidR="00CF2DFD" w:rsidRPr="00E14F02" w:rsidRDefault="00CF2DFD" w:rsidP="00CF2DFD">
      <w:pPr>
        <w:pStyle w:val="NormalWeb"/>
        <w:spacing w:before="0" w:beforeAutospacing="0" w:after="0" w:afterAutospacing="0"/>
        <w:jc w:val="both"/>
        <w:rPr>
          <w:rFonts w:ascii="Arial" w:hAnsi="Arial" w:cs="Arial"/>
          <w:sz w:val="18"/>
          <w:szCs w:val="20"/>
        </w:rPr>
      </w:pPr>
    </w:p>
    <w:p w14:paraId="5CCA71E6" w14:textId="77777777" w:rsidR="00CF2DFD" w:rsidRDefault="00CF2DFD" w:rsidP="00CF2DFD">
      <w:pPr>
        <w:pStyle w:val="Heading3"/>
        <w:spacing w:line="240" w:lineRule="auto"/>
        <w:rPr>
          <w:rFonts w:ascii="Arial" w:hAnsi="Arial" w:cs="Arial"/>
          <w:b/>
          <w:bCs/>
          <w:sz w:val="20"/>
        </w:rPr>
      </w:pPr>
      <w:bookmarkStart w:id="240" w:name="_4.1.6_The_Child"/>
      <w:bookmarkStart w:id="241" w:name="B41x6"/>
      <w:bookmarkEnd w:id="240"/>
      <w:bookmarkEnd w:id="241"/>
      <w:r>
        <w:rPr>
          <w:rFonts w:ascii="Arial" w:hAnsi="Arial" w:cs="Arial"/>
          <w:b/>
          <w:bCs/>
          <w:sz w:val="20"/>
        </w:rPr>
        <w:t>4.1.6</w:t>
      </w:r>
      <w:r>
        <w:rPr>
          <w:rFonts w:ascii="Arial" w:hAnsi="Arial" w:cs="Arial"/>
          <w:b/>
          <w:bCs/>
          <w:sz w:val="20"/>
        </w:rPr>
        <w:tab/>
        <w:t>The Child Protection Service as a model litigant</w:t>
      </w:r>
    </w:p>
    <w:p w14:paraId="5D805F37" w14:textId="77777777" w:rsidR="00CF2DFD" w:rsidRPr="00E14F02" w:rsidRDefault="00CF2DFD" w:rsidP="00CF2DFD">
      <w:pPr>
        <w:pStyle w:val="Heading3"/>
        <w:spacing w:line="240" w:lineRule="auto"/>
        <w:rPr>
          <w:rFonts w:ascii="Arial" w:hAnsi="Arial" w:cs="Arial"/>
          <w:b/>
          <w:bCs/>
          <w:sz w:val="18"/>
        </w:rPr>
      </w:pPr>
    </w:p>
    <w:p w14:paraId="20D1B8F1" w14:textId="77777777" w:rsidR="00CF2DFD" w:rsidRDefault="006C4934" w:rsidP="006C4934">
      <w:pPr>
        <w:jc w:val="both"/>
        <w:rPr>
          <w:rFonts w:ascii="Arial" w:hAnsi="Arial" w:cs="Arial"/>
          <w:sz w:val="20"/>
        </w:rPr>
      </w:pPr>
      <w:r>
        <w:rPr>
          <w:rFonts w:ascii="Arial" w:hAnsi="Arial" w:cs="Arial"/>
          <w:sz w:val="20"/>
        </w:rPr>
        <w:t xml:space="preserve">The Department of </w:t>
      </w:r>
      <w:r w:rsidR="002E0E92">
        <w:rPr>
          <w:rFonts w:ascii="Arial" w:hAnsi="Arial" w:cs="Arial"/>
          <w:sz w:val="20"/>
          <w:szCs w:val="20"/>
        </w:rPr>
        <w:t>Families, Fairness and Housing</w:t>
      </w:r>
      <w:r>
        <w:rPr>
          <w:rFonts w:ascii="Arial" w:hAnsi="Arial" w:cs="Arial"/>
          <w:sz w:val="20"/>
        </w:rPr>
        <w:t xml:space="preserve"> is a Victorian Government Department.  So far as is relevant to litigation in the Children’s Court, the “Guidelines 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’s Obligation to Act as a Model Litigant”, set out in Schedule 4 of the Legal Services to Government Panel contract, ha</w:t>
      </w:r>
      <w:r w:rsidR="00823729">
        <w:rPr>
          <w:rFonts w:ascii="Arial" w:hAnsi="Arial" w:cs="Arial"/>
          <w:sz w:val="20"/>
        </w:rPr>
        <w:t>ve</w:t>
      </w:r>
      <w:r>
        <w:rPr>
          <w:rFonts w:ascii="Arial" w:hAnsi="Arial" w:cs="Arial"/>
          <w:sz w:val="20"/>
        </w:rPr>
        <w:t xml:space="preserve"> provided since 2005</w:t>
      </w:r>
      <w:r w:rsidR="00531EA8">
        <w:rPr>
          <w:rFonts w:ascii="Arial" w:hAnsi="Arial" w:cs="Arial"/>
          <w:sz w:val="20"/>
        </w:rPr>
        <w:t>:</w:t>
      </w:r>
    </w:p>
    <w:p w14:paraId="28B0C7F9" w14:textId="77777777" w:rsidR="00CF2DFD" w:rsidRDefault="006C4934" w:rsidP="006C4934">
      <w:pPr>
        <w:spacing w:before="60"/>
        <w:ind w:left="284" w:hanging="284"/>
        <w:jc w:val="both"/>
        <w:rPr>
          <w:rFonts w:ascii="Arial" w:hAnsi="Arial" w:cs="Arial"/>
          <w:sz w:val="20"/>
        </w:rPr>
      </w:pPr>
      <w:r w:rsidRPr="006C4934">
        <w:rPr>
          <w:rFonts w:ascii="Arial" w:hAnsi="Arial" w:cs="Arial"/>
          <w:sz w:val="20"/>
        </w:rPr>
        <w:t>1.</w:t>
      </w:r>
      <w:r>
        <w:rPr>
          <w:rFonts w:ascii="Arial" w:hAnsi="Arial" w:cs="Arial"/>
          <w:sz w:val="20"/>
        </w:rPr>
        <w:tab/>
        <w:t xml:space="preserve">In order to maintain proper standards in litigation,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 behave as a model litigant in the conduct of litigation.</w:t>
      </w:r>
    </w:p>
    <w:p w14:paraId="20F46DCE" w14:textId="77777777" w:rsidR="006C4934" w:rsidRDefault="006C4934" w:rsidP="006C4934">
      <w:pPr>
        <w:spacing w:before="60"/>
        <w:ind w:left="284" w:hanging="284"/>
        <w:jc w:val="both"/>
        <w:rPr>
          <w:rFonts w:ascii="Arial" w:hAnsi="Arial" w:cs="Arial"/>
          <w:sz w:val="20"/>
        </w:rPr>
      </w:pPr>
      <w:r>
        <w:rPr>
          <w:rFonts w:ascii="Arial" w:hAnsi="Arial" w:cs="Arial"/>
          <w:sz w:val="20"/>
        </w:rPr>
        <w:t>2.</w:t>
      </w:r>
      <w:r>
        <w:rPr>
          <w:rFonts w:ascii="Arial" w:hAnsi="Arial" w:cs="Arial"/>
          <w:sz w:val="20"/>
        </w:rPr>
        <w:tab/>
        <w:t xml:space="preserve">That obligation requires that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w:t>
      </w:r>
    </w:p>
    <w:p w14:paraId="5C254336"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fairly in handling litigation brought by or against the State or an agency;</w:t>
      </w:r>
    </w:p>
    <w:p w14:paraId="1C90647B"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consistently in the handling of litigation;</w:t>
      </w:r>
    </w:p>
    <w:p w14:paraId="6A6B91CE"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avoid litigation, wherever possible;</w:t>
      </w:r>
    </w:p>
    <w:p w14:paraId="3BC584D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keep the costs of litigation to a minimum, including by not requiring the other party to prove a matter which the State or the agency knows to be true;</w:t>
      </w:r>
    </w:p>
    <w:p w14:paraId="238639B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rely on technical defences unless the State’s or the agency’s interests would be prejudiced by the failure to comply with a particular requirement;</w:t>
      </w:r>
    </w:p>
    <w:p w14:paraId="6F612D38"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take advantage of a person who lacks the resources to litigate a legitimate claim;</w:t>
      </w:r>
    </w:p>
    <w:p w14:paraId="7E10B454"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pursue appeals unless the State or agency believes it has reasonable prospects of success or the appeal is otherwise justified in the public interest.</w:t>
      </w:r>
    </w:p>
    <w:p w14:paraId="61E2E570" w14:textId="77777777" w:rsidR="00823729" w:rsidRDefault="00823729" w:rsidP="00823729">
      <w:pPr>
        <w:spacing w:before="60"/>
        <w:ind w:left="284" w:hanging="284"/>
        <w:jc w:val="both"/>
        <w:rPr>
          <w:rFonts w:ascii="Arial" w:hAnsi="Arial" w:cs="Arial"/>
          <w:sz w:val="20"/>
        </w:rPr>
      </w:pPr>
      <w:r>
        <w:rPr>
          <w:rFonts w:ascii="Arial" w:hAnsi="Arial" w:cs="Arial"/>
          <w:sz w:val="20"/>
        </w:rPr>
        <w:t>3.</w:t>
      </w:r>
      <w:r>
        <w:rPr>
          <w:rFonts w:ascii="Arial" w:hAnsi="Arial" w:cs="Arial"/>
          <w:sz w:val="20"/>
        </w:rPr>
        <w:tab/>
        <w:t>In essence, being a model litigant requires that the State and its agencies, as parties to litigation, act with complete propriety, fairly and in accordance with the highest professional standards.  The expectation that the State will act as a model litigant has been recognized by the Courts</w:t>
      </w:r>
      <w:r w:rsidR="00531EA8">
        <w:rPr>
          <w:rFonts w:ascii="Arial" w:hAnsi="Arial" w:cs="Arial"/>
          <w:sz w:val="20"/>
        </w:rPr>
        <w:t>: s</w:t>
      </w:r>
      <w:r>
        <w:rPr>
          <w:rFonts w:ascii="Arial" w:hAnsi="Arial" w:cs="Arial"/>
          <w:sz w:val="20"/>
        </w:rPr>
        <w:t xml:space="preserve">ee, for example, </w:t>
      </w:r>
      <w:r w:rsidRPr="00823729">
        <w:rPr>
          <w:rFonts w:ascii="Arial" w:hAnsi="Arial" w:cs="Arial"/>
          <w:i/>
          <w:sz w:val="20"/>
        </w:rPr>
        <w:t xml:space="preserve">Melbourne Steamship Limited v Moorhead </w:t>
      </w:r>
      <w:r>
        <w:rPr>
          <w:rFonts w:ascii="Arial" w:hAnsi="Arial" w:cs="Arial"/>
          <w:sz w:val="20"/>
        </w:rPr>
        <w:t xml:space="preserve">(1912) 15 CLR 133 at 142; Kenny v State of South Australia (1987) 46 SASR 268 at 273; </w:t>
      </w:r>
      <w:r w:rsidRPr="00823729">
        <w:rPr>
          <w:rFonts w:ascii="Arial" w:hAnsi="Arial" w:cs="Arial"/>
          <w:i/>
          <w:sz w:val="20"/>
        </w:rPr>
        <w:t>Yong Jun Qin v The Minister for Immigration and Ethnic Affairs</w:t>
      </w:r>
      <w:r>
        <w:rPr>
          <w:rFonts w:ascii="Arial" w:hAnsi="Arial" w:cs="Arial"/>
          <w:sz w:val="20"/>
        </w:rPr>
        <w:t xml:space="preserve"> (1977) 75 FCR 155.</w:t>
      </w:r>
    </w:p>
    <w:p w14:paraId="5888DB51" w14:textId="77777777" w:rsidR="00823729" w:rsidRDefault="00823729" w:rsidP="00823729">
      <w:pPr>
        <w:spacing w:before="60"/>
        <w:ind w:left="284" w:hanging="284"/>
        <w:jc w:val="both"/>
        <w:rPr>
          <w:rFonts w:ascii="Arial" w:hAnsi="Arial" w:cs="Arial"/>
          <w:sz w:val="20"/>
        </w:rPr>
      </w:pPr>
      <w:r>
        <w:rPr>
          <w:rFonts w:ascii="Arial" w:hAnsi="Arial" w:cs="Arial"/>
          <w:sz w:val="20"/>
        </w:rPr>
        <w:t>4</w:t>
      </w:r>
      <w:r w:rsidRPr="00823729">
        <w:rPr>
          <w:rFonts w:ascii="Arial" w:hAnsi="Arial" w:cs="Arial"/>
          <w:sz w:val="20"/>
        </w:rPr>
        <w:t>.</w:t>
      </w:r>
      <w:r>
        <w:rPr>
          <w:rFonts w:ascii="Arial" w:hAnsi="Arial" w:cs="Arial"/>
          <w:sz w:val="20"/>
        </w:rPr>
        <w:tab/>
        <w:t>The obligation to act as a model litigant may require more than merely acting honestly and in accordance with the law and court rules.  It also goes beyond the requirement for lawyers to act in accordance with their ethical obligations.</w:t>
      </w:r>
    </w:p>
    <w:p w14:paraId="1552A645" w14:textId="77777777" w:rsidR="00823729" w:rsidRDefault="00823729" w:rsidP="00823729">
      <w:pPr>
        <w:spacing w:before="60"/>
        <w:ind w:left="284" w:hanging="284"/>
        <w:jc w:val="both"/>
        <w:rPr>
          <w:rFonts w:ascii="Arial" w:hAnsi="Arial" w:cs="Arial"/>
          <w:sz w:val="20"/>
        </w:rPr>
      </w:pPr>
      <w:r>
        <w:rPr>
          <w:rFonts w:ascii="Arial" w:hAnsi="Arial" w:cs="Arial"/>
          <w:sz w:val="20"/>
        </w:rPr>
        <w:t>5.</w:t>
      </w:r>
      <w:r>
        <w:rPr>
          <w:rFonts w:ascii="Arial" w:hAnsi="Arial" w:cs="Arial"/>
          <w:sz w:val="20"/>
        </w:rPr>
        <w:tab/>
        <w:t>The obligation does not prevent the State and its agencies from acting firmly and properly to protect their interests [including the interests of the children the subject of litigation].</w:t>
      </w:r>
    </w:p>
    <w:p w14:paraId="1EC15180" w14:textId="77777777" w:rsidR="00C30866" w:rsidRDefault="00C30866" w:rsidP="00823729">
      <w:pPr>
        <w:spacing w:before="60"/>
        <w:ind w:left="284" w:hanging="284"/>
        <w:jc w:val="both"/>
        <w:rPr>
          <w:rFonts w:ascii="Arial" w:hAnsi="Arial" w:cs="Arial"/>
          <w:sz w:val="20"/>
        </w:rPr>
      </w:pPr>
      <w:r>
        <w:rPr>
          <w:rFonts w:ascii="Arial" w:hAnsi="Arial" w:cs="Arial"/>
          <w:sz w:val="20"/>
        </w:rPr>
        <w:t>6.</w:t>
      </w:r>
      <w:r>
        <w:rPr>
          <w:rFonts w:ascii="Arial" w:hAnsi="Arial" w:cs="Arial"/>
          <w:sz w:val="20"/>
        </w:rPr>
        <w:tab/>
        <w:t>The obligation does not prevent the State from enforcing costs orders or seeking to recover its costs.</w:t>
      </w:r>
    </w:p>
    <w:p w14:paraId="29254CDB" w14:textId="77777777" w:rsidR="005A4756" w:rsidRDefault="005A4756">
      <w:pPr>
        <w:rPr>
          <w:rFonts w:ascii="Arial" w:hAnsi="Arial" w:cs="Arial"/>
          <w:sz w:val="20"/>
        </w:rPr>
      </w:pPr>
    </w:p>
    <w:p w14:paraId="79606A52" w14:textId="2D3C222A" w:rsidR="00823729" w:rsidRDefault="005A4756">
      <w:pPr>
        <w:rPr>
          <w:rFonts w:ascii="Arial" w:hAnsi="Arial" w:cs="Arial"/>
          <w:sz w:val="20"/>
        </w:rPr>
      </w:pPr>
      <w:r>
        <w:rPr>
          <w:rFonts w:ascii="Arial" w:hAnsi="Arial" w:cs="Arial"/>
          <w:sz w:val="20"/>
        </w:rPr>
        <w:t>Similar obligations are contained in the Victorian Public Service Code of Conduct.</w:t>
      </w:r>
    </w:p>
    <w:p w14:paraId="76F76CD0" w14:textId="77777777" w:rsidR="005A4756" w:rsidRDefault="005A4756">
      <w:pPr>
        <w:rPr>
          <w:rFonts w:ascii="Arial" w:hAnsi="Arial" w:cs="Arial"/>
          <w:sz w:val="20"/>
        </w:rPr>
      </w:pPr>
    </w:p>
    <w:p w14:paraId="454AA18E" w14:textId="4E981247" w:rsidR="00A12C55" w:rsidRDefault="00A12C55" w:rsidP="00390E49">
      <w:pPr>
        <w:keepNext/>
        <w:keepLines/>
        <w:jc w:val="both"/>
        <w:rPr>
          <w:rFonts w:ascii="Arial" w:hAnsi="Arial" w:cs="Arial"/>
          <w:sz w:val="20"/>
        </w:rPr>
      </w:pPr>
      <w:r>
        <w:rPr>
          <w:rFonts w:ascii="Arial" w:hAnsi="Arial" w:cs="Arial"/>
          <w:sz w:val="20"/>
        </w:rPr>
        <w:lastRenderedPageBreak/>
        <w:t xml:space="preserve">The special obligations of a model litigant are in addition to the general obligations of an advocate </w:t>
      </w:r>
      <w:r w:rsidR="004126CA">
        <w:rPr>
          <w:rFonts w:ascii="Arial" w:hAnsi="Arial" w:cs="Arial"/>
          <w:sz w:val="20"/>
        </w:rPr>
        <w:t xml:space="preserve">set out in the Legal Profession Uniform Conduct (Barristers) Rules 2015 (Vic) which in turn expand on the common law obligations </w:t>
      </w:r>
      <w:r>
        <w:rPr>
          <w:rFonts w:ascii="Arial" w:hAnsi="Arial" w:cs="Arial"/>
          <w:sz w:val="20"/>
        </w:rPr>
        <w:t xml:space="preserve">summarised by Lord Reid in </w:t>
      </w:r>
      <w:r w:rsidRPr="00FA6F7C">
        <w:rPr>
          <w:rFonts w:ascii="Arial" w:hAnsi="Arial" w:cs="Arial"/>
          <w:i/>
          <w:iCs/>
          <w:sz w:val="20"/>
        </w:rPr>
        <w:t>Rondel v Worsley</w:t>
      </w:r>
      <w:r>
        <w:rPr>
          <w:rFonts w:ascii="Arial" w:hAnsi="Arial" w:cs="Arial"/>
          <w:sz w:val="20"/>
        </w:rPr>
        <w:t xml:space="preserve"> [196</w:t>
      </w:r>
      <w:r w:rsidR="00FA6F7C">
        <w:rPr>
          <w:rFonts w:ascii="Arial" w:hAnsi="Arial" w:cs="Arial"/>
          <w:sz w:val="20"/>
        </w:rPr>
        <w:t>9] 1 AC 191 at 227:</w:t>
      </w:r>
    </w:p>
    <w:p w14:paraId="572FE325" w14:textId="50CDB831" w:rsidR="00FA6F7C" w:rsidRDefault="00FA6F7C" w:rsidP="00FA6F7C">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“Every counsel has a duty to his client fearlessly to raise every issue, advance every argument, and ask every question, however distasteful, which he thinks will help his client’s case.  But, as an officer of the court concerned in the administration of justice, he has an overriding duty to the court</w:t>
      </w:r>
      <w:r w:rsidR="002317B1">
        <w:rPr>
          <w:rFonts w:ascii="Arial" w:hAnsi="Arial" w:cs="Arial"/>
          <w:sz w:val="20"/>
          <w:szCs w:val="20"/>
        </w:rPr>
        <w:t>, to the standards of his profession, and to the public, which may and often does lead to a conflict with his client’s wishes or with what his client thinks are his personal interests.  Counsel must not mislead the court, he must not lend himself to casting aspersions on the other party or witnesses for which there is no sufficient basis in the information in his possession, he must not withhold authorities or documents which may tell against his clients but which the law or the standards of his profession require him to produce.”</w:t>
      </w:r>
    </w:p>
    <w:p w14:paraId="69807BBA" w14:textId="77777777" w:rsidR="00A12C55" w:rsidRDefault="00A12C55" w:rsidP="00A12C55">
      <w:pPr>
        <w:jc w:val="both"/>
        <w:rPr>
          <w:rFonts w:ascii="Arial" w:hAnsi="Arial" w:cs="Arial"/>
          <w:sz w:val="20"/>
        </w:rPr>
      </w:pPr>
    </w:p>
    <w:p w14:paraId="7FFC9773" w14:textId="42DE6975" w:rsidR="00D97C66" w:rsidRDefault="00D97C66" w:rsidP="00A12C55">
      <w:pPr>
        <w:jc w:val="both"/>
        <w:rPr>
          <w:rFonts w:ascii="Arial" w:hAnsi="Arial" w:cs="Arial"/>
          <w:sz w:val="20"/>
        </w:rPr>
      </w:pPr>
      <w:r>
        <w:rPr>
          <w:rFonts w:ascii="Arial" w:hAnsi="Arial" w:cs="Arial"/>
          <w:sz w:val="20"/>
        </w:rPr>
        <w:t>The special obligations of a model litigant-</w:t>
      </w:r>
    </w:p>
    <w:p w14:paraId="10C0CF56" w14:textId="4D402AD7" w:rsidR="00D97C66" w:rsidRDefault="00D97C66" w:rsidP="00D97C66">
      <w:pPr>
        <w:numPr>
          <w:ilvl w:val="0"/>
          <w:numId w:val="74"/>
        </w:numPr>
        <w:ind w:left="357" w:hanging="357"/>
        <w:jc w:val="both"/>
        <w:rPr>
          <w:rFonts w:ascii="Arial" w:hAnsi="Arial" w:cs="Arial"/>
          <w:sz w:val="20"/>
        </w:rPr>
      </w:pPr>
      <w:r>
        <w:rPr>
          <w:rFonts w:ascii="Arial" w:hAnsi="Arial" w:cs="Arial"/>
          <w:sz w:val="20"/>
        </w:rPr>
        <w:t>are designed to address the substantial imbalance of power that is often present in litigation between the state and the individual citizen;</w:t>
      </w:r>
    </w:p>
    <w:p w14:paraId="31B86062" w14:textId="5889ED32" w:rsidR="00D97C66" w:rsidRDefault="00D97C66" w:rsidP="00D97C66">
      <w:pPr>
        <w:numPr>
          <w:ilvl w:val="0"/>
          <w:numId w:val="74"/>
        </w:numPr>
        <w:ind w:left="357" w:hanging="357"/>
        <w:jc w:val="both"/>
        <w:rPr>
          <w:rFonts w:ascii="Arial" w:hAnsi="Arial" w:cs="Arial"/>
          <w:sz w:val="20"/>
        </w:rPr>
      </w:pPr>
      <w:r>
        <w:rPr>
          <w:rFonts w:ascii="Arial" w:hAnsi="Arial" w:cs="Arial"/>
          <w:sz w:val="20"/>
        </w:rPr>
        <w:t>are intended to provide the community with confidence that laws will be administered fairly and equitably;</w:t>
      </w:r>
    </w:p>
    <w:p w14:paraId="5D209718" w14:textId="77777777" w:rsidR="00FA6A60" w:rsidRDefault="00FA6A60" w:rsidP="00D97C66">
      <w:pPr>
        <w:numPr>
          <w:ilvl w:val="0"/>
          <w:numId w:val="74"/>
        </w:numPr>
        <w:ind w:left="357" w:hanging="357"/>
        <w:jc w:val="both"/>
        <w:rPr>
          <w:rFonts w:ascii="Arial" w:hAnsi="Arial" w:cs="Arial"/>
          <w:sz w:val="20"/>
        </w:rPr>
      </w:pPr>
      <w:r>
        <w:rPr>
          <w:rFonts w:ascii="Arial" w:hAnsi="Arial" w:cs="Arial"/>
          <w:sz w:val="20"/>
        </w:rPr>
        <w:t>are based on an expectation that the State maintains the highest possible standards of probity and professionalism; and</w:t>
      </w:r>
    </w:p>
    <w:p w14:paraId="3E5D77BF" w14:textId="4651616A" w:rsidR="00D97C66" w:rsidRDefault="00FA6A60" w:rsidP="00D97C66">
      <w:pPr>
        <w:numPr>
          <w:ilvl w:val="0"/>
          <w:numId w:val="74"/>
        </w:numPr>
        <w:ind w:left="357" w:hanging="357"/>
        <w:jc w:val="both"/>
        <w:rPr>
          <w:rFonts w:ascii="Arial" w:hAnsi="Arial" w:cs="Arial"/>
          <w:sz w:val="20"/>
        </w:rPr>
      </w:pPr>
      <w:r>
        <w:rPr>
          <w:rFonts w:ascii="Arial" w:hAnsi="Arial" w:cs="Arial"/>
          <w:sz w:val="20"/>
        </w:rPr>
        <w:t>reflect the common law view that a government official exercising a statutory function shares a common interest with the Court in cooperating to achieve the right result.</w:t>
      </w:r>
    </w:p>
    <w:p w14:paraId="25B9E1A2" w14:textId="6D877DA9" w:rsidR="00D97C66" w:rsidRDefault="00D97C66" w:rsidP="00BE7653">
      <w:pPr>
        <w:jc w:val="both"/>
        <w:rPr>
          <w:rFonts w:ascii="Arial" w:hAnsi="Arial" w:cs="Arial"/>
          <w:sz w:val="20"/>
        </w:rPr>
      </w:pPr>
    </w:p>
    <w:p w14:paraId="01EC9DE1" w14:textId="239E0A6B" w:rsidR="00510086" w:rsidRDefault="00510086" w:rsidP="00BE7653">
      <w:pPr>
        <w:jc w:val="both"/>
        <w:rPr>
          <w:rFonts w:ascii="Arial" w:hAnsi="Arial" w:cs="Arial"/>
          <w:sz w:val="20"/>
        </w:rPr>
      </w:pPr>
      <w:r>
        <w:rPr>
          <w:rFonts w:ascii="Arial" w:hAnsi="Arial" w:cs="Arial"/>
          <w:sz w:val="20"/>
        </w:rPr>
        <w:t xml:space="preserve">The </w:t>
      </w:r>
      <w:r w:rsidR="002237AE">
        <w:rPr>
          <w:rFonts w:ascii="Arial" w:hAnsi="Arial" w:cs="Arial"/>
          <w:sz w:val="20"/>
        </w:rPr>
        <w:t xml:space="preserve">special </w:t>
      </w:r>
      <w:r>
        <w:rPr>
          <w:rFonts w:ascii="Arial" w:hAnsi="Arial" w:cs="Arial"/>
          <w:sz w:val="20"/>
        </w:rPr>
        <w:t>obligation to act fairly</w:t>
      </w:r>
      <w:r w:rsidR="002237AE">
        <w:rPr>
          <w:rFonts w:ascii="Arial" w:hAnsi="Arial" w:cs="Arial"/>
          <w:sz w:val="20"/>
        </w:rPr>
        <w:t xml:space="preserve"> and consistently and to avoid litigation wherever possible</w:t>
      </w:r>
      <w:r>
        <w:rPr>
          <w:rFonts w:ascii="Arial" w:hAnsi="Arial" w:cs="Arial"/>
          <w:sz w:val="20"/>
        </w:rPr>
        <w:t xml:space="preserve"> means that a model litigant</w:t>
      </w:r>
      <w:r w:rsidR="002237AE">
        <w:rPr>
          <w:rFonts w:ascii="Arial" w:hAnsi="Arial" w:cs="Arial"/>
          <w:sz w:val="20"/>
        </w:rPr>
        <w:t xml:space="preserve"> and a legal practitioner conducting a case on behalf of a model litigant</w:t>
      </w:r>
      <w:r>
        <w:rPr>
          <w:rFonts w:ascii="Arial" w:hAnsi="Arial" w:cs="Arial"/>
          <w:sz w:val="20"/>
        </w:rPr>
        <w:t>-</w:t>
      </w:r>
    </w:p>
    <w:p w14:paraId="363B5639" w14:textId="4A769969" w:rsidR="00390E49" w:rsidRDefault="00390E49" w:rsidP="00390E49">
      <w:pPr>
        <w:numPr>
          <w:ilvl w:val="0"/>
          <w:numId w:val="74"/>
        </w:numPr>
        <w:ind w:left="357" w:hanging="357"/>
        <w:jc w:val="both"/>
        <w:rPr>
          <w:rFonts w:ascii="Arial" w:hAnsi="Arial" w:cs="Arial"/>
          <w:sz w:val="20"/>
        </w:rPr>
      </w:pPr>
      <w:r>
        <w:rPr>
          <w:rFonts w:ascii="Arial" w:hAnsi="Arial" w:cs="Arial"/>
          <w:sz w:val="20"/>
        </w:rPr>
        <w:t>must comply with time limits</w:t>
      </w:r>
      <w:r w:rsidR="00A25145">
        <w:rPr>
          <w:rFonts w:ascii="Arial" w:hAnsi="Arial" w:cs="Arial"/>
          <w:sz w:val="20"/>
        </w:rPr>
        <w:t>, including those relating to service of documents and provision of reports</w:t>
      </w:r>
      <w:r>
        <w:rPr>
          <w:rFonts w:ascii="Arial" w:hAnsi="Arial" w:cs="Arial"/>
          <w:sz w:val="20"/>
        </w:rPr>
        <w:t>;</w:t>
      </w:r>
    </w:p>
    <w:p w14:paraId="2D64A304" w14:textId="32113627" w:rsidR="00510086" w:rsidRDefault="002237AE" w:rsidP="00510086">
      <w:pPr>
        <w:numPr>
          <w:ilvl w:val="0"/>
          <w:numId w:val="74"/>
        </w:numPr>
        <w:ind w:left="357" w:hanging="357"/>
        <w:jc w:val="both"/>
        <w:rPr>
          <w:rFonts w:ascii="Arial" w:hAnsi="Arial" w:cs="Arial"/>
          <w:sz w:val="20"/>
        </w:rPr>
      </w:pPr>
      <w:r>
        <w:rPr>
          <w:rFonts w:ascii="Arial" w:hAnsi="Arial" w:cs="Arial"/>
          <w:sz w:val="20"/>
        </w:rPr>
        <w:t>must be properly prepared, know and understand the case that is being run, make any appropriate concessions and ensure that the Court and the other parties have all relevant information;</w:t>
      </w:r>
    </w:p>
    <w:p w14:paraId="7B8AFF8D" w14:textId="401BCF15" w:rsidR="002237AE" w:rsidRDefault="002237AE" w:rsidP="00510086">
      <w:pPr>
        <w:numPr>
          <w:ilvl w:val="0"/>
          <w:numId w:val="74"/>
        </w:numPr>
        <w:ind w:left="357" w:hanging="357"/>
        <w:jc w:val="both"/>
        <w:rPr>
          <w:rFonts w:ascii="Arial" w:hAnsi="Arial" w:cs="Arial"/>
          <w:sz w:val="20"/>
        </w:rPr>
      </w:pPr>
      <w:r>
        <w:rPr>
          <w:rFonts w:ascii="Arial" w:hAnsi="Arial" w:cs="Arial"/>
          <w:sz w:val="20"/>
        </w:rPr>
        <w:t>should bring to the Court’s attention facts or submissions that would assist another party’s case where it appears the Court may have overlooked them;</w:t>
      </w:r>
    </w:p>
    <w:p w14:paraId="7CFD12F2" w14:textId="77777777" w:rsidR="00A25145" w:rsidRDefault="006C0DC2" w:rsidP="00510086">
      <w:pPr>
        <w:numPr>
          <w:ilvl w:val="0"/>
          <w:numId w:val="74"/>
        </w:numPr>
        <w:ind w:left="357" w:hanging="357"/>
        <w:jc w:val="both"/>
        <w:rPr>
          <w:rFonts w:ascii="Arial" w:hAnsi="Arial" w:cs="Arial"/>
          <w:sz w:val="20"/>
        </w:rPr>
      </w:pPr>
      <w:r>
        <w:rPr>
          <w:rFonts w:ascii="Arial" w:hAnsi="Arial" w:cs="Arial"/>
          <w:sz w:val="20"/>
        </w:rPr>
        <w:t>must not blindly pursue a particular outcome but rather assist the Court to arrive at the most informed outcome;</w:t>
      </w:r>
    </w:p>
    <w:p w14:paraId="05E4407C" w14:textId="7E542A06" w:rsidR="002237AE" w:rsidRDefault="00A25145" w:rsidP="00510086">
      <w:pPr>
        <w:numPr>
          <w:ilvl w:val="0"/>
          <w:numId w:val="74"/>
        </w:numPr>
        <w:ind w:left="357" w:hanging="357"/>
        <w:jc w:val="both"/>
        <w:rPr>
          <w:rFonts w:ascii="Arial" w:hAnsi="Arial" w:cs="Arial"/>
          <w:sz w:val="20"/>
        </w:rPr>
      </w:pPr>
      <w:r>
        <w:rPr>
          <w:rFonts w:ascii="Arial" w:hAnsi="Arial" w:cs="Arial"/>
          <w:sz w:val="20"/>
        </w:rPr>
        <w:t>must respect and promote the Charter of Human Rights and Responsibilities Act</w:t>
      </w:r>
      <w:r w:rsidR="005A4756">
        <w:rPr>
          <w:rFonts w:ascii="Arial" w:hAnsi="Arial" w:cs="Arial"/>
          <w:sz w:val="20"/>
        </w:rPr>
        <w:t xml:space="preserve"> 2006</w:t>
      </w:r>
      <w:r>
        <w:rPr>
          <w:rFonts w:ascii="Arial" w:hAnsi="Arial" w:cs="Arial"/>
          <w:sz w:val="20"/>
        </w:rPr>
        <w:t>;</w:t>
      </w:r>
      <w:r w:rsidR="002237AE">
        <w:rPr>
          <w:rFonts w:ascii="Arial" w:hAnsi="Arial" w:cs="Arial"/>
          <w:sz w:val="20"/>
        </w:rPr>
        <w:t xml:space="preserve"> and</w:t>
      </w:r>
    </w:p>
    <w:p w14:paraId="073600C4" w14:textId="30AE07FF" w:rsidR="002237AE" w:rsidRDefault="00A25145" w:rsidP="00510086">
      <w:pPr>
        <w:numPr>
          <w:ilvl w:val="0"/>
          <w:numId w:val="74"/>
        </w:numPr>
        <w:ind w:left="357" w:hanging="357"/>
        <w:jc w:val="both"/>
        <w:rPr>
          <w:rFonts w:ascii="Arial" w:hAnsi="Arial" w:cs="Arial"/>
          <w:sz w:val="20"/>
        </w:rPr>
      </w:pPr>
      <w:r>
        <w:rPr>
          <w:rFonts w:ascii="Arial" w:hAnsi="Arial" w:cs="Arial"/>
          <w:sz w:val="20"/>
        </w:rPr>
        <w:t xml:space="preserve">must </w:t>
      </w:r>
      <w:r w:rsidR="002237AE">
        <w:rPr>
          <w:rFonts w:ascii="Arial" w:hAnsi="Arial" w:cs="Arial"/>
          <w:sz w:val="20"/>
        </w:rPr>
        <w:t>be willing to resolve matters where reasonable.</w:t>
      </w:r>
    </w:p>
    <w:p w14:paraId="3655DEB4" w14:textId="77777777" w:rsidR="00510086" w:rsidRDefault="00510086" w:rsidP="00BE7653">
      <w:pPr>
        <w:jc w:val="both"/>
        <w:rPr>
          <w:rFonts w:ascii="Arial" w:hAnsi="Arial" w:cs="Arial"/>
          <w:sz w:val="20"/>
        </w:rPr>
      </w:pPr>
    </w:p>
    <w:p w14:paraId="02DBCF4B" w14:textId="30ED96AB" w:rsidR="00B51860" w:rsidRPr="00785E1A" w:rsidRDefault="00403196" w:rsidP="00BE7653">
      <w:pPr>
        <w:jc w:val="both"/>
        <w:rPr>
          <w:rFonts w:ascii="Arial" w:hAnsi="Arial" w:cs="Arial"/>
          <w:color w:val="000000"/>
          <w:sz w:val="20"/>
        </w:rPr>
      </w:pPr>
      <w:r>
        <w:rPr>
          <w:rFonts w:ascii="Arial" w:hAnsi="Arial" w:cs="Arial"/>
          <w:sz w:val="20"/>
        </w:rPr>
        <w:t xml:space="preserve">It is the writer’s view that these guidelines </w:t>
      </w:r>
      <w:r w:rsidR="00FF4FA5">
        <w:rPr>
          <w:rFonts w:ascii="Arial" w:hAnsi="Arial" w:cs="Arial"/>
          <w:sz w:val="20"/>
        </w:rPr>
        <w:t xml:space="preserve">apply both to </w:t>
      </w:r>
      <w:r w:rsidR="00785D2D">
        <w:rPr>
          <w:rFonts w:ascii="Arial" w:hAnsi="Arial" w:cs="Arial"/>
          <w:sz w:val="20"/>
        </w:rPr>
        <w:t>DFFH</w:t>
      </w:r>
      <w:r w:rsidR="00FF4FA5">
        <w:rPr>
          <w:rFonts w:ascii="Arial" w:hAnsi="Arial" w:cs="Arial"/>
          <w:sz w:val="20"/>
        </w:rPr>
        <w:t xml:space="preserve"> and to legal practitioners conducting cases on behalf of </w:t>
      </w:r>
      <w:r w:rsidR="00785D2D">
        <w:rPr>
          <w:rFonts w:ascii="Arial" w:hAnsi="Arial" w:cs="Arial"/>
          <w:sz w:val="20"/>
        </w:rPr>
        <w:t>DFFH</w:t>
      </w:r>
      <w:r w:rsidR="00FF4FA5">
        <w:rPr>
          <w:rFonts w:ascii="Arial" w:hAnsi="Arial" w:cs="Arial"/>
          <w:sz w:val="20"/>
        </w:rPr>
        <w:t xml:space="preserve"> but must of course be read subject to the CYFA or any other relevant legislation.</w:t>
      </w:r>
      <w:r w:rsidR="009D0675">
        <w:rPr>
          <w:rFonts w:ascii="Arial" w:hAnsi="Arial" w:cs="Arial"/>
          <w:sz w:val="20"/>
        </w:rPr>
        <w:t xml:space="preserve">  See e.g.</w:t>
      </w:r>
      <w:r w:rsidR="009D0675" w:rsidRPr="009D0675">
        <w:rPr>
          <w:rFonts w:ascii="Arial" w:hAnsi="Arial" w:cs="Arial"/>
          <w:i/>
          <w:sz w:val="20"/>
        </w:rPr>
        <w:t xml:space="preserve"> DOHS v Ms T &amp; Mr M</w:t>
      </w:r>
      <w:r w:rsidR="009D0675">
        <w:rPr>
          <w:rFonts w:ascii="Arial" w:hAnsi="Arial" w:cs="Arial"/>
          <w:sz w:val="20"/>
        </w:rPr>
        <w:t xml:space="preserve"> [</w:t>
      </w:r>
      <w:r w:rsidR="00F7789A">
        <w:rPr>
          <w:rFonts w:ascii="Arial" w:hAnsi="Arial" w:cs="Arial"/>
          <w:sz w:val="20"/>
        </w:rPr>
        <w:t>Children’s Court of Victoria-Power M, 12/10/2009] at p.</w:t>
      </w:r>
      <w:r w:rsidR="00880795">
        <w:rPr>
          <w:rFonts w:ascii="Arial" w:hAnsi="Arial" w:cs="Arial"/>
          <w:sz w:val="20"/>
        </w:rPr>
        <w:t>116</w:t>
      </w:r>
      <w:r w:rsidR="00F7789A">
        <w:rPr>
          <w:rFonts w:ascii="Arial" w:hAnsi="Arial" w:cs="Arial"/>
          <w:sz w:val="20"/>
        </w:rPr>
        <w:t xml:space="preserve">; </w:t>
      </w:r>
      <w:r w:rsidR="00F7789A" w:rsidRPr="00F7789A">
        <w:rPr>
          <w:rFonts w:ascii="Arial" w:hAnsi="Arial" w:cs="Arial"/>
          <w:i/>
          <w:sz w:val="20"/>
        </w:rPr>
        <w:t xml:space="preserve">DOHS v Ms </w:t>
      </w:r>
      <w:r w:rsidR="008306D1">
        <w:rPr>
          <w:rFonts w:ascii="Arial" w:hAnsi="Arial" w:cs="Arial"/>
          <w:i/>
          <w:sz w:val="20"/>
        </w:rPr>
        <w:t xml:space="preserve">D </w:t>
      </w:r>
      <w:r w:rsidR="00F7789A" w:rsidRPr="00F7789A">
        <w:rPr>
          <w:rFonts w:ascii="Arial" w:hAnsi="Arial" w:cs="Arial"/>
          <w:i/>
          <w:sz w:val="20"/>
        </w:rPr>
        <w:t>&amp; Mr</w:t>
      </w:r>
      <w:r w:rsidR="00F7789A">
        <w:rPr>
          <w:rFonts w:ascii="Arial" w:hAnsi="Arial" w:cs="Arial"/>
          <w:sz w:val="20"/>
        </w:rPr>
        <w:t xml:space="preserve"> </w:t>
      </w:r>
      <w:r w:rsidR="008306D1" w:rsidRPr="008306D1">
        <w:rPr>
          <w:rFonts w:ascii="Arial" w:hAnsi="Arial" w:cs="Arial"/>
          <w:i/>
          <w:sz w:val="20"/>
        </w:rPr>
        <w:t xml:space="preserve">K </w:t>
      </w:r>
      <w:r w:rsidR="00F7789A">
        <w:rPr>
          <w:rFonts w:ascii="Arial" w:hAnsi="Arial" w:cs="Arial"/>
          <w:sz w:val="20"/>
        </w:rPr>
        <w:t>[Children’s Court of Victoria-Power M, 1</w:t>
      </w:r>
      <w:r w:rsidR="008306D1">
        <w:rPr>
          <w:rFonts w:ascii="Arial" w:hAnsi="Arial" w:cs="Arial"/>
          <w:sz w:val="20"/>
        </w:rPr>
        <w:t>5</w:t>
      </w:r>
      <w:r w:rsidR="00F7789A">
        <w:rPr>
          <w:rFonts w:ascii="Arial" w:hAnsi="Arial" w:cs="Arial"/>
          <w:sz w:val="20"/>
        </w:rPr>
        <w:t>/</w:t>
      </w:r>
      <w:r w:rsidR="008306D1">
        <w:rPr>
          <w:rFonts w:ascii="Arial" w:hAnsi="Arial" w:cs="Arial"/>
          <w:sz w:val="20"/>
        </w:rPr>
        <w:t>06</w:t>
      </w:r>
      <w:r w:rsidR="00F7789A">
        <w:rPr>
          <w:rFonts w:ascii="Arial" w:hAnsi="Arial" w:cs="Arial"/>
          <w:sz w:val="20"/>
        </w:rPr>
        <w:t>/2009] at p</w:t>
      </w:r>
      <w:r w:rsidR="008306D1">
        <w:rPr>
          <w:rFonts w:ascii="Arial" w:hAnsi="Arial" w:cs="Arial"/>
          <w:sz w:val="20"/>
        </w:rPr>
        <w:t>p</w:t>
      </w:r>
      <w:r w:rsidR="00F7789A">
        <w:rPr>
          <w:rFonts w:ascii="Arial" w:hAnsi="Arial" w:cs="Arial"/>
          <w:sz w:val="20"/>
        </w:rPr>
        <w:t>.</w:t>
      </w:r>
      <w:r w:rsidR="008306D1">
        <w:rPr>
          <w:rFonts w:ascii="Arial" w:hAnsi="Arial" w:cs="Arial"/>
          <w:sz w:val="20"/>
        </w:rPr>
        <w:t xml:space="preserve">33-34; </w:t>
      </w:r>
      <w:r w:rsidR="008306D1" w:rsidRPr="008306D1">
        <w:rPr>
          <w:rFonts w:ascii="Arial" w:hAnsi="Arial" w:cs="Arial"/>
          <w:i/>
          <w:sz w:val="20"/>
        </w:rPr>
        <w:t>DOHS v Mr M &amp; Ms H</w:t>
      </w:r>
      <w:r w:rsidR="008306D1">
        <w:rPr>
          <w:rFonts w:ascii="Arial" w:hAnsi="Arial" w:cs="Arial"/>
          <w:sz w:val="20"/>
        </w:rPr>
        <w:t xml:space="preserve"> [Children’s Court of Victoria-Power M, </w:t>
      </w:r>
      <w:r w:rsidR="008306D1" w:rsidRPr="00785E1A">
        <w:rPr>
          <w:rFonts w:ascii="Arial" w:hAnsi="Arial" w:cs="Arial"/>
          <w:color w:val="000000"/>
          <w:sz w:val="20"/>
        </w:rPr>
        <w:t>11/05/2009] at p.30.</w:t>
      </w:r>
      <w:r w:rsidR="00733EAB" w:rsidRPr="00785E1A">
        <w:rPr>
          <w:rFonts w:ascii="Arial" w:hAnsi="Arial" w:cs="Arial"/>
          <w:color w:val="000000"/>
          <w:sz w:val="20"/>
        </w:rPr>
        <w:t xml:space="preserve">  See also the final report of the Victorian Law Reform Commission on “Protection Applications in the Children’s Court” [No.19, 30 June 2010] at pp.395-397.</w:t>
      </w:r>
    </w:p>
    <w:p w14:paraId="45AC1B54" w14:textId="77777777" w:rsidR="00B51860" w:rsidRPr="00785E1A" w:rsidRDefault="00B51860" w:rsidP="00BE7653">
      <w:pPr>
        <w:jc w:val="both"/>
        <w:rPr>
          <w:rFonts w:ascii="Arial" w:hAnsi="Arial" w:cs="Arial"/>
          <w:color w:val="000000"/>
          <w:sz w:val="20"/>
        </w:rPr>
      </w:pPr>
    </w:p>
    <w:p w14:paraId="76A1505D" w14:textId="77777777" w:rsidR="002D7628" w:rsidRPr="00785E1A" w:rsidRDefault="002D7628" w:rsidP="00A56DB8">
      <w:pPr>
        <w:jc w:val="both"/>
        <w:rPr>
          <w:rFonts w:ascii="Arial" w:hAnsi="Arial" w:cs="Arial"/>
          <w:color w:val="000000"/>
          <w:sz w:val="20"/>
        </w:rPr>
      </w:pPr>
      <w:r w:rsidRPr="00785E1A">
        <w:rPr>
          <w:rFonts w:ascii="Arial" w:hAnsi="Arial" w:cs="Arial"/>
          <w:color w:val="000000"/>
          <w:sz w:val="20"/>
        </w:rPr>
        <w:t xml:space="preserve">In </w:t>
      </w:r>
      <w:r w:rsidRPr="00785E1A">
        <w:rPr>
          <w:rFonts w:ascii="Arial" w:hAnsi="Arial" w:cs="Arial"/>
          <w:i/>
          <w:color w:val="000000"/>
          <w:sz w:val="20"/>
        </w:rPr>
        <w:t>Noone</w:t>
      </w:r>
      <w:r w:rsidRPr="00785E1A">
        <w:rPr>
          <w:rFonts w:ascii="Arial" w:hAnsi="Arial" w:cs="Arial"/>
          <w:color w:val="000000"/>
          <w:sz w:val="20"/>
        </w:rPr>
        <w:t xml:space="preserve">, </w:t>
      </w:r>
      <w:r w:rsidRPr="00785E1A">
        <w:rPr>
          <w:rFonts w:ascii="Arial" w:hAnsi="Arial" w:cs="Arial"/>
          <w:i/>
          <w:color w:val="000000"/>
          <w:sz w:val="20"/>
        </w:rPr>
        <w:t>Director of Consumer Affairs Victoria v Operation Smile (Australia) Inc &amp; Ors (No 2)</w:t>
      </w:r>
      <w:r w:rsidRPr="00785E1A">
        <w:rPr>
          <w:rFonts w:ascii="Arial" w:hAnsi="Arial" w:cs="Arial"/>
          <w:color w:val="000000"/>
          <w:sz w:val="16"/>
        </w:rPr>
        <w:t xml:space="preserve"> </w:t>
      </w:r>
      <w:r w:rsidRPr="00785E1A">
        <w:rPr>
          <w:rFonts w:ascii="Arial" w:hAnsi="Arial" w:cs="Arial"/>
          <w:color w:val="000000"/>
          <w:sz w:val="20"/>
        </w:rPr>
        <w:t xml:space="preserve">[2011] VSC 153 at [12] </w:t>
      </w:r>
      <w:proofErr w:type="spellStart"/>
      <w:r w:rsidRPr="00785E1A">
        <w:rPr>
          <w:rFonts w:ascii="Arial" w:hAnsi="Arial" w:cs="Arial"/>
          <w:color w:val="000000"/>
          <w:sz w:val="20"/>
        </w:rPr>
        <w:t>Pagone</w:t>
      </w:r>
      <w:proofErr w:type="spellEnd"/>
      <w:r w:rsidRPr="00785E1A">
        <w:rPr>
          <w:rFonts w:ascii="Arial" w:hAnsi="Arial" w:cs="Arial"/>
          <w:color w:val="000000"/>
          <w:sz w:val="20"/>
        </w:rPr>
        <w:t xml:space="preserve"> J referred to “the obligation of a public official to act as a model litigant” and added: “A government official exercising a statutory function or duty shares a common interest with the Court in co-operating to achieve the correct result.”  His</w:t>
      </w:r>
      <w:r w:rsidR="00BF7A03" w:rsidRPr="00785E1A">
        <w:rPr>
          <w:rFonts w:ascii="Arial" w:hAnsi="Arial" w:cs="Arial"/>
          <w:color w:val="000000"/>
          <w:sz w:val="20"/>
        </w:rPr>
        <w:t> </w:t>
      </w:r>
      <w:r w:rsidRPr="00785E1A">
        <w:rPr>
          <w:rFonts w:ascii="Arial" w:hAnsi="Arial" w:cs="Arial"/>
          <w:color w:val="000000"/>
          <w:sz w:val="20"/>
        </w:rPr>
        <w:t xml:space="preserve">Honour based </w:t>
      </w:r>
      <w:proofErr w:type="gramStart"/>
      <w:r w:rsidRPr="00785E1A">
        <w:rPr>
          <w:rFonts w:ascii="Arial" w:hAnsi="Arial" w:cs="Arial"/>
          <w:color w:val="000000"/>
          <w:sz w:val="20"/>
        </w:rPr>
        <w:t>this dicta</w:t>
      </w:r>
      <w:proofErr w:type="gramEnd"/>
      <w:r w:rsidRPr="00785E1A">
        <w:rPr>
          <w:rFonts w:ascii="Arial" w:hAnsi="Arial" w:cs="Arial"/>
          <w:color w:val="000000"/>
          <w:sz w:val="20"/>
        </w:rPr>
        <w:t xml:space="preserve"> on a large number of cases to which he referred in footnote 2</w:t>
      </w:r>
      <w:r w:rsidR="00926EE1" w:rsidRPr="00785E1A">
        <w:rPr>
          <w:rFonts w:ascii="Arial" w:hAnsi="Arial" w:cs="Arial"/>
          <w:color w:val="000000"/>
          <w:sz w:val="20"/>
        </w:rPr>
        <w:t>0</w:t>
      </w:r>
      <w:r w:rsidRPr="00785E1A">
        <w:rPr>
          <w:rFonts w:ascii="Arial" w:hAnsi="Arial" w:cs="Arial"/>
          <w:color w:val="000000"/>
          <w:sz w:val="20"/>
        </w:rPr>
        <w:t xml:space="preserve"> as well as the cases of </w:t>
      </w:r>
      <w:r w:rsidRPr="00785E1A">
        <w:rPr>
          <w:rFonts w:ascii="Arial" w:hAnsi="Arial" w:cs="Arial"/>
          <w:i/>
          <w:color w:val="000000"/>
          <w:sz w:val="20"/>
        </w:rPr>
        <w:t xml:space="preserve">E v Secretary of State for the Home Department </w:t>
      </w:r>
      <w:r w:rsidRPr="00785E1A">
        <w:rPr>
          <w:rFonts w:ascii="Arial" w:hAnsi="Arial" w:cs="Arial"/>
          <w:color w:val="000000"/>
          <w:sz w:val="20"/>
        </w:rPr>
        <w:t xml:space="preserve">[2004] QB 1044, 1070 and </w:t>
      </w:r>
      <w:r w:rsidRPr="00785E1A">
        <w:rPr>
          <w:rFonts w:ascii="Arial" w:hAnsi="Arial" w:cs="Arial"/>
          <w:i/>
          <w:color w:val="000000"/>
          <w:sz w:val="20"/>
        </w:rPr>
        <w:t xml:space="preserve">SH (Afghanistan) v Secretary of State for the Home Department </w:t>
      </w:r>
      <w:r w:rsidRPr="00785E1A">
        <w:rPr>
          <w:rFonts w:ascii="Arial" w:hAnsi="Arial" w:cs="Arial"/>
          <w:color w:val="000000"/>
          <w:sz w:val="20"/>
        </w:rPr>
        <w:t>[2007] EWCA Civ 1197.</w:t>
      </w:r>
      <w:r w:rsidR="00915A9E" w:rsidRPr="00785E1A">
        <w:rPr>
          <w:rFonts w:ascii="Arial" w:hAnsi="Arial" w:cs="Arial"/>
          <w:color w:val="000000"/>
          <w:sz w:val="20"/>
        </w:rPr>
        <w:t xml:space="preserve">  </w:t>
      </w:r>
      <w:r w:rsidR="00BF7A03" w:rsidRPr="00785E1A">
        <w:rPr>
          <w:rFonts w:ascii="Arial" w:hAnsi="Arial" w:cs="Arial"/>
          <w:color w:val="000000"/>
          <w:sz w:val="20"/>
        </w:rPr>
        <w:t>His Honour’s</w:t>
      </w:r>
      <w:r w:rsidR="00915A9E" w:rsidRPr="00785E1A">
        <w:rPr>
          <w:rFonts w:ascii="Arial" w:hAnsi="Arial" w:cs="Arial"/>
          <w:color w:val="000000"/>
          <w:sz w:val="20"/>
        </w:rPr>
        <w:t xml:space="preserve"> dicta applies equally to the Child Protection Service.</w:t>
      </w:r>
    </w:p>
    <w:p w14:paraId="2594F161" w14:textId="77777777" w:rsidR="002D7628" w:rsidRPr="00785E1A" w:rsidRDefault="002D7628" w:rsidP="00BE7653">
      <w:pPr>
        <w:jc w:val="both"/>
        <w:rPr>
          <w:rFonts w:ascii="Arial" w:hAnsi="Arial" w:cs="Arial"/>
          <w:color w:val="000000"/>
          <w:sz w:val="20"/>
        </w:rPr>
      </w:pPr>
    </w:p>
    <w:p w14:paraId="5DFCD7CD" w14:textId="77777777" w:rsidR="00BE7653" w:rsidRPr="00BE7653" w:rsidRDefault="00BE7653" w:rsidP="00BE7653">
      <w:pPr>
        <w:jc w:val="both"/>
        <w:rPr>
          <w:rFonts w:ascii="Arial" w:hAnsi="Arial" w:cs="Arial"/>
          <w:sz w:val="20"/>
        </w:rPr>
      </w:pPr>
      <w:r>
        <w:rPr>
          <w:rFonts w:ascii="Arial" w:hAnsi="Arial" w:cs="Arial"/>
          <w:sz w:val="20"/>
        </w:rPr>
        <w:t xml:space="preserve">For a related discussion of the Commonwealth’s obligation to act as a model litigant see </w:t>
      </w:r>
      <w:r w:rsidRPr="00BE7653">
        <w:rPr>
          <w:rFonts w:ascii="Arial" w:hAnsi="Arial" w:cs="Arial"/>
          <w:i/>
          <w:sz w:val="20"/>
        </w:rPr>
        <w:t>Law Institute of Victoria Ltd v Deputy Commissioner of Taxation</w:t>
      </w:r>
      <w:r>
        <w:rPr>
          <w:rFonts w:ascii="Arial" w:hAnsi="Arial" w:cs="Arial"/>
          <w:sz w:val="20"/>
        </w:rPr>
        <w:t xml:space="preserve"> [2009] VSC 55 at [19] and the cases cited in footnote 41 thereto.</w:t>
      </w:r>
    </w:p>
    <w:p w14:paraId="47EFAAD7" w14:textId="77777777" w:rsidR="00940D74" w:rsidRDefault="00940D74" w:rsidP="00940D74">
      <w:pPr>
        <w:jc w:val="both"/>
        <w:rPr>
          <w:rFonts w:ascii="Arial" w:hAnsi="Arial" w:cs="Arial"/>
          <w:sz w:val="20"/>
        </w:rPr>
      </w:pPr>
    </w:p>
    <w:p w14:paraId="5079CC00" w14:textId="77777777" w:rsidR="00940D74" w:rsidRDefault="00940D74" w:rsidP="00F034D2">
      <w:pPr>
        <w:pStyle w:val="Heading2"/>
        <w:keepNext/>
        <w:keepLines/>
        <w:tabs>
          <w:tab w:val="left" w:pos="567"/>
        </w:tabs>
        <w:spacing w:line="240" w:lineRule="auto"/>
        <w:rPr>
          <w:rFonts w:ascii="Arial" w:hAnsi="Arial" w:cs="Arial"/>
          <w:b/>
          <w:bCs/>
        </w:rPr>
      </w:pPr>
      <w:bookmarkStart w:id="242" w:name="_4.2_Role_of"/>
      <w:bookmarkStart w:id="243" w:name="B42"/>
      <w:bookmarkEnd w:id="242"/>
      <w:bookmarkEnd w:id="243"/>
      <w:r>
        <w:rPr>
          <w:rFonts w:ascii="Arial" w:hAnsi="Arial" w:cs="Arial"/>
          <w:b/>
          <w:bCs/>
        </w:rPr>
        <w:lastRenderedPageBreak/>
        <w:t>4.2</w:t>
      </w:r>
      <w:r>
        <w:rPr>
          <w:rFonts w:ascii="Arial" w:hAnsi="Arial" w:cs="Arial"/>
          <w:b/>
          <w:bCs/>
        </w:rPr>
        <w:tab/>
        <w:t xml:space="preserve">Role of the Children’s Court in Child Protection in </w:t>
      </w:r>
      <w:smartTag w:uri="urn:schemas-microsoft-com:office:smarttags" w:element="State">
        <w:smartTag w:uri="urn:schemas-microsoft-com:office:smarttags" w:element="place">
          <w:r>
            <w:rPr>
              <w:rFonts w:ascii="Arial" w:hAnsi="Arial" w:cs="Arial"/>
              <w:b/>
              <w:bCs/>
            </w:rPr>
            <w:t>Victoria</w:t>
          </w:r>
        </w:smartTag>
      </w:smartTag>
    </w:p>
    <w:p w14:paraId="6B940A4B" w14:textId="77777777" w:rsidR="00940D74" w:rsidRDefault="00940D74" w:rsidP="00F034D2">
      <w:pPr>
        <w:keepNext/>
        <w:keepLines/>
        <w:jc w:val="both"/>
        <w:rPr>
          <w:rFonts w:ascii="Arial" w:hAnsi="Arial" w:cs="Arial"/>
          <w:sz w:val="20"/>
        </w:rPr>
      </w:pPr>
    </w:p>
    <w:p w14:paraId="295BC779" w14:textId="77777777" w:rsidR="00940D74" w:rsidRDefault="00B05EC7" w:rsidP="00940D74">
      <w:pPr>
        <w:jc w:val="both"/>
        <w:rPr>
          <w:rFonts w:ascii="Arial" w:hAnsi="Arial" w:cs="Arial"/>
          <w:sz w:val="20"/>
        </w:rPr>
      </w:pPr>
      <w:r>
        <w:rPr>
          <w:rFonts w:ascii="Arial" w:hAnsi="Arial" w:cs="Arial"/>
          <w:sz w:val="20"/>
        </w:rPr>
        <w:t>The following thumbnail sketch</w:t>
      </w:r>
      <w:r w:rsidR="00940D74">
        <w:rPr>
          <w:rFonts w:ascii="Arial" w:hAnsi="Arial" w:cs="Arial"/>
          <w:sz w:val="20"/>
        </w:rPr>
        <w:t xml:space="preserve"> of the role of the Children’s Court in child protection in Victoria </w:t>
      </w:r>
      <w:r w:rsidR="00716B54" w:rsidRPr="00B310F4">
        <w:rPr>
          <w:rFonts w:ascii="Arial" w:hAnsi="Arial" w:cs="Arial"/>
          <w:color w:val="000000"/>
          <w:sz w:val="20"/>
        </w:rPr>
        <w:t xml:space="preserve">is taken from a paper </w:t>
      </w:r>
      <w:r w:rsidR="00940D74" w:rsidRPr="00B310F4">
        <w:rPr>
          <w:rFonts w:ascii="Arial" w:hAnsi="Arial" w:cs="Arial"/>
          <w:color w:val="000000"/>
          <w:sz w:val="20"/>
        </w:rPr>
        <w:t xml:space="preserve">prepared by Judge Paul Grant, </w:t>
      </w:r>
      <w:r w:rsidRPr="00B310F4">
        <w:rPr>
          <w:rFonts w:ascii="Arial" w:hAnsi="Arial" w:cs="Arial"/>
          <w:color w:val="000000"/>
          <w:sz w:val="20"/>
        </w:rPr>
        <w:t xml:space="preserve">then </w:t>
      </w:r>
      <w:r w:rsidR="00940D74" w:rsidRPr="00B310F4">
        <w:rPr>
          <w:rFonts w:ascii="Arial" w:hAnsi="Arial" w:cs="Arial"/>
          <w:color w:val="000000"/>
          <w:sz w:val="20"/>
        </w:rPr>
        <w:t>President of the Children’s Court of</w:t>
      </w:r>
      <w:r w:rsidR="00940D74">
        <w:rPr>
          <w:rFonts w:ascii="Arial" w:hAnsi="Arial" w:cs="Arial"/>
          <w:sz w:val="20"/>
        </w:rPr>
        <w:t xml:space="preserve"> Victoria, in June 2009</w:t>
      </w:r>
      <w:r w:rsidR="004E4F26">
        <w:rPr>
          <w:rFonts w:ascii="Arial" w:hAnsi="Arial" w:cs="Arial"/>
          <w:sz w:val="20"/>
        </w:rPr>
        <w:t xml:space="preserve"> and </w:t>
      </w:r>
      <w:r w:rsidR="008253F5">
        <w:rPr>
          <w:rFonts w:ascii="Arial" w:hAnsi="Arial" w:cs="Arial"/>
          <w:sz w:val="20"/>
        </w:rPr>
        <w:t xml:space="preserve">was </w:t>
      </w:r>
      <w:r w:rsidR="004E4F26">
        <w:rPr>
          <w:rFonts w:ascii="Arial" w:hAnsi="Arial" w:cs="Arial"/>
          <w:sz w:val="20"/>
        </w:rPr>
        <w:t>updated by the writer subsequent to the 2016 amendments</w:t>
      </w:r>
      <w:r w:rsidR="003F1FC2">
        <w:rPr>
          <w:rFonts w:ascii="Arial" w:hAnsi="Arial" w:cs="Arial"/>
          <w:sz w:val="20"/>
        </w:rPr>
        <w:t>.</w:t>
      </w:r>
    </w:p>
    <w:p w14:paraId="410039E9" w14:textId="77777777" w:rsidR="00940D74" w:rsidRDefault="00940D74" w:rsidP="00940D74">
      <w:pPr>
        <w:jc w:val="both"/>
        <w:rPr>
          <w:rFonts w:ascii="Arial" w:hAnsi="Arial" w:cs="Arial"/>
          <w:sz w:val="20"/>
        </w:rPr>
      </w:pPr>
    </w:p>
    <w:p w14:paraId="40BA6807" w14:textId="77777777" w:rsidR="001B05E1"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Children’s Court is a court of law. It is not a government agency. It is not an ombudsman or commissioner for children. It is not a stakeholder in any other organisation nor is any other organization a stakeholder in it. It does not have any general power to review the operation of the child protection system. Decisions of the Court can involve some general comments on system failures or system strengths but that is not the same as having overall or continuous supervision of the child protection system generally. The Court does not have an investigative arm like the Coroner’s Court. The Court engages in judicial decision making with respect to those applications that come before it. It does not </w:t>
      </w:r>
      <w:r w:rsidR="003F1FC2">
        <w:rPr>
          <w:rFonts w:ascii="Arial" w:hAnsi="Arial" w:cs="Arial"/>
          <w:sz w:val="20"/>
          <w:szCs w:val="20"/>
        </w:rPr>
        <w:t xml:space="preserve">generally </w:t>
      </w:r>
      <w:r w:rsidRPr="002B758B">
        <w:rPr>
          <w:rFonts w:ascii="Arial" w:hAnsi="Arial" w:cs="Arial"/>
          <w:sz w:val="20"/>
          <w:szCs w:val="20"/>
        </w:rPr>
        <w:t>have the power to collect evidence or conduct an investigation independent of the parties involved in the case.</w:t>
      </w:r>
    </w:p>
    <w:p w14:paraId="4A3599DA" w14:textId="77777777" w:rsidR="000D682D" w:rsidRDefault="000D682D"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55C1AB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Family Division of the Children’s Court becomes involved in the life of a child when the Child Protection authority decides to invoke the Court’s jurisdiction. It may do this by issuing a notice for a future hearing or alternatively, by </w:t>
      </w:r>
      <w:r w:rsidR="003F1FC2">
        <w:rPr>
          <w:rFonts w:ascii="Arial" w:hAnsi="Arial" w:cs="Arial"/>
          <w:sz w:val="20"/>
          <w:szCs w:val="20"/>
        </w:rPr>
        <w:t xml:space="preserve">placing the child into emergency care </w:t>
      </w:r>
      <w:r w:rsidRPr="002B758B">
        <w:rPr>
          <w:rFonts w:ascii="Arial" w:hAnsi="Arial" w:cs="Arial"/>
          <w:sz w:val="20"/>
          <w:szCs w:val="20"/>
        </w:rPr>
        <w:t xml:space="preserve">and seeking immediate orders from the Court in relation to the child’s placement.  On an </w:t>
      </w:r>
      <w:r w:rsidR="003F1FC2">
        <w:rPr>
          <w:rFonts w:ascii="Arial" w:hAnsi="Arial" w:cs="Arial"/>
          <w:sz w:val="20"/>
          <w:szCs w:val="20"/>
        </w:rPr>
        <w:t>emergency care application</w:t>
      </w:r>
      <w:r w:rsidRPr="002B758B">
        <w:rPr>
          <w:rFonts w:ascii="Arial" w:hAnsi="Arial" w:cs="Arial"/>
          <w:sz w:val="20"/>
          <w:szCs w:val="20"/>
        </w:rPr>
        <w:t>, the Court will determine whether the child remains with the parents or be placed in some type of out of home placement pending the determination of the application. Interim placement of children is by way of an Interim Accommodation Order (IAO).  These orders commonly have conditions attached. Determining interim placement is a significant part of the Court’s workload.</w:t>
      </w:r>
    </w:p>
    <w:p w14:paraId="39797BC7" w14:textId="77777777" w:rsidR="001B05E1" w:rsidRDefault="001B05E1"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48E5BF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The Court also hears secondary applications. These are applications to extend, vary, revoke, extend or breach existing orders.</w:t>
      </w:r>
    </w:p>
    <w:p w14:paraId="646A9799"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6846C15D" w14:textId="77777777" w:rsidR="002B758B"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In making decisions about placement of children, “the best interests of the child must always be paramount”</w:t>
      </w:r>
      <w:r>
        <w:rPr>
          <w:rFonts w:ascii="Arial" w:hAnsi="Arial" w:cs="Arial"/>
          <w:sz w:val="20"/>
          <w:szCs w:val="20"/>
        </w:rPr>
        <w:t>:</w:t>
      </w:r>
      <w:r>
        <w:rPr>
          <w:rStyle w:val="FootnoteReference"/>
          <w:rFonts w:ascii="Arial" w:hAnsi="Arial" w:cs="Arial"/>
          <w:sz w:val="20"/>
          <w:szCs w:val="20"/>
        </w:rPr>
        <w:t xml:space="preserve"> </w:t>
      </w:r>
      <w:r w:rsidRPr="002B758B">
        <w:rPr>
          <w:rFonts w:ascii="Arial" w:hAnsi="Arial" w:cs="Arial"/>
          <w:sz w:val="20"/>
          <w:szCs w:val="20"/>
        </w:rPr>
        <w:t>see section 10 of the Children, Youth and Families Act 2005. The Act lists 21 factors for the Court to consider in determining what decision or action is in the best interests of the child.</w:t>
      </w:r>
    </w:p>
    <w:p w14:paraId="7D75057E"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D60A485"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Once interim placement is determined, a case is managed through a mention process. Not all cases require a contested hearing. Indeed, the great bulk of cases are resolved by negotiation, with the Court endorsing particular orders. The Court refers potential contests to a </w:t>
      </w:r>
      <w:r w:rsidR="004E4F26">
        <w:rPr>
          <w:rFonts w:ascii="Arial" w:hAnsi="Arial" w:cs="Arial"/>
          <w:sz w:val="20"/>
          <w:szCs w:val="20"/>
        </w:rPr>
        <w:t>conciliation</w:t>
      </w:r>
      <w:r w:rsidRPr="002B758B">
        <w:rPr>
          <w:rFonts w:ascii="Arial" w:hAnsi="Arial" w:cs="Arial"/>
          <w:sz w:val="20"/>
          <w:szCs w:val="20"/>
        </w:rPr>
        <w:t xml:space="preserve"> conference</w:t>
      </w:r>
      <w:r w:rsidR="004E4F26">
        <w:rPr>
          <w:rFonts w:ascii="Arial" w:hAnsi="Arial" w:cs="Arial"/>
          <w:sz w:val="20"/>
          <w:szCs w:val="20"/>
        </w:rPr>
        <w:t xml:space="preserve"> process</w:t>
      </w:r>
      <w:r w:rsidRPr="002B758B">
        <w:rPr>
          <w:rFonts w:ascii="Arial" w:hAnsi="Arial" w:cs="Arial"/>
          <w:sz w:val="20"/>
          <w:szCs w:val="20"/>
        </w:rPr>
        <w:t>. ADR resolves about 30% of the cases referred to it. A small percentage of cases end up being listed for a contested hearing and a significant percentage of these resolve on the doorstep of the court or during the hearing of evidence.</w:t>
      </w:r>
    </w:p>
    <w:p w14:paraId="4F942B9A"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2599003" w14:textId="77777777" w:rsidR="002B758B" w:rsidRDefault="00BC4C99"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A young person can be subject to a protection application in the Family Division if he or she is under 17. If a young person is already on a protection order that order can last until the young person’s 18</w:t>
      </w:r>
      <w:r w:rsidRPr="00BC4C99">
        <w:rPr>
          <w:rFonts w:ascii="Arial" w:hAnsi="Arial" w:cs="Arial"/>
          <w:sz w:val="20"/>
          <w:szCs w:val="20"/>
          <w:vertAlign w:val="superscript"/>
        </w:rPr>
        <w:t>th</w:t>
      </w:r>
      <w:r w:rsidRPr="00BC4C99">
        <w:rPr>
          <w:rFonts w:ascii="Arial" w:hAnsi="Arial" w:cs="Arial"/>
          <w:sz w:val="20"/>
          <w:szCs w:val="20"/>
        </w:rPr>
        <w:t xml:space="preserve"> birthday.</w:t>
      </w:r>
      <w:r>
        <w:rPr>
          <w:rFonts w:ascii="Arial" w:hAnsi="Arial" w:cs="Arial"/>
          <w:sz w:val="20"/>
          <w:szCs w:val="20"/>
        </w:rPr>
        <w:t xml:space="preserve">  </w:t>
      </w:r>
      <w:r w:rsidRPr="00BC4C99">
        <w:rPr>
          <w:rFonts w:ascii="Arial" w:hAnsi="Arial" w:cs="Arial"/>
          <w:sz w:val="20"/>
          <w:szCs w:val="20"/>
        </w:rPr>
        <w:t>For a protection application to be proved, the Court must be satisfied on the balance of probabilities that the child or young person</w:t>
      </w:r>
      <w:r>
        <w:rPr>
          <w:rFonts w:ascii="Arial" w:hAnsi="Arial" w:cs="Arial"/>
          <w:sz w:val="20"/>
          <w:szCs w:val="20"/>
        </w:rPr>
        <w:t>-</w:t>
      </w:r>
    </w:p>
    <w:p w14:paraId="40F66721" w14:textId="77777777" w:rsidR="002B758B" w:rsidRPr="00BC4C99" w:rsidRDefault="00BC4C99" w:rsidP="00FB1EE3">
      <w:pPr>
        <w:numPr>
          <w:ilvl w:val="0"/>
          <w:numId w:val="30"/>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Pr>
          <w:rFonts w:ascii="Arial" w:hAnsi="Arial" w:cs="Arial"/>
          <w:sz w:val="20"/>
          <w:szCs w:val="20"/>
        </w:rPr>
        <w:t xml:space="preserve">has been </w:t>
      </w:r>
      <w:r w:rsidRPr="00BC4C99">
        <w:rPr>
          <w:rFonts w:ascii="Arial" w:hAnsi="Arial" w:cs="Arial"/>
          <w:sz w:val="20"/>
          <w:szCs w:val="20"/>
        </w:rPr>
        <w:t xml:space="preserve">orphaned or abandoned without anyone to care for him or her; or  </w:t>
      </w:r>
    </w:p>
    <w:p w14:paraId="47DF44FE" w14:textId="77777777" w:rsidR="00BC4C99" w:rsidRDefault="00BC4C99" w:rsidP="00FB1EE3">
      <w:pPr>
        <w:numPr>
          <w:ilvl w:val="0"/>
          <w:numId w:val="30"/>
        </w:numPr>
        <w:pBdr>
          <w:top w:val="single" w:sz="4" w:space="1" w:color="auto"/>
          <w:left w:val="single" w:sz="4" w:space="4" w:color="auto"/>
          <w:bottom w:val="single" w:sz="4" w:space="1" w:color="auto"/>
          <w:right w:val="single" w:sz="4" w:space="4" w:color="auto"/>
        </w:pBdr>
        <w:ind w:left="964" w:right="284" w:hanging="680"/>
        <w:jc w:val="both"/>
        <w:rPr>
          <w:rFonts w:ascii="Arial" w:hAnsi="Arial" w:cs="Arial"/>
          <w:sz w:val="20"/>
        </w:rPr>
      </w:pPr>
      <w:r w:rsidRPr="00BC4C99">
        <w:rPr>
          <w:rFonts w:ascii="Arial" w:hAnsi="Arial" w:cs="Arial"/>
          <w:sz w:val="20"/>
          <w:szCs w:val="20"/>
        </w:rPr>
        <w:t>has suffered, or is likely to suffer, significant harm as a result of physical abuse, emotional abuse, sexual abuse or neglect and the parents have not protected (or are unlikely to protect) the child or young person.</w:t>
      </w:r>
    </w:p>
    <w:p w14:paraId="5B66933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92BC2F7"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Nearly all of the protection applications that come before the Court involve the second category of case.  The Court finds the vast majority of such applications proved, mostly on the ground of likelihood of future harm.  The Victorian legislation is proactive and intervention by </w:t>
      </w:r>
      <w:r w:rsidR="00785D2D">
        <w:rPr>
          <w:rFonts w:ascii="Arial" w:hAnsi="Arial" w:cs="Arial"/>
          <w:sz w:val="20"/>
          <w:szCs w:val="20"/>
        </w:rPr>
        <w:t>DFFH</w:t>
      </w:r>
      <w:r w:rsidRPr="00BC4C99">
        <w:rPr>
          <w:rFonts w:ascii="Arial" w:hAnsi="Arial" w:cs="Arial"/>
          <w:sz w:val="20"/>
          <w:szCs w:val="20"/>
        </w:rPr>
        <w:t xml:space="preserve"> is usually timely.  In only a small number of cases has a child already suffered harm.</w:t>
      </w:r>
    </w:p>
    <w:p w14:paraId="6EE3207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1A628CC5"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The first decision for the Court is whether, on the balance of probabilities, the child is in need of protection. If the Court is satisfied of that, it must then determine the order to be made in the child’s best interests.  The orders the Court can make </w:t>
      </w:r>
      <w:r w:rsidR="009104CC">
        <w:rPr>
          <w:rFonts w:ascii="Arial" w:hAnsi="Arial" w:cs="Arial"/>
          <w:sz w:val="20"/>
          <w:szCs w:val="20"/>
        </w:rPr>
        <w:t>are</w:t>
      </w:r>
      <w:r w:rsidRPr="00BC4C99">
        <w:rPr>
          <w:rFonts w:ascii="Arial" w:hAnsi="Arial" w:cs="Arial"/>
          <w:sz w:val="20"/>
          <w:szCs w:val="20"/>
        </w:rPr>
        <w:t xml:space="preserve"> those which-</w:t>
      </w:r>
    </w:p>
    <w:p w14:paraId="51BF12F2" w14:textId="77777777" w:rsidR="00084EDE" w:rsidRDefault="00084EDE" w:rsidP="00FB1EE3">
      <w:pPr>
        <w:numPr>
          <w:ilvl w:val="0"/>
          <w:numId w:val="2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lastRenderedPageBreak/>
        <w:t xml:space="preserve">Require modest intervention in the life of the family. These are cases where the family have responded positively to supports and the protective concerns have been significantly addressed (Undertakings given by </w:t>
      </w:r>
      <w:r w:rsidR="004E4F26">
        <w:rPr>
          <w:rFonts w:ascii="Arial" w:hAnsi="Arial" w:cs="Arial"/>
          <w:sz w:val="20"/>
          <w:szCs w:val="20"/>
        </w:rPr>
        <w:t>one or more family members</w:t>
      </w:r>
      <w:r w:rsidRPr="00084EDE">
        <w:rPr>
          <w:rFonts w:ascii="Arial" w:hAnsi="Arial" w:cs="Arial"/>
          <w:sz w:val="20"/>
          <w:szCs w:val="20"/>
        </w:rPr>
        <w:t>).</w:t>
      </w:r>
    </w:p>
    <w:p w14:paraId="2A469C4A" w14:textId="77777777" w:rsidR="00084EDE" w:rsidRDefault="00084EDE" w:rsidP="00FB1EE3">
      <w:pPr>
        <w:numPr>
          <w:ilvl w:val="0"/>
          <w:numId w:val="2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t xml:space="preserve">Keep the child within parental care subject to supervision by the Department of </w:t>
      </w:r>
      <w:r w:rsidR="002E0E92">
        <w:rPr>
          <w:rFonts w:ascii="Arial" w:hAnsi="Arial" w:cs="Arial"/>
          <w:sz w:val="20"/>
          <w:szCs w:val="20"/>
        </w:rPr>
        <w:t>Families, Fairness and Housing</w:t>
      </w:r>
      <w:r w:rsidRPr="00084EDE">
        <w:rPr>
          <w:rFonts w:ascii="Arial" w:hAnsi="Arial" w:cs="Arial"/>
          <w:sz w:val="20"/>
          <w:szCs w:val="20"/>
        </w:rPr>
        <w:t xml:space="preserve">.  In these cases the family is willing to work with the Department and the Court is satisfied the child will be safe while that occurs.  The Court may attach conditions to such order requiring family members to, for example, attend counselling for drug and alcohol abuse, undergo drug testing, take the child to medical appointments, undertake family violence counselling, attend a parenting course, etc. These orders </w:t>
      </w:r>
      <w:r w:rsidR="004E4F26">
        <w:rPr>
          <w:rFonts w:ascii="Arial" w:hAnsi="Arial" w:cs="Arial"/>
          <w:sz w:val="20"/>
          <w:szCs w:val="20"/>
        </w:rPr>
        <w:t>are</w:t>
      </w:r>
      <w:r w:rsidRPr="00084EDE">
        <w:rPr>
          <w:rFonts w:ascii="Arial" w:hAnsi="Arial" w:cs="Arial"/>
          <w:sz w:val="20"/>
          <w:szCs w:val="20"/>
        </w:rPr>
        <w:t xml:space="preserve"> called </w:t>
      </w:r>
      <w:r w:rsidR="004E4F26">
        <w:rPr>
          <w:rFonts w:ascii="Arial" w:hAnsi="Arial" w:cs="Arial"/>
          <w:sz w:val="20"/>
          <w:szCs w:val="20"/>
        </w:rPr>
        <w:t xml:space="preserve">family preservation </w:t>
      </w:r>
      <w:r>
        <w:rPr>
          <w:rFonts w:ascii="Arial" w:hAnsi="Arial" w:cs="Arial"/>
          <w:sz w:val="20"/>
          <w:szCs w:val="20"/>
        </w:rPr>
        <w:t>o</w:t>
      </w:r>
      <w:r w:rsidRPr="00084EDE">
        <w:rPr>
          <w:rFonts w:ascii="Arial" w:hAnsi="Arial" w:cs="Arial"/>
          <w:sz w:val="20"/>
          <w:szCs w:val="20"/>
        </w:rPr>
        <w:t xml:space="preserve">rders </w:t>
      </w:r>
      <w:r w:rsidR="004E4F26">
        <w:rPr>
          <w:rFonts w:ascii="Arial" w:hAnsi="Arial" w:cs="Arial"/>
          <w:sz w:val="20"/>
          <w:szCs w:val="20"/>
        </w:rPr>
        <w:t xml:space="preserve">and are </w:t>
      </w:r>
      <w:r w:rsidRPr="00084EDE">
        <w:rPr>
          <w:rFonts w:ascii="Arial" w:hAnsi="Arial" w:cs="Arial"/>
          <w:sz w:val="20"/>
          <w:szCs w:val="20"/>
        </w:rPr>
        <w:t xml:space="preserve">usually </w:t>
      </w:r>
      <w:r w:rsidR="004E4F26">
        <w:rPr>
          <w:rFonts w:ascii="Arial" w:hAnsi="Arial" w:cs="Arial"/>
          <w:sz w:val="20"/>
          <w:szCs w:val="20"/>
        </w:rPr>
        <w:t xml:space="preserve">of </w:t>
      </w:r>
      <w:r w:rsidRPr="00084EDE">
        <w:rPr>
          <w:rFonts w:ascii="Arial" w:hAnsi="Arial" w:cs="Arial"/>
          <w:sz w:val="20"/>
          <w:szCs w:val="20"/>
        </w:rPr>
        <w:t>six to twelve months</w:t>
      </w:r>
      <w:r w:rsidR="004E4F26">
        <w:rPr>
          <w:rFonts w:ascii="Arial" w:hAnsi="Arial" w:cs="Arial"/>
          <w:sz w:val="20"/>
          <w:szCs w:val="20"/>
        </w:rPr>
        <w:t>’ duration</w:t>
      </w:r>
      <w:r w:rsidRPr="00084EDE">
        <w:rPr>
          <w:rFonts w:ascii="Arial" w:hAnsi="Arial" w:cs="Arial"/>
          <w:sz w:val="20"/>
          <w:szCs w:val="20"/>
        </w:rPr>
        <w:t>.</w:t>
      </w:r>
    </w:p>
    <w:p w14:paraId="71E69C92" w14:textId="77777777" w:rsidR="004E4F26" w:rsidRDefault="00084EDE" w:rsidP="00FB1EE3">
      <w:pPr>
        <w:numPr>
          <w:ilvl w:val="0"/>
          <w:numId w:val="2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4E4F26">
        <w:rPr>
          <w:rFonts w:ascii="Arial" w:hAnsi="Arial" w:cs="Arial"/>
          <w:sz w:val="20"/>
          <w:szCs w:val="20"/>
        </w:rPr>
        <w:t xml:space="preserve">Allow Child Protection to decide where the child or young person </w:t>
      </w:r>
      <w:r w:rsidR="004E4F26" w:rsidRPr="004E4F26">
        <w:rPr>
          <w:rFonts w:ascii="Arial" w:hAnsi="Arial" w:cs="Arial"/>
          <w:sz w:val="20"/>
          <w:szCs w:val="20"/>
        </w:rPr>
        <w:t>is to</w:t>
      </w:r>
      <w:r w:rsidRPr="004E4F26">
        <w:rPr>
          <w:rFonts w:ascii="Arial" w:hAnsi="Arial" w:cs="Arial"/>
          <w:sz w:val="20"/>
          <w:szCs w:val="20"/>
        </w:rPr>
        <w:t xml:space="preserve"> be placed. This is generally in out of home care, for example, with a relative, family friend, foster carer or at a residential unit.  </w:t>
      </w:r>
      <w:r w:rsidR="004E4F26" w:rsidRPr="004E4F26">
        <w:rPr>
          <w:rFonts w:ascii="Arial" w:hAnsi="Arial" w:cs="Arial"/>
          <w:sz w:val="20"/>
          <w:szCs w:val="20"/>
        </w:rPr>
        <w:t xml:space="preserve">With family reunification orders, the plan will usually be re-unification with the parents and the order will have conditions to assist that to occur.  </w:t>
      </w:r>
      <w:r w:rsidRPr="004E4F26">
        <w:rPr>
          <w:rFonts w:ascii="Arial" w:hAnsi="Arial" w:cs="Arial"/>
          <w:sz w:val="20"/>
          <w:szCs w:val="20"/>
        </w:rPr>
        <w:t xml:space="preserve">In some cases, a child on a </w:t>
      </w:r>
      <w:r w:rsidR="004E4F26" w:rsidRPr="004E4F26">
        <w:rPr>
          <w:rFonts w:ascii="Arial" w:hAnsi="Arial" w:cs="Arial"/>
          <w:sz w:val="20"/>
          <w:szCs w:val="20"/>
        </w:rPr>
        <w:t>family reunification order</w:t>
      </w:r>
      <w:r w:rsidRPr="004E4F26">
        <w:rPr>
          <w:rFonts w:ascii="Arial" w:hAnsi="Arial" w:cs="Arial"/>
          <w:sz w:val="20"/>
          <w:szCs w:val="20"/>
        </w:rPr>
        <w:t xml:space="preserve"> may be placed in the care of a parent but this is relatively uncommon, at least early in the life of such order. </w:t>
      </w:r>
      <w:r w:rsidR="004E4F26">
        <w:rPr>
          <w:rFonts w:ascii="Arial" w:hAnsi="Arial" w:cs="Arial"/>
          <w:sz w:val="20"/>
          <w:szCs w:val="20"/>
        </w:rPr>
        <w:t>I</w:t>
      </w:r>
      <w:r w:rsidRPr="004E4F26">
        <w:rPr>
          <w:rFonts w:ascii="Arial" w:hAnsi="Arial" w:cs="Arial"/>
          <w:sz w:val="20"/>
          <w:szCs w:val="20"/>
        </w:rPr>
        <w:t xml:space="preserve">n cases where reunification is not in the best interests of the child, the Court may make a </w:t>
      </w:r>
      <w:r w:rsidR="004E4F26">
        <w:rPr>
          <w:rFonts w:ascii="Arial" w:hAnsi="Arial" w:cs="Arial"/>
          <w:sz w:val="20"/>
          <w:szCs w:val="20"/>
        </w:rPr>
        <w:t>care by</w:t>
      </w:r>
      <w:r w:rsidRPr="004E4F26">
        <w:rPr>
          <w:rFonts w:ascii="Arial" w:hAnsi="Arial" w:cs="Arial"/>
          <w:sz w:val="20"/>
          <w:szCs w:val="20"/>
        </w:rPr>
        <w:t xml:space="preserve"> Secretary order or</w:t>
      </w:r>
      <w:r w:rsidR="004E4F26">
        <w:rPr>
          <w:rFonts w:ascii="Arial" w:hAnsi="Arial" w:cs="Arial"/>
          <w:sz w:val="20"/>
          <w:szCs w:val="20"/>
        </w:rPr>
        <w:t xml:space="preserve"> a long-term care order, neither or which can contain conditions</w:t>
      </w:r>
      <w:r w:rsidRPr="004E4F26">
        <w:rPr>
          <w:rFonts w:ascii="Arial" w:hAnsi="Arial" w:cs="Arial"/>
          <w:sz w:val="20"/>
          <w:szCs w:val="20"/>
        </w:rPr>
        <w:t>.</w:t>
      </w:r>
    </w:p>
    <w:p w14:paraId="37117723" w14:textId="77777777" w:rsidR="009104CC" w:rsidRDefault="009104CC"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p>
    <w:p w14:paraId="34145B59" w14:textId="77777777" w:rsidR="00084EDE" w:rsidRPr="004E4F26" w:rsidRDefault="00084EDE"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r w:rsidRPr="004E4F26">
        <w:rPr>
          <w:rFonts w:ascii="Arial" w:hAnsi="Arial" w:cs="Arial"/>
          <w:sz w:val="20"/>
          <w:szCs w:val="20"/>
        </w:rPr>
        <w:t>The Court also hears applications for Permanent Care Orders and may make such orders if the child has been out of parental care for at least 6 months of the previous 12 months and if satisfied that reunification with a parent is not in the best interests of the child.</w:t>
      </w:r>
    </w:p>
    <w:p w14:paraId="0C0132D0" w14:textId="77777777" w:rsidR="002B758B" w:rsidRPr="00DA334D" w:rsidRDefault="002B758B">
      <w:pPr>
        <w:rPr>
          <w:rFonts w:ascii="Arial" w:hAnsi="Arial" w:cs="Arial"/>
          <w:sz w:val="20"/>
        </w:rPr>
      </w:pPr>
    </w:p>
    <w:p w14:paraId="250701FF" w14:textId="77777777" w:rsidR="00693223" w:rsidRDefault="00693223">
      <w:pPr>
        <w:pStyle w:val="Heading2"/>
        <w:keepNext/>
        <w:keepLines/>
        <w:tabs>
          <w:tab w:val="left" w:pos="567"/>
        </w:tabs>
        <w:spacing w:line="240" w:lineRule="auto"/>
        <w:rPr>
          <w:rFonts w:ascii="Arial" w:hAnsi="Arial" w:cs="Arial"/>
          <w:b/>
          <w:bCs/>
        </w:rPr>
      </w:pPr>
      <w:bookmarkStart w:id="244" w:name="_4.3_Jurisdiction_of"/>
      <w:bookmarkStart w:id="245" w:name="B43"/>
      <w:bookmarkStart w:id="246" w:name="_Toc30607526"/>
      <w:bookmarkStart w:id="247" w:name="_Toc30607655"/>
      <w:bookmarkStart w:id="248" w:name="_Toc30607980"/>
      <w:bookmarkStart w:id="249" w:name="_Toc30608813"/>
      <w:bookmarkStart w:id="250" w:name="_Toc30610027"/>
      <w:bookmarkStart w:id="251" w:name="_Toc30610271"/>
      <w:bookmarkStart w:id="252" w:name="_Toc30638425"/>
      <w:bookmarkStart w:id="253" w:name="_Toc30644238"/>
      <w:bookmarkStart w:id="254" w:name="_Toc30644641"/>
      <w:bookmarkStart w:id="255" w:name="_Toc30645191"/>
      <w:bookmarkStart w:id="256" w:name="_Toc30646402"/>
      <w:bookmarkStart w:id="257" w:name="_Toc30646697"/>
      <w:bookmarkStart w:id="258" w:name="_Toc30646808"/>
      <w:bookmarkStart w:id="259" w:name="_Toc30648165"/>
      <w:bookmarkStart w:id="260" w:name="_Toc30649063"/>
      <w:bookmarkStart w:id="261" w:name="_Toc30649139"/>
      <w:bookmarkStart w:id="262" w:name="_Toc30649400"/>
      <w:bookmarkStart w:id="263" w:name="_Toc30649725"/>
      <w:bookmarkStart w:id="264" w:name="_Toc30651665"/>
      <w:bookmarkStart w:id="265" w:name="_Toc30652655"/>
      <w:bookmarkStart w:id="266" w:name="_Toc30652751"/>
      <w:bookmarkStart w:id="267" w:name="_Toc30654096"/>
      <w:bookmarkStart w:id="268" w:name="_Toc30654447"/>
      <w:bookmarkStart w:id="269" w:name="_Toc30655066"/>
      <w:bookmarkStart w:id="270" w:name="_Toc30655323"/>
      <w:bookmarkStart w:id="271" w:name="_Toc30657001"/>
      <w:bookmarkStart w:id="272" w:name="_Toc30661750"/>
      <w:bookmarkStart w:id="273" w:name="_Toc30666438"/>
      <w:bookmarkStart w:id="274" w:name="_Toc30666668"/>
      <w:bookmarkStart w:id="275" w:name="_Toc30667843"/>
      <w:bookmarkStart w:id="276" w:name="_Toc30669221"/>
      <w:bookmarkStart w:id="277" w:name="_Toc30671437"/>
      <w:bookmarkStart w:id="278" w:name="_Toc30673964"/>
      <w:bookmarkStart w:id="279" w:name="_Toc30691186"/>
      <w:bookmarkStart w:id="280" w:name="_Toc30691559"/>
      <w:bookmarkStart w:id="281" w:name="_Toc30691939"/>
      <w:bookmarkStart w:id="282" w:name="_Toc30692698"/>
      <w:bookmarkStart w:id="283" w:name="_Toc30693077"/>
      <w:bookmarkStart w:id="284" w:name="_Toc30693455"/>
      <w:bookmarkStart w:id="285" w:name="_Toc30693833"/>
      <w:bookmarkStart w:id="286" w:name="_Toc30694214"/>
      <w:bookmarkStart w:id="287" w:name="_Toc30698803"/>
      <w:bookmarkStart w:id="288" w:name="_Toc30699181"/>
      <w:bookmarkStart w:id="289" w:name="_Toc30699566"/>
      <w:bookmarkStart w:id="290" w:name="_Toc30700721"/>
      <w:bookmarkStart w:id="291" w:name="_Toc30701108"/>
      <w:bookmarkStart w:id="292" w:name="_Toc30743717"/>
      <w:bookmarkStart w:id="293" w:name="_Toc30754540"/>
      <w:bookmarkStart w:id="294" w:name="_Toc30756980"/>
      <w:bookmarkStart w:id="295" w:name="_Toc30757529"/>
      <w:bookmarkStart w:id="296" w:name="_Toc30757929"/>
      <w:bookmarkStart w:id="297" w:name="_Toc30762690"/>
      <w:bookmarkStart w:id="298" w:name="_Toc30767344"/>
      <w:bookmarkStart w:id="299" w:name="_Toc34823360"/>
      <w:bookmarkStart w:id="300" w:name="_Toc60399993"/>
      <w:bookmarkStart w:id="301" w:name="_Toc30607528"/>
      <w:bookmarkStart w:id="302" w:name="_Toc30607657"/>
      <w:bookmarkStart w:id="303" w:name="_Toc30607982"/>
      <w:bookmarkStart w:id="304" w:name="_Toc30608815"/>
      <w:bookmarkStart w:id="305" w:name="_Toc30610029"/>
      <w:bookmarkStart w:id="306" w:name="_Toc30610273"/>
      <w:bookmarkStart w:id="307" w:name="_Toc30638427"/>
      <w:bookmarkStart w:id="308" w:name="_Toc30644240"/>
      <w:bookmarkStart w:id="309" w:name="_Toc30644643"/>
      <w:bookmarkStart w:id="310" w:name="_Toc30645193"/>
      <w:bookmarkStart w:id="311" w:name="_Toc30646404"/>
      <w:bookmarkStart w:id="312" w:name="_Toc30646699"/>
      <w:bookmarkStart w:id="313" w:name="_Toc30646810"/>
      <w:bookmarkStart w:id="314" w:name="_Toc30648167"/>
      <w:bookmarkStart w:id="315" w:name="_Toc30649065"/>
      <w:bookmarkStart w:id="316" w:name="_Toc30649141"/>
      <w:bookmarkStart w:id="317" w:name="_Toc30649402"/>
      <w:bookmarkStart w:id="318" w:name="_Toc30649727"/>
      <w:bookmarkStart w:id="319" w:name="_Toc30651667"/>
      <w:bookmarkStart w:id="320" w:name="_Toc30652657"/>
      <w:bookmarkStart w:id="321" w:name="_Toc30652753"/>
      <w:bookmarkStart w:id="322" w:name="_Toc30654098"/>
      <w:bookmarkStart w:id="323" w:name="_Toc30654449"/>
      <w:bookmarkStart w:id="324" w:name="_Toc30655068"/>
      <w:bookmarkStart w:id="325" w:name="_Toc30655325"/>
      <w:bookmarkStart w:id="326" w:name="_Toc30657003"/>
      <w:bookmarkStart w:id="327" w:name="_Toc30661752"/>
      <w:bookmarkStart w:id="328" w:name="_Toc30666440"/>
      <w:bookmarkStart w:id="329" w:name="_Toc30666670"/>
      <w:bookmarkStart w:id="330" w:name="_Toc30667845"/>
      <w:bookmarkStart w:id="331" w:name="_Toc30669223"/>
      <w:bookmarkStart w:id="332" w:name="_Toc30671439"/>
      <w:bookmarkStart w:id="333" w:name="_Toc30673966"/>
      <w:bookmarkStart w:id="334" w:name="_Toc30691188"/>
      <w:bookmarkStart w:id="335" w:name="_Toc30691561"/>
      <w:bookmarkStart w:id="336" w:name="_Toc30691941"/>
      <w:bookmarkStart w:id="337" w:name="_Toc30692700"/>
      <w:bookmarkStart w:id="338" w:name="_Toc30693079"/>
      <w:bookmarkStart w:id="339" w:name="_Toc30693457"/>
      <w:bookmarkStart w:id="340" w:name="_Toc30693835"/>
      <w:bookmarkStart w:id="341" w:name="_Toc30694216"/>
      <w:bookmarkStart w:id="342" w:name="_Toc30698805"/>
      <w:bookmarkStart w:id="343" w:name="_Toc30699183"/>
      <w:bookmarkStart w:id="344" w:name="_Toc30699568"/>
      <w:bookmarkStart w:id="345" w:name="_Toc30700723"/>
      <w:bookmarkStart w:id="346" w:name="_Toc30701110"/>
      <w:bookmarkStart w:id="347" w:name="_Toc30743719"/>
      <w:bookmarkStart w:id="348" w:name="_Toc30754542"/>
      <w:bookmarkStart w:id="349" w:name="_Toc30756982"/>
      <w:bookmarkStart w:id="350" w:name="_Toc30757531"/>
      <w:bookmarkStart w:id="351" w:name="_Toc30757931"/>
      <w:bookmarkStart w:id="352" w:name="_Toc30762692"/>
      <w:bookmarkStart w:id="353" w:name="_Toc30767346"/>
      <w:bookmarkStart w:id="354" w:name="_Toc34823362"/>
      <w:bookmarkEnd w:id="244"/>
      <w:bookmarkEnd w:id="245"/>
      <w:r>
        <w:rPr>
          <w:rFonts w:ascii="Arial" w:hAnsi="Arial" w:cs="Arial"/>
          <w:b/>
          <w:bCs/>
        </w:rPr>
        <w:t>4.</w:t>
      </w:r>
      <w:r w:rsidR="00940D74">
        <w:rPr>
          <w:rFonts w:ascii="Arial" w:hAnsi="Arial" w:cs="Arial"/>
          <w:b/>
          <w:bCs/>
        </w:rPr>
        <w:t>3</w:t>
      </w:r>
      <w:r>
        <w:rPr>
          <w:rFonts w:ascii="Arial" w:hAnsi="Arial" w:cs="Arial"/>
          <w:b/>
          <w:bCs/>
        </w:rPr>
        <w:tab/>
        <w:t>Jurisdiction</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Pr>
          <w:rFonts w:ascii="Arial" w:hAnsi="Arial" w:cs="Arial"/>
          <w:b/>
          <w:bCs/>
        </w:rPr>
        <w:t xml:space="preserve"> of Family Division</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8E46277" w14:textId="77777777" w:rsidR="00693223" w:rsidRDefault="00693223">
      <w:pPr>
        <w:keepNext/>
        <w:keepLines/>
        <w:jc w:val="both"/>
        <w:rPr>
          <w:rFonts w:ascii="Arial" w:hAnsi="Arial" w:cs="Arial"/>
          <w:sz w:val="20"/>
        </w:rPr>
      </w:pPr>
    </w:p>
    <w:p w14:paraId="0CA22602" w14:textId="77777777" w:rsidR="00693223" w:rsidRDefault="00693223">
      <w:pPr>
        <w:keepNext/>
        <w:keepLines/>
        <w:jc w:val="both"/>
        <w:rPr>
          <w:rFonts w:ascii="Arial" w:hAnsi="Arial" w:cs="Arial"/>
          <w:sz w:val="20"/>
        </w:rPr>
      </w:pPr>
      <w:r>
        <w:rPr>
          <w:rFonts w:ascii="Arial" w:hAnsi="Arial" w:cs="Arial"/>
          <w:sz w:val="20"/>
        </w:rPr>
        <w:t>When we refer to the jurisdiction of a court we are talking about its legal power to hear and determine a matter.  The CY</w:t>
      </w:r>
      <w:r w:rsidR="00497924">
        <w:rPr>
          <w:rFonts w:ascii="Arial" w:hAnsi="Arial" w:cs="Arial"/>
          <w:sz w:val="20"/>
        </w:rPr>
        <w:t>F</w:t>
      </w:r>
      <w:r>
        <w:rPr>
          <w:rFonts w:ascii="Arial" w:hAnsi="Arial" w:cs="Arial"/>
          <w:sz w:val="20"/>
        </w:rPr>
        <w:t>A is the primary source of the jurisdiction of the Family Division of t</w:t>
      </w:r>
      <w:r w:rsidR="006D081C">
        <w:rPr>
          <w:rFonts w:ascii="Arial" w:hAnsi="Arial" w:cs="Arial"/>
          <w:sz w:val="20"/>
        </w:rPr>
        <w:t>he Children's Court of Victoria</w:t>
      </w:r>
      <w:r w:rsidR="00AF5500">
        <w:rPr>
          <w:rFonts w:ascii="Arial" w:hAnsi="Arial" w:cs="Arial"/>
          <w:sz w:val="20"/>
        </w:rPr>
        <w:t>, having entirely rep</w:t>
      </w:r>
      <w:r w:rsidR="00450E55">
        <w:rPr>
          <w:rFonts w:ascii="Arial" w:hAnsi="Arial" w:cs="Arial"/>
          <w:sz w:val="20"/>
        </w:rPr>
        <w:t>lace</w:t>
      </w:r>
      <w:r w:rsidR="00AF5500">
        <w:rPr>
          <w:rFonts w:ascii="Arial" w:hAnsi="Arial" w:cs="Arial"/>
          <w:sz w:val="20"/>
        </w:rPr>
        <w:t xml:space="preserve">d the </w:t>
      </w:r>
      <w:r w:rsidR="006D081C">
        <w:rPr>
          <w:rFonts w:ascii="Arial" w:hAnsi="Arial" w:cs="Arial"/>
          <w:sz w:val="20"/>
        </w:rPr>
        <w:t xml:space="preserve">Children and Young Persons Act 1989 (Vic) [‘the CYPA’] </w:t>
      </w:r>
      <w:r w:rsidR="00AF5500">
        <w:rPr>
          <w:rFonts w:ascii="Arial" w:hAnsi="Arial" w:cs="Arial"/>
          <w:sz w:val="20"/>
        </w:rPr>
        <w:t>on 01/10/2007</w:t>
      </w:r>
      <w:r w:rsidR="006D081C">
        <w:rPr>
          <w:rFonts w:ascii="Arial" w:hAnsi="Arial" w:cs="Arial"/>
          <w:sz w:val="20"/>
        </w:rPr>
        <w:t>.</w:t>
      </w:r>
    </w:p>
    <w:p w14:paraId="4398C5BC" w14:textId="77777777" w:rsidR="00693223" w:rsidRDefault="00693223">
      <w:pPr>
        <w:pStyle w:val="Heading3"/>
        <w:spacing w:line="240" w:lineRule="auto"/>
        <w:rPr>
          <w:rFonts w:ascii="Arial" w:hAnsi="Arial" w:cs="Arial"/>
          <w:b/>
          <w:bCs/>
          <w:sz w:val="20"/>
        </w:rPr>
      </w:pPr>
      <w:bookmarkStart w:id="355" w:name="_Toc60399994"/>
    </w:p>
    <w:p w14:paraId="56E6A12D" w14:textId="77777777" w:rsidR="00693223" w:rsidRDefault="00693223">
      <w:pPr>
        <w:pStyle w:val="Heading3"/>
        <w:keepNext/>
        <w:keepLines/>
        <w:spacing w:line="240" w:lineRule="auto"/>
        <w:rPr>
          <w:rFonts w:ascii="Arial" w:hAnsi="Arial" w:cs="Arial"/>
          <w:b/>
          <w:bCs/>
          <w:sz w:val="20"/>
        </w:rPr>
      </w:pPr>
      <w:bookmarkStart w:id="356" w:name="_4.3.1_Jurisdiction_under"/>
      <w:bookmarkStart w:id="357" w:name="B431"/>
      <w:bookmarkEnd w:id="356"/>
      <w:bookmarkEnd w:id="357"/>
      <w:r>
        <w:rPr>
          <w:rFonts w:ascii="Arial" w:hAnsi="Arial" w:cs="Arial"/>
          <w:b/>
          <w:bCs/>
          <w:sz w:val="20"/>
        </w:rPr>
        <w:t>4.</w:t>
      </w:r>
      <w:r w:rsidR="00940D74">
        <w:rPr>
          <w:rFonts w:ascii="Arial" w:hAnsi="Arial" w:cs="Arial"/>
          <w:b/>
          <w:bCs/>
          <w:sz w:val="20"/>
        </w:rPr>
        <w:t>3</w:t>
      </w:r>
      <w:r>
        <w:rPr>
          <w:rFonts w:ascii="Arial" w:hAnsi="Arial" w:cs="Arial"/>
          <w:b/>
          <w:bCs/>
          <w:sz w:val="20"/>
        </w:rPr>
        <w:t>.1</w:t>
      </w:r>
      <w:r>
        <w:rPr>
          <w:rFonts w:ascii="Arial" w:hAnsi="Arial" w:cs="Arial"/>
          <w:b/>
          <w:bCs/>
          <w:sz w:val="20"/>
        </w:rPr>
        <w:tab/>
        <w:t>Jurisdiction under the CY</w:t>
      </w:r>
      <w:r w:rsidR="005F100D">
        <w:rPr>
          <w:rFonts w:ascii="Arial" w:hAnsi="Arial" w:cs="Arial"/>
          <w:b/>
          <w:bCs/>
          <w:sz w:val="20"/>
        </w:rPr>
        <w:t>F</w:t>
      </w:r>
      <w:r>
        <w:rPr>
          <w:rFonts w:ascii="Arial" w:hAnsi="Arial" w:cs="Arial"/>
          <w:b/>
          <w:bCs/>
          <w:sz w:val="20"/>
        </w:rPr>
        <w:t>A</w:t>
      </w:r>
      <w:bookmarkEnd w:id="355"/>
    </w:p>
    <w:p w14:paraId="68C21A0E" w14:textId="77777777" w:rsidR="00693223" w:rsidRDefault="00693223" w:rsidP="00B51860">
      <w:pPr>
        <w:pStyle w:val="Heading3"/>
        <w:keepNext/>
        <w:keepLines/>
        <w:spacing w:line="240" w:lineRule="auto"/>
        <w:rPr>
          <w:rFonts w:ascii="Arial" w:hAnsi="Arial" w:cs="Arial"/>
          <w:b/>
          <w:bCs/>
          <w:sz w:val="20"/>
        </w:rPr>
      </w:pPr>
    </w:p>
    <w:p w14:paraId="796E7BB3" w14:textId="77777777" w:rsidR="00693223" w:rsidRDefault="00693223">
      <w:pPr>
        <w:jc w:val="both"/>
        <w:rPr>
          <w:rFonts w:ascii="Arial" w:hAnsi="Arial" w:cs="Arial"/>
          <w:sz w:val="20"/>
        </w:rPr>
      </w:pPr>
      <w:r>
        <w:rPr>
          <w:rFonts w:ascii="Arial" w:hAnsi="Arial" w:cs="Arial"/>
          <w:sz w:val="20"/>
        </w:rPr>
        <w:t>Under s.</w:t>
      </w:r>
      <w:r w:rsidR="00497924">
        <w:rPr>
          <w:rFonts w:ascii="Arial" w:hAnsi="Arial" w:cs="Arial"/>
          <w:sz w:val="20"/>
        </w:rPr>
        <w:t>5</w:t>
      </w:r>
      <w:r>
        <w:rPr>
          <w:rFonts w:ascii="Arial" w:hAnsi="Arial" w:cs="Arial"/>
          <w:sz w:val="20"/>
        </w:rPr>
        <w:t>15(1) of the CY</w:t>
      </w:r>
      <w:r w:rsidR="00497924">
        <w:rPr>
          <w:rFonts w:ascii="Arial" w:hAnsi="Arial" w:cs="Arial"/>
          <w:sz w:val="20"/>
        </w:rPr>
        <w:t>F</w:t>
      </w:r>
      <w:r>
        <w:rPr>
          <w:rFonts w:ascii="Arial" w:hAnsi="Arial" w:cs="Arial"/>
          <w:sz w:val="20"/>
        </w:rPr>
        <w:t xml:space="preserve">A, the Family Division has jurisdiction to hear and determine a number of Primary Applications &amp; Secondary Applications for orders relating to the protection of children and young persons.  </w:t>
      </w:r>
      <w:r w:rsidR="006A312B">
        <w:rPr>
          <w:rFonts w:ascii="Arial" w:hAnsi="Arial" w:cs="Arial"/>
          <w:sz w:val="20"/>
        </w:rPr>
        <w:t xml:space="preserve">These applications are detailed in </w:t>
      </w:r>
      <w:r w:rsidR="00211E08">
        <w:rPr>
          <w:rFonts w:ascii="Arial" w:hAnsi="Arial" w:cs="Arial"/>
          <w:sz w:val="20"/>
        </w:rPr>
        <w:t>c</w:t>
      </w:r>
      <w:r w:rsidR="006A312B">
        <w:rPr>
          <w:rFonts w:ascii="Arial" w:hAnsi="Arial" w:cs="Arial"/>
          <w:sz w:val="20"/>
        </w:rPr>
        <w:t>hapter 5</w:t>
      </w:r>
      <w:r w:rsidR="00211E08">
        <w:rPr>
          <w:rFonts w:ascii="Arial" w:hAnsi="Arial" w:cs="Arial"/>
          <w:sz w:val="20"/>
        </w:rPr>
        <w:t xml:space="preserve"> of these Research Materials.  </w:t>
      </w:r>
      <w:r>
        <w:rPr>
          <w:rFonts w:ascii="Arial" w:hAnsi="Arial" w:cs="Arial"/>
          <w:sz w:val="20"/>
        </w:rPr>
        <w:t>That this is a main purpose of the Court appears from s</w:t>
      </w:r>
      <w:r w:rsidR="00497924">
        <w:rPr>
          <w:rFonts w:ascii="Arial" w:hAnsi="Arial" w:cs="Arial"/>
          <w:sz w:val="20"/>
        </w:rPr>
        <w:t>s</w:t>
      </w:r>
      <w:r>
        <w:rPr>
          <w:rFonts w:ascii="Arial" w:hAnsi="Arial" w:cs="Arial"/>
          <w:sz w:val="20"/>
        </w:rPr>
        <w:t xml:space="preserve">.1(b) </w:t>
      </w:r>
      <w:r w:rsidR="00497924">
        <w:rPr>
          <w:rFonts w:ascii="Arial" w:hAnsi="Arial" w:cs="Arial"/>
          <w:sz w:val="20"/>
        </w:rPr>
        <w:t xml:space="preserve">&amp; 1(d) </w:t>
      </w:r>
      <w:r>
        <w:rPr>
          <w:rFonts w:ascii="Arial" w:hAnsi="Arial" w:cs="Arial"/>
          <w:sz w:val="20"/>
        </w:rPr>
        <w:t>of the Act.</w:t>
      </w:r>
    </w:p>
    <w:p w14:paraId="1E8C8275" w14:textId="77777777" w:rsidR="00693223" w:rsidRDefault="00693223">
      <w:pPr>
        <w:jc w:val="both"/>
        <w:rPr>
          <w:rFonts w:ascii="Arial" w:hAnsi="Arial" w:cs="Arial"/>
          <w:sz w:val="20"/>
        </w:rPr>
      </w:pPr>
    </w:p>
    <w:p w14:paraId="0F7582DF" w14:textId="77777777" w:rsidR="00693223" w:rsidRDefault="00693223" w:rsidP="00390E49">
      <w:pPr>
        <w:jc w:val="both"/>
        <w:rPr>
          <w:rFonts w:ascii="Arial" w:hAnsi="Arial" w:cs="Arial"/>
          <w:sz w:val="20"/>
        </w:rPr>
      </w:pPr>
      <w:r>
        <w:rPr>
          <w:rFonts w:ascii="Arial" w:hAnsi="Arial" w:cs="Arial"/>
          <w:sz w:val="20"/>
        </w:rPr>
        <w:t>Under s.</w:t>
      </w:r>
      <w:r w:rsidR="005F100D">
        <w:rPr>
          <w:rFonts w:ascii="Arial" w:hAnsi="Arial" w:cs="Arial"/>
          <w:sz w:val="20"/>
        </w:rPr>
        <w:t>5</w:t>
      </w:r>
      <w:r>
        <w:rPr>
          <w:rFonts w:ascii="Arial" w:hAnsi="Arial" w:cs="Arial"/>
          <w:sz w:val="20"/>
        </w:rPr>
        <w:t>15(2) of the CY</w:t>
      </w:r>
      <w:r w:rsidR="005F100D">
        <w:rPr>
          <w:rFonts w:ascii="Arial" w:hAnsi="Arial" w:cs="Arial"/>
          <w:sz w:val="20"/>
        </w:rPr>
        <w:t>F</w:t>
      </w:r>
      <w:r>
        <w:rPr>
          <w:rFonts w:ascii="Arial" w:hAnsi="Arial" w:cs="Arial"/>
          <w:sz w:val="20"/>
        </w:rPr>
        <w:t>A, the Family Division also has jurisdiction:</w:t>
      </w:r>
    </w:p>
    <w:p w14:paraId="2A2A599D" w14:textId="77777777" w:rsidR="00693223" w:rsidRDefault="003B47AB">
      <w:pPr>
        <w:numPr>
          <w:ilvl w:val="0"/>
          <w:numId w:val="1"/>
        </w:numPr>
        <w:tabs>
          <w:tab w:val="num" w:pos="423"/>
          <w:tab w:val="num" w:pos="723"/>
        </w:tabs>
        <w:jc w:val="both"/>
        <w:rPr>
          <w:rFonts w:ascii="Arial" w:hAnsi="Arial" w:cs="Arial"/>
          <w:sz w:val="20"/>
        </w:rPr>
      </w:pPr>
      <w:r>
        <w:rPr>
          <w:rFonts w:ascii="Arial" w:hAnsi="Arial" w:cs="Arial"/>
          <w:sz w:val="20"/>
        </w:rPr>
        <w:t>in relation to the t</w:t>
      </w:r>
      <w:r w:rsidR="00693223">
        <w:rPr>
          <w:rFonts w:ascii="Arial" w:hAnsi="Arial" w:cs="Arial"/>
          <w:sz w:val="20"/>
        </w:rPr>
        <w:t xml:space="preserve">ransfer of child protection orders and proceedings between Victoria and another Australian State or Territory or between Victoria and New Zealand [Schedule </w:t>
      </w:r>
      <w:r w:rsidR="005F100D">
        <w:rPr>
          <w:rFonts w:ascii="Arial" w:hAnsi="Arial" w:cs="Arial"/>
          <w:sz w:val="20"/>
        </w:rPr>
        <w:t>1</w:t>
      </w:r>
      <w:r w:rsidR="00693223">
        <w:rPr>
          <w:rFonts w:ascii="Arial" w:hAnsi="Arial" w:cs="Arial"/>
          <w:sz w:val="20"/>
        </w:rPr>
        <w:t>]; and</w:t>
      </w:r>
    </w:p>
    <w:p w14:paraId="35BCA325" w14:textId="77777777" w:rsidR="00E22166" w:rsidRPr="00B310F4" w:rsidRDefault="00693223">
      <w:pPr>
        <w:numPr>
          <w:ilvl w:val="0"/>
          <w:numId w:val="1"/>
        </w:numPr>
        <w:tabs>
          <w:tab w:val="num" w:pos="423"/>
          <w:tab w:val="num" w:pos="723"/>
        </w:tabs>
        <w:jc w:val="both"/>
        <w:rPr>
          <w:rFonts w:ascii="Arial" w:hAnsi="Arial" w:cs="Arial"/>
          <w:color w:val="000000"/>
          <w:sz w:val="20"/>
        </w:rPr>
      </w:pPr>
      <w:r>
        <w:rPr>
          <w:rFonts w:ascii="Arial" w:hAnsi="Arial" w:cs="Arial"/>
          <w:sz w:val="20"/>
        </w:rPr>
        <w:t xml:space="preserve">to hear and determine applications to make, vary, revoke or extend an intervention order </w:t>
      </w:r>
      <w:r w:rsidRPr="00B310F4">
        <w:rPr>
          <w:rFonts w:ascii="Arial" w:hAnsi="Arial" w:cs="Arial"/>
          <w:color w:val="000000"/>
          <w:sz w:val="20"/>
        </w:rPr>
        <w:t xml:space="preserve">when either the </w:t>
      </w:r>
      <w:r w:rsidR="00E22166" w:rsidRPr="00B310F4">
        <w:rPr>
          <w:rFonts w:ascii="Arial" w:hAnsi="Arial" w:cs="Arial"/>
          <w:color w:val="000000"/>
          <w:sz w:val="20"/>
        </w:rPr>
        <w:t>respondent</w:t>
      </w:r>
      <w:r w:rsidRPr="00B310F4">
        <w:rPr>
          <w:rFonts w:ascii="Arial" w:hAnsi="Arial" w:cs="Arial"/>
          <w:color w:val="000000"/>
          <w:sz w:val="20"/>
        </w:rPr>
        <w:t xml:space="preserve"> or </w:t>
      </w:r>
      <w:r w:rsidR="00E22166" w:rsidRPr="00B310F4">
        <w:rPr>
          <w:rFonts w:ascii="Arial" w:hAnsi="Arial" w:cs="Arial"/>
          <w:color w:val="000000"/>
          <w:sz w:val="20"/>
        </w:rPr>
        <w:t>an affected person</w:t>
      </w:r>
      <w:r w:rsidRPr="00B310F4">
        <w:rPr>
          <w:rFonts w:ascii="Arial" w:hAnsi="Arial" w:cs="Arial"/>
          <w:color w:val="000000"/>
          <w:sz w:val="20"/>
        </w:rPr>
        <w:t xml:space="preserve"> is a child: see </w:t>
      </w:r>
      <w:r w:rsidR="00E22166" w:rsidRPr="00B310F4">
        <w:rPr>
          <w:rFonts w:ascii="Arial" w:hAnsi="Arial" w:cs="Arial"/>
          <w:color w:val="000000"/>
          <w:sz w:val="20"/>
        </w:rPr>
        <w:t xml:space="preserve">ss.146-149 of the </w:t>
      </w:r>
      <w:r w:rsidR="00E22166" w:rsidRPr="00B310F4">
        <w:rPr>
          <w:rFonts w:ascii="Arial" w:hAnsi="Arial" w:cs="Arial"/>
          <w:color w:val="000000"/>
          <w:sz w:val="20"/>
          <w:u w:val="single"/>
        </w:rPr>
        <w:t>Family Violence Protection Act 2008</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[No.52/2008] (‘the FVPA’) </w:t>
      </w:r>
      <w:r w:rsidR="00E22166" w:rsidRPr="00B310F4">
        <w:rPr>
          <w:rFonts w:ascii="Arial" w:hAnsi="Arial" w:cs="Arial"/>
          <w:color w:val="000000"/>
          <w:sz w:val="20"/>
        </w:rPr>
        <w:t>and s</w:t>
      </w:r>
      <w:r w:rsidR="00120B81" w:rsidRPr="00B310F4">
        <w:rPr>
          <w:rFonts w:ascii="Arial" w:hAnsi="Arial" w:cs="Arial"/>
          <w:color w:val="000000"/>
          <w:sz w:val="20"/>
        </w:rPr>
        <w:t>s</w:t>
      </w:r>
      <w:r w:rsidR="00E22166" w:rsidRPr="00B310F4">
        <w:rPr>
          <w:rFonts w:ascii="Arial" w:hAnsi="Arial" w:cs="Arial"/>
          <w:color w:val="000000"/>
          <w:sz w:val="20"/>
        </w:rPr>
        <w:t>.</w:t>
      </w:r>
      <w:r w:rsidR="00120B81" w:rsidRPr="00B310F4">
        <w:rPr>
          <w:rFonts w:ascii="Arial" w:hAnsi="Arial" w:cs="Arial"/>
          <w:color w:val="000000"/>
          <w:sz w:val="20"/>
        </w:rPr>
        <w:t>103-106</w:t>
      </w:r>
      <w:r w:rsidR="00E22166" w:rsidRPr="00B310F4">
        <w:rPr>
          <w:rFonts w:ascii="Arial" w:hAnsi="Arial" w:cs="Arial"/>
          <w:color w:val="000000"/>
          <w:sz w:val="20"/>
        </w:rPr>
        <w:t xml:space="preserve"> of the </w:t>
      </w:r>
      <w:r w:rsidR="00120B81" w:rsidRPr="00B310F4">
        <w:rPr>
          <w:rFonts w:ascii="Arial" w:hAnsi="Arial" w:cs="Arial"/>
          <w:color w:val="000000"/>
          <w:sz w:val="20"/>
          <w:u w:val="single"/>
        </w:rPr>
        <w:t>Personal Safety I</w:t>
      </w:r>
      <w:r w:rsidR="00E22166" w:rsidRPr="00B310F4">
        <w:rPr>
          <w:rFonts w:ascii="Arial" w:hAnsi="Arial" w:cs="Arial"/>
          <w:color w:val="000000"/>
          <w:sz w:val="20"/>
          <w:u w:val="single"/>
        </w:rPr>
        <w:t>ntervention Orders Act 20</w:t>
      </w:r>
      <w:r w:rsidR="00120B81" w:rsidRPr="00B310F4">
        <w:rPr>
          <w:rFonts w:ascii="Arial" w:hAnsi="Arial" w:cs="Arial"/>
          <w:color w:val="000000"/>
          <w:sz w:val="20"/>
          <w:u w:val="single"/>
        </w:rPr>
        <w:t>10</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w:t>
      </w:r>
      <w:r w:rsidR="00120B81" w:rsidRPr="00B310F4">
        <w:rPr>
          <w:rFonts w:ascii="Arial" w:hAnsi="Arial" w:cs="Arial"/>
          <w:color w:val="000000"/>
          <w:sz w:val="20"/>
        </w:rPr>
        <w:t>53</w:t>
      </w:r>
      <w:r w:rsidR="00617055" w:rsidRPr="00B310F4">
        <w:rPr>
          <w:rFonts w:ascii="Arial" w:hAnsi="Arial" w:cs="Arial"/>
          <w:color w:val="000000"/>
          <w:sz w:val="20"/>
        </w:rPr>
        <w:t>/20</w:t>
      </w:r>
      <w:r w:rsidR="00120B81" w:rsidRPr="00B310F4">
        <w:rPr>
          <w:rFonts w:ascii="Arial" w:hAnsi="Arial" w:cs="Arial"/>
          <w:color w:val="000000"/>
          <w:sz w:val="20"/>
        </w:rPr>
        <w:t>10</w:t>
      </w:r>
      <w:r w:rsidR="00617055" w:rsidRPr="00B310F4">
        <w:rPr>
          <w:rFonts w:ascii="Arial" w:hAnsi="Arial" w:cs="Arial"/>
          <w:color w:val="000000"/>
          <w:sz w:val="20"/>
        </w:rPr>
        <w:t>]</w:t>
      </w:r>
      <w:r w:rsidR="00E22166" w:rsidRPr="00B310F4">
        <w:rPr>
          <w:rFonts w:ascii="Arial" w:hAnsi="Arial" w:cs="Arial"/>
          <w:color w:val="000000"/>
          <w:sz w:val="20"/>
        </w:rPr>
        <w:t>.</w:t>
      </w:r>
    </w:p>
    <w:p w14:paraId="20CB8461" w14:textId="77777777" w:rsidR="00693223" w:rsidRDefault="00693223">
      <w:pPr>
        <w:jc w:val="both"/>
        <w:rPr>
          <w:rFonts w:ascii="Arial" w:hAnsi="Arial" w:cs="Arial"/>
          <w:sz w:val="20"/>
        </w:rPr>
      </w:pPr>
    </w:p>
    <w:p w14:paraId="3AA25115" w14:textId="77777777" w:rsidR="001D0D1F" w:rsidRDefault="001D0D1F">
      <w:pPr>
        <w:jc w:val="both"/>
        <w:rPr>
          <w:rFonts w:ascii="Arial" w:hAnsi="Arial" w:cs="Arial"/>
          <w:sz w:val="20"/>
        </w:rPr>
      </w:pPr>
      <w:r>
        <w:rPr>
          <w:rFonts w:ascii="Arial" w:hAnsi="Arial" w:cs="Arial"/>
          <w:sz w:val="20"/>
        </w:rPr>
        <w:t>Section 17 of the CYPA provided that the jurisdiction of the Children's Court in relation to any matter over which it has jurisdiction is exclusive, despite anything to the contrary in any other Act.  There is no equivalent provision in the CYFA.</w:t>
      </w:r>
    </w:p>
    <w:p w14:paraId="000D764A" w14:textId="77777777" w:rsidR="004809F9" w:rsidRDefault="004809F9">
      <w:pPr>
        <w:jc w:val="both"/>
        <w:rPr>
          <w:rFonts w:ascii="Arial" w:hAnsi="Arial" w:cs="Arial"/>
          <w:sz w:val="20"/>
        </w:rPr>
      </w:pPr>
    </w:p>
    <w:p w14:paraId="1F7F9854" w14:textId="77777777" w:rsidR="00693223" w:rsidRDefault="00693223" w:rsidP="009D5447">
      <w:pPr>
        <w:pStyle w:val="Heading3"/>
        <w:keepNext/>
        <w:keepLines/>
        <w:spacing w:line="240" w:lineRule="auto"/>
        <w:rPr>
          <w:rFonts w:ascii="Arial" w:hAnsi="Arial" w:cs="Arial"/>
          <w:b/>
          <w:bCs/>
          <w:sz w:val="20"/>
        </w:rPr>
      </w:pPr>
      <w:bookmarkStart w:id="358" w:name="_4.3.2_Whether_jurisdiction"/>
      <w:bookmarkStart w:id="359" w:name="B432"/>
      <w:bookmarkStart w:id="360" w:name="_Toc60399995"/>
      <w:bookmarkStart w:id="361" w:name="_Toc30607527"/>
      <w:bookmarkStart w:id="362" w:name="_Toc30607656"/>
      <w:bookmarkStart w:id="363" w:name="_Toc30607981"/>
      <w:bookmarkStart w:id="364" w:name="_Toc30608814"/>
      <w:bookmarkStart w:id="365" w:name="_Toc30610028"/>
      <w:bookmarkStart w:id="366" w:name="_Toc30610272"/>
      <w:bookmarkStart w:id="367" w:name="_Toc30638426"/>
      <w:bookmarkEnd w:id="358"/>
      <w:bookmarkEnd w:id="359"/>
      <w:r>
        <w:rPr>
          <w:rFonts w:ascii="Arial" w:hAnsi="Arial" w:cs="Arial"/>
          <w:b/>
          <w:bCs/>
          <w:sz w:val="20"/>
        </w:rPr>
        <w:t>4.</w:t>
      </w:r>
      <w:r w:rsidR="00940D74">
        <w:rPr>
          <w:rFonts w:ascii="Arial" w:hAnsi="Arial" w:cs="Arial"/>
          <w:b/>
          <w:bCs/>
          <w:sz w:val="20"/>
        </w:rPr>
        <w:t>3</w:t>
      </w:r>
      <w:r>
        <w:rPr>
          <w:rFonts w:ascii="Arial" w:hAnsi="Arial" w:cs="Arial"/>
          <w:b/>
          <w:bCs/>
          <w:sz w:val="20"/>
        </w:rPr>
        <w:t>.2</w:t>
      </w:r>
      <w:r>
        <w:rPr>
          <w:rFonts w:ascii="Arial" w:hAnsi="Arial" w:cs="Arial"/>
          <w:b/>
          <w:bCs/>
          <w:sz w:val="20"/>
        </w:rPr>
        <w:tab/>
      </w:r>
      <w:r w:rsidR="008708AB">
        <w:rPr>
          <w:rFonts w:ascii="Arial" w:hAnsi="Arial" w:cs="Arial"/>
          <w:b/>
          <w:bCs/>
          <w:sz w:val="20"/>
        </w:rPr>
        <w:t>J</w:t>
      </w:r>
      <w:r>
        <w:rPr>
          <w:rFonts w:ascii="Arial" w:hAnsi="Arial" w:cs="Arial"/>
          <w:b/>
          <w:bCs/>
          <w:sz w:val="20"/>
        </w:rPr>
        <w:t>urisdiction under the Family Law Act 1975 (</w:t>
      </w:r>
      <w:proofErr w:type="spellStart"/>
      <w:r>
        <w:rPr>
          <w:rFonts w:ascii="Arial" w:hAnsi="Arial" w:cs="Arial"/>
          <w:b/>
          <w:bCs/>
          <w:sz w:val="20"/>
        </w:rPr>
        <w:t>Cth</w:t>
      </w:r>
      <w:proofErr w:type="spellEnd"/>
      <w:r>
        <w:rPr>
          <w:rFonts w:ascii="Arial" w:hAnsi="Arial" w:cs="Arial"/>
          <w:b/>
          <w:bCs/>
          <w:sz w:val="20"/>
        </w:rPr>
        <w:t>) [as amended]</w:t>
      </w:r>
      <w:bookmarkEnd w:id="360"/>
    </w:p>
    <w:p w14:paraId="7D037EC4" w14:textId="77777777" w:rsidR="00693223" w:rsidRPr="00DA4E28" w:rsidRDefault="00693223" w:rsidP="00CF2DFD">
      <w:pPr>
        <w:pStyle w:val="Heading3"/>
        <w:keepNext/>
        <w:keepLines/>
        <w:spacing w:line="240" w:lineRule="auto"/>
        <w:rPr>
          <w:rFonts w:ascii="Arial" w:hAnsi="Arial" w:cs="Arial"/>
          <w:sz w:val="20"/>
        </w:rPr>
      </w:pPr>
    </w:p>
    <w:p w14:paraId="0A233226" w14:textId="77777777" w:rsidR="000B702A" w:rsidRDefault="000B702A">
      <w:pPr>
        <w:jc w:val="both"/>
        <w:rPr>
          <w:rFonts w:ascii="Arial" w:hAnsi="Arial" w:cs="Arial"/>
          <w:color w:val="000000"/>
          <w:sz w:val="20"/>
        </w:rPr>
      </w:pPr>
      <w:r>
        <w:rPr>
          <w:rFonts w:ascii="Arial" w:hAnsi="Arial" w:cs="Arial"/>
          <w:color w:val="000000"/>
          <w:sz w:val="20"/>
        </w:rPr>
        <w:t xml:space="preserve">Part VII </w:t>
      </w:r>
      <w:r>
        <w:rPr>
          <w:rFonts w:ascii="Arial" w:hAnsi="Arial" w:cs="Arial"/>
          <w:sz w:val="20"/>
        </w:rPr>
        <w:t xml:space="preserve">of the </w:t>
      </w:r>
      <w:r>
        <w:rPr>
          <w:rFonts w:ascii="Arial" w:hAnsi="Arial" w:cs="Arial"/>
          <w:sz w:val="20"/>
          <w:u w:val="single"/>
        </w:rPr>
        <w:t>Family Law Act 1975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[as amended] ['the FLA'] </w:t>
      </w:r>
      <w:r w:rsidR="00EB2569">
        <w:rPr>
          <w:rFonts w:ascii="Arial" w:hAnsi="Arial" w:cs="Arial"/>
          <w:sz w:val="20"/>
        </w:rPr>
        <w:t xml:space="preserve">– enacted pursuant to the power under s.51(xxii) of the Commonwealth Constitution to make federal laws with respect to “Divorce and matrimonial causes; and in relation thereto, parental rights, and the custody and guardianship of infants” – invests </w:t>
      </w:r>
      <w:r w:rsidR="00B52BB7">
        <w:rPr>
          <w:rFonts w:ascii="Arial" w:hAnsi="Arial" w:cs="Arial"/>
          <w:sz w:val="20"/>
        </w:rPr>
        <w:t xml:space="preserve">certain </w:t>
      </w:r>
      <w:r>
        <w:rPr>
          <w:rFonts w:ascii="Arial" w:hAnsi="Arial" w:cs="Arial"/>
          <w:sz w:val="20"/>
        </w:rPr>
        <w:t xml:space="preserve">federal </w:t>
      </w:r>
      <w:r w:rsidR="009D5447">
        <w:rPr>
          <w:rFonts w:ascii="Arial" w:hAnsi="Arial" w:cs="Arial"/>
          <w:sz w:val="20"/>
        </w:rPr>
        <w:t xml:space="preserve">and state </w:t>
      </w:r>
      <w:r>
        <w:rPr>
          <w:rFonts w:ascii="Arial" w:hAnsi="Arial" w:cs="Arial"/>
          <w:sz w:val="20"/>
        </w:rPr>
        <w:t xml:space="preserve">courts with jurisdiction to hear and determine </w:t>
      </w:r>
      <w:r w:rsidR="00EB2569">
        <w:rPr>
          <w:rFonts w:ascii="Arial" w:hAnsi="Arial" w:cs="Arial"/>
          <w:sz w:val="20"/>
        </w:rPr>
        <w:t>specific</w:t>
      </w:r>
      <w:r w:rsidR="003A4C43">
        <w:rPr>
          <w:rFonts w:ascii="Arial" w:hAnsi="Arial" w:cs="Arial"/>
          <w:sz w:val="20"/>
        </w:rPr>
        <w:t xml:space="preserve"> </w:t>
      </w:r>
      <w:r w:rsidR="00B52BB7">
        <w:rPr>
          <w:rFonts w:ascii="Arial" w:hAnsi="Arial" w:cs="Arial"/>
          <w:sz w:val="20"/>
        </w:rPr>
        <w:t>matters relating to children</w:t>
      </w:r>
      <w:r w:rsidR="00EB2569">
        <w:rPr>
          <w:rFonts w:ascii="Arial" w:hAnsi="Arial" w:cs="Arial"/>
          <w:sz w:val="20"/>
        </w:rPr>
        <w:t>.</w:t>
      </w:r>
    </w:p>
    <w:p w14:paraId="0347828C" w14:textId="77777777" w:rsidR="000B702A" w:rsidRDefault="000B702A">
      <w:pPr>
        <w:jc w:val="both"/>
        <w:rPr>
          <w:rFonts w:ascii="Arial" w:hAnsi="Arial" w:cs="Arial"/>
          <w:color w:val="000000"/>
          <w:sz w:val="20"/>
        </w:rPr>
      </w:pPr>
    </w:p>
    <w:p w14:paraId="6967E4D0" w14:textId="77777777" w:rsidR="00693223" w:rsidRPr="00B310F4" w:rsidRDefault="009D5447">
      <w:pPr>
        <w:jc w:val="both"/>
        <w:rPr>
          <w:rFonts w:ascii="Arial" w:hAnsi="Arial" w:cs="Arial"/>
          <w:color w:val="000000"/>
          <w:sz w:val="20"/>
        </w:rPr>
      </w:pPr>
      <w:r>
        <w:rPr>
          <w:rFonts w:ascii="Arial" w:hAnsi="Arial" w:cs="Arial"/>
          <w:color w:val="000000"/>
          <w:sz w:val="20"/>
        </w:rPr>
        <w:t>Until recently i</w:t>
      </w:r>
      <w:r w:rsidR="00693223" w:rsidRPr="00B310F4">
        <w:rPr>
          <w:rFonts w:ascii="Arial" w:hAnsi="Arial" w:cs="Arial"/>
          <w:color w:val="000000"/>
          <w:sz w:val="20"/>
        </w:rPr>
        <w:t xml:space="preserve">t </w:t>
      </w:r>
      <w:r>
        <w:rPr>
          <w:rFonts w:ascii="Arial" w:hAnsi="Arial" w:cs="Arial"/>
          <w:color w:val="000000"/>
          <w:sz w:val="20"/>
        </w:rPr>
        <w:t xml:space="preserve">was </w:t>
      </w:r>
      <w:r w:rsidR="00693223" w:rsidRPr="00B310F4">
        <w:rPr>
          <w:rFonts w:ascii="Arial" w:hAnsi="Arial" w:cs="Arial"/>
          <w:color w:val="000000"/>
          <w:sz w:val="20"/>
        </w:rPr>
        <w:t>accepted in Victoria as a matter of general practice that</w:t>
      </w:r>
      <w:r w:rsidR="00120B81" w:rsidRPr="00B310F4">
        <w:rPr>
          <w:rFonts w:ascii="Arial" w:hAnsi="Arial" w:cs="Arial"/>
          <w:color w:val="000000"/>
          <w:sz w:val="20"/>
        </w:rPr>
        <w:t xml:space="preserve"> paradoxically</w:t>
      </w:r>
      <w:r w:rsidR="00693223" w:rsidRPr="00B310F4">
        <w:rPr>
          <w:rFonts w:ascii="Arial" w:hAnsi="Arial" w:cs="Arial"/>
          <w:color w:val="000000"/>
          <w:sz w:val="20"/>
        </w:rPr>
        <w:t>:</w:t>
      </w:r>
    </w:p>
    <w:p w14:paraId="51C1E2FE" w14:textId="77777777" w:rsidR="00693223" w:rsidRDefault="00693223" w:rsidP="002239D1">
      <w:pPr>
        <w:numPr>
          <w:ilvl w:val="0"/>
          <w:numId w:val="18"/>
        </w:numPr>
        <w:tabs>
          <w:tab w:val="num" w:pos="363"/>
        </w:tabs>
        <w:jc w:val="both"/>
        <w:rPr>
          <w:rFonts w:ascii="Arial" w:hAnsi="Arial" w:cs="Arial"/>
          <w:sz w:val="20"/>
        </w:rPr>
      </w:pPr>
      <w:r>
        <w:rPr>
          <w:rFonts w:ascii="Arial" w:hAnsi="Arial" w:cs="Arial"/>
          <w:sz w:val="20"/>
        </w:rPr>
        <w:lastRenderedPageBreak/>
        <w:t xml:space="preserve">the </w:t>
      </w:r>
      <w:r>
        <w:rPr>
          <w:rFonts w:ascii="Arial" w:hAnsi="Arial" w:cs="Arial"/>
          <w:b/>
          <w:bCs/>
          <w:sz w:val="20"/>
        </w:rPr>
        <w:t>Magistrates' Court of Victoria</w:t>
      </w:r>
      <w:r>
        <w:rPr>
          <w:rFonts w:ascii="Arial" w:hAnsi="Arial" w:cs="Arial"/>
          <w:sz w:val="20"/>
        </w:rPr>
        <w:t xml:space="preserve"> </w:t>
      </w:r>
      <w:r w:rsidR="00A57E37">
        <w:rPr>
          <w:rFonts w:ascii="Arial" w:hAnsi="Arial" w:cs="Arial"/>
          <w:sz w:val="20"/>
        </w:rPr>
        <w:t xml:space="preserve">[‘the MCV’] </w:t>
      </w:r>
      <w:r>
        <w:rPr>
          <w:rFonts w:ascii="Arial" w:hAnsi="Arial" w:cs="Arial"/>
          <w:sz w:val="20"/>
        </w:rPr>
        <w:t xml:space="preserve">has jurisdiction to hear and determine </w:t>
      </w:r>
      <w:r w:rsidR="00EB2569">
        <w:rPr>
          <w:rFonts w:ascii="Arial" w:hAnsi="Arial" w:cs="Arial"/>
          <w:sz w:val="20"/>
        </w:rPr>
        <w:t xml:space="preserve">a number of </w:t>
      </w:r>
      <w:r>
        <w:rPr>
          <w:rFonts w:ascii="Arial" w:hAnsi="Arial" w:cs="Arial"/>
          <w:sz w:val="20"/>
        </w:rPr>
        <w:t xml:space="preserve">matters relating to children pursuant to Part VII, including applications for </w:t>
      </w:r>
      <w:r w:rsidR="000B702A">
        <w:rPr>
          <w:rFonts w:ascii="Arial" w:hAnsi="Arial" w:cs="Arial"/>
          <w:sz w:val="20"/>
        </w:rPr>
        <w:t xml:space="preserve">consent </w:t>
      </w:r>
      <w:r>
        <w:rPr>
          <w:rFonts w:ascii="Arial" w:hAnsi="Arial" w:cs="Arial"/>
          <w:sz w:val="20"/>
        </w:rPr>
        <w:t>parenting orders in certain circumstances; but</w:t>
      </w:r>
    </w:p>
    <w:p w14:paraId="162E1C8B" w14:textId="5EC6300C" w:rsidR="00693223" w:rsidRDefault="00693223" w:rsidP="002239D1">
      <w:pPr>
        <w:numPr>
          <w:ilvl w:val="0"/>
          <w:numId w:val="18"/>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Children's Court of Victoria</w:t>
      </w:r>
      <w:r>
        <w:rPr>
          <w:rFonts w:ascii="Arial" w:hAnsi="Arial" w:cs="Arial"/>
          <w:sz w:val="20"/>
        </w:rPr>
        <w:t xml:space="preserve"> </w:t>
      </w:r>
      <w:r w:rsidR="00A57E37">
        <w:rPr>
          <w:rFonts w:ascii="Arial" w:hAnsi="Arial" w:cs="Arial"/>
          <w:sz w:val="20"/>
        </w:rPr>
        <w:t xml:space="preserve">[‘the </w:t>
      </w:r>
      <w:proofErr w:type="spellStart"/>
      <w:r w:rsidR="00A57E37">
        <w:rPr>
          <w:rFonts w:ascii="Arial" w:hAnsi="Arial" w:cs="Arial"/>
          <w:sz w:val="20"/>
        </w:rPr>
        <w:t>C</w:t>
      </w:r>
      <w:r w:rsidR="001202C2">
        <w:rPr>
          <w:rFonts w:ascii="Arial" w:hAnsi="Arial" w:cs="Arial"/>
          <w:sz w:val="20"/>
        </w:rPr>
        <w:t>h</w:t>
      </w:r>
      <w:r w:rsidR="00A57E37">
        <w:rPr>
          <w:rFonts w:ascii="Arial" w:hAnsi="Arial" w:cs="Arial"/>
          <w:sz w:val="20"/>
        </w:rPr>
        <w:t>CV</w:t>
      </w:r>
      <w:proofErr w:type="spellEnd"/>
      <w:r w:rsidR="00A57E37">
        <w:rPr>
          <w:rFonts w:ascii="Arial" w:hAnsi="Arial" w:cs="Arial"/>
          <w:sz w:val="20"/>
        </w:rPr>
        <w:t xml:space="preserve">’] </w:t>
      </w:r>
      <w:r>
        <w:rPr>
          <w:rFonts w:ascii="Arial" w:hAnsi="Arial" w:cs="Arial"/>
          <w:sz w:val="20"/>
        </w:rPr>
        <w:t>does not have jurisdiction under the FLA.</w:t>
      </w:r>
    </w:p>
    <w:p w14:paraId="0209B40D" w14:textId="77777777" w:rsidR="00693223" w:rsidRDefault="00693223">
      <w:pPr>
        <w:jc w:val="both"/>
        <w:rPr>
          <w:rFonts w:ascii="Arial" w:hAnsi="Arial" w:cs="Arial"/>
          <w:sz w:val="20"/>
        </w:rPr>
      </w:pPr>
    </w:p>
    <w:p w14:paraId="494D0900" w14:textId="77777777" w:rsidR="00693223" w:rsidRDefault="00693223">
      <w:pPr>
        <w:tabs>
          <w:tab w:val="num" w:pos="720"/>
        </w:tabs>
        <w:jc w:val="both"/>
        <w:rPr>
          <w:rFonts w:ascii="Arial" w:hAnsi="Arial" w:cs="Arial"/>
          <w:sz w:val="20"/>
        </w:rPr>
      </w:pPr>
      <w:r>
        <w:rPr>
          <w:rFonts w:ascii="Arial" w:hAnsi="Arial" w:cs="Arial"/>
          <w:sz w:val="20"/>
        </w:rPr>
        <w:t>The Family Law Council agree</w:t>
      </w:r>
      <w:r w:rsidR="001F173D">
        <w:rPr>
          <w:rFonts w:ascii="Arial" w:hAnsi="Arial" w:cs="Arial"/>
          <w:sz w:val="20"/>
        </w:rPr>
        <w:t>d</w:t>
      </w:r>
      <w:r>
        <w:rPr>
          <w:rFonts w:ascii="Arial" w:hAnsi="Arial" w:cs="Arial"/>
          <w:sz w:val="20"/>
        </w:rPr>
        <w:t>, stating baldly in its Final Report on Family Law and Child Protection (September 2002) at p.82:</w:t>
      </w:r>
    </w:p>
    <w:p w14:paraId="2B5F1A46" w14:textId="77777777" w:rsidR="00693223" w:rsidRDefault="00693223">
      <w:pPr>
        <w:ind w:left="454" w:right="454"/>
        <w:jc w:val="both"/>
        <w:rPr>
          <w:rFonts w:ascii="Arial" w:hAnsi="Arial" w:cs="Arial"/>
          <w:sz w:val="20"/>
        </w:rPr>
      </w:pPr>
      <w:r>
        <w:rPr>
          <w:rFonts w:ascii="Arial" w:hAnsi="Arial" w:cs="Arial"/>
          <w:sz w:val="20"/>
        </w:rPr>
        <w:t>"At present, Children's Courts and Youth Courts, which have an independent statutory existence from the State or Territory Magistrates' Courts, do not have jurisdiction which Magistrates' Courts have to make consent orders under the FLA."</w:t>
      </w:r>
    </w:p>
    <w:p w14:paraId="7A7FAEAA" w14:textId="77777777" w:rsidR="00693223" w:rsidRDefault="00693223">
      <w:pPr>
        <w:tabs>
          <w:tab w:val="num" w:pos="720"/>
        </w:tabs>
        <w:jc w:val="both"/>
        <w:rPr>
          <w:rFonts w:ascii="Arial" w:hAnsi="Arial" w:cs="Arial"/>
          <w:sz w:val="20"/>
        </w:rPr>
      </w:pPr>
    </w:p>
    <w:p w14:paraId="0F5CBBA7" w14:textId="77777777" w:rsidR="001400C9" w:rsidRDefault="001400C9">
      <w:pPr>
        <w:tabs>
          <w:tab w:val="num" w:pos="720"/>
        </w:tabs>
        <w:jc w:val="both"/>
        <w:rPr>
          <w:rFonts w:ascii="Arial" w:hAnsi="Arial" w:cs="Arial"/>
          <w:sz w:val="20"/>
        </w:rPr>
      </w:pPr>
      <w:r>
        <w:rPr>
          <w:rFonts w:ascii="Arial" w:hAnsi="Arial" w:cs="Arial"/>
          <w:sz w:val="20"/>
        </w:rPr>
        <w:t xml:space="preserve">In mid-2006 eminent senior and junior counsel were </w:t>
      </w:r>
      <w:r w:rsidR="00380FA8">
        <w:rPr>
          <w:rFonts w:ascii="Arial" w:hAnsi="Arial" w:cs="Arial"/>
          <w:sz w:val="20"/>
        </w:rPr>
        <w:t>briefed</w:t>
      </w:r>
      <w:r>
        <w:rPr>
          <w:rFonts w:ascii="Arial" w:hAnsi="Arial" w:cs="Arial"/>
          <w:sz w:val="20"/>
        </w:rPr>
        <w:t xml:space="preserve"> </w:t>
      </w:r>
      <w:r w:rsidR="00E92C45">
        <w:rPr>
          <w:rFonts w:ascii="Arial" w:hAnsi="Arial" w:cs="Arial"/>
          <w:sz w:val="20"/>
        </w:rPr>
        <w:t xml:space="preserve">by the </w:t>
      </w:r>
      <w:r w:rsidR="00EB2569">
        <w:rPr>
          <w:rFonts w:ascii="Arial" w:hAnsi="Arial" w:cs="Arial"/>
          <w:sz w:val="20"/>
        </w:rPr>
        <w:t xml:space="preserve">Victorian </w:t>
      </w:r>
      <w:r w:rsidR="00E92C45">
        <w:rPr>
          <w:rFonts w:ascii="Arial" w:hAnsi="Arial" w:cs="Arial"/>
          <w:sz w:val="20"/>
        </w:rPr>
        <w:t xml:space="preserve">Department of Justice </w:t>
      </w:r>
      <w:r>
        <w:rPr>
          <w:rFonts w:ascii="Arial" w:hAnsi="Arial" w:cs="Arial"/>
          <w:sz w:val="20"/>
        </w:rPr>
        <w:t>for advice on a related question: “</w:t>
      </w:r>
      <w:r w:rsidR="00E92C45">
        <w:rPr>
          <w:rFonts w:ascii="Arial" w:hAnsi="Arial" w:cs="Arial"/>
          <w:sz w:val="20"/>
        </w:rPr>
        <w:t xml:space="preserve">Does the Children’s Court have jurisdiction to vary Family Court orders that conflict with intervention orders made under the </w:t>
      </w:r>
      <w:r w:rsidR="00E92C45" w:rsidRPr="00617055">
        <w:rPr>
          <w:rFonts w:ascii="Arial" w:hAnsi="Arial" w:cs="Arial"/>
          <w:sz w:val="20"/>
          <w:u w:val="single"/>
        </w:rPr>
        <w:t>Crimes (Family Violence) Act 1987 (Vic)</w:t>
      </w:r>
      <w:r w:rsidR="00E92C45">
        <w:rPr>
          <w:rFonts w:ascii="Arial" w:hAnsi="Arial" w:cs="Arial"/>
          <w:sz w:val="20"/>
        </w:rPr>
        <w:t xml:space="preserve"> </w:t>
      </w:r>
      <w:r w:rsidR="00026E60">
        <w:rPr>
          <w:rFonts w:ascii="Arial" w:hAnsi="Arial" w:cs="Arial"/>
          <w:sz w:val="20"/>
        </w:rPr>
        <w:t>[</w:t>
      </w:r>
      <w:r w:rsidR="00E92C45">
        <w:rPr>
          <w:rFonts w:ascii="Arial" w:hAnsi="Arial" w:cs="Arial"/>
          <w:sz w:val="20"/>
        </w:rPr>
        <w:t>‘the CFVA’</w:t>
      </w:r>
      <w:r w:rsidR="00026E60">
        <w:rPr>
          <w:rFonts w:ascii="Arial" w:hAnsi="Arial" w:cs="Arial"/>
          <w:sz w:val="20"/>
        </w:rPr>
        <w:t>]</w:t>
      </w:r>
      <w:r w:rsidR="00E92C45">
        <w:rPr>
          <w:rFonts w:ascii="Arial" w:hAnsi="Arial" w:cs="Arial"/>
          <w:sz w:val="20"/>
        </w:rPr>
        <w:t>?” [The same question is relevant to the FVPA which replaced the CFVA on 08/12/2008.]  In</w:t>
      </w:r>
      <w:r w:rsidR="00380FA8">
        <w:rPr>
          <w:rFonts w:ascii="Arial" w:hAnsi="Arial" w:cs="Arial"/>
          <w:sz w:val="20"/>
        </w:rPr>
        <w:t xml:space="preserve"> </w:t>
      </w:r>
      <w:r w:rsidR="00E92C45">
        <w:rPr>
          <w:rFonts w:ascii="Arial" w:hAnsi="Arial" w:cs="Arial"/>
          <w:sz w:val="20"/>
        </w:rPr>
        <w:t xml:space="preserve">their detailed </w:t>
      </w:r>
      <w:r>
        <w:rPr>
          <w:rFonts w:ascii="Arial" w:hAnsi="Arial" w:cs="Arial"/>
          <w:sz w:val="20"/>
        </w:rPr>
        <w:t xml:space="preserve">Memorandum of Advice dated 03/07/2006 </w:t>
      </w:r>
      <w:r w:rsidR="00E92C45">
        <w:rPr>
          <w:rFonts w:ascii="Arial" w:hAnsi="Arial" w:cs="Arial"/>
          <w:sz w:val="20"/>
        </w:rPr>
        <w:t>counsel’s conclusion was: “The Children’s Court does have jurisdiction to vary Family Court orders that conflict with intervention orders made under the CFVA, provided that the jurisdiction is exercised by a magistrate rather than by the President of the Court.”</w:t>
      </w:r>
    </w:p>
    <w:p w14:paraId="7397ADF0" w14:textId="77777777" w:rsidR="001400C9" w:rsidRDefault="001400C9">
      <w:pPr>
        <w:tabs>
          <w:tab w:val="num" w:pos="720"/>
        </w:tabs>
        <w:jc w:val="both"/>
        <w:rPr>
          <w:rFonts w:ascii="Arial" w:hAnsi="Arial" w:cs="Arial"/>
          <w:sz w:val="20"/>
        </w:rPr>
      </w:pPr>
    </w:p>
    <w:p w14:paraId="1CF8B9D7" w14:textId="742E35D1" w:rsidR="00380FA8" w:rsidRDefault="00380FA8" w:rsidP="00380FA8">
      <w:pPr>
        <w:tabs>
          <w:tab w:val="num" w:pos="720"/>
        </w:tabs>
        <w:jc w:val="both"/>
        <w:rPr>
          <w:rFonts w:ascii="Arial" w:hAnsi="Arial" w:cs="Arial"/>
          <w:sz w:val="20"/>
        </w:rPr>
      </w:pPr>
      <w:r>
        <w:rPr>
          <w:rFonts w:ascii="Arial" w:hAnsi="Arial" w:cs="Arial"/>
          <w:sz w:val="20"/>
        </w:rPr>
        <w:t xml:space="preserve">In an earlier version of section 4.3.2 the writer had summarised counsel’s </w:t>
      </w:r>
      <w:r w:rsidR="001F173D">
        <w:rPr>
          <w:rFonts w:ascii="Arial" w:hAnsi="Arial" w:cs="Arial"/>
          <w:sz w:val="20"/>
        </w:rPr>
        <w:t>detailed</w:t>
      </w:r>
      <w:r>
        <w:rPr>
          <w:rFonts w:ascii="Arial" w:hAnsi="Arial" w:cs="Arial"/>
          <w:sz w:val="20"/>
        </w:rPr>
        <w:t xml:space="preserve"> </w:t>
      </w:r>
      <w:r w:rsidR="00642457">
        <w:rPr>
          <w:rFonts w:ascii="Arial" w:hAnsi="Arial" w:cs="Arial"/>
          <w:sz w:val="20"/>
        </w:rPr>
        <w:t>reasoning</w:t>
      </w:r>
      <w:r>
        <w:rPr>
          <w:rFonts w:ascii="Arial" w:hAnsi="Arial" w:cs="Arial"/>
          <w:sz w:val="20"/>
        </w:rPr>
        <w:t xml:space="preserve">, noting that, if correct, it leads to highly unattractive consequences for the operation of the Children’s Court.  It is an intolerable position that the judicial head of a court should have less power than the puisne judicial members of the court.  Section 508(8) of the CYFA [previously s.12(8) of the CYPA] provides that the President may exercise any power conferred on a magistrate by or under this or any other Act.  But this provision of State legislation cannot by itself vest federal judicial power on the President.  The writer had concluded that “legislative amendment is necessary to invest </w:t>
      </w:r>
      <w:r w:rsidRPr="00022424">
        <w:rPr>
          <w:rFonts w:ascii="Arial" w:hAnsi="Arial" w:cs="Arial"/>
          <w:sz w:val="20"/>
          <w:u w:val="single"/>
        </w:rPr>
        <w:t>all</w:t>
      </w:r>
      <w:r>
        <w:rPr>
          <w:rFonts w:ascii="Arial" w:hAnsi="Arial" w:cs="Arial"/>
          <w:sz w:val="20"/>
        </w:rPr>
        <w:t xml:space="preserve"> judicial members of the Children’s Court of Victoria </w:t>
      </w:r>
      <w:r w:rsidRPr="00022424">
        <w:rPr>
          <w:rFonts w:ascii="Arial" w:hAnsi="Arial" w:cs="Arial"/>
          <w:sz w:val="20"/>
          <w:u w:val="single"/>
        </w:rPr>
        <w:t>unambiguously</w:t>
      </w:r>
      <w:r w:rsidRPr="00241AE0">
        <w:rPr>
          <w:rFonts w:ascii="Arial" w:hAnsi="Arial" w:cs="Arial"/>
          <w:sz w:val="20"/>
        </w:rPr>
        <w:t xml:space="preserve"> </w:t>
      </w:r>
      <w:r>
        <w:rPr>
          <w:rFonts w:ascii="Arial" w:hAnsi="Arial" w:cs="Arial"/>
          <w:sz w:val="20"/>
        </w:rPr>
        <w:t xml:space="preserve">with federal jurisdiction in relation to matters under Part VII of the FLA as is currently invested in the </w:t>
      </w:r>
      <w:r w:rsidR="00A57E37">
        <w:rPr>
          <w:rFonts w:ascii="Arial" w:hAnsi="Arial" w:cs="Arial"/>
          <w:sz w:val="20"/>
        </w:rPr>
        <w:t>MCV</w:t>
      </w:r>
      <w:r>
        <w:rPr>
          <w:rFonts w:ascii="Arial" w:hAnsi="Arial" w:cs="Arial"/>
          <w:sz w:val="20"/>
        </w:rPr>
        <w:t xml:space="preserve">.  After all, the </w:t>
      </w:r>
      <w:proofErr w:type="spellStart"/>
      <w:r w:rsidR="00A57E37">
        <w:rPr>
          <w:rFonts w:ascii="Arial" w:hAnsi="Arial" w:cs="Arial"/>
          <w:sz w:val="20"/>
        </w:rPr>
        <w:t>C</w:t>
      </w:r>
      <w:r w:rsidR="001202C2">
        <w:rPr>
          <w:rFonts w:ascii="Arial" w:hAnsi="Arial" w:cs="Arial"/>
          <w:sz w:val="20"/>
        </w:rPr>
        <w:t>h</w:t>
      </w:r>
      <w:r w:rsidR="00A57E37">
        <w:rPr>
          <w:rFonts w:ascii="Arial" w:hAnsi="Arial" w:cs="Arial"/>
          <w:sz w:val="20"/>
        </w:rPr>
        <w:t>CV</w:t>
      </w:r>
      <w:proofErr w:type="spellEnd"/>
      <w:r>
        <w:rPr>
          <w:rFonts w:ascii="Arial" w:hAnsi="Arial" w:cs="Arial"/>
          <w:sz w:val="20"/>
        </w:rPr>
        <w:t xml:space="preserve"> has been described by State parliament in s.1(d) of the CYFA as ‘a specialist court dealing with matters relating to children’.”</w:t>
      </w:r>
    </w:p>
    <w:p w14:paraId="0CFE2515" w14:textId="77777777" w:rsidR="00380FA8" w:rsidRDefault="00380FA8">
      <w:pPr>
        <w:tabs>
          <w:tab w:val="num" w:pos="720"/>
        </w:tabs>
        <w:jc w:val="both"/>
        <w:rPr>
          <w:rFonts w:ascii="Arial" w:hAnsi="Arial" w:cs="Arial"/>
          <w:sz w:val="20"/>
        </w:rPr>
      </w:pPr>
    </w:p>
    <w:p w14:paraId="0CE13E0B" w14:textId="2BD37DA0" w:rsidR="00BC3BD1" w:rsidRDefault="005B71BA" w:rsidP="001A70CF">
      <w:pPr>
        <w:tabs>
          <w:tab w:val="num" w:pos="720"/>
        </w:tabs>
        <w:jc w:val="both"/>
        <w:rPr>
          <w:rFonts w:ascii="Arial" w:hAnsi="Arial" w:cs="Arial"/>
          <w:sz w:val="20"/>
        </w:rPr>
      </w:pPr>
      <w:r>
        <w:rPr>
          <w:rFonts w:ascii="Arial" w:hAnsi="Arial" w:cs="Arial"/>
          <w:sz w:val="20"/>
        </w:rPr>
        <w:t>O</w:t>
      </w:r>
      <w:r w:rsidR="00026E60">
        <w:rPr>
          <w:rFonts w:ascii="Arial" w:hAnsi="Arial" w:cs="Arial"/>
          <w:sz w:val="20"/>
        </w:rPr>
        <w:t>ver the years numerous bodies, including the Family Law Council and the Victorian Royal Commission into Family Violence [‘VRCFV’]</w:t>
      </w:r>
      <w:r w:rsidR="00211E08">
        <w:rPr>
          <w:rFonts w:ascii="Arial" w:hAnsi="Arial" w:cs="Arial"/>
          <w:sz w:val="20"/>
        </w:rPr>
        <w:t>,</w:t>
      </w:r>
      <w:r w:rsidR="00026E60">
        <w:rPr>
          <w:rFonts w:ascii="Arial" w:hAnsi="Arial" w:cs="Arial"/>
          <w:sz w:val="20"/>
        </w:rPr>
        <w:t xml:space="preserve"> </w:t>
      </w:r>
      <w:r w:rsidR="006A1884">
        <w:rPr>
          <w:rFonts w:ascii="Arial" w:hAnsi="Arial" w:cs="Arial"/>
          <w:sz w:val="20"/>
        </w:rPr>
        <w:t xml:space="preserve">had </w:t>
      </w:r>
      <w:r w:rsidR="00E61125">
        <w:rPr>
          <w:rFonts w:ascii="Arial" w:hAnsi="Arial" w:cs="Arial"/>
          <w:sz w:val="20"/>
        </w:rPr>
        <w:t xml:space="preserve">also </w:t>
      </w:r>
      <w:r w:rsidR="00026E60">
        <w:rPr>
          <w:rFonts w:ascii="Arial" w:hAnsi="Arial" w:cs="Arial"/>
          <w:sz w:val="20"/>
        </w:rPr>
        <w:t xml:space="preserve">recommended </w:t>
      </w:r>
      <w:r w:rsidR="006A1884">
        <w:rPr>
          <w:rFonts w:ascii="Arial" w:hAnsi="Arial" w:cs="Arial"/>
          <w:sz w:val="20"/>
        </w:rPr>
        <w:t xml:space="preserve">legislative clarification of </w:t>
      </w:r>
      <w:r w:rsidR="00026E60">
        <w:rPr>
          <w:rFonts w:ascii="Arial" w:hAnsi="Arial" w:cs="Arial"/>
          <w:sz w:val="20"/>
        </w:rPr>
        <w:t xml:space="preserve">the historical uncertainty as to whether the </w:t>
      </w:r>
      <w:proofErr w:type="spellStart"/>
      <w:r w:rsidR="00026E60">
        <w:rPr>
          <w:rFonts w:ascii="Arial" w:hAnsi="Arial" w:cs="Arial"/>
          <w:sz w:val="20"/>
        </w:rPr>
        <w:t>C</w:t>
      </w:r>
      <w:r w:rsidR="001202C2">
        <w:rPr>
          <w:rFonts w:ascii="Arial" w:hAnsi="Arial" w:cs="Arial"/>
          <w:sz w:val="20"/>
        </w:rPr>
        <w:t>h</w:t>
      </w:r>
      <w:r w:rsidR="00026E60">
        <w:rPr>
          <w:rFonts w:ascii="Arial" w:hAnsi="Arial" w:cs="Arial"/>
          <w:sz w:val="20"/>
        </w:rPr>
        <w:t>CV</w:t>
      </w:r>
      <w:proofErr w:type="spellEnd"/>
      <w:r w:rsidR="00026E60">
        <w:rPr>
          <w:rFonts w:ascii="Arial" w:hAnsi="Arial" w:cs="Arial"/>
          <w:sz w:val="20"/>
        </w:rPr>
        <w:t xml:space="preserve"> </w:t>
      </w:r>
      <w:r w:rsidR="00CA797A">
        <w:rPr>
          <w:rFonts w:ascii="Arial" w:hAnsi="Arial" w:cs="Arial"/>
          <w:sz w:val="20"/>
        </w:rPr>
        <w:t xml:space="preserve">has jurisdiction </w:t>
      </w:r>
      <w:r w:rsidR="009D5447">
        <w:rPr>
          <w:rFonts w:ascii="Arial" w:hAnsi="Arial" w:cs="Arial"/>
          <w:sz w:val="20"/>
        </w:rPr>
        <w:t>pursuant to</w:t>
      </w:r>
      <w:r w:rsidR="00026E60">
        <w:rPr>
          <w:rFonts w:ascii="Arial" w:hAnsi="Arial" w:cs="Arial"/>
          <w:sz w:val="20"/>
        </w:rPr>
        <w:t xml:space="preserve"> Part VII of</w:t>
      </w:r>
      <w:r w:rsidR="006A1884">
        <w:rPr>
          <w:rFonts w:ascii="Arial" w:hAnsi="Arial" w:cs="Arial"/>
          <w:sz w:val="20"/>
        </w:rPr>
        <w:t xml:space="preserve"> </w:t>
      </w:r>
      <w:r w:rsidR="00026E60">
        <w:rPr>
          <w:rFonts w:ascii="Arial" w:hAnsi="Arial" w:cs="Arial"/>
          <w:sz w:val="20"/>
        </w:rPr>
        <w:t>the FLA</w:t>
      </w:r>
      <w:r w:rsidR="006A1884">
        <w:rPr>
          <w:rFonts w:ascii="Arial" w:hAnsi="Arial" w:cs="Arial"/>
          <w:sz w:val="20"/>
        </w:rPr>
        <w:t>.  Two relevant recommendations of the VRCFV are:</w:t>
      </w:r>
    </w:p>
    <w:p w14:paraId="3815F44D" w14:textId="6B872FC6" w:rsidR="00A57E37" w:rsidRDefault="00A57E37" w:rsidP="00B601FA">
      <w:pPr>
        <w:spacing w:before="80"/>
        <w:ind w:left="454" w:right="454"/>
        <w:jc w:val="both"/>
        <w:rPr>
          <w:rFonts w:ascii="Arial" w:hAnsi="Arial" w:cs="Arial"/>
          <w:sz w:val="20"/>
        </w:rPr>
      </w:pPr>
      <w:r>
        <w:rPr>
          <w:rFonts w:ascii="Arial" w:hAnsi="Arial" w:cs="Arial"/>
          <w:sz w:val="20"/>
        </w:rPr>
        <w:t xml:space="preserve">“[131] The Victorian Government, through the Council of Australian Governments Law, Crime and Community Safety Council, pursue amendments to the FLA to…make it clear that the </w:t>
      </w:r>
      <w:proofErr w:type="spellStart"/>
      <w:r>
        <w:rPr>
          <w:rFonts w:ascii="Arial" w:hAnsi="Arial" w:cs="Arial"/>
          <w:sz w:val="20"/>
        </w:rPr>
        <w:t>C</w:t>
      </w:r>
      <w:r w:rsidR="001202C2">
        <w:rPr>
          <w:rFonts w:ascii="Arial" w:hAnsi="Arial" w:cs="Arial"/>
          <w:sz w:val="20"/>
        </w:rPr>
        <w:t>h</w:t>
      </w:r>
      <w:r>
        <w:rPr>
          <w:rFonts w:ascii="Arial" w:hAnsi="Arial" w:cs="Arial"/>
          <w:sz w:val="20"/>
        </w:rPr>
        <w:t>CV</w:t>
      </w:r>
      <w:proofErr w:type="spellEnd"/>
      <w:r>
        <w:rPr>
          <w:rFonts w:ascii="Arial" w:hAnsi="Arial" w:cs="Arial"/>
          <w:sz w:val="20"/>
        </w:rPr>
        <w:t xml:space="preserve"> can make orders under Part VII of the FLA in the same circumstances as the </w:t>
      </w:r>
      <w:r w:rsidR="00DD7D4F">
        <w:rPr>
          <w:rFonts w:ascii="Arial" w:hAnsi="Arial" w:cs="Arial"/>
          <w:sz w:val="20"/>
        </w:rPr>
        <w:t>MCV (sections 69J and 69N).”</w:t>
      </w:r>
    </w:p>
    <w:p w14:paraId="3D4A12AD" w14:textId="3C40B82A" w:rsidR="00DD7D4F" w:rsidRDefault="00DD7D4F" w:rsidP="00B601FA">
      <w:pPr>
        <w:spacing w:before="80"/>
        <w:ind w:left="454" w:right="454"/>
        <w:jc w:val="both"/>
        <w:rPr>
          <w:rFonts w:ascii="Arial" w:hAnsi="Arial" w:cs="Arial"/>
          <w:sz w:val="20"/>
        </w:rPr>
      </w:pPr>
      <w:r>
        <w:rPr>
          <w:rFonts w:ascii="Arial" w:hAnsi="Arial" w:cs="Arial"/>
          <w:sz w:val="20"/>
        </w:rPr>
        <w:t xml:space="preserve">“[133] The Victorian Government amend the CYFA to clarify that the </w:t>
      </w:r>
      <w:proofErr w:type="spellStart"/>
      <w:r>
        <w:rPr>
          <w:rFonts w:ascii="Arial" w:hAnsi="Arial" w:cs="Arial"/>
          <w:sz w:val="20"/>
        </w:rPr>
        <w:t>C</w:t>
      </w:r>
      <w:r w:rsidR="001202C2">
        <w:rPr>
          <w:rFonts w:ascii="Arial" w:hAnsi="Arial" w:cs="Arial"/>
          <w:sz w:val="20"/>
        </w:rPr>
        <w:t>h</w:t>
      </w:r>
      <w:r>
        <w:rPr>
          <w:rFonts w:ascii="Arial" w:hAnsi="Arial" w:cs="Arial"/>
          <w:sz w:val="20"/>
        </w:rPr>
        <w:t>CV</w:t>
      </w:r>
      <w:proofErr w:type="spellEnd"/>
      <w:r>
        <w:rPr>
          <w:rFonts w:ascii="Arial" w:hAnsi="Arial" w:cs="Arial"/>
          <w:sz w:val="20"/>
        </w:rPr>
        <w:t xml:space="preserve"> has the same jurisdiction to make FLA parenting orders as the MCV.”</w:t>
      </w:r>
    </w:p>
    <w:p w14:paraId="5DBB557B" w14:textId="77777777" w:rsidR="006A1884" w:rsidRDefault="006A1884" w:rsidP="001A70CF">
      <w:pPr>
        <w:tabs>
          <w:tab w:val="num" w:pos="720"/>
        </w:tabs>
        <w:jc w:val="both"/>
        <w:rPr>
          <w:rFonts w:ascii="Arial" w:hAnsi="Arial" w:cs="Arial"/>
          <w:sz w:val="20"/>
        </w:rPr>
      </w:pPr>
    </w:p>
    <w:p w14:paraId="76CB3954" w14:textId="77777777" w:rsidR="006A1884" w:rsidRDefault="0054646E" w:rsidP="001A70CF">
      <w:pPr>
        <w:tabs>
          <w:tab w:val="num" w:pos="720"/>
        </w:tabs>
        <w:jc w:val="both"/>
        <w:rPr>
          <w:rFonts w:ascii="Arial" w:hAnsi="Arial" w:cs="Arial"/>
          <w:sz w:val="20"/>
        </w:rPr>
      </w:pPr>
      <w:r>
        <w:rPr>
          <w:rFonts w:ascii="Arial" w:hAnsi="Arial" w:cs="Arial"/>
          <w:sz w:val="20"/>
          <w:szCs w:val="20"/>
        </w:rPr>
        <w:t>In order to set the ground for legislative clarification</w:t>
      </w:r>
      <w:r w:rsidR="00A8236A">
        <w:rPr>
          <w:rFonts w:ascii="Arial" w:hAnsi="Arial" w:cs="Arial"/>
          <w:sz w:val="20"/>
          <w:szCs w:val="20"/>
        </w:rPr>
        <w:t xml:space="preserve"> of this complex issue</w:t>
      </w:r>
      <w:r>
        <w:rPr>
          <w:rFonts w:ascii="Arial" w:hAnsi="Arial" w:cs="Arial"/>
          <w:sz w:val="20"/>
          <w:szCs w:val="20"/>
        </w:rPr>
        <w:t xml:space="preserve">, </w:t>
      </w:r>
      <w:r w:rsidR="00B601FA">
        <w:rPr>
          <w:rFonts w:ascii="Arial" w:hAnsi="Arial" w:cs="Arial"/>
          <w:sz w:val="20"/>
        </w:rPr>
        <w:t xml:space="preserve">the </w:t>
      </w:r>
      <w:r w:rsidR="00B601FA" w:rsidRPr="00B601FA">
        <w:rPr>
          <w:rFonts w:ascii="Arial" w:hAnsi="Arial" w:cs="Arial"/>
          <w:sz w:val="20"/>
          <w:u w:val="single"/>
        </w:rPr>
        <w:t>Family Law Amendment (Family Violence and Other Measures) Act 2018 (</w:t>
      </w:r>
      <w:proofErr w:type="spellStart"/>
      <w:r w:rsidR="00B601FA" w:rsidRPr="00B601FA">
        <w:rPr>
          <w:rFonts w:ascii="Arial" w:hAnsi="Arial" w:cs="Arial"/>
          <w:sz w:val="20"/>
          <w:u w:val="single"/>
        </w:rPr>
        <w:t>Cth</w:t>
      </w:r>
      <w:proofErr w:type="spellEnd"/>
      <w:r w:rsidR="00B601FA" w:rsidRPr="00B601FA">
        <w:rPr>
          <w:rFonts w:ascii="Arial" w:hAnsi="Arial" w:cs="Arial"/>
          <w:sz w:val="20"/>
          <w:u w:val="single"/>
        </w:rPr>
        <w:t>)</w:t>
      </w:r>
      <w:r w:rsidR="00B601FA">
        <w:rPr>
          <w:rFonts w:ascii="Arial" w:hAnsi="Arial" w:cs="Arial"/>
          <w:sz w:val="20"/>
        </w:rPr>
        <w:t xml:space="preserve"> – implementing a Family Law Council recommendation and partially implementing recommendation 131 of the VRCFV –</w:t>
      </w:r>
      <w:r w:rsidR="00E54052">
        <w:rPr>
          <w:rFonts w:ascii="Arial" w:hAnsi="Arial" w:cs="Arial"/>
          <w:sz w:val="20"/>
        </w:rPr>
        <w:t xml:space="preserve"> </w:t>
      </w:r>
      <w:r w:rsidR="00B601FA">
        <w:rPr>
          <w:rFonts w:ascii="Arial" w:hAnsi="Arial" w:cs="Arial"/>
          <w:sz w:val="20"/>
        </w:rPr>
        <w:t>amend</w:t>
      </w:r>
      <w:r w:rsidR="00A90242">
        <w:rPr>
          <w:rFonts w:ascii="Arial" w:hAnsi="Arial" w:cs="Arial"/>
          <w:sz w:val="20"/>
        </w:rPr>
        <w:t>ed</w:t>
      </w:r>
      <w:r w:rsidR="00B601FA">
        <w:rPr>
          <w:rFonts w:ascii="Arial" w:hAnsi="Arial" w:cs="Arial"/>
          <w:sz w:val="20"/>
        </w:rPr>
        <w:t xml:space="preserve"> ss.69J &amp; 69N</w:t>
      </w:r>
      <w:r w:rsidR="00E54052">
        <w:rPr>
          <w:rFonts w:ascii="Arial" w:hAnsi="Arial" w:cs="Arial"/>
          <w:sz w:val="20"/>
        </w:rPr>
        <w:t xml:space="preserve"> of the FLA and inserted s.69GA</w:t>
      </w:r>
      <w:r w:rsidR="00A90242">
        <w:rPr>
          <w:rFonts w:ascii="Arial" w:hAnsi="Arial" w:cs="Arial"/>
          <w:sz w:val="20"/>
        </w:rPr>
        <w:t xml:space="preserve"> as and from 01/09/2018</w:t>
      </w:r>
      <w:r w:rsidR="00E54052">
        <w:rPr>
          <w:rFonts w:ascii="Arial" w:hAnsi="Arial" w:cs="Arial"/>
          <w:sz w:val="20"/>
        </w:rPr>
        <w:t>.</w:t>
      </w:r>
    </w:p>
    <w:p w14:paraId="6D635010" w14:textId="77777777" w:rsidR="00BC3BD1" w:rsidRDefault="00BC3BD1" w:rsidP="001A70CF">
      <w:pPr>
        <w:tabs>
          <w:tab w:val="num" w:pos="720"/>
        </w:tabs>
        <w:jc w:val="both"/>
        <w:rPr>
          <w:rFonts w:ascii="Arial" w:hAnsi="Arial" w:cs="Arial"/>
          <w:sz w:val="20"/>
        </w:rPr>
      </w:pPr>
    </w:p>
    <w:p w14:paraId="16035C18" w14:textId="77777777" w:rsidR="00A8236A" w:rsidRDefault="00E54052" w:rsidP="001A70CF">
      <w:pPr>
        <w:tabs>
          <w:tab w:val="num" w:pos="720"/>
        </w:tabs>
        <w:jc w:val="both"/>
        <w:rPr>
          <w:rFonts w:ascii="Arial" w:hAnsi="Arial" w:cs="Arial"/>
          <w:sz w:val="20"/>
        </w:rPr>
      </w:pPr>
      <w:r>
        <w:rPr>
          <w:rFonts w:ascii="Arial" w:hAnsi="Arial" w:cs="Arial"/>
          <w:sz w:val="20"/>
        </w:rPr>
        <w:t>Section 69</w:t>
      </w:r>
      <w:proofErr w:type="gramStart"/>
      <w:r>
        <w:rPr>
          <w:rFonts w:ascii="Arial" w:hAnsi="Arial" w:cs="Arial"/>
          <w:sz w:val="20"/>
        </w:rPr>
        <w:t>J(</w:t>
      </w:r>
      <w:proofErr w:type="gramEnd"/>
      <w:r>
        <w:rPr>
          <w:rFonts w:ascii="Arial" w:hAnsi="Arial" w:cs="Arial"/>
          <w:sz w:val="20"/>
        </w:rPr>
        <w:t>1) of the FLA now provides</w:t>
      </w:r>
      <w:r w:rsidR="00D06B37">
        <w:rPr>
          <w:rFonts w:ascii="Arial" w:hAnsi="Arial" w:cs="Arial"/>
          <w:sz w:val="20"/>
        </w:rPr>
        <w:t xml:space="preserve"> that s</w:t>
      </w:r>
      <w:r>
        <w:rPr>
          <w:rFonts w:ascii="Arial" w:hAnsi="Arial" w:cs="Arial"/>
          <w:sz w:val="20"/>
        </w:rPr>
        <w:t>ubject to subsection (5), each court of summary jurisdiction of each State is invested with federal jurisdiction in relation to matters arising under Part VII (other than proceedings for leave in certain adoption matters under s.60G).</w:t>
      </w:r>
      <w:r w:rsidR="00A8236A">
        <w:rPr>
          <w:rFonts w:ascii="Arial" w:hAnsi="Arial" w:cs="Arial"/>
          <w:sz w:val="20"/>
        </w:rPr>
        <w:t xml:space="preserve">  Subsection (5) – read in conjunction with ss.69</w:t>
      </w:r>
      <w:proofErr w:type="gramStart"/>
      <w:r w:rsidR="00A8236A">
        <w:rPr>
          <w:rFonts w:ascii="Arial" w:hAnsi="Arial" w:cs="Arial"/>
          <w:sz w:val="20"/>
        </w:rPr>
        <w:t>J(</w:t>
      </w:r>
      <w:proofErr w:type="gramEnd"/>
      <w:r w:rsidR="00A8236A">
        <w:rPr>
          <w:rFonts w:ascii="Arial" w:hAnsi="Arial" w:cs="Arial"/>
          <w:sz w:val="20"/>
        </w:rPr>
        <w:t xml:space="preserve">3) &amp; 69J(4) – prevents a court of summary jurisdiction hearing and determining proceedings under Part VII FLA contrary to a Proclamation of the Governor-General.  </w:t>
      </w:r>
      <w:r w:rsidR="00D06B37">
        <w:rPr>
          <w:rFonts w:ascii="Arial" w:hAnsi="Arial" w:cs="Arial"/>
          <w:sz w:val="20"/>
        </w:rPr>
        <w:t>However, t</w:t>
      </w:r>
      <w:r w:rsidR="00A8236A">
        <w:rPr>
          <w:rFonts w:ascii="Arial" w:hAnsi="Arial" w:cs="Arial"/>
          <w:sz w:val="20"/>
        </w:rPr>
        <w:t>o date there have been no such Proclamations rel</w:t>
      </w:r>
      <w:r w:rsidR="00642457">
        <w:rPr>
          <w:rFonts w:ascii="Arial" w:hAnsi="Arial" w:cs="Arial"/>
          <w:sz w:val="20"/>
        </w:rPr>
        <w:t>ating</w:t>
      </w:r>
      <w:r w:rsidR="00A8236A">
        <w:rPr>
          <w:rFonts w:ascii="Arial" w:hAnsi="Arial" w:cs="Arial"/>
          <w:sz w:val="20"/>
        </w:rPr>
        <w:t xml:space="preserve"> to Victorian courts.</w:t>
      </w:r>
    </w:p>
    <w:p w14:paraId="19F0B5F3" w14:textId="77777777" w:rsidR="00A8236A" w:rsidRDefault="00A8236A" w:rsidP="001A70CF">
      <w:pPr>
        <w:tabs>
          <w:tab w:val="num" w:pos="720"/>
        </w:tabs>
        <w:jc w:val="both"/>
        <w:rPr>
          <w:rFonts w:ascii="Arial" w:hAnsi="Arial" w:cs="Arial"/>
          <w:sz w:val="20"/>
        </w:rPr>
      </w:pPr>
    </w:p>
    <w:p w14:paraId="4280EBB7" w14:textId="77777777" w:rsidR="00D06B37" w:rsidRDefault="00D06B37" w:rsidP="001A70CF">
      <w:pPr>
        <w:tabs>
          <w:tab w:val="num" w:pos="720"/>
        </w:tabs>
        <w:jc w:val="both"/>
        <w:rPr>
          <w:rFonts w:ascii="Arial" w:hAnsi="Arial" w:cs="Arial"/>
          <w:sz w:val="20"/>
        </w:rPr>
      </w:pPr>
      <w:r>
        <w:rPr>
          <w:rFonts w:ascii="Arial" w:hAnsi="Arial" w:cs="Arial"/>
          <w:sz w:val="20"/>
        </w:rPr>
        <w:t>Section 69GA of the FLA enables a prescribed state or territory court to hear proceedings (or</w:t>
      </w:r>
      <w:r w:rsidR="00E61125">
        <w:rPr>
          <w:rFonts w:ascii="Arial" w:hAnsi="Arial" w:cs="Arial"/>
          <w:sz w:val="20"/>
        </w:rPr>
        <w:t xml:space="preserve"> </w:t>
      </w:r>
      <w:r>
        <w:rPr>
          <w:rFonts w:ascii="Arial" w:hAnsi="Arial" w:cs="Arial"/>
          <w:sz w:val="20"/>
        </w:rPr>
        <w:t xml:space="preserve">specified classes of proceedings) under the FLA as if </w:t>
      </w:r>
      <w:r w:rsidR="00E61125">
        <w:rPr>
          <w:rFonts w:ascii="Arial" w:hAnsi="Arial" w:cs="Arial"/>
          <w:sz w:val="20"/>
        </w:rPr>
        <w:t>it was a court</w:t>
      </w:r>
      <w:r>
        <w:rPr>
          <w:rFonts w:ascii="Arial" w:hAnsi="Arial" w:cs="Arial"/>
          <w:sz w:val="20"/>
        </w:rPr>
        <w:t xml:space="preserve"> of summary jurisdiction.  Hence </w:t>
      </w:r>
      <w:r w:rsidR="00A414E1">
        <w:rPr>
          <w:rFonts w:ascii="Arial" w:hAnsi="Arial" w:cs="Arial"/>
          <w:sz w:val="20"/>
        </w:rPr>
        <w:t>the</w:t>
      </w:r>
      <w:r w:rsidR="0054646E">
        <w:rPr>
          <w:rFonts w:ascii="Arial" w:hAnsi="Arial" w:cs="Arial"/>
          <w:sz w:val="20"/>
        </w:rPr>
        <w:t xml:space="preserve"> note to s.69J(1) </w:t>
      </w:r>
      <w:r w:rsidR="00A414E1">
        <w:rPr>
          <w:rFonts w:ascii="Arial" w:hAnsi="Arial" w:cs="Arial"/>
          <w:sz w:val="20"/>
        </w:rPr>
        <w:t xml:space="preserve">which </w:t>
      </w:r>
      <w:r w:rsidR="0054646E">
        <w:rPr>
          <w:rFonts w:ascii="Arial" w:hAnsi="Arial" w:cs="Arial"/>
          <w:sz w:val="20"/>
        </w:rPr>
        <w:t xml:space="preserve">provides: “This section may apply to proceedings heard in a court prescribed by the regulations for the purposes of s.69GA in the same way as </w:t>
      </w:r>
      <w:r w:rsidR="00A8236A">
        <w:rPr>
          <w:rFonts w:ascii="Arial" w:hAnsi="Arial" w:cs="Arial"/>
          <w:sz w:val="20"/>
        </w:rPr>
        <w:t>this section would apply if those proceedings were heard in a court of summary jurisdiction.”</w:t>
      </w:r>
    </w:p>
    <w:p w14:paraId="66DFAD69" w14:textId="77777777" w:rsidR="00D06B37" w:rsidRDefault="00D06B37" w:rsidP="001A70CF">
      <w:pPr>
        <w:tabs>
          <w:tab w:val="num" w:pos="720"/>
        </w:tabs>
        <w:jc w:val="both"/>
        <w:rPr>
          <w:rFonts w:ascii="Arial" w:hAnsi="Arial" w:cs="Arial"/>
          <w:sz w:val="20"/>
        </w:rPr>
      </w:pPr>
    </w:p>
    <w:p w14:paraId="2E0C7E7F" w14:textId="413F4732" w:rsidR="00BC3BD1" w:rsidRDefault="00D06B37" w:rsidP="001A70CF">
      <w:pPr>
        <w:tabs>
          <w:tab w:val="num" w:pos="720"/>
        </w:tabs>
        <w:jc w:val="both"/>
        <w:rPr>
          <w:rFonts w:ascii="Arial" w:hAnsi="Arial" w:cs="Arial"/>
          <w:sz w:val="20"/>
        </w:rPr>
      </w:pPr>
      <w:r>
        <w:rPr>
          <w:rFonts w:ascii="Arial" w:hAnsi="Arial" w:cs="Arial"/>
          <w:sz w:val="20"/>
        </w:rPr>
        <w:lastRenderedPageBreak/>
        <w:t xml:space="preserve">The Commonwealth essentially played Pontius Pilate on the question whether </w:t>
      </w:r>
      <w:r w:rsidR="001202C2">
        <w:rPr>
          <w:rFonts w:ascii="Arial" w:hAnsi="Arial" w:cs="Arial"/>
          <w:sz w:val="20"/>
        </w:rPr>
        <w:t>t</w:t>
      </w:r>
      <w:r>
        <w:rPr>
          <w:rFonts w:ascii="Arial" w:hAnsi="Arial" w:cs="Arial"/>
          <w:sz w:val="20"/>
        </w:rPr>
        <w:t xml:space="preserve">he </w:t>
      </w:r>
      <w:proofErr w:type="spellStart"/>
      <w:r w:rsidR="00A414E1">
        <w:rPr>
          <w:rFonts w:ascii="Arial" w:hAnsi="Arial" w:cs="Arial"/>
          <w:sz w:val="20"/>
        </w:rPr>
        <w:t>C</w:t>
      </w:r>
      <w:r w:rsidR="001202C2">
        <w:rPr>
          <w:rFonts w:ascii="Arial" w:hAnsi="Arial" w:cs="Arial"/>
          <w:sz w:val="20"/>
        </w:rPr>
        <w:t>h</w:t>
      </w:r>
      <w:r w:rsidR="00A414E1">
        <w:rPr>
          <w:rFonts w:ascii="Arial" w:hAnsi="Arial" w:cs="Arial"/>
          <w:sz w:val="20"/>
        </w:rPr>
        <w:t>CV</w:t>
      </w:r>
      <w:proofErr w:type="spellEnd"/>
      <w:r>
        <w:rPr>
          <w:rFonts w:ascii="Arial" w:hAnsi="Arial" w:cs="Arial"/>
          <w:sz w:val="20"/>
        </w:rPr>
        <w:t xml:space="preserve"> is </w:t>
      </w:r>
      <w:r w:rsidR="00DA604B">
        <w:rPr>
          <w:rFonts w:ascii="Arial" w:hAnsi="Arial" w:cs="Arial"/>
          <w:sz w:val="20"/>
        </w:rPr>
        <w:t>a ‘court of summary jurisdiction’ whether constituted by the President or a magistrate, stating in paragraph [40] of the Explanatory Memorandum to the 2018 amending A</w:t>
      </w:r>
      <w:r w:rsidR="001202C2">
        <w:rPr>
          <w:rFonts w:ascii="Arial" w:hAnsi="Arial" w:cs="Arial"/>
          <w:sz w:val="20"/>
        </w:rPr>
        <w:t>t</w:t>
      </w:r>
      <w:r w:rsidR="00DA604B">
        <w:rPr>
          <w:rFonts w:ascii="Arial" w:hAnsi="Arial" w:cs="Arial"/>
          <w:sz w:val="20"/>
        </w:rPr>
        <w:t>:</w:t>
      </w:r>
    </w:p>
    <w:p w14:paraId="305D9073" w14:textId="77777777" w:rsidR="00DA604B" w:rsidRDefault="00DA604B" w:rsidP="00DA604B">
      <w:pPr>
        <w:spacing w:before="80" w:after="80"/>
        <w:ind w:left="454" w:right="454"/>
        <w:jc w:val="both"/>
        <w:rPr>
          <w:rFonts w:ascii="Arial" w:hAnsi="Arial" w:cs="Arial"/>
          <w:sz w:val="20"/>
        </w:rPr>
      </w:pPr>
      <w:r>
        <w:rPr>
          <w:rFonts w:ascii="Arial" w:hAnsi="Arial" w:cs="Arial"/>
          <w:sz w:val="20"/>
        </w:rPr>
        <w:t>“It is not to be taken that, if a state or territory children’s court is not prescribed by the regulations, then it is not able to make family law orders under Part VII of the FLA as a court of summary jurisdiction.  Rather, it is intended that, in cases where there is doubt, a court can be prescribed by regulations so as to remove any doubt as to its capacity to exercise such jurisdiction.”</w:t>
      </w:r>
    </w:p>
    <w:p w14:paraId="107B5C1B" w14:textId="77777777" w:rsidR="00E54052" w:rsidRDefault="00DA604B" w:rsidP="001A70CF">
      <w:pPr>
        <w:tabs>
          <w:tab w:val="num" w:pos="720"/>
        </w:tabs>
        <w:jc w:val="both"/>
        <w:rPr>
          <w:rFonts w:ascii="Arial" w:hAnsi="Arial" w:cs="Arial"/>
          <w:sz w:val="20"/>
        </w:rPr>
      </w:pPr>
      <w:r>
        <w:rPr>
          <w:rFonts w:ascii="Arial" w:hAnsi="Arial" w:cs="Arial"/>
          <w:sz w:val="20"/>
        </w:rPr>
        <w:t>To</w:t>
      </w:r>
      <w:r w:rsidR="00EF7C07">
        <w:rPr>
          <w:rFonts w:ascii="Arial" w:hAnsi="Arial" w:cs="Arial"/>
          <w:sz w:val="20"/>
        </w:rPr>
        <w:t xml:space="preserve"> </w:t>
      </w:r>
      <w:r>
        <w:rPr>
          <w:rFonts w:ascii="Arial" w:hAnsi="Arial" w:cs="Arial"/>
          <w:sz w:val="20"/>
        </w:rPr>
        <w:t>date, no Victorian courts have been prescribed in regulations for the purposes of s.69GA.</w:t>
      </w:r>
    </w:p>
    <w:p w14:paraId="6789207E" w14:textId="77777777" w:rsidR="00E54052" w:rsidRDefault="00E54052" w:rsidP="001A70CF">
      <w:pPr>
        <w:tabs>
          <w:tab w:val="num" w:pos="720"/>
        </w:tabs>
        <w:jc w:val="both"/>
        <w:rPr>
          <w:rFonts w:ascii="Arial" w:hAnsi="Arial" w:cs="Arial"/>
          <w:sz w:val="20"/>
        </w:rPr>
      </w:pPr>
    </w:p>
    <w:p w14:paraId="12B073D1" w14:textId="77777777" w:rsidR="007F5F1E" w:rsidRPr="008F27E7" w:rsidRDefault="008F27E7" w:rsidP="001A70CF">
      <w:pPr>
        <w:tabs>
          <w:tab w:val="num" w:pos="720"/>
        </w:tabs>
        <w:jc w:val="both"/>
        <w:rPr>
          <w:rFonts w:ascii="Arial" w:hAnsi="Arial" w:cs="Arial"/>
          <w:sz w:val="20"/>
        </w:rPr>
      </w:pPr>
      <w:r>
        <w:rPr>
          <w:rFonts w:ascii="Arial" w:hAnsi="Arial" w:cs="Arial"/>
          <w:sz w:val="20"/>
        </w:rPr>
        <w:t xml:space="preserve">In order to give effect to recommendation 133 of the VRCFV, as and from 16/02/2022 the following </w:t>
      </w:r>
      <w:r w:rsidR="00642457">
        <w:rPr>
          <w:rFonts w:ascii="Arial" w:hAnsi="Arial" w:cs="Arial"/>
          <w:sz w:val="20"/>
        </w:rPr>
        <w:t>provisions were inserted in</w:t>
      </w:r>
      <w:r>
        <w:rPr>
          <w:rFonts w:ascii="Arial" w:hAnsi="Arial" w:cs="Arial"/>
          <w:sz w:val="20"/>
        </w:rPr>
        <w:t xml:space="preserve">to the CYFA by the </w:t>
      </w:r>
      <w:r w:rsidR="007F5F1E" w:rsidRPr="008F27E7">
        <w:rPr>
          <w:rFonts w:ascii="Arial" w:hAnsi="Arial" w:cs="Arial"/>
          <w:color w:val="000000"/>
          <w:sz w:val="20"/>
          <w:szCs w:val="20"/>
          <w:u w:val="single"/>
        </w:rPr>
        <w:t>Justice Legislation Amendment (Criminal Procedure Disclosure and Other Matters) Act 2022 (Vic)</w:t>
      </w:r>
      <w:r w:rsidR="007F5F1E">
        <w:rPr>
          <w:rFonts w:ascii="Arial" w:hAnsi="Arial" w:cs="Arial"/>
          <w:color w:val="000000"/>
          <w:sz w:val="20"/>
        </w:rPr>
        <w:t>:</w:t>
      </w:r>
    </w:p>
    <w:p w14:paraId="1657DDF0" w14:textId="77777777" w:rsidR="007F5F1E" w:rsidRDefault="007F5F1E" w:rsidP="00FB1EE3">
      <w:pPr>
        <w:pStyle w:val="ListParagraph"/>
        <w:numPr>
          <w:ilvl w:val="0"/>
          <w:numId w:val="64"/>
        </w:numPr>
        <w:ind w:left="357" w:hanging="357"/>
        <w:jc w:val="both"/>
        <w:rPr>
          <w:rFonts w:ascii="Arial" w:hAnsi="Arial" w:cs="Arial"/>
          <w:color w:val="000000"/>
          <w:sz w:val="20"/>
        </w:rPr>
      </w:pPr>
      <w:r w:rsidRPr="00B507F6">
        <w:rPr>
          <w:rFonts w:ascii="Arial" w:hAnsi="Arial" w:cs="Arial"/>
          <w:color w:val="000000"/>
          <w:sz w:val="20"/>
        </w:rPr>
        <w:t>s.515(4) of the CYFA provides:</w:t>
      </w:r>
      <w:r>
        <w:rPr>
          <w:rFonts w:ascii="Arial" w:hAnsi="Arial" w:cs="Arial"/>
          <w:color w:val="000000"/>
          <w:sz w:val="20"/>
        </w:rPr>
        <w:t xml:space="preserve"> “The Family Division has any jurisdiction given to the Court by or under the </w:t>
      </w:r>
      <w:r w:rsidRPr="008F27E7">
        <w:rPr>
          <w:rFonts w:ascii="Arial" w:hAnsi="Arial" w:cs="Arial"/>
          <w:color w:val="000000"/>
          <w:sz w:val="20"/>
        </w:rPr>
        <w:t>Family Law Act 1975</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3E9FED4" w14:textId="77777777" w:rsidR="007F5F1E" w:rsidRPr="00B507F6" w:rsidRDefault="007F5F1E" w:rsidP="00FB1EE3">
      <w:pPr>
        <w:pStyle w:val="ListParagraph"/>
        <w:numPr>
          <w:ilvl w:val="0"/>
          <w:numId w:val="64"/>
        </w:numPr>
        <w:ind w:left="357" w:hanging="357"/>
        <w:jc w:val="both"/>
        <w:rPr>
          <w:rFonts w:ascii="Arial" w:hAnsi="Arial" w:cs="Arial"/>
          <w:color w:val="000000"/>
          <w:sz w:val="20"/>
        </w:rPr>
      </w:pPr>
      <w:r>
        <w:rPr>
          <w:rFonts w:ascii="Arial" w:hAnsi="Arial" w:cs="Arial"/>
          <w:color w:val="000000"/>
          <w:sz w:val="20"/>
        </w:rPr>
        <w:t>s.588(</w:t>
      </w:r>
      <w:proofErr w:type="gramStart"/>
      <w:r>
        <w:rPr>
          <w:rFonts w:ascii="Arial" w:hAnsi="Arial" w:cs="Arial"/>
          <w:color w:val="000000"/>
          <w:sz w:val="20"/>
        </w:rPr>
        <w:t>1)(</w:t>
      </w:r>
      <w:proofErr w:type="spellStart"/>
      <w:proofErr w:type="gramEnd"/>
      <w:r>
        <w:rPr>
          <w:rFonts w:ascii="Arial" w:hAnsi="Arial" w:cs="Arial"/>
          <w:color w:val="000000"/>
          <w:sz w:val="20"/>
        </w:rPr>
        <w:t>ba</w:t>
      </w:r>
      <w:proofErr w:type="spellEnd"/>
      <w:r>
        <w:rPr>
          <w:rFonts w:ascii="Arial" w:hAnsi="Arial" w:cs="Arial"/>
          <w:color w:val="000000"/>
          <w:sz w:val="20"/>
        </w:rPr>
        <w:t>) of the CYFA provides: “The President together w</w:t>
      </w:r>
      <w:r w:rsidR="001F173D">
        <w:rPr>
          <w:rFonts w:ascii="Arial" w:hAnsi="Arial" w:cs="Arial"/>
          <w:color w:val="000000"/>
          <w:sz w:val="20"/>
        </w:rPr>
        <w:t>i</w:t>
      </w:r>
      <w:r>
        <w:rPr>
          <w:rFonts w:ascii="Arial" w:hAnsi="Arial" w:cs="Arial"/>
          <w:color w:val="000000"/>
          <w:sz w:val="20"/>
        </w:rPr>
        <w:t>th 2 or more magistrates for the Court may jointly make rules of court for or with respect to any matter relating to the jurisdiction of the Family Division of the Court given by s.515(4).”</w:t>
      </w:r>
    </w:p>
    <w:p w14:paraId="02E1DF2A" w14:textId="77777777" w:rsidR="007F5F1E" w:rsidRDefault="007F5F1E" w:rsidP="007F5F1E">
      <w:pPr>
        <w:rPr>
          <w:rFonts w:ascii="Arial" w:hAnsi="Arial" w:cs="Arial"/>
          <w:color w:val="000000"/>
          <w:sz w:val="20"/>
        </w:rPr>
      </w:pPr>
    </w:p>
    <w:p w14:paraId="2E3B0110" w14:textId="339B2F98" w:rsidR="008D7DF3" w:rsidRDefault="005B71BA" w:rsidP="005B71BA">
      <w:pPr>
        <w:jc w:val="both"/>
        <w:rPr>
          <w:rFonts w:ascii="Arial" w:hAnsi="Arial" w:cs="Arial"/>
          <w:sz w:val="20"/>
          <w:szCs w:val="20"/>
        </w:rPr>
      </w:pPr>
      <w:r>
        <w:rPr>
          <w:rFonts w:ascii="Arial" w:hAnsi="Arial" w:cs="Arial"/>
          <w:color w:val="000000"/>
          <w:sz w:val="20"/>
        </w:rPr>
        <w:t xml:space="preserve">What is the current end result of this jungle of legislation?  </w:t>
      </w:r>
      <w:r>
        <w:rPr>
          <w:rFonts w:ascii="Arial" w:hAnsi="Arial" w:cs="Arial"/>
          <w:sz w:val="20"/>
        </w:rPr>
        <w:t>Notwithstanding counsel’s thoughtful analysis</w:t>
      </w:r>
      <w:r w:rsidR="00BF732A">
        <w:rPr>
          <w:rFonts w:ascii="Arial" w:hAnsi="Arial" w:cs="Arial"/>
          <w:sz w:val="20"/>
        </w:rPr>
        <w:t xml:space="preserve"> in 2006</w:t>
      </w:r>
      <w:r>
        <w:rPr>
          <w:rFonts w:ascii="Arial" w:hAnsi="Arial" w:cs="Arial"/>
          <w:sz w:val="20"/>
        </w:rPr>
        <w:t xml:space="preserve">, the writer </w:t>
      </w:r>
      <w:r w:rsidR="00642457">
        <w:rPr>
          <w:rFonts w:ascii="Arial" w:hAnsi="Arial" w:cs="Arial"/>
          <w:sz w:val="20"/>
        </w:rPr>
        <w:t xml:space="preserve">considers that it is not entirely clear </w:t>
      </w:r>
      <w:r w:rsidR="006D17EA">
        <w:rPr>
          <w:rFonts w:ascii="Arial" w:hAnsi="Arial" w:cs="Arial"/>
          <w:sz w:val="20"/>
        </w:rPr>
        <w:t xml:space="preserve">that </w:t>
      </w:r>
      <w:r>
        <w:rPr>
          <w:rFonts w:ascii="Arial" w:hAnsi="Arial" w:cs="Arial"/>
          <w:sz w:val="20"/>
          <w:szCs w:val="20"/>
        </w:rPr>
        <w:t xml:space="preserve">the </w:t>
      </w:r>
      <w:proofErr w:type="spellStart"/>
      <w:r>
        <w:rPr>
          <w:rFonts w:ascii="Arial" w:hAnsi="Arial" w:cs="Arial"/>
          <w:sz w:val="20"/>
          <w:szCs w:val="20"/>
        </w:rPr>
        <w:t>C</w:t>
      </w:r>
      <w:r w:rsidR="001202C2">
        <w:rPr>
          <w:rFonts w:ascii="Arial" w:hAnsi="Arial" w:cs="Arial"/>
          <w:sz w:val="20"/>
          <w:szCs w:val="20"/>
        </w:rPr>
        <w:t>h</w:t>
      </w:r>
      <w:r>
        <w:rPr>
          <w:rFonts w:ascii="Arial" w:hAnsi="Arial" w:cs="Arial"/>
          <w:sz w:val="20"/>
          <w:szCs w:val="20"/>
        </w:rPr>
        <w:t>CV</w:t>
      </w:r>
      <w:proofErr w:type="spellEnd"/>
      <w:r>
        <w:rPr>
          <w:rFonts w:ascii="Arial" w:hAnsi="Arial" w:cs="Arial"/>
          <w:sz w:val="20"/>
          <w:szCs w:val="20"/>
        </w:rPr>
        <w:t xml:space="preserve"> </w:t>
      </w:r>
      <w:r w:rsidR="008D7DF3">
        <w:rPr>
          <w:rFonts w:ascii="Arial" w:hAnsi="Arial" w:cs="Arial"/>
          <w:sz w:val="20"/>
          <w:szCs w:val="20"/>
        </w:rPr>
        <w:t xml:space="preserve">(whether constituted by the President or a magistrate) </w:t>
      </w:r>
      <w:r w:rsidRPr="006555D8">
        <w:rPr>
          <w:rFonts w:ascii="Arial" w:hAnsi="Arial" w:cs="Arial"/>
          <w:sz w:val="20"/>
          <w:szCs w:val="20"/>
        </w:rPr>
        <w:t>can</w:t>
      </w:r>
      <w:r>
        <w:rPr>
          <w:rFonts w:ascii="Arial" w:hAnsi="Arial" w:cs="Arial"/>
          <w:sz w:val="20"/>
          <w:szCs w:val="20"/>
        </w:rPr>
        <w:t xml:space="preserve"> exercise the jurisdiction which the MCV ha</w:t>
      </w:r>
      <w:r w:rsidR="00847366">
        <w:rPr>
          <w:rFonts w:ascii="Arial" w:hAnsi="Arial" w:cs="Arial"/>
          <w:sz w:val="20"/>
          <w:szCs w:val="20"/>
        </w:rPr>
        <w:t>s</w:t>
      </w:r>
      <w:r>
        <w:rPr>
          <w:rFonts w:ascii="Arial" w:hAnsi="Arial" w:cs="Arial"/>
          <w:sz w:val="20"/>
          <w:szCs w:val="20"/>
        </w:rPr>
        <w:t xml:space="preserve"> under the FLA</w:t>
      </w:r>
      <w:r w:rsidR="008D7DF3">
        <w:rPr>
          <w:rFonts w:ascii="Arial" w:hAnsi="Arial" w:cs="Arial"/>
          <w:sz w:val="20"/>
          <w:szCs w:val="20"/>
        </w:rPr>
        <w:t xml:space="preserve">.  </w:t>
      </w:r>
      <w:r w:rsidR="002C3464">
        <w:rPr>
          <w:rFonts w:ascii="Arial" w:hAnsi="Arial" w:cs="Arial"/>
          <w:sz w:val="20"/>
          <w:szCs w:val="20"/>
        </w:rPr>
        <w:t>I</w:t>
      </w:r>
      <w:r w:rsidR="008D7DF3">
        <w:rPr>
          <w:rFonts w:ascii="Arial" w:hAnsi="Arial" w:cs="Arial"/>
          <w:sz w:val="20"/>
          <w:szCs w:val="20"/>
        </w:rPr>
        <w:t xml:space="preserve">ndeed </w:t>
      </w:r>
      <w:r w:rsidR="002C3464">
        <w:rPr>
          <w:rFonts w:ascii="Arial" w:hAnsi="Arial" w:cs="Arial"/>
          <w:sz w:val="20"/>
          <w:szCs w:val="20"/>
        </w:rPr>
        <w:t xml:space="preserve">there is even some doubt </w:t>
      </w:r>
      <w:r w:rsidR="007B4E62">
        <w:rPr>
          <w:rFonts w:ascii="Arial" w:hAnsi="Arial" w:cs="Arial"/>
          <w:sz w:val="20"/>
          <w:szCs w:val="20"/>
        </w:rPr>
        <w:t>that</w:t>
      </w:r>
      <w:r w:rsidR="008D7DF3">
        <w:rPr>
          <w:rFonts w:ascii="Arial" w:hAnsi="Arial" w:cs="Arial"/>
          <w:sz w:val="20"/>
          <w:szCs w:val="20"/>
        </w:rPr>
        <w:t xml:space="preserve"> </w:t>
      </w:r>
      <w:r>
        <w:rPr>
          <w:rFonts w:ascii="Arial" w:hAnsi="Arial" w:cs="Arial"/>
          <w:sz w:val="20"/>
          <w:szCs w:val="20"/>
        </w:rPr>
        <w:t xml:space="preserve">the MCV itself can continue to exercise </w:t>
      </w:r>
      <w:r w:rsidR="008D7DF3">
        <w:rPr>
          <w:rFonts w:ascii="Arial" w:hAnsi="Arial" w:cs="Arial"/>
          <w:sz w:val="20"/>
          <w:szCs w:val="20"/>
        </w:rPr>
        <w:t>Part VII FLA</w:t>
      </w:r>
      <w:r>
        <w:rPr>
          <w:rFonts w:ascii="Arial" w:hAnsi="Arial" w:cs="Arial"/>
          <w:sz w:val="20"/>
          <w:szCs w:val="20"/>
        </w:rPr>
        <w:t xml:space="preserve"> jurisdiction given that it is now headed by </w:t>
      </w:r>
      <w:r w:rsidR="001202C2">
        <w:rPr>
          <w:rFonts w:ascii="Arial" w:hAnsi="Arial" w:cs="Arial"/>
          <w:sz w:val="20"/>
          <w:szCs w:val="20"/>
        </w:rPr>
        <w:t xml:space="preserve">a </w:t>
      </w:r>
      <w:r>
        <w:rPr>
          <w:rFonts w:ascii="Arial" w:hAnsi="Arial" w:cs="Arial"/>
          <w:sz w:val="20"/>
          <w:szCs w:val="20"/>
        </w:rPr>
        <w:t xml:space="preserve">Supreme Court justice).  </w:t>
      </w:r>
      <w:r w:rsidR="00314B0B">
        <w:rPr>
          <w:rFonts w:ascii="Arial" w:hAnsi="Arial" w:cs="Arial"/>
          <w:sz w:val="20"/>
          <w:szCs w:val="20"/>
        </w:rPr>
        <w:t xml:space="preserve">However, </w:t>
      </w:r>
      <w:r w:rsidR="00AE3C70">
        <w:rPr>
          <w:rFonts w:ascii="Arial" w:hAnsi="Arial" w:cs="Arial"/>
          <w:sz w:val="20"/>
          <w:szCs w:val="20"/>
        </w:rPr>
        <w:t>t</w:t>
      </w:r>
      <w:r w:rsidR="008D7DF3">
        <w:rPr>
          <w:rFonts w:ascii="Arial" w:hAnsi="Arial" w:cs="Arial"/>
          <w:sz w:val="20"/>
          <w:szCs w:val="20"/>
        </w:rPr>
        <w:t xml:space="preserve">he writer’s </w:t>
      </w:r>
      <w:r w:rsidR="00AE3C70">
        <w:rPr>
          <w:rFonts w:ascii="Arial" w:hAnsi="Arial" w:cs="Arial"/>
          <w:sz w:val="20"/>
          <w:szCs w:val="20"/>
        </w:rPr>
        <w:t>preferred view</w:t>
      </w:r>
      <w:r w:rsidR="008D7DF3">
        <w:rPr>
          <w:rFonts w:ascii="Arial" w:hAnsi="Arial" w:cs="Arial"/>
          <w:sz w:val="20"/>
          <w:szCs w:val="20"/>
        </w:rPr>
        <w:t xml:space="preserve"> is</w:t>
      </w:r>
      <w:r w:rsidR="00A63F90">
        <w:rPr>
          <w:rFonts w:ascii="Arial" w:hAnsi="Arial" w:cs="Arial"/>
          <w:sz w:val="20"/>
          <w:szCs w:val="20"/>
        </w:rPr>
        <w:t>:</w:t>
      </w:r>
    </w:p>
    <w:p w14:paraId="28A47C23" w14:textId="637D994E" w:rsidR="008D7DF3" w:rsidRPr="008D7DF3" w:rsidRDefault="00E61125" w:rsidP="00FB1EE3">
      <w:pPr>
        <w:pStyle w:val="ListParagraph"/>
        <w:numPr>
          <w:ilvl w:val="0"/>
          <w:numId w:val="64"/>
        </w:numPr>
        <w:ind w:left="357" w:hanging="357"/>
        <w:jc w:val="both"/>
        <w:rPr>
          <w:rFonts w:ascii="Arial" w:hAnsi="Arial" w:cs="Arial"/>
          <w:color w:val="000000"/>
          <w:sz w:val="20"/>
        </w:rPr>
      </w:pPr>
      <w:r>
        <w:rPr>
          <w:rFonts w:ascii="Arial" w:hAnsi="Arial" w:cs="Arial"/>
          <w:sz w:val="20"/>
        </w:rPr>
        <w:t>B</w:t>
      </w:r>
      <w:r w:rsidR="008D7DF3" w:rsidRPr="008D7DF3">
        <w:rPr>
          <w:rFonts w:ascii="Arial" w:hAnsi="Arial" w:cs="Arial"/>
          <w:sz w:val="20"/>
        </w:rPr>
        <w:t xml:space="preserve">oth the </w:t>
      </w:r>
      <w:proofErr w:type="spellStart"/>
      <w:r w:rsidR="008D7DF3" w:rsidRPr="008D7DF3">
        <w:rPr>
          <w:rFonts w:ascii="Arial" w:hAnsi="Arial" w:cs="Arial"/>
          <w:sz w:val="20"/>
        </w:rPr>
        <w:t>C</w:t>
      </w:r>
      <w:r w:rsidR="001202C2">
        <w:rPr>
          <w:rFonts w:ascii="Arial" w:hAnsi="Arial" w:cs="Arial"/>
          <w:sz w:val="20"/>
        </w:rPr>
        <w:t>h</w:t>
      </w:r>
      <w:r w:rsidR="008D7DF3" w:rsidRPr="008D7DF3">
        <w:rPr>
          <w:rFonts w:ascii="Arial" w:hAnsi="Arial" w:cs="Arial"/>
          <w:sz w:val="20"/>
        </w:rPr>
        <w:t>CV</w:t>
      </w:r>
      <w:proofErr w:type="spellEnd"/>
      <w:r w:rsidR="008D7DF3" w:rsidRPr="008D7DF3">
        <w:rPr>
          <w:rFonts w:ascii="Arial" w:hAnsi="Arial" w:cs="Arial"/>
          <w:sz w:val="20"/>
        </w:rPr>
        <w:t xml:space="preserve"> and the MCV remain ‘courts of summary jurisdiction’ within the meaning of </w:t>
      </w:r>
      <w:r w:rsidR="008D7DF3">
        <w:rPr>
          <w:rFonts w:ascii="Arial" w:hAnsi="Arial" w:cs="Arial"/>
          <w:sz w:val="20"/>
        </w:rPr>
        <w:t>s.69J(1) FLA whether constituted by the President, the Chief Magistrate or a magistrate</w:t>
      </w:r>
      <w:r>
        <w:rPr>
          <w:rFonts w:ascii="Arial" w:hAnsi="Arial" w:cs="Arial"/>
          <w:sz w:val="20"/>
        </w:rPr>
        <w:t>.</w:t>
      </w:r>
    </w:p>
    <w:p w14:paraId="493B1378" w14:textId="4E01F248" w:rsidR="005B71BA" w:rsidRPr="006C53BA" w:rsidRDefault="00E61125" w:rsidP="00FB1EE3">
      <w:pPr>
        <w:pStyle w:val="ListParagraph"/>
        <w:numPr>
          <w:ilvl w:val="0"/>
          <w:numId w:val="64"/>
        </w:numPr>
        <w:ind w:left="357" w:hanging="357"/>
        <w:jc w:val="both"/>
        <w:rPr>
          <w:rFonts w:ascii="Arial" w:hAnsi="Arial" w:cs="Arial"/>
          <w:color w:val="000000"/>
          <w:sz w:val="20"/>
        </w:rPr>
      </w:pPr>
      <w:r>
        <w:rPr>
          <w:rFonts w:ascii="Arial" w:hAnsi="Arial" w:cs="Arial"/>
          <w:sz w:val="20"/>
        </w:rPr>
        <w:t>B</w:t>
      </w:r>
      <w:r w:rsidR="008D7DF3">
        <w:rPr>
          <w:rFonts w:ascii="Arial" w:hAnsi="Arial" w:cs="Arial"/>
          <w:sz w:val="20"/>
        </w:rPr>
        <w:t xml:space="preserve">oth the </w:t>
      </w:r>
      <w:proofErr w:type="spellStart"/>
      <w:r w:rsidR="008D7DF3">
        <w:rPr>
          <w:rFonts w:ascii="Arial" w:hAnsi="Arial" w:cs="Arial"/>
          <w:sz w:val="20"/>
        </w:rPr>
        <w:t>C</w:t>
      </w:r>
      <w:r w:rsidR="001202C2">
        <w:rPr>
          <w:rFonts w:ascii="Arial" w:hAnsi="Arial" w:cs="Arial"/>
          <w:sz w:val="20"/>
        </w:rPr>
        <w:t>h</w:t>
      </w:r>
      <w:r w:rsidR="008D7DF3">
        <w:rPr>
          <w:rFonts w:ascii="Arial" w:hAnsi="Arial" w:cs="Arial"/>
          <w:sz w:val="20"/>
        </w:rPr>
        <w:t>CV</w:t>
      </w:r>
      <w:proofErr w:type="spellEnd"/>
      <w:r w:rsidR="008D7DF3">
        <w:rPr>
          <w:rFonts w:ascii="Arial" w:hAnsi="Arial" w:cs="Arial"/>
          <w:sz w:val="20"/>
        </w:rPr>
        <w:t xml:space="preserve"> and the MCV therefore have full jurisdiction under s.69J(1) FLA and the </w:t>
      </w:r>
      <w:proofErr w:type="spellStart"/>
      <w:r w:rsidR="008D7DF3">
        <w:rPr>
          <w:rFonts w:ascii="Arial" w:hAnsi="Arial" w:cs="Arial"/>
          <w:sz w:val="20"/>
        </w:rPr>
        <w:t>C</w:t>
      </w:r>
      <w:r w:rsidR="001202C2">
        <w:rPr>
          <w:rFonts w:ascii="Arial" w:hAnsi="Arial" w:cs="Arial"/>
          <w:sz w:val="20"/>
        </w:rPr>
        <w:t>h</w:t>
      </w:r>
      <w:r w:rsidR="008D7DF3">
        <w:rPr>
          <w:rFonts w:ascii="Arial" w:hAnsi="Arial" w:cs="Arial"/>
          <w:sz w:val="20"/>
        </w:rPr>
        <w:t>CV</w:t>
      </w:r>
      <w:proofErr w:type="spellEnd"/>
      <w:r w:rsidR="008D7DF3">
        <w:rPr>
          <w:rFonts w:ascii="Arial" w:hAnsi="Arial" w:cs="Arial"/>
          <w:sz w:val="20"/>
        </w:rPr>
        <w:t xml:space="preserve"> has concurrent jurisdiction under s.515(4) CYFA to </w:t>
      </w:r>
      <w:r w:rsidR="00517FC1">
        <w:rPr>
          <w:rFonts w:ascii="Arial" w:hAnsi="Arial" w:cs="Arial"/>
          <w:sz w:val="20"/>
        </w:rPr>
        <w:t xml:space="preserve">hear and determine </w:t>
      </w:r>
      <w:r w:rsidR="006C53BA">
        <w:rPr>
          <w:rFonts w:ascii="Arial" w:hAnsi="Arial" w:cs="Arial"/>
          <w:sz w:val="20"/>
        </w:rPr>
        <w:t>matters arising under Part VII of the FLA</w:t>
      </w:r>
      <w:r w:rsidR="00A9017D">
        <w:rPr>
          <w:rFonts w:ascii="Arial" w:hAnsi="Arial" w:cs="Arial"/>
          <w:sz w:val="20"/>
        </w:rPr>
        <w:t xml:space="preserve"> (</w:t>
      </w:r>
      <w:r w:rsidR="006C53BA">
        <w:rPr>
          <w:rFonts w:ascii="Arial" w:hAnsi="Arial" w:cs="Arial"/>
          <w:sz w:val="20"/>
        </w:rPr>
        <w:t>other than proceedings under s.60G</w:t>
      </w:r>
      <w:r w:rsidR="00A9017D">
        <w:rPr>
          <w:rFonts w:ascii="Arial" w:hAnsi="Arial" w:cs="Arial"/>
          <w:sz w:val="20"/>
        </w:rPr>
        <w:t>)</w:t>
      </w:r>
      <w:r>
        <w:rPr>
          <w:rFonts w:ascii="Arial" w:hAnsi="Arial" w:cs="Arial"/>
          <w:sz w:val="20"/>
        </w:rPr>
        <w:t>.</w:t>
      </w:r>
    </w:p>
    <w:p w14:paraId="7A66CABE" w14:textId="1B7554B0" w:rsidR="00E61125" w:rsidRDefault="00E61125" w:rsidP="00FB1EE3">
      <w:pPr>
        <w:pStyle w:val="ListParagraph"/>
        <w:numPr>
          <w:ilvl w:val="0"/>
          <w:numId w:val="64"/>
        </w:numPr>
        <w:ind w:left="357" w:hanging="357"/>
        <w:jc w:val="both"/>
        <w:rPr>
          <w:rFonts w:ascii="Arial" w:hAnsi="Arial" w:cs="Arial"/>
          <w:color w:val="000000"/>
          <w:sz w:val="20"/>
        </w:rPr>
      </w:pPr>
      <w:r>
        <w:rPr>
          <w:rFonts w:ascii="Arial" w:hAnsi="Arial" w:cs="Arial"/>
          <w:color w:val="000000"/>
          <w:sz w:val="20"/>
        </w:rPr>
        <w:t>T</w:t>
      </w:r>
      <w:r w:rsidR="006C53BA">
        <w:rPr>
          <w:rFonts w:ascii="Arial" w:hAnsi="Arial" w:cs="Arial"/>
          <w:color w:val="000000"/>
          <w:sz w:val="20"/>
        </w:rPr>
        <w:t>he fact that a court has conferred jurisdiction does not compel the court to exercise it</w:t>
      </w:r>
      <w:r>
        <w:rPr>
          <w:rFonts w:ascii="Arial" w:hAnsi="Arial" w:cs="Arial"/>
          <w:color w:val="000000"/>
          <w:sz w:val="20"/>
        </w:rPr>
        <w:t>.  F</w:t>
      </w:r>
      <w:r w:rsidR="00517FC1">
        <w:rPr>
          <w:rFonts w:ascii="Arial" w:hAnsi="Arial" w:cs="Arial"/>
          <w:color w:val="000000"/>
          <w:sz w:val="20"/>
        </w:rPr>
        <w:t xml:space="preserve">or the moment both the </w:t>
      </w:r>
      <w:proofErr w:type="spellStart"/>
      <w:r w:rsidR="00517FC1">
        <w:rPr>
          <w:rFonts w:ascii="Arial" w:hAnsi="Arial" w:cs="Arial"/>
          <w:color w:val="000000"/>
          <w:sz w:val="20"/>
        </w:rPr>
        <w:t>C</w:t>
      </w:r>
      <w:r w:rsidR="001202C2">
        <w:rPr>
          <w:rFonts w:ascii="Arial" w:hAnsi="Arial" w:cs="Arial"/>
          <w:color w:val="000000"/>
          <w:sz w:val="20"/>
        </w:rPr>
        <w:t>h</w:t>
      </w:r>
      <w:r w:rsidR="00517FC1">
        <w:rPr>
          <w:rFonts w:ascii="Arial" w:hAnsi="Arial" w:cs="Arial"/>
          <w:color w:val="000000"/>
          <w:sz w:val="20"/>
        </w:rPr>
        <w:t>CV</w:t>
      </w:r>
      <w:proofErr w:type="spellEnd"/>
      <w:r w:rsidR="00517FC1">
        <w:rPr>
          <w:rFonts w:ascii="Arial" w:hAnsi="Arial" w:cs="Arial"/>
          <w:color w:val="000000"/>
          <w:sz w:val="20"/>
        </w:rPr>
        <w:t xml:space="preserve"> and the MCV have chosen to exercise limited jurisdiction under s.69J(1) FLA</w:t>
      </w:r>
      <w:r>
        <w:rPr>
          <w:rFonts w:ascii="Arial" w:hAnsi="Arial" w:cs="Arial"/>
          <w:color w:val="000000"/>
          <w:sz w:val="20"/>
        </w:rPr>
        <w:t>.</w:t>
      </w:r>
    </w:p>
    <w:p w14:paraId="547CC74B" w14:textId="7F3E9F81" w:rsidR="00E61125" w:rsidRDefault="00A63F90" w:rsidP="00FB1EE3">
      <w:pPr>
        <w:pStyle w:val="ListParagraph"/>
        <w:numPr>
          <w:ilvl w:val="0"/>
          <w:numId w:val="64"/>
        </w:numPr>
        <w:ind w:left="357" w:hanging="357"/>
        <w:jc w:val="both"/>
        <w:rPr>
          <w:rFonts w:ascii="Arial" w:hAnsi="Arial" w:cs="Arial"/>
          <w:color w:val="000000"/>
          <w:sz w:val="20"/>
        </w:rPr>
      </w:pPr>
      <w:bookmarkStart w:id="368" w:name="_Hlk97807557"/>
      <w:bookmarkStart w:id="369" w:name="_Hlk97807243"/>
      <w:r>
        <w:rPr>
          <w:rFonts w:ascii="Arial" w:hAnsi="Arial" w:cs="Arial"/>
          <w:color w:val="000000"/>
          <w:sz w:val="20"/>
        </w:rPr>
        <w:t xml:space="preserve">Both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and the MCV do </w:t>
      </w:r>
      <w:r w:rsidR="00555421">
        <w:rPr>
          <w:rFonts w:ascii="Arial" w:hAnsi="Arial" w:cs="Arial"/>
          <w:color w:val="000000"/>
          <w:sz w:val="20"/>
        </w:rPr>
        <w:t xml:space="preserve">have and do </w:t>
      </w:r>
      <w:r>
        <w:rPr>
          <w:rFonts w:ascii="Arial" w:hAnsi="Arial" w:cs="Arial"/>
          <w:color w:val="000000"/>
          <w:sz w:val="20"/>
        </w:rPr>
        <w:t xml:space="preserve">exercise jurisdiction under s.68R FLA </w:t>
      </w:r>
      <w:r w:rsidR="00555421">
        <w:rPr>
          <w:rFonts w:ascii="Arial" w:hAnsi="Arial" w:cs="Arial"/>
          <w:color w:val="000000"/>
          <w:sz w:val="20"/>
        </w:rPr>
        <w:t xml:space="preserve">to revive, vary, discharge or suspend an FLA contact order </w:t>
      </w:r>
      <w:r w:rsidR="00B537B7">
        <w:rPr>
          <w:rFonts w:ascii="Arial" w:hAnsi="Arial" w:cs="Arial"/>
          <w:color w:val="000000"/>
          <w:sz w:val="20"/>
        </w:rPr>
        <w:t>in proceedings under the FVPA to make or vary a</w:t>
      </w:r>
      <w:r w:rsidR="00555421">
        <w:rPr>
          <w:rFonts w:ascii="Arial" w:hAnsi="Arial" w:cs="Arial"/>
          <w:color w:val="000000"/>
          <w:sz w:val="20"/>
        </w:rPr>
        <w:t xml:space="preserve"> </w:t>
      </w:r>
      <w:r w:rsidR="00555421" w:rsidRPr="00830AAE">
        <w:rPr>
          <w:rFonts w:ascii="Arial" w:hAnsi="Arial" w:cs="Arial"/>
          <w:color w:val="000000"/>
          <w:sz w:val="20"/>
        </w:rPr>
        <w:t xml:space="preserve">family violence </w:t>
      </w:r>
      <w:r w:rsidR="00555421">
        <w:rPr>
          <w:rFonts w:ascii="Arial" w:hAnsi="Arial" w:cs="Arial"/>
          <w:color w:val="000000"/>
          <w:sz w:val="20"/>
        </w:rPr>
        <w:t xml:space="preserve">intervention </w:t>
      </w:r>
      <w:r w:rsidR="00555421" w:rsidRPr="00830AAE">
        <w:rPr>
          <w:rFonts w:ascii="Arial" w:hAnsi="Arial" w:cs="Arial"/>
          <w:color w:val="000000"/>
          <w:sz w:val="20"/>
        </w:rPr>
        <w:t>order</w:t>
      </w:r>
      <w:r w:rsidR="00555421">
        <w:rPr>
          <w:rFonts w:ascii="Arial" w:hAnsi="Arial" w:cs="Arial"/>
          <w:color w:val="000000"/>
          <w:sz w:val="20"/>
        </w:rPr>
        <w:t>.</w:t>
      </w:r>
    </w:p>
    <w:bookmarkEnd w:id="368"/>
    <w:p w14:paraId="51F67438" w14:textId="207A0137" w:rsidR="006D17EA" w:rsidRDefault="006D17EA" w:rsidP="00FB1EE3">
      <w:pPr>
        <w:pStyle w:val="ListParagraph"/>
        <w:numPr>
          <w:ilvl w:val="0"/>
          <w:numId w:val="64"/>
        </w:numPr>
        <w:ind w:left="357" w:hanging="357"/>
        <w:jc w:val="both"/>
        <w:rPr>
          <w:rFonts w:ascii="Arial" w:hAnsi="Arial" w:cs="Arial"/>
          <w:color w:val="000000"/>
          <w:sz w:val="20"/>
        </w:rPr>
      </w:pPr>
      <w:r>
        <w:rPr>
          <w:rFonts w:ascii="Arial" w:hAnsi="Arial" w:cs="Arial"/>
          <w:color w:val="000000"/>
          <w:sz w:val="20"/>
        </w:rPr>
        <w:t xml:space="preserve">Although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does have </w:t>
      </w:r>
      <w:r w:rsidR="006F4B48">
        <w:rPr>
          <w:rFonts w:ascii="Arial" w:hAnsi="Arial" w:cs="Arial"/>
          <w:color w:val="000000"/>
          <w:sz w:val="20"/>
        </w:rPr>
        <w:t xml:space="preserve">broad </w:t>
      </w:r>
      <w:r>
        <w:rPr>
          <w:rFonts w:ascii="Arial" w:hAnsi="Arial" w:cs="Arial"/>
          <w:color w:val="000000"/>
          <w:sz w:val="20"/>
        </w:rPr>
        <w:t>general jurisdiction under Part VII FLA, it does not yet exercise it</w:t>
      </w:r>
      <w:r w:rsidR="00D133AC">
        <w:rPr>
          <w:rFonts w:ascii="Arial" w:hAnsi="Arial" w:cs="Arial"/>
          <w:color w:val="000000"/>
          <w:sz w:val="20"/>
        </w:rPr>
        <w:t xml:space="preserve"> in any area other than s.68R</w:t>
      </w:r>
      <w:r>
        <w:rPr>
          <w:rFonts w:ascii="Arial" w:hAnsi="Arial" w:cs="Arial"/>
          <w:color w:val="000000"/>
          <w:sz w:val="20"/>
        </w:rPr>
        <w:t>.</w:t>
      </w:r>
    </w:p>
    <w:p w14:paraId="76D5585D" w14:textId="77777777" w:rsidR="006D17EA" w:rsidRDefault="002C3464" w:rsidP="00FB1EE3">
      <w:pPr>
        <w:pStyle w:val="ListParagraph"/>
        <w:numPr>
          <w:ilvl w:val="0"/>
          <w:numId w:val="64"/>
        </w:numPr>
        <w:ind w:left="357" w:hanging="357"/>
        <w:jc w:val="both"/>
        <w:rPr>
          <w:rFonts w:ascii="Arial" w:hAnsi="Arial" w:cs="Arial"/>
          <w:color w:val="000000"/>
          <w:sz w:val="20"/>
        </w:rPr>
      </w:pPr>
      <w:r>
        <w:rPr>
          <w:rFonts w:ascii="Arial" w:hAnsi="Arial" w:cs="Arial"/>
          <w:color w:val="000000"/>
          <w:sz w:val="20"/>
        </w:rPr>
        <w:t xml:space="preserve">The MCV exercises jurisdiction to hear and determine </w:t>
      </w:r>
      <w:r w:rsidR="006D17EA">
        <w:rPr>
          <w:rFonts w:ascii="Arial" w:hAnsi="Arial" w:cs="Arial"/>
          <w:color w:val="000000"/>
          <w:sz w:val="20"/>
        </w:rPr>
        <w:t xml:space="preserve">certain </w:t>
      </w:r>
      <w:r w:rsidR="00D133AC">
        <w:rPr>
          <w:rFonts w:ascii="Arial" w:hAnsi="Arial" w:cs="Arial"/>
          <w:color w:val="000000"/>
          <w:sz w:val="20"/>
        </w:rPr>
        <w:t xml:space="preserve">Part VII </w:t>
      </w:r>
      <w:r>
        <w:rPr>
          <w:rFonts w:ascii="Arial" w:hAnsi="Arial" w:cs="Arial"/>
          <w:color w:val="000000"/>
          <w:sz w:val="20"/>
        </w:rPr>
        <w:t>applications</w:t>
      </w:r>
      <w:r w:rsidR="006D17EA">
        <w:rPr>
          <w:rFonts w:ascii="Arial" w:hAnsi="Arial" w:cs="Arial"/>
          <w:color w:val="000000"/>
          <w:sz w:val="20"/>
        </w:rPr>
        <w:t>, including-</w:t>
      </w:r>
    </w:p>
    <w:p w14:paraId="71ABE7AF" w14:textId="77777777" w:rsidR="006D17EA" w:rsidRDefault="006F4B48" w:rsidP="00FB1EE3">
      <w:pPr>
        <w:pStyle w:val="ListParagraph"/>
        <w:numPr>
          <w:ilvl w:val="0"/>
          <w:numId w:val="72"/>
        </w:numPr>
        <w:jc w:val="both"/>
        <w:rPr>
          <w:rFonts w:ascii="Arial" w:hAnsi="Arial" w:cs="Arial"/>
          <w:color w:val="000000"/>
          <w:sz w:val="20"/>
        </w:rPr>
      </w:pPr>
      <w:r>
        <w:rPr>
          <w:rFonts w:ascii="Arial" w:hAnsi="Arial" w:cs="Arial"/>
          <w:color w:val="000000"/>
          <w:sz w:val="20"/>
        </w:rPr>
        <w:t>contested applications for interim FLA parenting orders;</w:t>
      </w:r>
    </w:p>
    <w:p w14:paraId="6AE4272C" w14:textId="77777777" w:rsidR="006F4B48" w:rsidRDefault="006F4B48" w:rsidP="00FB1EE3">
      <w:pPr>
        <w:pStyle w:val="ListParagraph"/>
        <w:numPr>
          <w:ilvl w:val="0"/>
          <w:numId w:val="72"/>
        </w:numPr>
        <w:jc w:val="both"/>
        <w:rPr>
          <w:rFonts w:ascii="Arial" w:hAnsi="Arial" w:cs="Arial"/>
          <w:color w:val="000000"/>
          <w:sz w:val="20"/>
        </w:rPr>
      </w:pPr>
      <w:r>
        <w:rPr>
          <w:rFonts w:ascii="Arial" w:hAnsi="Arial" w:cs="Arial"/>
          <w:color w:val="000000"/>
          <w:sz w:val="20"/>
        </w:rPr>
        <w:t>consent or uncontested applications for final FLA parenting orders;</w:t>
      </w:r>
    </w:p>
    <w:p w14:paraId="4DBFB3E7" w14:textId="77777777" w:rsidR="006F4B48" w:rsidRDefault="003A00E5" w:rsidP="00FB1EE3">
      <w:pPr>
        <w:pStyle w:val="ListParagraph"/>
        <w:numPr>
          <w:ilvl w:val="0"/>
          <w:numId w:val="72"/>
        </w:numPr>
        <w:jc w:val="both"/>
        <w:rPr>
          <w:rFonts w:ascii="Arial" w:hAnsi="Arial" w:cs="Arial"/>
          <w:color w:val="000000"/>
          <w:sz w:val="20"/>
        </w:rPr>
      </w:pPr>
      <w:r>
        <w:rPr>
          <w:rFonts w:ascii="Arial" w:hAnsi="Arial" w:cs="Arial"/>
          <w:color w:val="000000"/>
          <w:sz w:val="20"/>
        </w:rPr>
        <w:t xml:space="preserve">applications for </w:t>
      </w:r>
      <w:r w:rsidR="00D133AC">
        <w:rPr>
          <w:rFonts w:ascii="Arial" w:hAnsi="Arial" w:cs="Arial"/>
          <w:color w:val="000000"/>
          <w:sz w:val="20"/>
        </w:rPr>
        <w:t xml:space="preserve">FLA </w:t>
      </w:r>
      <w:r w:rsidR="006F4B48">
        <w:rPr>
          <w:rFonts w:ascii="Arial" w:hAnsi="Arial" w:cs="Arial"/>
          <w:color w:val="000000"/>
          <w:sz w:val="20"/>
        </w:rPr>
        <w:t>recovery orders.</w:t>
      </w:r>
    </w:p>
    <w:p w14:paraId="4E657491" w14:textId="77777777" w:rsidR="006D17EA" w:rsidRDefault="006D17EA" w:rsidP="006F4B48">
      <w:pPr>
        <w:pStyle w:val="ListParagraph"/>
        <w:ind w:left="0"/>
        <w:jc w:val="both"/>
        <w:rPr>
          <w:rFonts w:ascii="Arial" w:hAnsi="Arial" w:cs="Arial"/>
          <w:color w:val="000000"/>
          <w:sz w:val="20"/>
        </w:rPr>
      </w:pPr>
    </w:p>
    <w:p w14:paraId="2535BBBD" w14:textId="0748D471" w:rsidR="00021C71" w:rsidRPr="00E122F1" w:rsidRDefault="007F5F1E" w:rsidP="00E122F1">
      <w:pPr>
        <w:jc w:val="both"/>
        <w:rPr>
          <w:rFonts w:ascii="Arial" w:hAnsi="Arial" w:cs="Arial"/>
          <w:color w:val="000000"/>
          <w:sz w:val="20"/>
        </w:rPr>
      </w:pPr>
      <w:r>
        <w:rPr>
          <w:rFonts w:ascii="Arial" w:hAnsi="Arial" w:cs="Arial"/>
          <w:color w:val="000000"/>
          <w:sz w:val="20"/>
        </w:rPr>
        <w:t xml:space="preserve">However, </w:t>
      </w:r>
      <w:r w:rsidR="00314B0B">
        <w:rPr>
          <w:rFonts w:ascii="Arial" w:hAnsi="Arial" w:cs="Arial"/>
          <w:color w:val="000000"/>
          <w:sz w:val="20"/>
        </w:rPr>
        <w:t xml:space="preserve">because </w:t>
      </w:r>
      <w:bookmarkStart w:id="370" w:name="_Hlk97801382"/>
      <w:r w:rsidR="00314B0B">
        <w:rPr>
          <w:rFonts w:ascii="Arial" w:hAnsi="Arial" w:cs="Arial"/>
          <w:color w:val="000000"/>
          <w:sz w:val="20"/>
        </w:rPr>
        <w:t xml:space="preserve">the issue of whether the </w:t>
      </w:r>
      <w:proofErr w:type="spellStart"/>
      <w:r w:rsidR="00314B0B">
        <w:rPr>
          <w:rFonts w:ascii="Arial" w:hAnsi="Arial" w:cs="Arial"/>
          <w:color w:val="000000"/>
          <w:sz w:val="20"/>
        </w:rPr>
        <w:t>C</w:t>
      </w:r>
      <w:r w:rsidR="001202C2">
        <w:rPr>
          <w:rFonts w:ascii="Arial" w:hAnsi="Arial" w:cs="Arial"/>
          <w:color w:val="000000"/>
          <w:sz w:val="20"/>
        </w:rPr>
        <w:t>h</w:t>
      </w:r>
      <w:r w:rsidR="00314B0B">
        <w:rPr>
          <w:rFonts w:ascii="Arial" w:hAnsi="Arial" w:cs="Arial"/>
          <w:color w:val="000000"/>
          <w:sz w:val="20"/>
        </w:rPr>
        <w:t>CV</w:t>
      </w:r>
      <w:proofErr w:type="spellEnd"/>
      <w:r w:rsidR="00314B0B">
        <w:rPr>
          <w:rFonts w:ascii="Arial" w:hAnsi="Arial" w:cs="Arial"/>
          <w:color w:val="000000"/>
          <w:sz w:val="20"/>
        </w:rPr>
        <w:t xml:space="preserve"> is a ‘court of summary jurisdiction’ </w:t>
      </w:r>
      <w:r w:rsidR="00140FA4">
        <w:rPr>
          <w:rFonts w:ascii="Arial" w:hAnsi="Arial" w:cs="Arial"/>
          <w:color w:val="000000"/>
          <w:sz w:val="20"/>
        </w:rPr>
        <w:t xml:space="preserve">is still </w:t>
      </w:r>
      <w:r w:rsidR="00314B0B">
        <w:rPr>
          <w:rFonts w:ascii="Arial" w:hAnsi="Arial" w:cs="Arial"/>
          <w:color w:val="000000"/>
          <w:sz w:val="20"/>
        </w:rPr>
        <w:t xml:space="preserve">not </w:t>
      </w:r>
      <w:r w:rsidR="00000D28">
        <w:rPr>
          <w:rFonts w:ascii="Arial" w:hAnsi="Arial" w:cs="Arial"/>
          <w:color w:val="000000"/>
          <w:sz w:val="20"/>
        </w:rPr>
        <w:t>entire</w:t>
      </w:r>
      <w:r w:rsidR="00314B0B">
        <w:rPr>
          <w:rFonts w:ascii="Arial" w:hAnsi="Arial" w:cs="Arial"/>
          <w:color w:val="000000"/>
          <w:sz w:val="20"/>
        </w:rPr>
        <w:t xml:space="preserve">ly </w:t>
      </w:r>
      <w:r w:rsidR="00B140AA">
        <w:rPr>
          <w:rFonts w:ascii="Arial" w:hAnsi="Arial" w:cs="Arial"/>
          <w:color w:val="000000"/>
          <w:sz w:val="20"/>
        </w:rPr>
        <w:t>free of doubt</w:t>
      </w:r>
      <w:bookmarkEnd w:id="370"/>
      <w:r w:rsidR="00314B0B">
        <w:rPr>
          <w:rFonts w:ascii="Arial" w:hAnsi="Arial" w:cs="Arial"/>
          <w:color w:val="000000"/>
          <w:sz w:val="20"/>
        </w:rPr>
        <w:t xml:space="preserve">, </w:t>
      </w:r>
      <w:bookmarkEnd w:id="369"/>
      <w:r w:rsidR="00314B0B">
        <w:rPr>
          <w:rFonts w:ascii="Arial" w:hAnsi="Arial" w:cs="Arial"/>
          <w:color w:val="000000"/>
          <w:sz w:val="20"/>
        </w:rPr>
        <w:t>the writer believes that it would be prudent</w:t>
      </w:r>
      <w:r w:rsidR="00E122F1">
        <w:rPr>
          <w:rFonts w:ascii="Arial" w:hAnsi="Arial" w:cs="Arial"/>
          <w:color w:val="000000"/>
          <w:sz w:val="20"/>
        </w:rPr>
        <w:t xml:space="preserve"> </w:t>
      </w:r>
      <w:r w:rsidR="00314B0B">
        <w:rPr>
          <w:rFonts w:ascii="Arial" w:hAnsi="Arial" w:cs="Arial"/>
          <w:color w:val="000000"/>
          <w:sz w:val="20"/>
        </w:rPr>
        <w:t xml:space="preserve">for the </w:t>
      </w:r>
      <w:proofErr w:type="spellStart"/>
      <w:r w:rsidR="00314B0B">
        <w:rPr>
          <w:rFonts w:ascii="Arial" w:hAnsi="Arial" w:cs="Arial"/>
          <w:color w:val="000000"/>
          <w:sz w:val="20"/>
        </w:rPr>
        <w:t>C</w:t>
      </w:r>
      <w:r w:rsidR="001202C2">
        <w:rPr>
          <w:rFonts w:ascii="Arial" w:hAnsi="Arial" w:cs="Arial"/>
          <w:color w:val="000000"/>
          <w:sz w:val="20"/>
        </w:rPr>
        <w:t>h</w:t>
      </w:r>
      <w:r w:rsidR="00314B0B">
        <w:rPr>
          <w:rFonts w:ascii="Arial" w:hAnsi="Arial" w:cs="Arial"/>
          <w:color w:val="000000"/>
          <w:sz w:val="20"/>
        </w:rPr>
        <w:t>CV</w:t>
      </w:r>
      <w:proofErr w:type="spellEnd"/>
      <w:r w:rsidR="00314B0B">
        <w:rPr>
          <w:rFonts w:ascii="Arial" w:hAnsi="Arial" w:cs="Arial"/>
          <w:color w:val="000000"/>
          <w:sz w:val="20"/>
        </w:rPr>
        <w:t xml:space="preserve"> to be </w:t>
      </w:r>
      <w:r w:rsidR="00314B0B">
        <w:rPr>
          <w:rFonts w:ascii="Arial" w:hAnsi="Arial" w:cs="Arial"/>
          <w:sz w:val="20"/>
        </w:rPr>
        <w:t xml:space="preserve">prescribed by Commonwealth regulations </w:t>
      </w:r>
      <w:r w:rsidR="002005EA">
        <w:rPr>
          <w:rFonts w:ascii="Arial" w:hAnsi="Arial" w:cs="Arial"/>
          <w:sz w:val="20"/>
        </w:rPr>
        <w:t xml:space="preserve">made under s.69GA </w:t>
      </w:r>
      <w:r w:rsidR="00314B0B">
        <w:rPr>
          <w:rFonts w:ascii="Arial" w:hAnsi="Arial" w:cs="Arial"/>
          <w:sz w:val="20"/>
        </w:rPr>
        <w:t>as a state court empowered to hear proceedings (or specified classes of proceedings) under the FLA</w:t>
      </w:r>
      <w:r w:rsidR="00E122F1">
        <w:rPr>
          <w:rFonts w:ascii="Arial" w:hAnsi="Arial" w:cs="Arial"/>
          <w:sz w:val="20"/>
        </w:rPr>
        <w:t xml:space="preserve">.  If that is done, </w:t>
      </w:r>
      <w:r w:rsidR="00021C71" w:rsidRPr="00E122F1">
        <w:rPr>
          <w:rFonts w:ascii="Arial" w:hAnsi="Arial" w:cs="Arial"/>
          <w:color w:val="000000"/>
          <w:sz w:val="20"/>
        </w:rPr>
        <w:t>s.69</w:t>
      </w:r>
      <w:proofErr w:type="gramStart"/>
      <w:r w:rsidR="00021C71" w:rsidRPr="00E122F1">
        <w:rPr>
          <w:rFonts w:ascii="Arial" w:hAnsi="Arial" w:cs="Arial"/>
          <w:color w:val="000000"/>
          <w:sz w:val="20"/>
        </w:rPr>
        <w:t>GA(</w:t>
      </w:r>
      <w:proofErr w:type="gramEnd"/>
      <w:r w:rsidR="00021C71" w:rsidRPr="00E122F1">
        <w:rPr>
          <w:rFonts w:ascii="Arial" w:hAnsi="Arial" w:cs="Arial"/>
          <w:color w:val="000000"/>
          <w:sz w:val="20"/>
        </w:rPr>
        <w:t xml:space="preserve">3) </w:t>
      </w:r>
      <w:r w:rsidR="00E122F1">
        <w:rPr>
          <w:rFonts w:ascii="Arial" w:hAnsi="Arial" w:cs="Arial"/>
          <w:color w:val="000000"/>
          <w:sz w:val="20"/>
        </w:rPr>
        <w:t xml:space="preserve">FLA </w:t>
      </w:r>
      <w:r w:rsidR="00021C71" w:rsidRPr="00E122F1">
        <w:rPr>
          <w:rFonts w:ascii="Arial" w:hAnsi="Arial" w:cs="Arial"/>
          <w:color w:val="000000"/>
          <w:sz w:val="20"/>
        </w:rPr>
        <w:t xml:space="preserve">will enable </w:t>
      </w:r>
      <w:proofErr w:type="spellStart"/>
      <w:r w:rsidR="00021C71" w:rsidRPr="00E122F1">
        <w:rPr>
          <w:rFonts w:ascii="Arial" w:hAnsi="Arial" w:cs="Arial"/>
          <w:color w:val="000000"/>
          <w:sz w:val="20"/>
        </w:rPr>
        <w:t>C</w:t>
      </w:r>
      <w:r w:rsidR="001202C2">
        <w:rPr>
          <w:rFonts w:ascii="Arial" w:hAnsi="Arial" w:cs="Arial"/>
          <w:color w:val="000000"/>
          <w:sz w:val="20"/>
        </w:rPr>
        <w:t>h</w:t>
      </w:r>
      <w:r w:rsidR="00021C71" w:rsidRPr="00E122F1">
        <w:rPr>
          <w:rFonts w:ascii="Arial" w:hAnsi="Arial" w:cs="Arial"/>
          <w:color w:val="000000"/>
          <w:sz w:val="20"/>
        </w:rPr>
        <w:t>CV</w:t>
      </w:r>
      <w:proofErr w:type="spellEnd"/>
      <w:r w:rsidR="00021C71" w:rsidRPr="00E122F1">
        <w:rPr>
          <w:rFonts w:ascii="Arial" w:hAnsi="Arial" w:cs="Arial"/>
          <w:color w:val="000000"/>
          <w:sz w:val="20"/>
        </w:rPr>
        <w:t xml:space="preserve"> rules made under s.588(1)(</w:t>
      </w:r>
      <w:proofErr w:type="spellStart"/>
      <w:r w:rsidR="00021C71" w:rsidRPr="00E122F1">
        <w:rPr>
          <w:rFonts w:ascii="Arial" w:hAnsi="Arial" w:cs="Arial"/>
          <w:color w:val="000000"/>
          <w:sz w:val="20"/>
        </w:rPr>
        <w:t>ba</w:t>
      </w:r>
      <w:proofErr w:type="spellEnd"/>
      <w:r w:rsidR="00021C71" w:rsidRPr="00E122F1">
        <w:rPr>
          <w:rFonts w:ascii="Arial" w:hAnsi="Arial" w:cs="Arial"/>
          <w:color w:val="000000"/>
          <w:sz w:val="20"/>
        </w:rPr>
        <w:t xml:space="preserve">) CYFA to be prescribed under the FLA as the relevant rules for the exercise of Part VII </w:t>
      </w:r>
      <w:r w:rsidR="00D43DF0">
        <w:rPr>
          <w:rFonts w:ascii="Arial" w:hAnsi="Arial" w:cs="Arial"/>
          <w:color w:val="000000"/>
          <w:sz w:val="20"/>
        </w:rPr>
        <w:t xml:space="preserve">FLA </w:t>
      </w:r>
      <w:r w:rsidR="00021C71" w:rsidRPr="00E122F1">
        <w:rPr>
          <w:rFonts w:ascii="Arial" w:hAnsi="Arial" w:cs="Arial"/>
          <w:color w:val="000000"/>
          <w:sz w:val="20"/>
        </w:rPr>
        <w:t xml:space="preserve">jurisdiction in the </w:t>
      </w:r>
      <w:proofErr w:type="spellStart"/>
      <w:r w:rsidR="00021C71" w:rsidRPr="00E122F1">
        <w:rPr>
          <w:rFonts w:ascii="Arial" w:hAnsi="Arial" w:cs="Arial"/>
          <w:color w:val="000000"/>
          <w:sz w:val="20"/>
        </w:rPr>
        <w:t>C</w:t>
      </w:r>
      <w:r w:rsidR="001202C2">
        <w:rPr>
          <w:rFonts w:ascii="Arial" w:hAnsi="Arial" w:cs="Arial"/>
          <w:color w:val="000000"/>
          <w:sz w:val="20"/>
        </w:rPr>
        <w:t>h</w:t>
      </w:r>
      <w:r w:rsidR="00021C71" w:rsidRPr="00E122F1">
        <w:rPr>
          <w:rFonts w:ascii="Arial" w:hAnsi="Arial" w:cs="Arial"/>
          <w:color w:val="000000"/>
          <w:sz w:val="20"/>
        </w:rPr>
        <w:t>CV</w:t>
      </w:r>
      <w:proofErr w:type="spellEnd"/>
      <w:r w:rsidR="00E122F1">
        <w:rPr>
          <w:rFonts w:ascii="Arial" w:hAnsi="Arial" w:cs="Arial"/>
          <w:color w:val="000000"/>
          <w:sz w:val="20"/>
        </w:rPr>
        <w:t>: s</w:t>
      </w:r>
      <w:r w:rsidR="00021C71" w:rsidRPr="00E122F1">
        <w:rPr>
          <w:rFonts w:ascii="Arial" w:hAnsi="Arial" w:cs="Arial"/>
          <w:color w:val="000000"/>
          <w:sz w:val="20"/>
        </w:rPr>
        <w:t>ee</w:t>
      </w:r>
      <w:r w:rsidR="00D43DF0">
        <w:rPr>
          <w:rFonts w:ascii="Arial" w:hAnsi="Arial" w:cs="Arial"/>
          <w:color w:val="000000"/>
          <w:sz w:val="20"/>
        </w:rPr>
        <w:t xml:space="preserve"> </w:t>
      </w:r>
      <w:r w:rsidR="00021C71" w:rsidRPr="00E122F1">
        <w:rPr>
          <w:rFonts w:ascii="Arial" w:hAnsi="Arial" w:cs="Arial"/>
          <w:sz w:val="20"/>
        </w:rPr>
        <w:t>paragraphs [45]</w:t>
      </w:r>
      <w:r w:rsidR="00D43DF0">
        <w:rPr>
          <w:rFonts w:ascii="Arial" w:hAnsi="Arial" w:cs="Arial"/>
          <w:sz w:val="20"/>
        </w:rPr>
        <w:noBreakHyphen/>
        <w:t>[</w:t>
      </w:r>
      <w:r w:rsidR="00021C71" w:rsidRPr="00E122F1">
        <w:rPr>
          <w:rFonts w:ascii="Arial" w:hAnsi="Arial" w:cs="Arial"/>
          <w:sz w:val="20"/>
        </w:rPr>
        <w:t>46] of the Explanatory Memorandum to the 2018 amending C</w:t>
      </w:r>
      <w:r w:rsidR="00D43DF0">
        <w:rPr>
          <w:rFonts w:ascii="Arial" w:hAnsi="Arial" w:cs="Arial"/>
          <w:sz w:val="20"/>
        </w:rPr>
        <w:t>ommonweal</w:t>
      </w:r>
      <w:r w:rsidR="00021C71" w:rsidRPr="00E122F1">
        <w:rPr>
          <w:rFonts w:ascii="Arial" w:hAnsi="Arial" w:cs="Arial"/>
          <w:sz w:val="20"/>
        </w:rPr>
        <w:t>th Act.</w:t>
      </w:r>
    </w:p>
    <w:p w14:paraId="19700C11" w14:textId="77777777" w:rsidR="00021C71" w:rsidRPr="00EE3617" w:rsidRDefault="00021C71" w:rsidP="00021C71">
      <w:pPr>
        <w:rPr>
          <w:rFonts w:ascii="Arial" w:hAnsi="Arial" w:cs="Arial"/>
          <w:color w:val="000000"/>
          <w:sz w:val="20"/>
        </w:rPr>
      </w:pPr>
    </w:p>
    <w:p w14:paraId="7A8BA9CF" w14:textId="100AB105" w:rsidR="00314B0B" w:rsidRDefault="00E122F1" w:rsidP="007F5F1E">
      <w:pPr>
        <w:jc w:val="both"/>
        <w:rPr>
          <w:rFonts w:ascii="Arial" w:hAnsi="Arial" w:cs="Arial"/>
          <w:color w:val="000000"/>
          <w:sz w:val="20"/>
        </w:rPr>
      </w:pPr>
      <w:r>
        <w:rPr>
          <w:rFonts w:ascii="Arial" w:hAnsi="Arial" w:cs="Arial"/>
          <w:color w:val="000000"/>
          <w:sz w:val="20"/>
        </w:rPr>
        <w:t xml:space="preserve">In conclusion, for the moment the </w:t>
      </w:r>
      <w:r w:rsidR="00A9017D">
        <w:rPr>
          <w:rFonts w:ascii="Arial" w:hAnsi="Arial" w:cs="Arial"/>
          <w:color w:val="000000"/>
          <w:sz w:val="20"/>
        </w:rPr>
        <w:t xml:space="preserve">only </w:t>
      </w:r>
      <w:r>
        <w:rPr>
          <w:rFonts w:ascii="Arial" w:hAnsi="Arial" w:cs="Arial"/>
          <w:color w:val="000000"/>
          <w:sz w:val="20"/>
        </w:rPr>
        <w:t xml:space="preserve">jurisdiction which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w:t>
      </w:r>
      <w:r w:rsidR="004D6CCE">
        <w:rPr>
          <w:rFonts w:ascii="Arial" w:hAnsi="Arial" w:cs="Arial"/>
          <w:color w:val="000000"/>
          <w:sz w:val="20"/>
        </w:rPr>
        <w:t xml:space="preserve">is </w:t>
      </w:r>
      <w:r>
        <w:rPr>
          <w:rFonts w:ascii="Arial" w:hAnsi="Arial" w:cs="Arial"/>
          <w:color w:val="000000"/>
          <w:sz w:val="20"/>
        </w:rPr>
        <w:t>exercis</w:t>
      </w:r>
      <w:r w:rsidR="004D6CCE">
        <w:rPr>
          <w:rFonts w:ascii="Arial" w:hAnsi="Arial" w:cs="Arial"/>
          <w:color w:val="000000"/>
          <w:sz w:val="20"/>
        </w:rPr>
        <w:t>ing</w:t>
      </w:r>
      <w:r>
        <w:rPr>
          <w:rFonts w:ascii="Arial" w:hAnsi="Arial" w:cs="Arial"/>
          <w:color w:val="000000"/>
          <w:sz w:val="20"/>
        </w:rPr>
        <w:t xml:space="preserve"> in practice under the FLA is that under s.68R, namely in certain circumstances to revive, vary, discharge or suspend an FLA contact order </w:t>
      </w:r>
      <w:r w:rsidR="00140FA4">
        <w:rPr>
          <w:rFonts w:ascii="Arial" w:hAnsi="Arial" w:cs="Arial"/>
          <w:color w:val="000000"/>
          <w:sz w:val="20"/>
        </w:rPr>
        <w:t xml:space="preserve">in proceedings under the FVPA to make or vary a </w:t>
      </w:r>
      <w:r w:rsidR="00140FA4" w:rsidRPr="00830AAE">
        <w:rPr>
          <w:rFonts w:ascii="Arial" w:hAnsi="Arial" w:cs="Arial"/>
          <w:color w:val="000000"/>
          <w:sz w:val="20"/>
        </w:rPr>
        <w:t xml:space="preserve">family violence </w:t>
      </w:r>
      <w:r w:rsidR="00140FA4">
        <w:rPr>
          <w:rFonts w:ascii="Arial" w:hAnsi="Arial" w:cs="Arial"/>
          <w:color w:val="000000"/>
          <w:sz w:val="20"/>
        </w:rPr>
        <w:t xml:space="preserve">intervention </w:t>
      </w:r>
      <w:r w:rsidR="00140FA4" w:rsidRPr="00830AAE">
        <w:rPr>
          <w:rFonts w:ascii="Arial" w:hAnsi="Arial" w:cs="Arial"/>
          <w:color w:val="000000"/>
          <w:sz w:val="20"/>
        </w:rPr>
        <w:t>order</w:t>
      </w:r>
      <w:r w:rsidR="00140FA4">
        <w:rPr>
          <w:rFonts w:ascii="Arial" w:hAnsi="Arial" w:cs="Arial"/>
          <w:color w:val="000000"/>
          <w:sz w:val="20"/>
        </w:rPr>
        <w:t>.</w:t>
      </w:r>
    </w:p>
    <w:p w14:paraId="5AFE6EE5" w14:textId="77777777" w:rsidR="001B04CC" w:rsidRDefault="001B04CC" w:rsidP="006555D8">
      <w:pPr>
        <w:jc w:val="both"/>
        <w:rPr>
          <w:rFonts w:ascii="Arial" w:hAnsi="Arial" w:cs="Arial"/>
          <w:sz w:val="20"/>
        </w:rPr>
      </w:pPr>
    </w:p>
    <w:p w14:paraId="6DF13B67" w14:textId="77777777" w:rsidR="00693223" w:rsidRDefault="00693223" w:rsidP="00823729">
      <w:pPr>
        <w:pStyle w:val="Heading2"/>
        <w:keepNext/>
        <w:keepLines/>
        <w:tabs>
          <w:tab w:val="left" w:pos="567"/>
        </w:tabs>
        <w:spacing w:line="240" w:lineRule="auto"/>
        <w:rPr>
          <w:rFonts w:ascii="Arial" w:hAnsi="Arial" w:cs="Arial"/>
          <w:b/>
          <w:bCs/>
        </w:rPr>
      </w:pPr>
      <w:bookmarkStart w:id="371" w:name="_4.4_Definitions_of"/>
      <w:bookmarkStart w:id="372" w:name="B44"/>
      <w:bookmarkStart w:id="373" w:name="_Toc30644239"/>
      <w:bookmarkStart w:id="374" w:name="_Toc30644642"/>
      <w:bookmarkStart w:id="375" w:name="_Toc30645192"/>
      <w:bookmarkStart w:id="376" w:name="_Toc30646403"/>
      <w:bookmarkStart w:id="377" w:name="_Toc30646698"/>
      <w:bookmarkStart w:id="378" w:name="_Toc30646809"/>
      <w:bookmarkStart w:id="379" w:name="_Toc30648166"/>
      <w:bookmarkStart w:id="380" w:name="_Toc30649064"/>
      <w:bookmarkStart w:id="381" w:name="_Toc30649140"/>
      <w:bookmarkStart w:id="382" w:name="_Toc30649401"/>
      <w:bookmarkStart w:id="383" w:name="_Toc30649726"/>
      <w:bookmarkStart w:id="384" w:name="_Toc30651666"/>
      <w:bookmarkStart w:id="385" w:name="_Toc30652656"/>
      <w:bookmarkStart w:id="386" w:name="_Toc30652752"/>
      <w:bookmarkStart w:id="387" w:name="_Toc30654097"/>
      <w:bookmarkStart w:id="388" w:name="_Toc30654448"/>
      <w:bookmarkStart w:id="389" w:name="_Toc30655067"/>
      <w:bookmarkStart w:id="390" w:name="_Toc30655324"/>
      <w:bookmarkStart w:id="391" w:name="_Toc30657002"/>
      <w:bookmarkStart w:id="392" w:name="_Toc30661751"/>
      <w:bookmarkStart w:id="393" w:name="_Toc30666439"/>
      <w:bookmarkStart w:id="394" w:name="_Toc30666669"/>
      <w:bookmarkStart w:id="395" w:name="_Toc30667844"/>
      <w:bookmarkStart w:id="396" w:name="_Toc30669222"/>
      <w:bookmarkStart w:id="397" w:name="_Toc30671438"/>
      <w:bookmarkStart w:id="398" w:name="_Toc30673965"/>
      <w:bookmarkStart w:id="399" w:name="_Toc30691187"/>
      <w:bookmarkStart w:id="400" w:name="_Toc30691560"/>
      <w:bookmarkStart w:id="401" w:name="_Toc30691940"/>
      <w:bookmarkStart w:id="402" w:name="_Toc30692699"/>
      <w:bookmarkStart w:id="403" w:name="_Toc30693078"/>
      <w:bookmarkStart w:id="404" w:name="_Toc30693456"/>
      <w:bookmarkStart w:id="405" w:name="_Toc30693834"/>
      <w:bookmarkStart w:id="406" w:name="_Toc30694215"/>
      <w:bookmarkStart w:id="407" w:name="_Toc30698804"/>
      <w:bookmarkStart w:id="408" w:name="_Toc30699182"/>
      <w:bookmarkStart w:id="409" w:name="_Toc30699567"/>
      <w:bookmarkStart w:id="410" w:name="_Toc30700722"/>
      <w:bookmarkStart w:id="411" w:name="_Toc30701109"/>
      <w:bookmarkStart w:id="412" w:name="_Toc30743718"/>
      <w:bookmarkStart w:id="413" w:name="_Toc30754541"/>
      <w:bookmarkStart w:id="414" w:name="_Toc30756981"/>
      <w:bookmarkStart w:id="415" w:name="_Toc30757530"/>
      <w:bookmarkStart w:id="416" w:name="_Toc30757930"/>
      <w:bookmarkStart w:id="417" w:name="_Toc30762691"/>
      <w:bookmarkStart w:id="418" w:name="_Toc30767345"/>
      <w:bookmarkStart w:id="419" w:name="_Toc34823361"/>
      <w:bookmarkStart w:id="420" w:name="_Toc60399996"/>
      <w:bookmarkEnd w:id="371"/>
      <w:bookmarkEnd w:id="372"/>
      <w:r>
        <w:rPr>
          <w:rFonts w:ascii="Arial" w:hAnsi="Arial" w:cs="Arial"/>
          <w:b/>
          <w:bCs/>
        </w:rPr>
        <w:lastRenderedPageBreak/>
        <w:t>4.</w:t>
      </w:r>
      <w:r w:rsidR="005D57AF">
        <w:rPr>
          <w:rFonts w:ascii="Arial" w:hAnsi="Arial" w:cs="Arial"/>
          <w:b/>
          <w:bCs/>
        </w:rPr>
        <w:t>4</w:t>
      </w:r>
      <w:r>
        <w:rPr>
          <w:rFonts w:ascii="Arial" w:hAnsi="Arial" w:cs="Arial"/>
          <w:b/>
          <w:bCs/>
        </w:rPr>
        <w:tab/>
        <w:t>Definition</w:t>
      </w:r>
      <w:r w:rsidR="005D57AF">
        <w:rPr>
          <w:rFonts w:ascii="Arial" w:hAnsi="Arial" w:cs="Arial"/>
          <w:b/>
          <w:bCs/>
        </w:rPr>
        <w:t>s</w:t>
      </w:r>
      <w:r>
        <w:rPr>
          <w:rFonts w:ascii="Arial" w:hAnsi="Arial" w:cs="Arial"/>
          <w:b/>
          <w:bCs/>
        </w:rPr>
        <w:t xml:space="preserve"> of 'child'</w:t>
      </w:r>
      <w:bookmarkEnd w:id="361"/>
      <w:bookmarkEnd w:id="362"/>
      <w:bookmarkEnd w:id="363"/>
      <w:bookmarkEnd w:id="364"/>
      <w:bookmarkEnd w:id="365"/>
      <w:bookmarkEnd w:id="366"/>
      <w:bookmarkEnd w:id="367"/>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005D57AF">
        <w:rPr>
          <w:rFonts w:ascii="Arial" w:hAnsi="Arial" w:cs="Arial"/>
          <w:b/>
          <w:bCs/>
        </w:rPr>
        <w:t xml:space="preserve"> &amp; ‘parent’</w:t>
      </w:r>
    </w:p>
    <w:p w14:paraId="5A80D40E" w14:textId="77777777" w:rsidR="00693223" w:rsidRDefault="00693223" w:rsidP="00823729">
      <w:pPr>
        <w:keepNext/>
        <w:keepLines/>
        <w:jc w:val="both"/>
        <w:rPr>
          <w:rFonts w:ascii="Arial" w:hAnsi="Arial" w:cs="Arial"/>
          <w:sz w:val="20"/>
        </w:rPr>
      </w:pPr>
    </w:p>
    <w:p w14:paraId="1B53FDD2" w14:textId="77777777" w:rsidR="000841DD" w:rsidRDefault="000841DD" w:rsidP="002317B1">
      <w:pPr>
        <w:keepNext/>
        <w:keepLines/>
        <w:jc w:val="both"/>
        <w:rPr>
          <w:rFonts w:ascii="Arial" w:hAnsi="Arial" w:cs="Arial"/>
          <w:sz w:val="20"/>
        </w:rPr>
      </w:pPr>
      <w:r>
        <w:rPr>
          <w:rFonts w:ascii="Arial" w:hAnsi="Arial" w:cs="Arial"/>
          <w:sz w:val="20"/>
        </w:rPr>
        <w:t>As defined in s.3(1) of the CYFA</w:t>
      </w:r>
      <w:r w:rsidR="003126C2">
        <w:rPr>
          <w:rFonts w:ascii="Arial" w:hAnsi="Arial" w:cs="Arial"/>
          <w:sz w:val="20"/>
        </w:rPr>
        <w:t>,</w:t>
      </w:r>
      <w:r>
        <w:rPr>
          <w:rFonts w:ascii="Arial" w:hAnsi="Arial" w:cs="Arial"/>
          <w:sz w:val="20"/>
        </w:rPr>
        <w:t xml:space="preserve"> ‘</w:t>
      </w:r>
      <w:r w:rsidRPr="00D5161E">
        <w:rPr>
          <w:rFonts w:ascii="Arial" w:hAnsi="Arial" w:cs="Arial"/>
          <w:b/>
          <w:bCs/>
          <w:sz w:val="20"/>
        </w:rPr>
        <w:t>child</w:t>
      </w:r>
      <w:r>
        <w:rPr>
          <w:rFonts w:ascii="Arial" w:hAnsi="Arial" w:cs="Arial"/>
          <w:sz w:val="20"/>
        </w:rPr>
        <w:t xml:space="preserve">’ </w:t>
      </w:r>
      <w:r w:rsidR="001D67F1">
        <w:rPr>
          <w:rFonts w:ascii="Arial" w:hAnsi="Arial" w:cs="Arial"/>
          <w:sz w:val="20"/>
        </w:rPr>
        <w:t xml:space="preserve">in Family Division proceedings </w:t>
      </w:r>
      <w:r>
        <w:rPr>
          <w:rFonts w:ascii="Arial" w:hAnsi="Arial" w:cs="Arial"/>
          <w:sz w:val="20"/>
        </w:rPr>
        <w:t>means:</w:t>
      </w:r>
    </w:p>
    <w:p w14:paraId="003D27E0" w14:textId="77777777" w:rsidR="000841DD" w:rsidRDefault="000841DD" w:rsidP="00FB1EE3">
      <w:pPr>
        <w:numPr>
          <w:ilvl w:val="0"/>
          <w:numId w:val="60"/>
        </w:numPr>
        <w:ind w:left="357" w:hanging="357"/>
        <w:jc w:val="both"/>
        <w:rPr>
          <w:rFonts w:ascii="Arial" w:hAnsi="Arial" w:cs="Arial"/>
          <w:sz w:val="20"/>
        </w:rPr>
      </w:pPr>
      <w:r>
        <w:rPr>
          <w:rFonts w:ascii="Arial" w:hAnsi="Arial" w:cs="Arial"/>
          <w:sz w:val="20"/>
        </w:rPr>
        <w:t xml:space="preserve">for the purposes of any application under the </w:t>
      </w:r>
      <w:r>
        <w:rPr>
          <w:rFonts w:ascii="Arial" w:hAnsi="Arial" w:cs="Arial"/>
          <w:sz w:val="20"/>
          <w:u w:val="single"/>
        </w:rPr>
        <w:t>Family Violence Protection Act 2008</w:t>
      </w:r>
      <w:r w:rsidRPr="001C645E">
        <w:rPr>
          <w:rFonts w:ascii="Arial" w:hAnsi="Arial" w:cs="Arial"/>
          <w:sz w:val="20"/>
          <w:u w:val="single"/>
        </w:rPr>
        <w:t xml:space="preserve"> (Vic)</w:t>
      </w:r>
      <w:r w:rsidRPr="00544388">
        <w:rPr>
          <w:rFonts w:ascii="Arial" w:hAnsi="Arial" w:cs="Arial"/>
          <w:sz w:val="20"/>
        </w:rPr>
        <w:t xml:space="preserve"> or </w:t>
      </w:r>
      <w:r w:rsidRPr="008E0B61">
        <w:rPr>
          <w:rFonts w:ascii="Arial" w:hAnsi="Arial" w:cs="Arial"/>
          <w:color w:val="000000"/>
          <w:sz w:val="20"/>
        </w:rPr>
        <w:t xml:space="preserve">the </w:t>
      </w:r>
      <w:r w:rsidRPr="008E0B61">
        <w:rPr>
          <w:rFonts w:ascii="Arial" w:hAnsi="Arial" w:cs="Arial"/>
          <w:color w:val="000000"/>
          <w:sz w:val="20"/>
          <w:u w:val="single"/>
        </w:rPr>
        <w:t>Personal Safety Intervention Orders Act 2010</w:t>
      </w:r>
      <w:r w:rsidRPr="008E0B61">
        <w:rPr>
          <w:rFonts w:ascii="Arial" w:hAnsi="Arial" w:cs="Arial"/>
          <w:color w:val="000000"/>
          <w:sz w:val="20"/>
        </w:rPr>
        <w:t>, a person who is under the</w:t>
      </w:r>
      <w:r>
        <w:rPr>
          <w:rFonts w:ascii="Arial" w:hAnsi="Arial" w:cs="Arial"/>
          <w:sz w:val="20"/>
        </w:rPr>
        <w:t xml:space="preserve"> age of 18 years when an application is made under the respective Act;</w:t>
      </w:r>
    </w:p>
    <w:p w14:paraId="452F73E6" w14:textId="77777777" w:rsidR="000841DD" w:rsidRDefault="000841DD" w:rsidP="00FB1EE3">
      <w:pPr>
        <w:numPr>
          <w:ilvl w:val="0"/>
          <w:numId w:val="60"/>
        </w:numPr>
        <w:ind w:left="357" w:hanging="357"/>
        <w:jc w:val="both"/>
        <w:rPr>
          <w:rFonts w:ascii="Arial" w:hAnsi="Arial" w:cs="Arial"/>
          <w:sz w:val="20"/>
        </w:rPr>
      </w:pPr>
      <w:r>
        <w:rPr>
          <w:rFonts w:ascii="Arial" w:hAnsi="Arial" w:cs="Arial"/>
          <w:sz w:val="20"/>
        </w:rPr>
        <w:t>for the purposes of therapeutic treatment proceedings, a person who is of or above the age of 10 years and under the age of 18 years when the order is made;</w:t>
      </w:r>
    </w:p>
    <w:p w14:paraId="487E08E3" w14:textId="77777777" w:rsidR="000841DD" w:rsidRDefault="000841DD" w:rsidP="00FB1EE3">
      <w:pPr>
        <w:numPr>
          <w:ilvl w:val="0"/>
          <w:numId w:val="60"/>
        </w:numPr>
        <w:ind w:left="357" w:hanging="357"/>
        <w:jc w:val="both"/>
        <w:rPr>
          <w:rFonts w:ascii="Arial" w:hAnsi="Arial" w:cs="Arial"/>
          <w:sz w:val="20"/>
        </w:rPr>
      </w:pPr>
      <w:r>
        <w:rPr>
          <w:rFonts w:ascii="Arial" w:hAnsi="Arial" w:cs="Arial"/>
          <w:sz w:val="20"/>
        </w:rPr>
        <w:t>for the purposes of any other application in the Family Division, a person who is under the age of 17 years or, if a protection order, a child protection order within the meaning of Schedule 1 or an interim order within the meaning of that Schedule continues in force in respect of him or her, a person who is under the age of 18 years.</w:t>
      </w:r>
    </w:p>
    <w:p w14:paraId="2627B586" w14:textId="77777777" w:rsidR="000841DD" w:rsidRDefault="000841DD">
      <w:pPr>
        <w:jc w:val="both"/>
        <w:rPr>
          <w:rFonts w:ascii="Arial" w:hAnsi="Arial" w:cs="Arial"/>
          <w:sz w:val="20"/>
        </w:rPr>
      </w:pPr>
    </w:p>
    <w:p w14:paraId="5C6B8CFA" w14:textId="77777777" w:rsidR="000841DD" w:rsidRDefault="000841DD">
      <w:pPr>
        <w:jc w:val="both"/>
        <w:rPr>
          <w:rFonts w:ascii="Arial" w:hAnsi="Arial" w:cs="Arial"/>
          <w:sz w:val="20"/>
        </w:rPr>
      </w:pPr>
      <w:r>
        <w:rPr>
          <w:rFonts w:ascii="Arial" w:hAnsi="Arial" w:cs="Arial"/>
          <w:sz w:val="20"/>
        </w:rPr>
        <w:t>Note, however, that s.275(3) of the CYFA – introduced by Act No. 8/2016 – provides that a “care by Secretary order or a long-term care order may be made in relation to a child who is under the age of 18 years but ceases to be in force when the child attains the age of 18 years or marries, whichever happens first.”</w:t>
      </w:r>
      <w:r w:rsidR="008253F5">
        <w:rPr>
          <w:rFonts w:ascii="Arial" w:hAnsi="Arial" w:cs="Arial"/>
          <w:sz w:val="20"/>
        </w:rPr>
        <w:t xml:space="preserve">  However, if the ‘child’ referred to in s.275(3) is 17 years old, he or she does not fit within any of the parts of the definition of ‘child’ in s.3(1).  The writer considers that this is probably a drafting error and would not read s.275(3) as constrained by s.3(1).  But a related difficulty is that the term ‘child’ in the interim accommodation order provisions [ss.262-271] is clearly constrained by s.3(1)</w:t>
      </w:r>
      <w:r w:rsidR="00C04B2D">
        <w:rPr>
          <w:rFonts w:ascii="Arial" w:hAnsi="Arial" w:cs="Arial"/>
          <w:sz w:val="20"/>
        </w:rPr>
        <w:t>.  Hence, if the subject child has already turned 17 there appears to be no power in the Court to make or to extend an IAO in relation to the child.</w:t>
      </w:r>
    </w:p>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14:paraId="250C2E9C" w14:textId="77777777" w:rsidR="000841DD" w:rsidRDefault="000841DD">
      <w:pPr>
        <w:rPr>
          <w:rFonts w:ascii="Arial" w:hAnsi="Arial" w:cs="Arial"/>
          <w:sz w:val="20"/>
        </w:rPr>
      </w:pPr>
    </w:p>
    <w:p w14:paraId="5F64DDB4" w14:textId="77777777" w:rsidR="00693223" w:rsidRDefault="00693223" w:rsidP="00242170">
      <w:pPr>
        <w:jc w:val="both"/>
        <w:rPr>
          <w:rFonts w:ascii="Arial" w:hAnsi="Arial" w:cs="Arial"/>
          <w:sz w:val="20"/>
        </w:rPr>
      </w:pPr>
      <w:r>
        <w:rPr>
          <w:rFonts w:ascii="Arial" w:hAnsi="Arial" w:cs="Arial"/>
          <w:sz w:val="20"/>
        </w:rPr>
        <w:t>Though 'family' is not defined in the CY</w:t>
      </w:r>
      <w:r w:rsidR="00242170">
        <w:rPr>
          <w:rFonts w:ascii="Arial" w:hAnsi="Arial" w:cs="Arial"/>
          <w:sz w:val="20"/>
        </w:rPr>
        <w:t>F</w:t>
      </w:r>
      <w:r>
        <w:rPr>
          <w:rFonts w:ascii="Arial" w:hAnsi="Arial" w:cs="Arial"/>
          <w:sz w:val="20"/>
        </w:rPr>
        <w:t>A, '</w:t>
      </w:r>
      <w:r w:rsidRPr="00D5161E">
        <w:rPr>
          <w:rFonts w:ascii="Arial" w:hAnsi="Arial" w:cs="Arial"/>
          <w:b/>
          <w:bCs/>
          <w:sz w:val="20"/>
        </w:rPr>
        <w:t>parent</w:t>
      </w:r>
      <w:r>
        <w:rPr>
          <w:rFonts w:ascii="Arial" w:hAnsi="Arial" w:cs="Arial"/>
          <w:sz w:val="20"/>
        </w:rPr>
        <w:t>', in relation to a child, is defined in very broad terms in s.3</w:t>
      </w:r>
      <w:r w:rsidR="00C04B2D">
        <w:rPr>
          <w:rFonts w:ascii="Arial" w:hAnsi="Arial" w:cs="Arial"/>
          <w:sz w:val="20"/>
        </w:rPr>
        <w:t>(1)</w:t>
      </w:r>
      <w:r>
        <w:rPr>
          <w:rFonts w:ascii="Arial" w:hAnsi="Arial" w:cs="Arial"/>
          <w:sz w:val="20"/>
        </w:rPr>
        <w:t xml:space="preserve"> as </w:t>
      </w:r>
      <w:r w:rsidRPr="00C04B2D">
        <w:rPr>
          <w:rFonts w:ascii="Arial" w:hAnsi="Arial" w:cs="Arial"/>
          <w:b/>
          <w:bCs/>
          <w:sz w:val="20"/>
        </w:rPr>
        <w:t>including</w:t>
      </w:r>
      <w:r>
        <w:rPr>
          <w:rFonts w:ascii="Arial" w:hAnsi="Arial" w:cs="Arial"/>
          <w:sz w:val="20"/>
        </w:rPr>
        <w:t>-</w:t>
      </w:r>
    </w:p>
    <w:p w14:paraId="3B9A23B9" w14:textId="77777777" w:rsidR="00693223" w:rsidRDefault="00693223" w:rsidP="00242170">
      <w:pPr>
        <w:ind w:left="363" w:hanging="363"/>
        <w:jc w:val="both"/>
        <w:rPr>
          <w:rFonts w:ascii="Arial" w:hAnsi="Arial" w:cs="Arial"/>
          <w:sz w:val="20"/>
        </w:rPr>
      </w:pPr>
      <w:r>
        <w:rPr>
          <w:rFonts w:ascii="Arial" w:hAnsi="Arial" w:cs="Arial"/>
          <w:sz w:val="20"/>
        </w:rPr>
        <w:t>(a)</w:t>
      </w:r>
      <w:r>
        <w:rPr>
          <w:rFonts w:ascii="Arial" w:hAnsi="Arial" w:cs="Arial"/>
          <w:sz w:val="20"/>
        </w:rPr>
        <w:tab/>
        <w:t>the father and mother of the child; and</w:t>
      </w:r>
    </w:p>
    <w:p w14:paraId="2359482D" w14:textId="77777777" w:rsidR="00693223" w:rsidRDefault="00693223" w:rsidP="00242170">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3332A344" w14:textId="77777777" w:rsidR="00693223" w:rsidRDefault="00693223" w:rsidP="00242170">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w:t>
      </w:r>
      <w:r w:rsidR="00242170">
        <w:rPr>
          <w:rFonts w:ascii="Arial" w:hAnsi="Arial" w:cs="Arial"/>
          <w:sz w:val="20"/>
        </w:rPr>
        <w:t>o</w:t>
      </w:r>
      <w:r>
        <w:rPr>
          <w:rFonts w:ascii="Arial" w:hAnsi="Arial" w:cs="Arial"/>
          <w:sz w:val="20"/>
        </w:rPr>
        <w:t>ther of the child; and</w:t>
      </w:r>
    </w:p>
    <w:p w14:paraId="38AE3508" w14:textId="77777777" w:rsidR="00693223" w:rsidRDefault="00693223" w:rsidP="00242170">
      <w:pPr>
        <w:ind w:left="363" w:hanging="363"/>
        <w:jc w:val="both"/>
        <w:rPr>
          <w:rFonts w:ascii="Arial" w:hAnsi="Arial" w:cs="Arial"/>
          <w:sz w:val="20"/>
        </w:rPr>
      </w:pPr>
      <w:r>
        <w:rPr>
          <w:rFonts w:ascii="Arial" w:hAnsi="Arial" w:cs="Arial"/>
          <w:sz w:val="20"/>
        </w:rPr>
        <w:t>(d)</w:t>
      </w:r>
      <w:r>
        <w:rPr>
          <w:rFonts w:ascii="Arial" w:hAnsi="Arial" w:cs="Arial"/>
          <w:sz w:val="20"/>
        </w:rPr>
        <w:tab/>
        <w:t>a</w:t>
      </w:r>
      <w:r w:rsidR="003B47AB">
        <w:rPr>
          <w:rFonts w:ascii="Arial" w:hAnsi="Arial" w:cs="Arial"/>
          <w:sz w:val="20"/>
        </w:rPr>
        <w:t>ny</w:t>
      </w:r>
      <w:r>
        <w:rPr>
          <w:rFonts w:ascii="Arial" w:hAnsi="Arial" w:cs="Arial"/>
          <w:sz w:val="20"/>
        </w:rPr>
        <w:t xml:space="preserve"> person who has </w:t>
      </w:r>
      <w:r w:rsidR="003B47AB">
        <w:rPr>
          <w:rFonts w:ascii="Arial" w:hAnsi="Arial" w:cs="Arial"/>
          <w:sz w:val="20"/>
        </w:rPr>
        <w:t>parental responsibility for</w:t>
      </w:r>
      <w:r>
        <w:rPr>
          <w:rFonts w:ascii="Arial" w:hAnsi="Arial" w:cs="Arial"/>
          <w:sz w:val="20"/>
        </w:rPr>
        <w:t xml:space="preserve"> the child</w:t>
      </w:r>
      <w:r w:rsidR="003B47AB">
        <w:rPr>
          <w:rFonts w:ascii="Arial" w:hAnsi="Arial" w:cs="Arial"/>
          <w:sz w:val="20"/>
        </w:rPr>
        <w:t>, other than the Secretary</w:t>
      </w:r>
      <w:r>
        <w:rPr>
          <w:rFonts w:ascii="Arial" w:hAnsi="Arial" w:cs="Arial"/>
          <w:sz w:val="20"/>
        </w:rPr>
        <w:t>; and</w:t>
      </w:r>
    </w:p>
    <w:p w14:paraId="0E3538C5" w14:textId="77777777" w:rsidR="00693223" w:rsidRDefault="00693223" w:rsidP="00242170">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2ACF8E45" w14:textId="77777777" w:rsidR="00693223" w:rsidRDefault="00693223" w:rsidP="00242170">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791C973" w14:textId="77777777" w:rsidR="00693223" w:rsidRDefault="00693223" w:rsidP="00242170">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w:t>
      </w:r>
      <w:r w:rsidR="00242170">
        <w:rPr>
          <w:rFonts w:ascii="Arial" w:hAnsi="Arial" w:cs="Arial"/>
          <w:sz w:val="20"/>
        </w:rPr>
        <w:t xml:space="preserve">ourt has made a declaration </w:t>
      </w:r>
      <w:r>
        <w:rPr>
          <w:rFonts w:ascii="Arial" w:hAnsi="Arial" w:cs="Arial"/>
          <w:sz w:val="20"/>
        </w:rPr>
        <w:t xml:space="preserve">or a finding or order </w:t>
      </w:r>
      <w:r w:rsidR="00242170">
        <w:rPr>
          <w:rFonts w:ascii="Arial" w:hAnsi="Arial" w:cs="Arial"/>
          <w:sz w:val="20"/>
        </w:rPr>
        <w:t>that the person is the father of the child</w:t>
      </w:r>
      <w:r>
        <w:rPr>
          <w:rFonts w:ascii="Arial" w:hAnsi="Arial" w:cs="Arial"/>
          <w:sz w:val="20"/>
        </w:rPr>
        <w:t>.</w:t>
      </w:r>
    </w:p>
    <w:p w14:paraId="2EEA3F8F" w14:textId="77777777" w:rsidR="00693223" w:rsidRDefault="00693223">
      <w:pPr>
        <w:rPr>
          <w:rFonts w:ascii="Arial" w:hAnsi="Arial" w:cs="Arial"/>
          <w:sz w:val="20"/>
        </w:rPr>
      </w:pPr>
    </w:p>
    <w:p w14:paraId="6B95114F" w14:textId="77777777" w:rsidR="00693223" w:rsidRDefault="00693223">
      <w:pPr>
        <w:jc w:val="both"/>
        <w:rPr>
          <w:rFonts w:ascii="Arial" w:hAnsi="Arial" w:cs="Arial"/>
          <w:sz w:val="20"/>
        </w:rPr>
      </w:pPr>
      <w:r>
        <w:rPr>
          <w:rFonts w:ascii="Arial" w:hAnsi="Arial" w:cs="Arial"/>
          <w:sz w:val="20"/>
        </w:rPr>
        <w:t>Prior to the amendments introduced by Act No.72/2001, the CYPA restricted the 'de facto' partner of a parent to a person of the opposite gender.  Now, 'domestic partner' of a person is defined in s.3 as "a person to whom the person is not married but with whom the person is living as a couple on a genuine domestic basis (irrespective of gender)".</w:t>
      </w:r>
    </w:p>
    <w:p w14:paraId="50C60506" w14:textId="77777777" w:rsidR="00693223" w:rsidRDefault="00693223">
      <w:pPr>
        <w:rPr>
          <w:rFonts w:ascii="Arial" w:hAnsi="Arial" w:cs="Arial"/>
          <w:sz w:val="20"/>
        </w:rPr>
      </w:pPr>
    </w:p>
    <w:p w14:paraId="57BBA4CC" w14:textId="77777777" w:rsidR="00C04B2D" w:rsidRDefault="00C04B2D" w:rsidP="00C04B2D">
      <w:pPr>
        <w:jc w:val="both"/>
        <w:rPr>
          <w:rFonts w:ascii="Arial" w:hAnsi="Arial" w:cs="Arial"/>
          <w:sz w:val="20"/>
        </w:rPr>
      </w:pPr>
      <w:r>
        <w:rPr>
          <w:rFonts w:ascii="Arial" w:hAnsi="Arial" w:cs="Arial"/>
          <w:sz w:val="20"/>
        </w:rPr>
        <w:t>Although there appears to be no case law on the issue, the writer thinks it likely that category (d) is intended to be restricted to persons who have legal parental responsibility for a child as opposed to persons who are merely ‘looking after’ a child, even if for an extended period.</w:t>
      </w:r>
    </w:p>
    <w:p w14:paraId="54AE1C58" w14:textId="77777777" w:rsidR="00C04B2D" w:rsidRDefault="00C04B2D">
      <w:pPr>
        <w:rPr>
          <w:rFonts w:ascii="Arial" w:hAnsi="Arial" w:cs="Arial"/>
          <w:sz w:val="20"/>
        </w:rPr>
      </w:pPr>
    </w:p>
    <w:p w14:paraId="36824DF0" w14:textId="77777777" w:rsidR="00C04B2D" w:rsidRPr="00ED1F5A" w:rsidRDefault="00D5161E" w:rsidP="00C04B2D">
      <w:pPr>
        <w:jc w:val="both"/>
        <w:rPr>
          <w:rFonts w:ascii="Arial" w:hAnsi="Arial" w:cs="Arial"/>
          <w:color w:val="000000"/>
          <w:sz w:val="20"/>
        </w:rPr>
      </w:pPr>
      <w:r>
        <w:rPr>
          <w:rFonts w:ascii="Arial" w:hAnsi="Arial" w:cs="Arial"/>
          <w:sz w:val="20"/>
        </w:rPr>
        <w:t>T</w:t>
      </w:r>
      <w:r w:rsidR="00C04B2D">
        <w:rPr>
          <w:rFonts w:ascii="Arial" w:hAnsi="Arial" w:cs="Arial"/>
          <w:sz w:val="20"/>
        </w:rPr>
        <w:t xml:space="preserve">he definition of ‘parent’ in s.3(1) is not expressed to be an exclusive one.  This gives rise to the question whether a person who does not fall within any of categories (a) to (g) may nevertheless be held to be a </w:t>
      </w:r>
      <w:r>
        <w:rPr>
          <w:rFonts w:ascii="Arial" w:hAnsi="Arial" w:cs="Arial"/>
          <w:sz w:val="20"/>
        </w:rPr>
        <w:t>‘</w:t>
      </w:r>
      <w:r w:rsidR="00C04B2D">
        <w:rPr>
          <w:rFonts w:ascii="Arial" w:hAnsi="Arial" w:cs="Arial"/>
          <w:sz w:val="20"/>
        </w:rPr>
        <w:t>parent</w:t>
      </w:r>
      <w:r>
        <w:rPr>
          <w:rFonts w:ascii="Arial" w:hAnsi="Arial" w:cs="Arial"/>
          <w:sz w:val="20"/>
        </w:rPr>
        <w:t>’</w:t>
      </w:r>
      <w:r w:rsidR="00C04B2D">
        <w:rPr>
          <w:rFonts w:ascii="Arial" w:hAnsi="Arial" w:cs="Arial"/>
          <w:sz w:val="20"/>
        </w:rPr>
        <w:t xml:space="preserve"> for the purposes of the CYFA.  </w:t>
      </w:r>
      <w:r>
        <w:rPr>
          <w:rFonts w:ascii="Arial" w:hAnsi="Arial" w:cs="Arial"/>
          <w:sz w:val="20"/>
        </w:rPr>
        <w:t xml:space="preserve">This was alluded to in dicta of the High Court in the joint </w:t>
      </w:r>
      <w:r w:rsidR="00C04B2D" w:rsidRPr="00ED1F5A">
        <w:rPr>
          <w:rFonts w:ascii="Arial" w:hAnsi="Arial" w:cs="Arial"/>
          <w:color w:val="000000"/>
          <w:sz w:val="20"/>
        </w:rPr>
        <w:t xml:space="preserve">judgment in </w:t>
      </w:r>
      <w:r w:rsidR="00C04B2D" w:rsidRPr="00ED1F5A">
        <w:rPr>
          <w:rFonts w:ascii="Arial" w:hAnsi="Arial" w:cs="Arial"/>
          <w:i/>
          <w:iCs/>
          <w:color w:val="000000"/>
          <w:sz w:val="20"/>
        </w:rPr>
        <w:t>Masson v Parsons</w:t>
      </w:r>
      <w:r w:rsidR="00C04B2D" w:rsidRPr="00ED1F5A">
        <w:rPr>
          <w:rFonts w:ascii="Arial" w:hAnsi="Arial" w:cs="Arial"/>
          <w:color w:val="000000"/>
          <w:sz w:val="20"/>
        </w:rPr>
        <w:t xml:space="preserve"> </w:t>
      </w:r>
      <w:r w:rsidRPr="00ED1F5A">
        <w:rPr>
          <w:rFonts w:ascii="Arial" w:hAnsi="Arial" w:cs="Arial"/>
          <w:color w:val="000000"/>
          <w:sz w:val="20"/>
        </w:rPr>
        <w:t xml:space="preserve">[2019] HCA 21 </w:t>
      </w:r>
      <w:r w:rsidR="00C04B2D" w:rsidRPr="00ED1F5A">
        <w:rPr>
          <w:rFonts w:ascii="Arial" w:hAnsi="Arial" w:cs="Arial"/>
          <w:color w:val="000000"/>
          <w:sz w:val="20"/>
        </w:rPr>
        <w:t>at [29]:</w:t>
      </w:r>
    </w:p>
    <w:p w14:paraId="3FF4AE3A" w14:textId="77777777" w:rsidR="00C04B2D" w:rsidRPr="00ED1F5A" w:rsidRDefault="00C04B2D" w:rsidP="00C04B2D">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  The significance of her Ladyship's analysis for present purposes, however, is that, just as the question of parentage under the legislation with which she was concerned was one of fact and degree to be determined by applying contemporary conceptions of parenthood to </w:t>
      </w:r>
      <w:r w:rsidRPr="00ED1F5A">
        <w:rPr>
          <w:rFonts w:ascii="Arial" w:hAnsi="Arial" w:cs="Arial"/>
          <w:color w:val="000000"/>
          <w:sz w:val="20"/>
          <w:szCs w:val="20"/>
        </w:rPr>
        <w:lastRenderedPageBreak/>
        <w:t xml:space="preserve">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p>
    <w:p w14:paraId="28CCD032" w14:textId="77777777" w:rsidR="00C04B2D" w:rsidRPr="00C14641" w:rsidRDefault="00C04B2D" w:rsidP="00C04B2D">
      <w:pPr>
        <w:jc w:val="both"/>
        <w:rPr>
          <w:rFonts w:ascii="Arial" w:hAnsi="Arial" w:cs="Arial"/>
          <w:color w:val="000000"/>
          <w:sz w:val="20"/>
        </w:rPr>
      </w:pPr>
    </w:p>
    <w:p w14:paraId="545BE1EF" w14:textId="77777777" w:rsidR="00C04B2D" w:rsidRPr="00287279" w:rsidRDefault="00C04B2D" w:rsidP="00C04B2D">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[Melbourne Children’s Court-Parkinson M, 15/10/2019] the 9 year old child D had lived with and been cared for by his maternal grandmother G all his life.  His mother – who had an intellectual disability – also lived with and was cared for by G.  The case ultimately settled with D being placed by consent on a family preservation order in the care of his grandmother G.  Accordingly, by virtue of the dicta of Baroness Hale in </w:t>
      </w:r>
      <w:r w:rsidRPr="00C14641">
        <w:rPr>
          <w:rFonts w:ascii="Arial" w:hAnsi="Arial" w:cs="Arial"/>
          <w:i/>
          <w:color w:val="000000"/>
          <w:sz w:val="20"/>
          <w:szCs w:val="20"/>
        </w:rPr>
        <w:t>In</w:t>
      </w:r>
      <w:r w:rsidRPr="00C14641">
        <w:rPr>
          <w:rFonts w:ascii="Arial" w:hAnsi="Arial" w:cs="Arial"/>
          <w:color w:val="000000"/>
          <w:sz w:val="20"/>
          <w:szCs w:val="20"/>
        </w:rPr>
        <w:t xml:space="preserve"> </w:t>
      </w:r>
      <w:r w:rsidRPr="00C14641">
        <w:rPr>
          <w:rFonts w:ascii="Arial" w:hAnsi="Arial" w:cs="Arial"/>
          <w:i/>
          <w:color w:val="000000"/>
          <w:sz w:val="20"/>
          <w:szCs w:val="20"/>
        </w:rPr>
        <w:t>re G (Children)</w:t>
      </w:r>
      <w:r w:rsidRPr="00440C1A">
        <w:rPr>
          <w:rFonts w:ascii="Arial" w:hAnsi="Arial" w:cs="Arial"/>
          <w:iCs/>
          <w:color w:val="000000"/>
          <w:sz w:val="20"/>
          <w:szCs w:val="20"/>
        </w:rPr>
        <w:t>,</w:t>
      </w:r>
      <w:r>
        <w:rPr>
          <w:rFonts w:ascii="Arial" w:hAnsi="Arial" w:cs="Arial"/>
          <w:i/>
          <w:color w:val="000000"/>
          <w:sz w:val="20"/>
          <w:szCs w:val="20"/>
        </w:rPr>
        <w:t xml:space="preserve"> </w:t>
      </w:r>
      <w:r w:rsidRPr="00440C1A">
        <w:rPr>
          <w:rFonts w:ascii="Arial" w:hAnsi="Arial" w:cs="Arial"/>
          <w:iCs/>
          <w:color w:val="000000"/>
          <w:sz w:val="20"/>
          <w:szCs w:val="20"/>
        </w:rPr>
        <w:t>as approved by the High Court in</w:t>
      </w:r>
      <w:r>
        <w:rPr>
          <w:rFonts w:ascii="Arial" w:hAnsi="Arial" w:cs="Arial"/>
          <w:i/>
          <w:color w:val="000000"/>
          <w:sz w:val="20"/>
          <w:szCs w:val="20"/>
        </w:rPr>
        <w:t xml:space="preserve"> Masson v Parsons</w:t>
      </w:r>
      <w:r w:rsidRPr="00440C1A">
        <w:rPr>
          <w:rFonts w:ascii="Arial" w:hAnsi="Arial" w:cs="Arial"/>
          <w:iCs/>
          <w:color w:val="000000"/>
          <w:sz w:val="20"/>
          <w:szCs w:val="20"/>
        </w:rPr>
        <w:t>:</w:t>
      </w:r>
    </w:p>
    <w:p w14:paraId="63F76A82" w14:textId="77777777" w:rsidR="00C04B2D" w:rsidRDefault="00C04B2D" w:rsidP="00FB1EE3">
      <w:pPr>
        <w:numPr>
          <w:ilvl w:val="0"/>
          <w:numId w:val="61"/>
        </w:numPr>
        <w:ind w:left="357" w:hanging="357"/>
        <w:jc w:val="both"/>
        <w:rPr>
          <w:rFonts w:ascii="Arial" w:hAnsi="Arial" w:cs="Arial"/>
          <w:color w:val="000000"/>
          <w:sz w:val="20"/>
        </w:rPr>
      </w:pPr>
      <w:r>
        <w:rPr>
          <w:rFonts w:ascii="Arial" w:hAnsi="Arial" w:cs="Arial"/>
          <w:color w:val="000000"/>
          <w:sz w:val="20"/>
        </w:rPr>
        <w:t>G either fits within category (a) of the definition of ‘parent’ in s.3(1) of the CYFA; or</w:t>
      </w:r>
    </w:p>
    <w:p w14:paraId="25BDF184" w14:textId="77777777" w:rsidR="00C04B2D" w:rsidRDefault="00C04B2D" w:rsidP="00FB1EE3">
      <w:pPr>
        <w:numPr>
          <w:ilvl w:val="0"/>
          <w:numId w:val="61"/>
        </w:numPr>
        <w:ind w:left="357" w:hanging="357"/>
        <w:jc w:val="both"/>
        <w:rPr>
          <w:rFonts w:ascii="Arial" w:hAnsi="Arial" w:cs="Arial"/>
          <w:color w:val="000000"/>
          <w:sz w:val="20"/>
        </w:rPr>
      </w:pPr>
      <w:r>
        <w:rPr>
          <w:rFonts w:ascii="Arial" w:hAnsi="Arial" w:cs="Arial"/>
          <w:color w:val="000000"/>
          <w:sz w:val="20"/>
        </w:rPr>
        <w:t xml:space="preserve">if not, she is nevertheless a ‘psychological parent’ under the CYFA given that the definition </w:t>
      </w:r>
      <w:r w:rsidRPr="0040107B">
        <w:rPr>
          <w:rFonts w:ascii="Arial" w:hAnsi="Arial" w:cs="Arial"/>
          <w:b/>
          <w:bCs/>
          <w:iCs/>
          <w:color w:val="000000"/>
          <w:sz w:val="20"/>
          <w:szCs w:val="20"/>
        </w:rPr>
        <w:t>includes</w:t>
      </w:r>
      <w:r w:rsidRPr="00C14641">
        <w:rPr>
          <w:rFonts w:ascii="Arial" w:hAnsi="Arial" w:cs="Arial"/>
          <w:iCs/>
          <w:color w:val="000000"/>
          <w:sz w:val="20"/>
          <w:szCs w:val="20"/>
        </w:rPr>
        <w:t xml:space="preserve"> seven specified categories of persons but is not expressed as being limited to those seven categories</w:t>
      </w:r>
      <w:r>
        <w:rPr>
          <w:rFonts w:ascii="Arial" w:hAnsi="Arial" w:cs="Arial"/>
          <w:iCs/>
          <w:color w:val="000000"/>
          <w:sz w:val="20"/>
          <w:szCs w:val="20"/>
        </w:rPr>
        <w:t>.</w:t>
      </w:r>
    </w:p>
    <w:p w14:paraId="02E72B33" w14:textId="77777777" w:rsidR="00D5161E" w:rsidRDefault="00D5161E" w:rsidP="00D5161E">
      <w:pPr>
        <w:spacing w:before="60"/>
        <w:jc w:val="both"/>
        <w:rPr>
          <w:rFonts w:ascii="Arial" w:hAnsi="Arial" w:cs="Arial"/>
          <w:color w:val="000000"/>
          <w:sz w:val="20"/>
        </w:rPr>
      </w:pPr>
      <w:r>
        <w:rPr>
          <w:rFonts w:ascii="Arial" w:hAnsi="Arial" w:cs="Arial"/>
          <w:color w:val="000000"/>
          <w:sz w:val="20"/>
        </w:rPr>
        <w:t>However, in making the finding that in the unusual circumstances of the case G was a ‘parent’ of the child for the purposes of the CYFA, her Honour did place the following reasons on the oral record, being conscious that there must be some boundary around the concept of ‘parent’:</w:t>
      </w:r>
    </w:p>
    <w:p w14:paraId="7970F99F" w14:textId="77777777" w:rsidR="00D5161E" w:rsidRDefault="00D5161E" w:rsidP="00D5161E">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7E254E82" w14:textId="77777777" w:rsidR="00D5161E" w:rsidRDefault="00D5161E">
      <w:pPr>
        <w:rPr>
          <w:rFonts w:ascii="Arial" w:hAnsi="Arial" w:cs="Arial"/>
          <w:sz w:val="20"/>
        </w:rPr>
      </w:pPr>
    </w:p>
    <w:p w14:paraId="7841CAD5" w14:textId="77777777" w:rsidR="00D5161E" w:rsidRPr="00953F9E" w:rsidRDefault="00D5161E" w:rsidP="00D5161E">
      <w:pPr>
        <w:jc w:val="center"/>
        <w:rPr>
          <w:rFonts w:ascii="Arial" w:hAnsi="Arial" w:cs="Arial"/>
          <w:b/>
          <w:bCs/>
          <w:sz w:val="20"/>
        </w:rPr>
      </w:pPr>
      <w:r w:rsidRPr="00953F9E">
        <w:rPr>
          <w:rFonts w:ascii="Arial" w:hAnsi="Arial" w:cs="Arial"/>
          <w:b/>
          <w:bCs/>
          <w:sz w:val="20"/>
          <w:bdr w:val="single" w:sz="4" w:space="0" w:color="auto"/>
          <w:shd w:val="clear" w:color="auto" w:fill="DDDDDD"/>
        </w:rPr>
        <w:t xml:space="preserve">See also </w:t>
      </w:r>
      <w:r w:rsidR="00953F9E" w:rsidRPr="00953F9E">
        <w:rPr>
          <w:rFonts w:ascii="Arial" w:hAnsi="Arial" w:cs="Arial"/>
          <w:b/>
          <w:bCs/>
          <w:sz w:val="20"/>
          <w:bdr w:val="single" w:sz="4" w:space="0" w:color="auto"/>
          <w:shd w:val="clear" w:color="auto" w:fill="DDDDDD"/>
        </w:rPr>
        <w:t>a</w:t>
      </w:r>
      <w:r w:rsidRPr="00953F9E">
        <w:rPr>
          <w:rFonts w:ascii="Arial" w:hAnsi="Arial" w:cs="Arial"/>
          <w:b/>
          <w:bCs/>
          <w:sz w:val="20"/>
          <w:bdr w:val="single" w:sz="4" w:space="0" w:color="auto"/>
          <w:shd w:val="clear" w:color="auto" w:fill="DDDDDD"/>
        </w:rPr>
        <w:t xml:space="preserve"> broader discussion of the concept of ‘parent’ contained in</w:t>
      </w:r>
      <w:r w:rsidR="00F526E6">
        <w:rPr>
          <w:rFonts w:ascii="Arial" w:hAnsi="Arial" w:cs="Arial"/>
          <w:b/>
          <w:bCs/>
          <w:sz w:val="20"/>
          <w:bdr w:val="single" w:sz="4" w:space="0" w:color="auto"/>
          <w:shd w:val="clear" w:color="auto" w:fill="DDDDDD"/>
        </w:rPr>
        <w:t xml:space="preserve"> </w:t>
      </w:r>
      <w:r w:rsidRPr="00953F9E">
        <w:rPr>
          <w:rFonts w:ascii="Arial" w:hAnsi="Arial" w:cs="Arial"/>
          <w:b/>
          <w:bCs/>
          <w:sz w:val="20"/>
          <w:bdr w:val="single" w:sz="4" w:space="0" w:color="auto"/>
          <w:shd w:val="clear" w:color="auto" w:fill="DDDDDD"/>
        </w:rPr>
        <w:t>section 5.2.3.</w:t>
      </w:r>
    </w:p>
    <w:p w14:paraId="0F0F4617" w14:textId="77777777" w:rsidR="00D5161E" w:rsidRDefault="00D5161E">
      <w:pPr>
        <w:rPr>
          <w:rFonts w:ascii="Arial" w:hAnsi="Arial" w:cs="Arial"/>
          <w:sz w:val="20"/>
        </w:rPr>
      </w:pPr>
    </w:p>
    <w:p w14:paraId="5800ABCF" w14:textId="77777777" w:rsidR="00C04B2D" w:rsidRDefault="00C04B2D" w:rsidP="00C04B2D">
      <w:pPr>
        <w:jc w:val="center"/>
        <w:rPr>
          <w:rFonts w:ascii="Arial" w:hAnsi="Arial" w:cs="Arial"/>
          <w:b/>
          <w:bCs/>
          <w:sz w:val="20"/>
        </w:rPr>
      </w:pPr>
      <w:r w:rsidRPr="00C04B2D">
        <w:rPr>
          <w:rFonts w:ascii="Arial" w:hAnsi="Arial" w:cs="Arial"/>
          <w:b/>
          <w:bCs/>
          <w:sz w:val="20"/>
        </w:rPr>
        <w:t>THE REST OF THIS PAGE IS BLANK</w:t>
      </w:r>
    </w:p>
    <w:p w14:paraId="2CCBFAAB" w14:textId="77777777" w:rsidR="009B510A" w:rsidRPr="00C04B2D" w:rsidRDefault="009B510A" w:rsidP="009B510A">
      <w:pPr>
        <w:jc w:val="both"/>
        <w:rPr>
          <w:rFonts w:ascii="Arial" w:hAnsi="Arial" w:cs="Arial"/>
          <w:b/>
          <w:bCs/>
          <w:sz w:val="20"/>
        </w:rPr>
      </w:pPr>
    </w:p>
    <w:p w14:paraId="285C3D20" w14:textId="77777777" w:rsidR="00693223" w:rsidRPr="008E0B61" w:rsidRDefault="00A24F8C">
      <w:pPr>
        <w:pStyle w:val="Heading2"/>
        <w:tabs>
          <w:tab w:val="left" w:pos="567"/>
        </w:tabs>
        <w:spacing w:line="240" w:lineRule="auto"/>
        <w:rPr>
          <w:rFonts w:ascii="Arial" w:hAnsi="Arial" w:cs="Arial"/>
          <w:b/>
          <w:bCs/>
          <w:color w:val="000000"/>
        </w:rPr>
      </w:pPr>
      <w:bookmarkStart w:id="421" w:name="_4.5_Parental_responsibility"/>
      <w:bookmarkStart w:id="422" w:name="_Toc30607529"/>
      <w:bookmarkStart w:id="423" w:name="_Toc30607658"/>
      <w:bookmarkStart w:id="424" w:name="_Toc30607983"/>
      <w:bookmarkStart w:id="425" w:name="_Toc30608816"/>
      <w:bookmarkStart w:id="426" w:name="_Toc30610030"/>
      <w:bookmarkStart w:id="427" w:name="_Toc30610274"/>
      <w:bookmarkStart w:id="428" w:name="_Toc30638428"/>
      <w:bookmarkStart w:id="429" w:name="_Toc30644241"/>
      <w:bookmarkStart w:id="430" w:name="_Toc30644644"/>
      <w:bookmarkStart w:id="431" w:name="_Toc30645194"/>
      <w:bookmarkStart w:id="432" w:name="_Toc30646405"/>
      <w:bookmarkStart w:id="433" w:name="_Toc30646700"/>
      <w:bookmarkStart w:id="434" w:name="_Toc30646811"/>
      <w:bookmarkStart w:id="435" w:name="_Toc30648168"/>
      <w:bookmarkStart w:id="436" w:name="_Toc30649066"/>
      <w:bookmarkStart w:id="437" w:name="_Toc30649142"/>
      <w:bookmarkStart w:id="438" w:name="_Toc30649403"/>
      <w:bookmarkStart w:id="439" w:name="_Toc30649728"/>
      <w:bookmarkStart w:id="440" w:name="_Toc30651668"/>
      <w:bookmarkStart w:id="441" w:name="_Toc30652658"/>
      <w:bookmarkStart w:id="442" w:name="_Toc30652754"/>
      <w:bookmarkStart w:id="443" w:name="_Toc30654099"/>
      <w:bookmarkStart w:id="444" w:name="_Toc30654450"/>
      <w:bookmarkStart w:id="445" w:name="_Toc30655069"/>
      <w:bookmarkStart w:id="446" w:name="_Toc30655326"/>
      <w:bookmarkStart w:id="447" w:name="_Toc30657004"/>
      <w:bookmarkStart w:id="448" w:name="_Toc30661753"/>
      <w:bookmarkStart w:id="449" w:name="_Toc30666441"/>
      <w:bookmarkStart w:id="450" w:name="_Toc30666671"/>
      <w:bookmarkStart w:id="451" w:name="_Toc30667846"/>
      <w:bookmarkStart w:id="452" w:name="_Toc30669224"/>
      <w:bookmarkStart w:id="453" w:name="_Toc30671440"/>
      <w:bookmarkStart w:id="454" w:name="_Toc30673967"/>
      <w:bookmarkStart w:id="455" w:name="_Toc30691189"/>
      <w:bookmarkStart w:id="456" w:name="_Toc30691562"/>
      <w:bookmarkStart w:id="457" w:name="_Toc30691942"/>
      <w:bookmarkStart w:id="458" w:name="_Toc30692701"/>
      <w:bookmarkStart w:id="459" w:name="_Toc30693080"/>
      <w:bookmarkStart w:id="460" w:name="_Toc30693458"/>
      <w:bookmarkStart w:id="461" w:name="_Toc30693836"/>
      <w:bookmarkStart w:id="462" w:name="_Toc30694217"/>
      <w:bookmarkStart w:id="463" w:name="_Toc30698806"/>
      <w:bookmarkStart w:id="464" w:name="_Toc30699184"/>
      <w:bookmarkStart w:id="465" w:name="_Toc30699569"/>
      <w:bookmarkStart w:id="466" w:name="_Toc30700724"/>
      <w:bookmarkStart w:id="467" w:name="_Toc30701111"/>
      <w:bookmarkStart w:id="468" w:name="_Toc30743720"/>
      <w:bookmarkStart w:id="469" w:name="_Toc30754543"/>
      <w:bookmarkStart w:id="470" w:name="_Toc30756983"/>
      <w:bookmarkStart w:id="471" w:name="_Toc30757532"/>
      <w:bookmarkStart w:id="472" w:name="_Toc30757932"/>
      <w:bookmarkStart w:id="473" w:name="_Toc30762693"/>
      <w:bookmarkStart w:id="474" w:name="_Toc30767347"/>
      <w:bookmarkStart w:id="475" w:name="_Toc34823363"/>
      <w:bookmarkEnd w:id="421"/>
      <w:r>
        <w:rPr>
          <w:rFonts w:ascii="Arial" w:hAnsi="Arial" w:cs="Arial"/>
          <w:b/>
          <w:bCs/>
          <w:color w:val="000000"/>
        </w:rPr>
        <w:br w:type="page"/>
      </w:r>
      <w:bookmarkStart w:id="476" w:name="B45"/>
      <w:bookmarkEnd w:id="476"/>
      <w:r w:rsidR="00693223" w:rsidRPr="008E0B61">
        <w:rPr>
          <w:rFonts w:ascii="Arial" w:hAnsi="Arial" w:cs="Arial"/>
          <w:b/>
          <w:bCs/>
          <w:color w:val="000000"/>
        </w:rPr>
        <w:lastRenderedPageBreak/>
        <w:t>4.5</w:t>
      </w:r>
      <w:r w:rsidR="00693223" w:rsidRPr="008E0B61">
        <w:rPr>
          <w:rFonts w:ascii="Arial" w:hAnsi="Arial" w:cs="Arial"/>
          <w:b/>
          <w:bCs/>
          <w:color w:val="000000"/>
        </w:rPr>
        <w:tab/>
      </w:r>
      <w:r w:rsidR="00F4004D">
        <w:rPr>
          <w:rFonts w:ascii="Arial" w:hAnsi="Arial" w:cs="Arial"/>
          <w:b/>
          <w:bCs/>
          <w:color w:val="000000"/>
        </w:rPr>
        <w:t xml:space="preserve">Parental responsibility </w:t>
      </w:r>
      <w:r w:rsidR="00693223" w:rsidRPr="008E0B61">
        <w:rPr>
          <w:rFonts w:ascii="Arial" w:hAnsi="Arial" w:cs="Arial"/>
          <w:b/>
          <w:bCs/>
          <w:color w:val="000000"/>
        </w:rPr>
        <w:t xml:space="preserve">&amp; </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00CF6AAD" w:rsidRPr="008E0B61">
        <w:rPr>
          <w:rFonts w:ascii="Arial" w:hAnsi="Arial" w:cs="Arial"/>
          <w:b/>
          <w:bCs/>
          <w:color w:val="000000"/>
        </w:rPr>
        <w:t>contact</w:t>
      </w:r>
    </w:p>
    <w:p w14:paraId="75A1C7A5" w14:textId="77777777" w:rsidR="00693223" w:rsidRPr="008E0B61" w:rsidRDefault="00693223">
      <w:pPr>
        <w:rPr>
          <w:rFonts w:ascii="Arial" w:hAnsi="Arial" w:cs="Arial"/>
          <w:color w:val="000000"/>
          <w:sz w:val="20"/>
        </w:rPr>
      </w:pPr>
    </w:p>
    <w:p w14:paraId="5A74E8AB" w14:textId="77777777" w:rsidR="00F47C45" w:rsidRDefault="00693223">
      <w:pPr>
        <w:jc w:val="both"/>
        <w:rPr>
          <w:rFonts w:ascii="Arial" w:hAnsi="Arial" w:cs="Arial"/>
          <w:color w:val="000000"/>
          <w:sz w:val="20"/>
        </w:rPr>
      </w:pPr>
      <w:r w:rsidRPr="008E0B61">
        <w:rPr>
          <w:rFonts w:ascii="Arial" w:hAnsi="Arial" w:cs="Arial"/>
          <w:color w:val="000000"/>
          <w:sz w:val="20"/>
        </w:rPr>
        <w:t xml:space="preserve">The concepts of </w:t>
      </w:r>
      <w:r w:rsidR="00C31E36">
        <w:rPr>
          <w:rFonts w:ascii="Arial" w:hAnsi="Arial" w:cs="Arial"/>
          <w:color w:val="000000"/>
          <w:sz w:val="20"/>
        </w:rPr>
        <w:t>‘</w:t>
      </w:r>
      <w:r w:rsidRPr="008E0B61">
        <w:rPr>
          <w:rFonts w:ascii="Arial" w:hAnsi="Arial" w:cs="Arial"/>
          <w:color w:val="000000"/>
          <w:sz w:val="20"/>
        </w:rPr>
        <w:t>custody</w:t>
      </w:r>
      <w:r w:rsidR="00C31E36">
        <w:rPr>
          <w:rFonts w:ascii="Arial" w:hAnsi="Arial" w:cs="Arial"/>
          <w:color w:val="000000"/>
          <w:sz w:val="20"/>
        </w:rPr>
        <w:t>’</w:t>
      </w:r>
      <w:r w:rsidRPr="008E0B61">
        <w:rPr>
          <w:rFonts w:ascii="Arial" w:hAnsi="Arial" w:cs="Arial"/>
          <w:color w:val="000000"/>
          <w:sz w:val="20"/>
        </w:rPr>
        <w:t xml:space="preserve"> &amp; </w:t>
      </w:r>
      <w:r w:rsidR="00C31E36">
        <w:rPr>
          <w:rFonts w:ascii="Arial" w:hAnsi="Arial" w:cs="Arial"/>
          <w:color w:val="000000"/>
          <w:sz w:val="20"/>
        </w:rPr>
        <w:t>‘</w:t>
      </w:r>
      <w:r w:rsidRPr="008E0B61">
        <w:rPr>
          <w:rFonts w:ascii="Arial" w:hAnsi="Arial" w:cs="Arial"/>
          <w:color w:val="000000"/>
          <w:sz w:val="20"/>
        </w:rPr>
        <w:t>guardianship</w:t>
      </w:r>
      <w:r w:rsidR="00C31E36">
        <w:rPr>
          <w:rFonts w:ascii="Arial" w:hAnsi="Arial" w:cs="Arial"/>
          <w:color w:val="000000"/>
          <w:sz w:val="20"/>
        </w:rPr>
        <w:t>’</w:t>
      </w:r>
      <w:r w:rsidRPr="008E0B61">
        <w:rPr>
          <w:rFonts w:ascii="Arial" w:hAnsi="Arial" w:cs="Arial"/>
          <w:color w:val="000000"/>
          <w:sz w:val="20"/>
        </w:rPr>
        <w:t xml:space="preserve"> of a child </w:t>
      </w:r>
      <w:r w:rsidR="00F4004D">
        <w:rPr>
          <w:rFonts w:ascii="Arial" w:hAnsi="Arial" w:cs="Arial"/>
          <w:color w:val="000000"/>
          <w:sz w:val="20"/>
        </w:rPr>
        <w:t>were central to many of the orders made by the Family Division of the Children’s Court prior to 01/03/2016.  The</w:t>
      </w:r>
      <w:r w:rsidR="00580B58">
        <w:rPr>
          <w:rFonts w:ascii="Arial" w:hAnsi="Arial" w:cs="Arial"/>
          <w:color w:val="000000"/>
          <w:sz w:val="20"/>
        </w:rPr>
        <w:t xml:space="preserve"> concepts</w:t>
      </w:r>
      <w:r w:rsidR="00F4004D">
        <w:rPr>
          <w:rFonts w:ascii="Arial" w:hAnsi="Arial" w:cs="Arial"/>
          <w:color w:val="000000"/>
          <w:sz w:val="20"/>
        </w:rPr>
        <w:t xml:space="preserve"> were defined in s.5 &amp; s.4 of the CYFA respectively.  </w:t>
      </w:r>
      <w:r w:rsidR="00F47C45">
        <w:rPr>
          <w:rFonts w:ascii="Arial" w:hAnsi="Arial" w:cs="Arial"/>
          <w:color w:val="000000"/>
          <w:sz w:val="20"/>
        </w:rPr>
        <w:t xml:space="preserve">These sections </w:t>
      </w:r>
      <w:r w:rsidR="006909C2">
        <w:rPr>
          <w:rFonts w:ascii="Arial" w:hAnsi="Arial" w:cs="Arial"/>
          <w:color w:val="000000"/>
          <w:sz w:val="20"/>
        </w:rPr>
        <w:t>are now</w:t>
      </w:r>
      <w:r w:rsidR="00F47C45">
        <w:rPr>
          <w:rFonts w:ascii="Arial" w:hAnsi="Arial" w:cs="Arial"/>
          <w:color w:val="000000"/>
          <w:sz w:val="20"/>
        </w:rPr>
        <w:t xml:space="preserve"> repealed and the concept</w:t>
      </w:r>
      <w:r w:rsidR="00C31E36">
        <w:rPr>
          <w:rFonts w:ascii="Arial" w:hAnsi="Arial" w:cs="Arial"/>
          <w:color w:val="000000"/>
          <w:sz w:val="20"/>
        </w:rPr>
        <w:t>s replaced by the new terms ‘</w:t>
      </w:r>
      <w:r w:rsidR="00F47C45">
        <w:rPr>
          <w:rFonts w:ascii="Arial" w:hAnsi="Arial" w:cs="Arial"/>
          <w:color w:val="000000"/>
          <w:sz w:val="20"/>
        </w:rPr>
        <w:t>parental responsibility</w:t>
      </w:r>
      <w:r w:rsidR="00C31E36">
        <w:rPr>
          <w:rFonts w:ascii="Arial" w:hAnsi="Arial" w:cs="Arial"/>
          <w:color w:val="000000"/>
          <w:sz w:val="20"/>
        </w:rPr>
        <w:t>’ and ‘</w:t>
      </w:r>
      <w:r w:rsidR="00F47C45">
        <w:rPr>
          <w:rFonts w:ascii="Arial" w:hAnsi="Arial" w:cs="Arial"/>
          <w:color w:val="000000"/>
          <w:sz w:val="20"/>
        </w:rPr>
        <w:t>major long-term issue</w:t>
      </w:r>
      <w:r w:rsidR="00C31E36">
        <w:rPr>
          <w:rFonts w:ascii="Arial" w:hAnsi="Arial" w:cs="Arial"/>
          <w:color w:val="000000"/>
          <w:sz w:val="20"/>
        </w:rPr>
        <w:t>’</w:t>
      </w:r>
      <w:r w:rsidR="00F47C45">
        <w:rPr>
          <w:rFonts w:ascii="Arial" w:hAnsi="Arial" w:cs="Arial"/>
          <w:color w:val="000000"/>
          <w:sz w:val="20"/>
        </w:rPr>
        <w:t>.  The concept of contact has not been changed.</w:t>
      </w:r>
    </w:p>
    <w:p w14:paraId="520EDF55" w14:textId="77777777" w:rsidR="00F47C45" w:rsidRDefault="00F47C45">
      <w:pPr>
        <w:jc w:val="both"/>
        <w:rPr>
          <w:rFonts w:ascii="Arial" w:hAnsi="Arial" w:cs="Arial"/>
          <w:color w:val="000000"/>
          <w:sz w:val="20"/>
        </w:rPr>
      </w:pPr>
    </w:p>
    <w:p w14:paraId="1F9A9958" w14:textId="77777777" w:rsidR="00693223" w:rsidRDefault="00693223">
      <w:pPr>
        <w:pStyle w:val="Heading3"/>
        <w:spacing w:line="240" w:lineRule="auto"/>
        <w:rPr>
          <w:rFonts w:ascii="Arial" w:hAnsi="Arial" w:cs="Arial"/>
          <w:b/>
          <w:bCs/>
          <w:sz w:val="20"/>
        </w:rPr>
      </w:pPr>
      <w:bookmarkStart w:id="477" w:name="_4.5.1_Parental_responsibility"/>
      <w:bookmarkStart w:id="478" w:name="B451"/>
      <w:bookmarkStart w:id="479" w:name="_Toc30644645"/>
      <w:bookmarkStart w:id="480" w:name="_Toc30645195"/>
      <w:bookmarkStart w:id="481" w:name="_Toc30646406"/>
      <w:bookmarkStart w:id="482" w:name="_Toc30646701"/>
      <w:bookmarkStart w:id="483" w:name="_Toc30646812"/>
      <w:bookmarkStart w:id="484" w:name="_Toc30648169"/>
      <w:bookmarkStart w:id="485" w:name="_Toc30649067"/>
      <w:bookmarkStart w:id="486" w:name="_Toc30649143"/>
      <w:bookmarkStart w:id="487" w:name="_Toc30649404"/>
      <w:bookmarkStart w:id="488" w:name="_Toc30649729"/>
      <w:bookmarkStart w:id="489" w:name="_Toc30651669"/>
      <w:bookmarkStart w:id="490" w:name="_Toc30652659"/>
      <w:bookmarkStart w:id="491" w:name="_Toc30652755"/>
      <w:bookmarkStart w:id="492" w:name="_Toc30654100"/>
      <w:bookmarkStart w:id="493" w:name="_Toc30654451"/>
      <w:bookmarkStart w:id="494" w:name="_Toc30655070"/>
      <w:bookmarkStart w:id="495" w:name="_Toc30655327"/>
      <w:bookmarkStart w:id="496" w:name="_Toc30657005"/>
      <w:bookmarkStart w:id="497" w:name="_Toc30661754"/>
      <w:bookmarkStart w:id="498" w:name="_Toc30666442"/>
      <w:bookmarkStart w:id="499" w:name="_Toc30666672"/>
      <w:bookmarkStart w:id="500" w:name="_Toc30667847"/>
      <w:bookmarkStart w:id="501" w:name="_Toc30669225"/>
      <w:bookmarkStart w:id="502" w:name="_Toc30671441"/>
      <w:bookmarkStart w:id="503" w:name="_Toc30673968"/>
      <w:bookmarkStart w:id="504" w:name="_Toc30691190"/>
      <w:bookmarkStart w:id="505" w:name="_Toc30691563"/>
      <w:bookmarkStart w:id="506" w:name="_Toc30691943"/>
      <w:bookmarkStart w:id="507" w:name="_Toc30692702"/>
      <w:bookmarkStart w:id="508" w:name="_Toc30693081"/>
      <w:bookmarkStart w:id="509" w:name="_Toc30693459"/>
      <w:bookmarkStart w:id="510" w:name="_Toc30693837"/>
      <w:bookmarkStart w:id="511" w:name="_Toc30694218"/>
      <w:bookmarkStart w:id="512" w:name="_Toc30698807"/>
      <w:bookmarkStart w:id="513" w:name="_Toc30699185"/>
      <w:bookmarkStart w:id="514" w:name="_Toc30699570"/>
      <w:bookmarkStart w:id="515" w:name="_Toc30700725"/>
      <w:bookmarkStart w:id="516" w:name="_Toc30701112"/>
      <w:bookmarkStart w:id="517" w:name="_Toc30743721"/>
      <w:bookmarkStart w:id="518" w:name="_Toc30754544"/>
      <w:bookmarkStart w:id="519" w:name="_Toc30756984"/>
      <w:bookmarkStart w:id="520" w:name="_Toc30757533"/>
      <w:bookmarkStart w:id="521" w:name="_Toc30757933"/>
      <w:bookmarkStart w:id="522" w:name="_Toc30762694"/>
      <w:bookmarkStart w:id="523" w:name="_Toc30767348"/>
      <w:bookmarkStart w:id="524" w:name="_Toc34823364"/>
      <w:bookmarkEnd w:id="477"/>
      <w:bookmarkEnd w:id="478"/>
      <w:r>
        <w:rPr>
          <w:rFonts w:ascii="Arial" w:hAnsi="Arial" w:cs="Arial"/>
          <w:b/>
          <w:bCs/>
          <w:sz w:val="20"/>
        </w:rPr>
        <w:t>4.5.1</w:t>
      </w:r>
      <w:r>
        <w:rPr>
          <w:rFonts w:ascii="Arial" w:hAnsi="Arial" w:cs="Arial"/>
          <w:b/>
          <w:bCs/>
          <w:sz w:val="20"/>
        </w:rPr>
        <w:tab/>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sidR="00F47C45">
        <w:rPr>
          <w:rFonts w:ascii="Arial" w:hAnsi="Arial" w:cs="Arial"/>
          <w:b/>
          <w:bCs/>
          <w:sz w:val="20"/>
        </w:rPr>
        <w:t>Parental responsibility</w:t>
      </w:r>
      <w:r w:rsidR="00BF320F">
        <w:rPr>
          <w:rFonts w:ascii="Arial" w:hAnsi="Arial" w:cs="Arial"/>
          <w:b/>
          <w:bCs/>
          <w:sz w:val="20"/>
        </w:rPr>
        <w:t xml:space="preserve"> – Major long-term issue</w:t>
      </w:r>
    </w:p>
    <w:p w14:paraId="08F99A2A" w14:textId="77777777" w:rsidR="00693223" w:rsidRDefault="00693223">
      <w:pPr>
        <w:jc w:val="both"/>
        <w:rPr>
          <w:rFonts w:ascii="Arial" w:hAnsi="Arial" w:cs="Arial"/>
          <w:sz w:val="20"/>
        </w:rPr>
      </w:pPr>
    </w:p>
    <w:p w14:paraId="6A9C04E3" w14:textId="77777777" w:rsidR="00693223" w:rsidRDefault="00F47C45">
      <w:pPr>
        <w:jc w:val="both"/>
        <w:rPr>
          <w:rFonts w:ascii="Arial" w:hAnsi="Arial" w:cs="Arial"/>
          <w:color w:val="000000"/>
          <w:sz w:val="20"/>
        </w:rPr>
      </w:pPr>
      <w:r>
        <w:rPr>
          <w:rFonts w:ascii="Arial" w:hAnsi="Arial" w:cs="Arial"/>
          <w:sz w:val="20"/>
        </w:rPr>
        <w:t xml:space="preserve">In s.3(1) of the </w:t>
      </w:r>
      <w:r w:rsidR="00693223">
        <w:rPr>
          <w:rFonts w:ascii="Arial" w:hAnsi="Arial" w:cs="Arial"/>
          <w:sz w:val="20"/>
        </w:rPr>
        <w:t>CY</w:t>
      </w:r>
      <w:r w:rsidR="00242170">
        <w:rPr>
          <w:rFonts w:ascii="Arial" w:hAnsi="Arial" w:cs="Arial"/>
          <w:sz w:val="20"/>
        </w:rPr>
        <w:t>F</w:t>
      </w:r>
      <w:r w:rsidR="00693223">
        <w:rPr>
          <w:rFonts w:ascii="Arial" w:hAnsi="Arial" w:cs="Arial"/>
          <w:sz w:val="20"/>
        </w:rPr>
        <w:t xml:space="preserve">A </w:t>
      </w:r>
      <w:r w:rsidR="00C31E36">
        <w:rPr>
          <w:rFonts w:ascii="Arial" w:hAnsi="Arial" w:cs="Arial"/>
          <w:sz w:val="20"/>
        </w:rPr>
        <w:t>‘</w:t>
      </w:r>
      <w:r>
        <w:rPr>
          <w:rFonts w:ascii="Arial" w:hAnsi="Arial" w:cs="Arial"/>
          <w:sz w:val="20"/>
        </w:rPr>
        <w:t>parental responsibility</w:t>
      </w:r>
      <w:r w:rsidR="00C31E36">
        <w:rPr>
          <w:rFonts w:ascii="Arial" w:hAnsi="Arial" w:cs="Arial"/>
          <w:sz w:val="20"/>
        </w:rPr>
        <w:t>’</w:t>
      </w:r>
      <w:r>
        <w:rPr>
          <w:rFonts w:ascii="Arial" w:hAnsi="Arial" w:cs="Arial"/>
          <w:sz w:val="20"/>
        </w:rPr>
        <w:t xml:space="preserve">, in relation to a child, is </w:t>
      </w:r>
      <w:r w:rsidR="00693223">
        <w:rPr>
          <w:rFonts w:ascii="Arial" w:hAnsi="Arial" w:cs="Arial"/>
          <w:sz w:val="20"/>
        </w:rPr>
        <w:t>define</w:t>
      </w:r>
      <w:r>
        <w:rPr>
          <w:rFonts w:ascii="Arial" w:hAnsi="Arial" w:cs="Arial"/>
          <w:sz w:val="20"/>
        </w:rPr>
        <w:t>d</w:t>
      </w:r>
      <w:r w:rsidR="00693223">
        <w:rPr>
          <w:rFonts w:ascii="Arial" w:hAnsi="Arial" w:cs="Arial"/>
          <w:sz w:val="20"/>
        </w:rPr>
        <w:t xml:space="preserve"> </w:t>
      </w:r>
      <w:r w:rsidR="00C31E36">
        <w:rPr>
          <w:rFonts w:ascii="Arial" w:hAnsi="Arial" w:cs="Arial"/>
          <w:sz w:val="20"/>
        </w:rPr>
        <w:t xml:space="preserve">as </w:t>
      </w:r>
      <w:r w:rsidR="00C31E36">
        <w:rPr>
          <w:rFonts w:ascii="Arial" w:hAnsi="Arial" w:cs="Arial"/>
          <w:color w:val="000000"/>
          <w:sz w:val="20"/>
        </w:rPr>
        <w:t>“all the duties, powers, responsibilities and authority which, by law or custom, parents have in relation to children”.</w:t>
      </w:r>
      <w:r w:rsidR="006909C2">
        <w:rPr>
          <w:rFonts w:ascii="Arial" w:hAnsi="Arial" w:cs="Arial"/>
          <w:color w:val="000000"/>
          <w:sz w:val="20"/>
        </w:rPr>
        <w:t xml:space="preserve">  This encompasses all the duties, powers and responsibilities which were previously characterized as relating to ‘custody’ and ‘guardianship’.  In the absence of a court order to the contrary, the parents of a child have joint parental responsibility for the child.</w:t>
      </w:r>
    </w:p>
    <w:p w14:paraId="7E746B2D" w14:textId="77777777" w:rsidR="006909C2" w:rsidRDefault="006909C2" w:rsidP="006909C2">
      <w:pPr>
        <w:keepNext/>
        <w:jc w:val="both"/>
        <w:rPr>
          <w:rFonts w:ascii="Arial" w:hAnsi="Arial" w:cs="Arial"/>
          <w:sz w:val="20"/>
        </w:rPr>
      </w:pPr>
    </w:p>
    <w:p w14:paraId="5340A112" w14:textId="77777777" w:rsidR="006909C2" w:rsidRPr="006909C2" w:rsidRDefault="006909C2" w:rsidP="006909C2">
      <w:pPr>
        <w:tabs>
          <w:tab w:val="left" w:pos="363"/>
        </w:tabs>
        <w:jc w:val="both"/>
        <w:rPr>
          <w:rFonts w:ascii="Arial" w:hAnsi="Arial" w:cs="Arial"/>
          <w:color w:val="000000"/>
          <w:sz w:val="20"/>
        </w:rPr>
      </w:pPr>
      <w:r>
        <w:rPr>
          <w:rFonts w:ascii="Arial" w:hAnsi="Arial" w:cs="Arial"/>
          <w:sz w:val="20"/>
        </w:rPr>
        <w:t xml:space="preserve">In s.3(1) of the CYFA ‘major long-term issue’, in relation to a child, is defined as </w:t>
      </w:r>
      <w:r>
        <w:rPr>
          <w:rFonts w:ascii="Arial" w:hAnsi="Arial" w:cs="Arial"/>
          <w:color w:val="000000"/>
          <w:sz w:val="20"/>
        </w:rPr>
        <w:t>“</w:t>
      </w:r>
      <w:r w:rsidRPr="006909C2">
        <w:rPr>
          <w:rFonts w:ascii="Arial" w:hAnsi="Arial" w:cs="Arial"/>
          <w:color w:val="000000"/>
          <w:sz w:val="20"/>
        </w:rPr>
        <w:t>an issue about the care, wellbeing and development of the child that is of a long-term nature and includes an issue of that nature about–</w:t>
      </w:r>
    </w:p>
    <w:p w14:paraId="717015F7" w14:textId="77777777" w:rsidR="006909C2" w:rsidRPr="006909C2" w:rsidRDefault="006909C2" w:rsidP="00FB1EE3">
      <w:pPr>
        <w:numPr>
          <w:ilvl w:val="0"/>
          <w:numId w:val="53"/>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74078A2E" w14:textId="77777777" w:rsidR="006909C2" w:rsidRPr="006909C2" w:rsidRDefault="006909C2" w:rsidP="00FB1EE3">
      <w:pPr>
        <w:numPr>
          <w:ilvl w:val="0"/>
          <w:numId w:val="53"/>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604D04D0" w14:textId="77777777" w:rsidR="006909C2" w:rsidRPr="006909C2" w:rsidRDefault="006909C2" w:rsidP="00FB1EE3">
      <w:pPr>
        <w:numPr>
          <w:ilvl w:val="0"/>
          <w:numId w:val="53"/>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health; and</w:t>
      </w:r>
    </w:p>
    <w:p w14:paraId="05BE9461" w14:textId="77777777" w:rsidR="006909C2" w:rsidRPr="006909C2" w:rsidRDefault="006909C2" w:rsidP="00FB1EE3">
      <w:pPr>
        <w:numPr>
          <w:ilvl w:val="0"/>
          <w:numId w:val="53"/>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name.”</w:t>
      </w:r>
    </w:p>
    <w:p w14:paraId="7B4F0787" w14:textId="77777777" w:rsidR="006909C2" w:rsidRDefault="006909C2" w:rsidP="006909C2">
      <w:pPr>
        <w:jc w:val="both"/>
        <w:rPr>
          <w:rFonts w:ascii="Arial" w:hAnsi="Arial" w:cs="Arial"/>
          <w:sz w:val="20"/>
        </w:rPr>
      </w:pPr>
      <w:r>
        <w:rPr>
          <w:rFonts w:ascii="Arial" w:hAnsi="Arial" w:cs="Arial"/>
          <w:sz w:val="20"/>
        </w:rPr>
        <w:t xml:space="preserve">These are the issues that were previously categorized as ‘guardianship </w:t>
      </w:r>
      <w:proofErr w:type="gramStart"/>
      <w:r>
        <w:rPr>
          <w:rFonts w:ascii="Arial" w:hAnsi="Arial" w:cs="Arial"/>
          <w:sz w:val="20"/>
        </w:rPr>
        <w:t>issues’</w:t>
      </w:r>
      <w:proofErr w:type="gramEnd"/>
      <w:r>
        <w:rPr>
          <w:rFonts w:ascii="Arial" w:hAnsi="Arial" w:cs="Arial"/>
          <w:sz w:val="20"/>
        </w:rPr>
        <w:t>.</w:t>
      </w:r>
    </w:p>
    <w:p w14:paraId="21E0D263" w14:textId="77777777" w:rsidR="006909C2" w:rsidRDefault="006909C2" w:rsidP="006909C2">
      <w:pPr>
        <w:jc w:val="both"/>
        <w:rPr>
          <w:rFonts w:ascii="Arial" w:hAnsi="Arial" w:cs="Arial"/>
          <w:color w:val="000000"/>
          <w:sz w:val="20"/>
        </w:rPr>
      </w:pPr>
    </w:p>
    <w:p w14:paraId="48F3DBAF" w14:textId="77777777" w:rsidR="006909C2" w:rsidRDefault="006909C2" w:rsidP="006909C2">
      <w:pPr>
        <w:pStyle w:val="Heading3"/>
        <w:keepNext/>
        <w:spacing w:line="240" w:lineRule="auto"/>
        <w:rPr>
          <w:rFonts w:ascii="Arial" w:hAnsi="Arial" w:cs="Arial"/>
          <w:b/>
          <w:bCs/>
          <w:sz w:val="20"/>
        </w:rPr>
      </w:pPr>
      <w:bookmarkStart w:id="525" w:name="_4.5.2_Where_carer"/>
      <w:bookmarkStart w:id="526" w:name="B452"/>
      <w:bookmarkEnd w:id="525"/>
      <w:bookmarkEnd w:id="526"/>
      <w:r>
        <w:rPr>
          <w:rFonts w:ascii="Arial" w:hAnsi="Arial" w:cs="Arial"/>
          <w:b/>
          <w:bCs/>
          <w:sz w:val="20"/>
        </w:rPr>
        <w:t>4.5.</w:t>
      </w:r>
      <w:r w:rsidR="00BF320F">
        <w:rPr>
          <w:rFonts w:ascii="Arial" w:hAnsi="Arial" w:cs="Arial"/>
          <w:b/>
          <w:bCs/>
          <w:sz w:val="20"/>
        </w:rPr>
        <w:t>2</w:t>
      </w:r>
      <w:r>
        <w:rPr>
          <w:rFonts w:ascii="Arial" w:hAnsi="Arial" w:cs="Arial"/>
          <w:b/>
          <w:bCs/>
          <w:sz w:val="20"/>
        </w:rPr>
        <w:tab/>
      </w:r>
      <w:r w:rsidR="00787E9B">
        <w:rPr>
          <w:rFonts w:ascii="Arial" w:hAnsi="Arial" w:cs="Arial"/>
          <w:b/>
          <w:bCs/>
          <w:sz w:val="20"/>
        </w:rPr>
        <w:t>W</w:t>
      </w:r>
      <w:r w:rsidR="00646C1A">
        <w:rPr>
          <w:rFonts w:ascii="Arial" w:hAnsi="Arial" w:cs="Arial"/>
          <w:b/>
          <w:bCs/>
          <w:sz w:val="20"/>
        </w:rPr>
        <w:t>here carer may exercise parental responsibility</w:t>
      </w:r>
    </w:p>
    <w:p w14:paraId="4E3F997F" w14:textId="77777777" w:rsidR="006909C2" w:rsidRDefault="006909C2" w:rsidP="006909C2">
      <w:pPr>
        <w:keepNext/>
        <w:jc w:val="both"/>
        <w:rPr>
          <w:rFonts w:ascii="Arial" w:hAnsi="Arial" w:cs="Arial"/>
          <w:sz w:val="20"/>
        </w:rPr>
      </w:pPr>
    </w:p>
    <w:p w14:paraId="78F07D91" w14:textId="77777777" w:rsidR="00BF320F" w:rsidRPr="00BF320F" w:rsidRDefault="00BF320F" w:rsidP="00BF320F">
      <w:pPr>
        <w:jc w:val="both"/>
        <w:rPr>
          <w:rFonts w:ascii="Arial" w:hAnsi="Arial" w:cs="Arial"/>
          <w:color w:val="000000"/>
          <w:sz w:val="20"/>
        </w:rPr>
      </w:pPr>
      <w:r>
        <w:rPr>
          <w:rFonts w:ascii="Arial" w:hAnsi="Arial" w:cs="Arial"/>
          <w:sz w:val="20"/>
        </w:rPr>
        <w:t xml:space="preserve">Section 175A of the CYFA – in operation since 10/09/2014 but amended as and from 01/03/2016 – empowers the Secretary </w:t>
      </w:r>
      <w:r w:rsidR="00785D2D">
        <w:rPr>
          <w:rFonts w:ascii="Arial" w:hAnsi="Arial" w:cs="Arial"/>
          <w:sz w:val="20"/>
        </w:rPr>
        <w:t>DFFH</w:t>
      </w:r>
      <w:r>
        <w:rPr>
          <w:rFonts w:ascii="Arial" w:hAnsi="Arial" w:cs="Arial"/>
          <w:sz w:val="20"/>
        </w:rPr>
        <w:t xml:space="preserve"> to </w:t>
      </w:r>
      <w:r w:rsidRPr="00BF320F">
        <w:rPr>
          <w:rFonts w:ascii="Arial" w:hAnsi="Arial" w:cs="Arial"/>
          <w:color w:val="000000"/>
          <w:sz w:val="20"/>
        </w:rPr>
        <w:t>specify certain issues relating to a child in out of home care about which a person who has care of the child may be authorised under s.175B to make decisions.  Examples given include-</w:t>
      </w:r>
    </w:p>
    <w:p w14:paraId="3D0E1B1D" w14:textId="77777777" w:rsidR="00BF320F" w:rsidRDefault="00BF320F" w:rsidP="00BF320F">
      <w:pPr>
        <w:keepNext/>
        <w:numPr>
          <w:ilvl w:val="0"/>
          <w:numId w:val="1"/>
        </w:numPr>
        <w:tabs>
          <w:tab w:val="num" w:pos="723"/>
        </w:tabs>
        <w:jc w:val="both"/>
        <w:rPr>
          <w:rFonts w:ascii="Arial" w:hAnsi="Arial" w:cs="Arial"/>
          <w:sz w:val="20"/>
        </w:rPr>
      </w:pPr>
      <w:r w:rsidRPr="00BF320F">
        <w:rPr>
          <w:rFonts w:ascii="Arial" w:hAnsi="Arial" w:cs="Arial"/>
          <w:color w:val="000000"/>
          <w:sz w:val="20"/>
        </w:rPr>
        <w:t>the signing of school consent forms;</w:t>
      </w:r>
    </w:p>
    <w:p w14:paraId="6132EFB0" w14:textId="77777777" w:rsidR="00BF320F" w:rsidRDefault="00BF320F" w:rsidP="00BF320F">
      <w:pPr>
        <w:keepNext/>
        <w:numPr>
          <w:ilvl w:val="0"/>
          <w:numId w:val="1"/>
        </w:numPr>
        <w:tabs>
          <w:tab w:val="num" w:pos="723"/>
        </w:tabs>
        <w:jc w:val="both"/>
        <w:rPr>
          <w:rFonts w:ascii="Arial" w:hAnsi="Arial" w:cs="Arial"/>
          <w:sz w:val="20"/>
        </w:rPr>
      </w:pPr>
      <w:r w:rsidRPr="00BF320F">
        <w:rPr>
          <w:rFonts w:ascii="Arial" w:hAnsi="Arial" w:cs="Arial"/>
          <w:color w:val="000000"/>
          <w:sz w:val="20"/>
        </w:rPr>
        <w:t>obtaining routine medical care for the child;</w:t>
      </w:r>
    </w:p>
    <w:p w14:paraId="7A223011" w14:textId="77777777" w:rsidR="00BF320F" w:rsidRDefault="00BF320F" w:rsidP="00BF320F">
      <w:pPr>
        <w:keepNext/>
        <w:numPr>
          <w:ilvl w:val="0"/>
          <w:numId w:val="1"/>
        </w:numPr>
        <w:tabs>
          <w:tab w:val="num" w:pos="723"/>
        </w:tabs>
        <w:jc w:val="both"/>
        <w:rPr>
          <w:rFonts w:ascii="Arial" w:hAnsi="Arial" w:cs="Arial"/>
          <w:sz w:val="20"/>
        </w:rPr>
      </w:pPr>
      <w:r w:rsidRPr="00BF320F">
        <w:rPr>
          <w:rFonts w:ascii="Arial" w:hAnsi="Arial" w:cs="Arial"/>
          <w:color w:val="000000"/>
          <w:sz w:val="20"/>
        </w:rPr>
        <w:t>the day to day treatment of a child who suffers from a chronic or serious health condition.</w:t>
      </w:r>
    </w:p>
    <w:p w14:paraId="0C9AE30E" w14:textId="77777777" w:rsidR="006909C2" w:rsidRPr="00BF320F" w:rsidRDefault="00BF320F" w:rsidP="00BF320F">
      <w:pPr>
        <w:jc w:val="both"/>
        <w:rPr>
          <w:rFonts w:ascii="Arial" w:hAnsi="Arial" w:cs="Arial"/>
          <w:color w:val="000000"/>
          <w:sz w:val="16"/>
        </w:rPr>
      </w:pPr>
      <w:r w:rsidRPr="00BF320F">
        <w:rPr>
          <w:rFonts w:ascii="Arial" w:hAnsi="Arial" w:cs="Arial"/>
          <w:color w:val="000000"/>
          <w:sz w:val="20"/>
        </w:rPr>
        <w:t xml:space="preserve">The specification may relate either to a particular child, a child subject to a particular type of order or a person who provides a certain category of care.  </w:t>
      </w:r>
      <w:r>
        <w:rPr>
          <w:rFonts w:ascii="Arial" w:hAnsi="Arial" w:cs="Arial"/>
          <w:color w:val="000000"/>
          <w:sz w:val="20"/>
        </w:rPr>
        <w:t>However, i</w:t>
      </w:r>
      <w:r w:rsidRPr="00BF320F">
        <w:rPr>
          <w:rFonts w:ascii="Arial" w:hAnsi="Arial" w:cs="Arial"/>
          <w:color w:val="000000"/>
          <w:sz w:val="20"/>
        </w:rPr>
        <w:t>f the child is subject to an</w:t>
      </w:r>
      <w:r>
        <w:rPr>
          <w:rFonts w:ascii="Arial" w:hAnsi="Arial" w:cs="Arial"/>
          <w:color w:val="000000"/>
          <w:sz w:val="20"/>
        </w:rPr>
        <w:t xml:space="preserve"> interim accommodation order,</w:t>
      </w:r>
      <w:r w:rsidRPr="00BF320F">
        <w:rPr>
          <w:rFonts w:ascii="Arial" w:hAnsi="Arial" w:cs="Arial"/>
          <w:color w:val="000000"/>
          <w:sz w:val="20"/>
        </w:rPr>
        <w:t xml:space="preserve"> </w:t>
      </w:r>
      <w:r>
        <w:rPr>
          <w:rFonts w:ascii="Arial" w:hAnsi="Arial" w:cs="Arial"/>
          <w:color w:val="000000"/>
          <w:sz w:val="20"/>
        </w:rPr>
        <w:t>a family reunification order or a therapeutic treatment (placement) order</w:t>
      </w:r>
      <w:r w:rsidRPr="00BF320F">
        <w:rPr>
          <w:rFonts w:ascii="Arial" w:hAnsi="Arial" w:cs="Arial"/>
          <w:color w:val="000000"/>
          <w:sz w:val="20"/>
        </w:rPr>
        <w:t>, the specification must not relate to “a major long-term issue”.</w:t>
      </w:r>
    </w:p>
    <w:p w14:paraId="2D0552B3" w14:textId="77777777" w:rsidR="006909C2" w:rsidRDefault="006909C2">
      <w:pPr>
        <w:jc w:val="both"/>
        <w:rPr>
          <w:rFonts w:ascii="Arial" w:hAnsi="Arial" w:cs="Arial"/>
          <w:color w:val="000000"/>
          <w:sz w:val="20"/>
        </w:rPr>
      </w:pPr>
    </w:p>
    <w:p w14:paraId="404262DC" w14:textId="77777777" w:rsidR="00646C1A" w:rsidRDefault="00BF320F">
      <w:pPr>
        <w:jc w:val="both"/>
        <w:rPr>
          <w:rFonts w:ascii="Arial" w:hAnsi="Arial" w:cs="Arial"/>
          <w:color w:val="000000"/>
          <w:sz w:val="20"/>
          <w:szCs w:val="20"/>
        </w:rPr>
      </w:pPr>
      <w:r>
        <w:rPr>
          <w:rFonts w:ascii="Arial" w:hAnsi="Arial" w:cs="Arial"/>
          <w:color w:val="000000"/>
          <w:sz w:val="20"/>
        </w:rPr>
        <w:t>Section 175B of the CYFA – also in operation since 10</w:t>
      </w:r>
      <w:r w:rsidRPr="00BF320F">
        <w:rPr>
          <w:rFonts w:ascii="Arial" w:hAnsi="Arial" w:cs="Arial"/>
          <w:color w:val="000000"/>
          <w:sz w:val="20"/>
          <w:szCs w:val="20"/>
        </w:rPr>
        <w:t xml:space="preserve">/09/2014 but amended as and from 01/03/2016 – empowers the Secretary or the person in charge of an out of home care service to authorise a person who has care of a child placed in out of home care </w:t>
      </w:r>
      <w:r w:rsidR="00646C1A">
        <w:rPr>
          <w:rFonts w:ascii="Arial" w:hAnsi="Arial" w:cs="Arial"/>
          <w:color w:val="000000"/>
          <w:sz w:val="20"/>
          <w:szCs w:val="20"/>
        </w:rPr>
        <w:t>under-</w:t>
      </w:r>
    </w:p>
    <w:p w14:paraId="4DD776DA" w14:textId="77777777" w:rsidR="00646C1A" w:rsidRDefault="00646C1A" w:rsidP="00FB1EE3">
      <w:pPr>
        <w:numPr>
          <w:ilvl w:val="0"/>
          <w:numId w:val="54"/>
        </w:numPr>
        <w:ind w:left="357" w:hanging="357"/>
        <w:jc w:val="both"/>
        <w:rPr>
          <w:rFonts w:ascii="Arial" w:hAnsi="Arial" w:cs="Arial"/>
          <w:color w:val="000000"/>
          <w:sz w:val="20"/>
          <w:szCs w:val="20"/>
        </w:rPr>
      </w:pPr>
      <w:r>
        <w:rPr>
          <w:rFonts w:ascii="Arial" w:hAnsi="Arial" w:cs="Arial"/>
          <w:color w:val="000000"/>
          <w:sz w:val="20"/>
          <w:szCs w:val="20"/>
        </w:rPr>
        <w:t>an interim accommodation order; or</w:t>
      </w:r>
    </w:p>
    <w:p w14:paraId="5DF7565F" w14:textId="77777777" w:rsidR="00646C1A" w:rsidRDefault="00646C1A" w:rsidP="00FB1EE3">
      <w:pPr>
        <w:numPr>
          <w:ilvl w:val="0"/>
          <w:numId w:val="54"/>
        </w:numPr>
        <w:ind w:left="357" w:hanging="357"/>
        <w:jc w:val="both"/>
        <w:rPr>
          <w:rFonts w:ascii="Arial" w:hAnsi="Arial" w:cs="Arial"/>
          <w:color w:val="000000"/>
          <w:sz w:val="20"/>
          <w:szCs w:val="20"/>
        </w:rPr>
      </w:pPr>
      <w:r>
        <w:rPr>
          <w:rFonts w:ascii="Arial" w:hAnsi="Arial" w:cs="Arial"/>
          <w:color w:val="000000"/>
          <w:sz w:val="20"/>
          <w:szCs w:val="20"/>
        </w:rPr>
        <w:t>a protection order that confers parental responsibility on the Secretary-</w:t>
      </w:r>
    </w:p>
    <w:p w14:paraId="74B957CB" w14:textId="77777777" w:rsidR="00BF320F" w:rsidRDefault="00BF320F">
      <w:pPr>
        <w:jc w:val="both"/>
        <w:rPr>
          <w:rFonts w:ascii="Arial" w:hAnsi="Arial" w:cs="Arial"/>
          <w:color w:val="000000"/>
          <w:sz w:val="20"/>
        </w:rPr>
      </w:pPr>
      <w:r w:rsidRPr="00BF320F">
        <w:rPr>
          <w:rFonts w:ascii="Arial" w:hAnsi="Arial" w:cs="Arial"/>
          <w:color w:val="000000"/>
          <w:sz w:val="20"/>
          <w:szCs w:val="20"/>
        </w:rPr>
        <w:t xml:space="preserve">to make decisions </w:t>
      </w:r>
      <w:r w:rsidR="00646C1A">
        <w:rPr>
          <w:rFonts w:ascii="Arial" w:hAnsi="Arial" w:cs="Arial"/>
          <w:color w:val="000000"/>
          <w:sz w:val="20"/>
          <w:szCs w:val="20"/>
        </w:rPr>
        <w:t xml:space="preserve">in relation to the child </w:t>
      </w:r>
      <w:r w:rsidRPr="00BF320F">
        <w:rPr>
          <w:rFonts w:ascii="Arial" w:hAnsi="Arial" w:cs="Arial"/>
          <w:color w:val="000000"/>
          <w:sz w:val="20"/>
          <w:szCs w:val="20"/>
        </w:rPr>
        <w:t>on the issues specified by the Secretary under s.175A.</w:t>
      </w:r>
    </w:p>
    <w:p w14:paraId="056A0C6C" w14:textId="77777777" w:rsidR="00BF320F" w:rsidRDefault="00BF320F">
      <w:pPr>
        <w:jc w:val="both"/>
        <w:rPr>
          <w:rFonts w:ascii="Arial" w:hAnsi="Arial" w:cs="Arial"/>
          <w:color w:val="000000"/>
          <w:sz w:val="20"/>
        </w:rPr>
      </w:pPr>
    </w:p>
    <w:p w14:paraId="506B4082" w14:textId="77777777" w:rsidR="00693223" w:rsidRPr="008E0B61" w:rsidRDefault="00693223">
      <w:pPr>
        <w:pStyle w:val="Heading3"/>
        <w:spacing w:line="240" w:lineRule="auto"/>
        <w:rPr>
          <w:rFonts w:ascii="Arial" w:hAnsi="Arial" w:cs="Arial"/>
          <w:b/>
          <w:bCs/>
          <w:color w:val="000000"/>
          <w:sz w:val="20"/>
        </w:rPr>
      </w:pPr>
      <w:bookmarkStart w:id="527" w:name="_4.5.3_Contact"/>
      <w:bookmarkStart w:id="528" w:name="B453"/>
      <w:bookmarkStart w:id="529" w:name="_Toc30644647"/>
      <w:bookmarkStart w:id="530" w:name="_Toc30645197"/>
      <w:bookmarkStart w:id="531" w:name="_Toc30646408"/>
      <w:bookmarkStart w:id="532" w:name="_Toc30646703"/>
      <w:bookmarkStart w:id="533" w:name="_Toc30646814"/>
      <w:bookmarkStart w:id="534" w:name="_Toc30648171"/>
      <w:bookmarkStart w:id="535" w:name="_Toc30649069"/>
      <w:bookmarkStart w:id="536" w:name="_Toc30649145"/>
      <w:bookmarkStart w:id="537" w:name="_Toc30649406"/>
      <w:bookmarkStart w:id="538" w:name="_Toc30649731"/>
      <w:bookmarkStart w:id="539" w:name="_Toc30651671"/>
      <w:bookmarkStart w:id="540" w:name="_Toc30652661"/>
      <w:bookmarkStart w:id="541" w:name="_Toc30652757"/>
      <w:bookmarkStart w:id="542" w:name="_Toc30654102"/>
      <w:bookmarkStart w:id="543" w:name="_Toc30654453"/>
      <w:bookmarkStart w:id="544" w:name="_Toc30655072"/>
      <w:bookmarkStart w:id="545" w:name="_Toc30655329"/>
      <w:bookmarkStart w:id="546" w:name="_Toc30657007"/>
      <w:bookmarkStart w:id="547" w:name="_Toc30661756"/>
      <w:bookmarkStart w:id="548" w:name="_Toc30666444"/>
      <w:bookmarkStart w:id="549" w:name="_Toc30666674"/>
      <w:bookmarkStart w:id="550" w:name="_Toc30667849"/>
      <w:bookmarkStart w:id="551" w:name="_Toc30669227"/>
      <w:bookmarkStart w:id="552" w:name="_Toc30671443"/>
      <w:bookmarkStart w:id="553" w:name="_Toc30673970"/>
      <w:bookmarkStart w:id="554" w:name="_Toc30691192"/>
      <w:bookmarkStart w:id="555" w:name="_Toc30691565"/>
      <w:bookmarkStart w:id="556" w:name="_Toc30691945"/>
      <w:bookmarkStart w:id="557" w:name="_Toc30692704"/>
      <w:bookmarkStart w:id="558" w:name="_Toc30693083"/>
      <w:bookmarkStart w:id="559" w:name="_Toc30693461"/>
      <w:bookmarkStart w:id="560" w:name="_Toc30693839"/>
      <w:bookmarkStart w:id="561" w:name="_Toc30694220"/>
      <w:bookmarkStart w:id="562" w:name="_Toc30698809"/>
      <w:bookmarkStart w:id="563" w:name="_Toc30699187"/>
      <w:bookmarkStart w:id="564" w:name="_Toc30699572"/>
      <w:bookmarkStart w:id="565" w:name="_Toc30700727"/>
      <w:bookmarkStart w:id="566" w:name="_Toc30701114"/>
      <w:bookmarkStart w:id="567" w:name="_Toc30743723"/>
      <w:bookmarkStart w:id="568" w:name="_Toc30754546"/>
      <w:bookmarkStart w:id="569" w:name="_Toc30756986"/>
      <w:bookmarkStart w:id="570" w:name="_Toc30757535"/>
      <w:bookmarkStart w:id="571" w:name="_Toc30757935"/>
      <w:bookmarkStart w:id="572" w:name="_Toc30762696"/>
      <w:bookmarkStart w:id="573" w:name="_Toc30767350"/>
      <w:bookmarkStart w:id="574" w:name="_Toc34823366"/>
      <w:bookmarkEnd w:id="527"/>
      <w:bookmarkEnd w:id="528"/>
      <w:r w:rsidRPr="008E0B61">
        <w:rPr>
          <w:rFonts w:ascii="Arial" w:hAnsi="Arial" w:cs="Arial"/>
          <w:b/>
          <w:bCs/>
          <w:color w:val="000000"/>
          <w:sz w:val="20"/>
        </w:rPr>
        <w:t>4.5.3</w:t>
      </w:r>
      <w:r w:rsidRPr="008E0B61">
        <w:rPr>
          <w:rFonts w:ascii="Arial" w:hAnsi="Arial" w:cs="Arial"/>
          <w:b/>
          <w:bCs/>
          <w:color w:val="000000"/>
          <w:sz w:val="20"/>
        </w:rPr>
        <w:tab/>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00502296" w:rsidRPr="008E0B61">
        <w:rPr>
          <w:rFonts w:ascii="Arial" w:hAnsi="Arial" w:cs="Arial"/>
          <w:b/>
          <w:bCs/>
          <w:color w:val="000000"/>
          <w:sz w:val="20"/>
        </w:rPr>
        <w:t>Contact</w:t>
      </w:r>
    </w:p>
    <w:p w14:paraId="3D969AB0" w14:textId="77777777" w:rsidR="00693223" w:rsidRPr="008E0B61" w:rsidRDefault="00693223">
      <w:pPr>
        <w:jc w:val="both"/>
        <w:rPr>
          <w:rFonts w:ascii="Arial" w:hAnsi="Arial" w:cs="Arial"/>
          <w:b/>
          <w:bCs/>
          <w:color w:val="000000"/>
          <w:sz w:val="20"/>
        </w:rPr>
      </w:pPr>
    </w:p>
    <w:p w14:paraId="55B91526" w14:textId="77777777" w:rsidR="00693223" w:rsidRPr="008E0B61" w:rsidRDefault="00693223">
      <w:pPr>
        <w:jc w:val="both"/>
        <w:rPr>
          <w:rFonts w:ascii="Arial" w:hAnsi="Arial" w:cs="Arial"/>
          <w:color w:val="000000"/>
          <w:sz w:val="20"/>
        </w:rPr>
      </w:pPr>
      <w:r w:rsidRPr="008E0B61">
        <w:rPr>
          <w:rFonts w:ascii="Arial" w:hAnsi="Arial" w:cs="Arial"/>
          <w:color w:val="000000"/>
          <w:sz w:val="20"/>
        </w:rPr>
        <w:t>In s.3 of the CY</w:t>
      </w:r>
      <w:r w:rsidR="00242170" w:rsidRPr="008E0B61">
        <w:rPr>
          <w:rFonts w:ascii="Arial" w:hAnsi="Arial" w:cs="Arial"/>
          <w:color w:val="000000"/>
          <w:sz w:val="20"/>
        </w:rPr>
        <w:t>F</w:t>
      </w:r>
      <w:r w:rsidRPr="008E0B61">
        <w:rPr>
          <w:rFonts w:ascii="Arial" w:hAnsi="Arial" w:cs="Arial"/>
          <w:color w:val="000000"/>
          <w:sz w:val="20"/>
        </w:rPr>
        <w:t>A, '</w:t>
      </w:r>
      <w:r w:rsidR="00502296" w:rsidRPr="008E0B61">
        <w:rPr>
          <w:rFonts w:ascii="Arial" w:hAnsi="Arial" w:cs="Arial"/>
          <w:color w:val="000000"/>
          <w:sz w:val="20"/>
        </w:rPr>
        <w:t>contact</w:t>
      </w:r>
      <w:r w:rsidRPr="008E0B61">
        <w:rPr>
          <w:rFonts w:ascii="Arial" w:hAnsi="Arial" w:cs="Arial"/>
          <w:color w:val="000000"/>
          <w:sz w:val="20"/>
        </w:rPr>
        <w:t xml:space="preserve">' is defined as the contact of a child with a person who does not have </w:t>
      </w:r>
      <w:r w:rsidR="00646C1A">
        <w:rPr>
          <w:rFonts w:ascii="Arial" w:hAnsi="Arial" w:cs="Arial"/>
          <w:color w:val="000000"/>
          <w:sz w:val="20"/>
        </w:rPr>
        <w:t>care</w:t>
      </w:r>
      <w:r w:rsidRPr="008E0B61">
        <w:rPr>
          <w:rFonts w:ascii="Arial" w:hAnsi="Arial" w:cs="Arial"/>
          <w:color w:val="000000"/>
          <w:sz w:val="20"/>
        </w:rPr>
        <w:t xml:space="preserve"> of the child by way of-</w:t>
      </w:r>
    </w:p>
    <w:p w14:paraId="386D2A06"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(a)</w:t>
      </w:r>
      <w:r w:rsidRPr="008E0B61">
        <w:rPr>
          <w:rFonts w:ascii="Arial" w:hAnsi="Arial" w:cs="Arial"/>
          <w:color w:val="000000"/>
          <w:sz w:val="20"/>
        </w:rPr>
        <w:tab/>
        <w:t>a visit by or to that person, including attendance for a period of time at a place other than the child's usual place of residence; or</w:t>
      </w:r>
    </w:p>
    <w:p w14:paraId="4EF1EC24" w14:textId="77777777" w:rsidR="00242170" w:rsidRPr="008E0B61" w:rsidRDefault="00693223">
      <w:pPr>
        <w:ind w:left="363" w:hanging="363"/>
        <w:jc w:val="both"/>
        <w:rPr>
          <w:rFonts w:ascii="Arial" w:hAnsi="Arial" w:cs="Arial"/>
          <w:color w:val="000000"/>
          <w:sz w:val="20"/>
        </w:rPr>
      </w:pPr>
      <w:r w:rsidRPr="008E0B61">
        <w:rPr>
          <w:rFonts w:ascii="Arial" w:hAnsi="Arial" w:cs="Arial"/>
          <w:color w:val="000000"/>
          <w:sz w:val="20"/>
        </w:rPr>
        <w:t>(b)</w:t>
      </w:r>
      <w:r w:rsidRPr="008E0B61">
        <w:rPr>
          <w:rFonts w:ascii="Arial" w:hAnsi="Arial" w:cs="Arial"/>
          <w:color w:val="000000"/>
          <w:sz w:val="20"/>
        </w:rPr>
        <w:tab/>
        <w:t>communication with that person by letter, telephone or other means</w:t>
      </w:r>
      <w:r w:rsidR="00242170" w:rsidRPr="008E0B61">
        <w:rPr>
          <w:rFonts w:ascii="Arial" w:hAnsi="Arial" w:cs="Arial"/>
          <w:color w:val="000000"/>
          <w:sz w:val="20"/>
        </w:rPr>
        <w:t>-</w:t>
      </w:r>
    </w:p>
    <w:p w14:paraId="31FCF141"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 xml:space="preserve">and includes overnight </w:t>
      </w:r>
      <w:r w:rsidR="00502296" w:rsidRPr="008E0B61">
        <w:rPr>
          <w:rFonts w:ascii="Arial" w:hAnsi="Arial" w:cs="Arial"/>
          <w:color w:val="000000"/>
          <w:sz w:val="20"/>
        </w:rPr>
        <w:t>contact</w:t>
      </w:r>
      <w:r w:rsidRPr="008E0B61">
        <w:rPr>
          <w:rFonts w:ascii="Arial" w:hAnsi="Arial" w:cs="Arial"/>
          <w:color w:val="000000"/>
          <w:sz w:val="20"/>
        </w:rPr>
        <w:t>.</w:t>
      </w:r>
    </w:p>
    <w:p w14:paraId="4FC00BBA" w14:textId="77777777" w:rsidR="00693223" w:rsidRPr="008E0B61" w:rsidRDefault="00693223">
      <w:pPr>
        <w:jc w:val="both"/>
        <w:rPr>
          <w:rFonts w:ascii="Arial" w:hAnsi="Arial" w:cs="Arial"/>
          <w:color w:val="000000"/>
          <w:sz w:val="18"/>
        </w:rPr>
      </w:pPr>
    </w:p>
    <w:p w14:paraId="158EB27E" w14:textId="77777777" w:rsidR="002F3870" w:rsidRPr="008E0B61" w:rsidRDefault="003B47AB">
      <w:pPr>
        <w:jc w:val="both"/>
        <w:rPr>
          <w:rFonts w:ascii="Arial" w:hAnsi="Arial" w:cs="Arial"/>
          <w:color w:val="000000"/>
          <w:sz w:val="20"/>
        </w:rPr>
      </w:pPr>
      <w:r>
        <w:rPr>
          <w:rFonts w:ascii="Arial" w:hAnsi="Arial" w:cs="Arial"/>
          <w:color w:val="000000"/>
          <w:sz w:val="20"/>
        </w:rPr>
        <w:t>In the CYFA, ‘</w:t>
      </w:r>
      <w:r w:rsidR="002F3870" w:rsidRPr="008E0B61">
        <w:rPr>
          <w:rFonts w:ascii="Arial" w:hAnsi="Arial" w:cs="Arial"/>
          <w:color w:val="000000"/>
          <w:sz w:val="20"/>
        </w:rPr>
        <w:t>contact</w:t>
      </w:r>
      <w:r>
        <w:rPr>
          <w:rFonts w:ascii="Arial" w:hAnsi="Arial" w:cs="Arial"/>
          <w:color w:val="000000"/>
          <w:sz w:val="20"/>
        </w:rPr>
        <w:t>’</w:t>
      </w:r>
      <w:r w:rsidR="002F3870" w:rsidRPr="008E0B61">
        <w:rPr>
          <w:rFonts w:ascii="Arial" w:hAnsi="Arial" w:cs="Arial"/>
          <w:color w:val="000000"/>
          <w:sz w:val="20"/>
        </w:rPr>
        <w:t xml:space="preserve"> was termed </w:t>
      </w:r>
      <w:r>
        <w:rPr>
          <w:rFonts w:ascii="Arial" w:hAnsi="Arial" w:cs="Arial"/>
          <w:color w:val="000000"/>
          <w:sz w:val="20"/>
        </w:rPr>
        <w:t>‘</w:t>
      </w:r>
      <w:r w:rsidR="002F3870" w:rsidRPr="008E0B61">
        <w:rPr>
          <w:rFonts w:ascii="Arial" w:hAnsi="Arial" w:cs="Arial"/>
          <w:color w:val="000000"/>
          <w:sz w:val="20"/>
        </w:rPr>
        <w:t>access</w:t>
      </w:r>
      <w:r>
        <w:rPr>
          <w:rFonts w:ascii="Arial" w:hAnsi="Arial" w:cs="Arial"/>
          <w:color w:val="000000"/>
          <w:sz w:val="20"/>
        </w:rPr>
        <w:t>’</w:t>
      </w:r>
      <w:r w:rsidR="002F3870" w:rsidRPr="008E0B61">
        <w:rPr>
          <w:rFonts w:ascii="Arial" w:hAnsi="Arial" w:cs="Arial"/>
          <w:color w:val="000000"/>
          <w:sz w:val="20"/>
        </w:rPr>
        <w:t xml:space="preserve"> prior to 01/12/2013.</w:t>
      </w:r>
      <w:r w:rsidR="00B05EC7" w:rsidRPr="008E0B61">
        <w:rPr>
          <w:rFonts w:ascii="Arial" w:hAnsi="Arial" w:cs="Arial"/>
          <w:color w:val="000000"/>
          <w:sz w:val="20"/>
        </w:rPr>
        <w:t xml:space="preserve">  The term</w:t>
      </w:r>
      <w:r w:rsidR="007C5527" w:rsidRPr="008E0B61">
        <w:rPr>
          <w:rFonts w:ascii="Arial" w:hAnsi="Arial" w:cs="Arial"/>
          <w:color w:val="000000"/>
          <w:sz w:val="20"/>
        </w:rPr>
        <w:t>s have exactly the same meaning and are used interchangeably in these materials.</w:t>
      </w:r>
    </w:p>
    <w:p w14:paraId="1E625009" w14:textId="77777777" w:rsidR="002F3870" w:rsidRDefault="002F3870">
      <w:pPr>
        <w:jc w:val="both"/>
        <w:rPr>
          <w:rFonts w:ascii="Arial" w:hAnsi="Arial" w:cs="Arial"/>
          <w:sz w:val="18"/>
        </w:rPr>
      </w:pPr>
    </w:p>
    <w:p w14:paraId="3CA52EF4" w14:textId="77777777" w:rsidR="00693223" w:rsidRDefault="00693223" w:rsidP="00787E9B">
      <w:pPr>
        <w:pStyle w:val="Heading3"/>
        <w:keepNext/>
        <w:keepLines/>
        <w:spacing w:line="240" w:lineRule="auto"/>
        <w:rPr>
          <w:rFonts w:ascii="Arial" w:hAnsi="Arial" w:cs="Arial"/>
          <w:b/>
          <w:bCs/>
          <w:sz w:val="20"/>
        </w:rPr>
      </w:pPr>
      <w:bookmarkStart w:id="575" w:name="_4.5.4_Terms_used"/>
      <w:bookmarkStart w:id="576" w:name="B454"/>
      <w:bookmarkStart w:id="577" w:name="_Toc30644648"/>
      <w:bookmarkStart w:id="578" w:name="_Toc30645198"/>
      <w:bookmarkStart w:id="579" w:name="_Toc30646409"/>
      <w:bookmarkStart w:id="580" w:name="_Toc30646704"/>
      <w:bookmarkStart w:id="581" w:name="_Toc30646815"/>
      <w:bookmarkStart w:id="582" w:name="_Toc30648172"/>
      <w:bookmarkStart w:id="583" w:name="_Toc30649070"/>
      <w:bookmarkStart w:id="584" w:name="_Toc30649146"/>
      <w:bookmarkStart w:id="585" w:name="_Toc30649407"/>
      <w:bookmarkStart w:id="586" w:name="_Toc30649732"/>
      <w:bookmarkStart w:id="587" w:name="_Toc30651672"/>
      <w:bookmarkStart w:id="588" w:name="_Toc30652662"/>
      <w:bookmarkStart w:id="589" w:name="_Toc30652758"/>
      <w:bookmarkStart w:id="590" w:name="_Toc30654103"/>
      <w:bookmarkStart w:id="591" w:name="_Toc30654454"/>
      <w:bookmarkStart w:id="592" w:name="_Toc30655073"/>
      <w:bookmarkStart w:id="593" w:name="_Toc30655330"/>
      <w:bookmarkStart w:id="594" w:name="_Toc30657008"/>
      <w:bookmarkStart w:id="595" w:name="_Toc30661757"/>
      <w:bookmarkStart w:id="596" w:name="_Toc30666445"/>
      <w:bookmarkStart w:id="597" w:name="_Toc30666675"/>
      <w:bookmarkStart w:id="598" w:name="_Toc30667850"/>
      <w:bookmarkStart w:id="599" w:name="_Toc30669228"/>
      <w:bookmarkStart w:id="600" w:name="_Toc30671444"/>
      <w:bookmarkStart w:id="601" w:name="_Toc30673971"/>
      <w:bookmarkStart w:id="602" w:name="_Toc30691193"/>
      <w:bookmarkStart w:id="603" w:name="_Toc30691566"/>
      <w:bookmarkStart w:id="604" w:name="_Toc30691946"/>
      <w:bookmarkStart w:id="605" w:name="_Toc30692705"/>
      <w:bookmarkStart w:id="606" w:name="_Toc30693084"/>
      <w:bookmarkStart w:id="607" w:name="_Toc30693462"/>
      <w:bookmarkStart w:id="608" w:name="_Toc30693840"/>
      <w:bookmarkStart w:id="609" w:name="_Toc30694221"/>
      <w:bookmarkStart w:id="610" w:name="_Toc30698810"/>
      <w:bookmarkStart w:id="611" w:name="_Toc30699188"/>
      <w:bookmarkStart w:id="612" w:name="_Toc30699573"/>
      <w:bookmarkStart w:id="613" w:name="_Toc30700728"/>
      <w:bookmarkStart w:id="614" w:name="_Toc30701115"/>
      <w:bookmarkStart w:id="615" w:name="_Toc30743724"/>
      <w:bookmarkStart w:id="616" w:name="_Toc30754547"/>
      <w:bookmarkStart w:id="617" w:name="_Toc30756987"/>
      <w:bookmarkStart w:id="618" w:name="_Toc30757536"/>
      <w:bookmarkStart w:id="619" w:name="_Toc30757936"/>
      <w:bookmarkStart w:id="620" w:name="_Toc30762697"/>
      <w:bookmarkStart w:id="621" w:name="_Toc30767351"/>
      <w:bookmarkStart w:id="622" w:name="_Toc34823367"/>
      <w:bookmarkEnd w:id="575"/>
      <w:bookmarkEnd w:id="576"/>
      <w:r>
        <w:rPr>
          <w:rFonts w:ascii="Arial" w:hAnsi="Arial" w:cs="Arial"/>
          <w:b/>
          <w:bCs/>
          <w:sz w:val="20"/>
        </w:rPr>
        <w:t>4.5.4</w:t>
      </w:r>
      <w:r>
        <w:rPr>
          <w:rFonts w:ascii="Arial" w:hAnsi="Arial" w:cs="Arial"/>
          <w:b/>
          <w:bCs/>
          <w:sz w:val="20"/>
        </w:rPr>
        <w:tab/>
        <w:t>Terms used in the Family Law Act</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28071DA2" w14:textId="77777777" w:rsidR="00693223" w:rsidRDefault="00693223" w:rsidP="00787E9B">
      <w:pPr>
        <w:keepNext/>
        <w:keepLines/>
        <w:jc w:val="both"/>
        <w:rPr>
          <w:rFonts w:ascii="Arial" w:hAnsi="Arial" w:cs="Arial"/>
          <w:sz w:val="18"/>
        </w:rPr>
      </w:pPr>
    </w:p>
    <w:p w14:paraId="3408A545" w14:textId="77777777" w:rsidR="00D43B59" w:rsidRDefault="00693223" w:rsidP="00D43B59">
      <w:pPr>
        <w:jc w:val="both"/>
        <w:rPr>
          <w:rFonts w:ascii="Arial" w:hAnsi="Arial" w:cs="Arial"/>
          <w:sz w:val="20"/>
        </w:rPr>
      </w:pPr>
      <w:r>
        <w:rPr>
          <w:rFonts w:ascii="Arial" w:hAnsi="Arial" w:cs="Arial"/>
          <w:sz w:val="20"/>
        </w:rPr>
        <w:t xml:space="preserve">Prior to the </w:t>
      </w:r>
      <w:r>
        <w:rPr>
          <w:rFonts w:ascii="Arial" w:hAnsi="Arial" w:cs="Arial"/>
          <w:sz w:val="20"/>
          <w:u w:val="single"/>
        </w:rPr>
        <w:t>Family Law Reform Act 1995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the terms "custody", "gua</w:t>
      </w:r>
      <w:r w:rsidR="00802CC2">
        <w:rPr>
          <w:rFonts w:ascii="Arial" w:hAnsi="Arial" w:cs="Arial"/>
          <w:sz w:val="20"/>
        </w:rPr>
        <w:t xml:space="preserve">rdianship" &amp; "access" were </w:t>
      </w:r>
      <w:r>
        <w:rPr>
          <w:rFonts w:ascii="Arial" w:hAnsi="Arial" w:cs="Arial"/>
          <w:sz w:val="20"/>
        </w:rPr>
        <w:t xml:space="preserve">central to orders made by the Family Court of Australia.  That Act, which came into force </w:t>
      </w:r>
      <w:r>
        <w:rPr>
          <w:rFonts w:ascii="Arial" w:hAnsi="Arial" w:cs="Arial"/>
          <w:sz w:val="20"/>
        </w:rPr>
        <w:lastRenderedPageBreak/>
        <w:t xml:space="preserve">on </w:t>
      </w:r>
      <w:smartTag w:uri="urn:schemas-microsoft-com:office:smarttags" w:element="date">
        <w:smartTagPr>
          <w:attr w:name="Year" w:val="1996"/>
          <w:attr w:name="Day" w:val="11"/>
          <w:attr w:name="Month" w:val="6"/>
        </w:smartTagPr>
        <w:r>
          <w:rPr>
            <w:rFonts w:ascii="Arial" w:hAnsi="Arial" w:cs="Arial"/>
            <w:sz w:val="20"/>
          </w:rPr>
          <w:t>11/06/1996</w:t>
        </w:r>
      </w:smartTag>
      <w:r>
        <w:rPr>
          <w:rFonts w:ascii="Arial" w:hAnsi="Arial" w:cs="Arial"/>
          <w:sz w:val="20"/>
        </w:rPr>
        <w:t>, amended significant sections of the Family Law Act 1975 (</w:t>
      </w:r>
      <w:proofErr w:type="spellStart"/>
      <w:r>
        <w:rPr>
          <w:rFonts w:ascii="Arial" w:hAnsi="Arial" w:cs="Arial"/>
          <w:sz w:val="20"/>
        </w:rPr>
        <w:t>Cth</w:t>
      </w:r>
      <w:proofErr w:type="spellEnd"/>
      <w:r>
        <w:rPr>
          <w:rFonts w:ascii="Arial" w:hAnsi="Arial" w:cs="Arial"/>
          <w:sz w:val="20"/>
        </w:rPr>
        <w:t>) relating to children.  The changes included removal of the old terms and introduction of the concepts of</w:t>
      </w:r>
      <w:r w:rsidR="00D43B59">
        <w:rPr>
          <w:rFonts w:ascii="Arial" w:hAnsi="Arial" w:cs="Arial"/>
          <w:sz w:val="20"/>
        </w:rPr>
        <w:t xml:space="preserve"> "parental responsibility", “residence”, “contact” and “specific issues orders”.  By further amendments made by the </w:t>
      </w:r>
      <w:r w:rsidR="00D43B59" w:rsidRPr="00D43B59">
        <w:rPr>
          <w:rFonts w:ascii="Arial" w:hAnsi="Arial" w:cs="Arial"/>
          <w:sz w:val="20"/>
          <w:u w:val="single"/>
        </w:rPr>
        <w:t>Family Law Amendment (Shared Parental Responsibility) Act 2006 (</w:t>
      </w:r>
      <w:proofErr w:type="spellStart"/>
      <w:r w:rsidR="00D43B59" w:rsidRPr="00D43B59">
        <w:rPr>
          <w:rFonts w:ascii="Arial" w:hAnsi="Arial" w:cs="Arial"/>
          <w:sz w:val="20"/>
          <w:u w:val="single"/>
        </w:rPr>
        <w:t>Cth</w:t>
      </w:r>
      <w:proofErr w:type="spellEnd"/>
      <w:r w:rsidR="00D43B59" w:rsidRPr="00D43B59">
        <w:rPr>
          <w:rFonts w:ascii="Arial" w:hAnsi="Arial" w:cs="Arial"/>
          <w:sz w:val="20"/>
          <w:u w:val="single"/>
        </w:rPr>
        <w:t>)</w:t>
      </w:r>
      <w:r w:rsidR="00D43B59">
        <w:rPr>
          <w:rFonts w:ascii="Arial" w:hAnsi="Arial" w:cs="Arial"/>
          <w:sz w:val="20"/>
        </w:rPr>
        <w:t xml:space="preserve"> [No.46 of 2006] as and from 22/05/2006 “residence” is now termed “live with” and “contact” is now termed “spend time with”.</w:t>
      </w:r>
    </w:p>
    <w:p w14:paraId="4AB9249A" w14:textId="77777777" w:rsidR="00D43B59" w:rsidRDefault="00D43B59" w:rsidP="00D43B59">
      <w:pPr>
        <w:rPr>
          <w:rFonts w:ascii="Arial" w:hAnsi="Arial" w:cs="Arial"/>
          <w:sz w:val="20"/>
        </w:rPr>
      </w:pPr>
    </w:p>
    <w:p w14:paraId="3BBE0E4C" w14:textId="77777777" w:rsidR="00693223" w:rsidRDefault="00693223">
      <w:pPr>
        <w:jc w:val="both"/>
        <w:rPr>
          <w:rFonts w:ascii="Arial" w:hAnsi="Arial" w:cs="Arial"/>
          <w:sz w:val="20"/>
        </w:rPr>
      </w:pPr>
      <w:r>
        <w:rPr>
          <w:rFonts w:ascii="Arial" w:hAnsi="Arial" w:cs="Arial"/>
          <w:sz w:val="20"/>
        </w:rPr>
        <w:t>These changes were designed to recognise the desirability of continuing joint responsibility for and co-operation in parenting even though a marriage or relationship had broken down.  They were prompted by the belief of the government of the day that the old concepts were a source of many of the ongoing difficulties between separated parents as they foster a notion of 'property' in children.  The new terminology is not entirely interchangeable with the old: for instance parental responsibility is not exactly the same as guardianship, though they share some common features.</w:t>
      </w:r>
    </w:p>
    <w:p w14:paraId="05375819" w14:textId="77777777" w:rsidR="00D43B59" w:rsidRDefault="00D43B59">
      <w:pPr>
        <w:rPr>
          <w:rFonts w:ascii="Arial" w:hAnsi="Arial" w:cs="Arial"/>
          <w:sz w:val="20"/>
        </w:rPr>
      </w:pPr>
    </w:p>
    <w:p w14:paraId="373B6C6F" w14:textId="77777777" w:rsidR="00693223" w:rsidRDefault="00693223">
      <w:pPr>
        <w:pStyle w:val="Heading2"/>
        <w:keepNext/>
        <w:tabs>
          <w:tab w:val="left" w:pos="567"/>
        </w:tabs>
        <w:spacing w:line="240" w:lineRule="auto"/>
        <w:rPr>
          <w:rFonts w:ascii="Arial" w:hAnsi="Arial" w:cs="Arial"/>
          <w:b/>
          <w:bCs/>
        </w:rPr>
      </w:pPr>
      <w:bookmarkStart w:id="623" w:name="_4.6_Protective_intervention"/>
      <w:bookmarkStart w:id="624" w:name="B46"/>
      <w:bookmarkStart w:id="625" w:name="_Toc30607530"/>
      <w:bookmarkStart w:id="626" w:name="_Toc30607659"/>
      <w:bookmarkStart w:id="627" w:name="_Toc30607984"/>
      <w:bookmarkStart w:id="628" w:name="_Toc30608817"/>
      <w:bookmarkStart w:id="629" w:name="_Toc30610031"/>
      <w:bookmarkStart w:id="630" w:name="_Toc30610275"/>
      <w:bookmarkStart w:id="631" w:name="_Toc30638429"/>
      <w:bookmarkStart w:id="632" w:name="_Toc30644242"/>
      <w:bookmarkStart w:id="633" w:name="_Toc30644649"/>
      <w:bookmarkStart w:id="634" w:name="_Toc30645199"/>
      <w:bookmarkStart w:id="635" w:name="_Toc30646410"/>
      <w:bookmarkStart w:id="636" w:name="_Toc30646705"/>
      <w:bookmarkStart w:id="637" w:name="_Toc30646816"/>
      <w:bookmarkStart w:id="638" w:name="_Toc30648173"/>
      <w:bookmarkStart w:id="639" w:name="_Toc30649071"/>
      <w:bookmarkStart w:id="640" w:name="_Toc30649147"/>
      <w:bookmarkStart w:id="641" w:name="_Toc30649408"/>
      <w:bookmarkStart w:id="642" w:name="_Toc30649733"/>
      <w:bookmarkStart w:id="643" w:name="_Toc30651673"/>
      <w:bookmarkStart w:id="644" w:name="_Toc30652663"/>
      <w:bookmarkStart w:id="645" w:name="_Toc30652759"/>
      <w:bookmarkStart w:id="646" w:name="_Toc30654104"/>
      <w:bookmarkStart w:id="647" w:name="_Toc30654455"/>
      <w:bookmarkStart w:id="648" w:name="_Toc30655074"/>
      <w:bookmarkStart w:id="649" w:name="_Toc30655331"/>
      <w:bookmarkStart w:id="650" w:name="_Toc30657009"/>
      <w:bookmarkStart w:id="651" w:name="_Toc30661758"/>
      <w:bookmarkStart w:id="652" w:name="_Toc30666446"/>
      <w:bookmarkStart w:id="653" w:name="_Toc30666676"/>
      <w:bookmarkStart w:id="654" w:name="_Toc30667851"/>
      <w:bookmarkStart w:id="655" w:name="_Toc30669229"/>
      <w:bookmarkStart w:id="656" w:name="_Toc30671445"/>
      <w:bookmarkStart w:id="657" w:name="_Toc30673972"/>
      <w:bookmarkStart w:id="658" w:name="_Toc30691194"/>
      <w:bookmarkStart w:id="659" w:name="_Toc30691567"/>
      <w:bookmarkStart w:id="660" w:name="_Toc30691947"/>
      <w:bookmarkStart w:id="661" w:name="_Toc30692706"/>
      <w:bookmarkStart w:id="662" w:name="_Toc30693085"/>
      <w:bookmarkStart w:id="663" w:name="_Toc30693463"/>
      <w:bookmarkStart w:id="664" w:name="_Toc30693841"/>
      <w:bookmarkStart w:id="665" w:name="_Toc30694222"/>
      <w:bookmarkStart w:id="666" w:name="_Toc30698811"/>
      <w:bookmarkStart w:id="667" w:name="_Toc30699189"/>
      <w:bookmarkStart w:id="668" w:name="_Toc30699574"/>
      <w:bookmarkStart w:id="669" w:name="_Toc30700729"/>
      <w:bookmarkStart w:id="670" w:name="_Toc30701116"/>
      <w:bookmarkStart w:id="671" w:name="_Toc30743725"/>
      <w:bookmarkStart w:id="672" w:name="_Toc30754548"/>
      <w:bookmarkStart w:id="673" w:name="_Toc30756988"/>
      <w:bookmarkStart w:id="674" w:name="_Toc30757537"/>
      <w:bookmarkStart w:id="675" w:name="_Toc30757937"/>
      <w:bookmarkStart w:id="676" w:name="_Toc30762698"/>
      <w:bookmarkStart w:id="677" w:name="_Toc30767352"/>
      <w:bookmarkStart w:id="678" w:name="_Toc34823368"/>
      <w:bookmarkEnd w:id="623"/>
      <w:bookmarkEnd w:id="624"/>
      <w:r>
        <w:rPr>
          <w:rFonts w:ascii="Arial" w:hAnsi="Arial" w:cs="Arial"/>
          <w:b/>
          <w:bCs/>
        </w:rPr>
        <w:t>4.6</w:t>
      </w:r>
      <w:r>
        <w:rPr>
          <w:rFonts w:ascii="Arial" w:hAnsi="Arial" w:cs="Arial"/>
          <w:b/>
          <w:bCs/>
        </w:rPr>
        <w:tab/>
      </w:r>
      <w:r w:rsidR="00863BC7">
        <w:rPr>
          <w:rFonts w:ascii="Arial" w:hAnsi="Arial" w:cs="Arial"/>
          <w:b/>
          <w:bCs/>
        </w:rPr>
        <w:t xml:space="preserve">Protective intervention reports [previously termed </w:t>
      </w:r>
      <w:r w:rsidR="00272B88">
        <w:rPr>
          <w:rFonts w:ascii="Arial" w:hAnsi="Arial" w:cs="Arial"/>
          <w:b/>
          <w:bCs/>
        </w:rPr>
        <w:t>“</w:t>
      </w:r>
      <w:r>
        <w:rPr>
          <w:rFonts w:ascii="Arial" w:hAnsi="Arial" w:cs="Arial"/>
          <w:b/>
          <w:bCs/>
        </w:rPr>
        <w:t>Notifications</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rsidR="00272B88">
        <w:rPr>
          <w:rFonts w:ascii="Arial" w:hAnsi="Arial" w:cs="Arial"/>
          <w:b/>
          <w:bCs/>
        </w:rPr>
        <w:t>”</w:t>
      </w:r>
      <w:r w:rsidR="00863BC7">
        <w:rPr>
          <w:rFonts w:ascii="Arial" w:hAnsi="Arial" w:cs="Arial"/>
          <w:b/>
          <w:bCs/>
        </w:rPr>
        <w:t>]</w:t>
      </w:r>
    </w:p>
    <w:p w14:paraId="7DBB9E62" w14:textId="77777777" w:rsidR="00693223" w:rsidRDefault="00693223">
      <w:pPr>
        <w:jc w:val="both"/>
        <w:rPr>
          <w:rFonts w:ascii="Arial" w:hAnsi="Arial" w:cs="Arial"/>
          <w:sz w:val="20"/>
        </w:rPr>
      </w:pPr>
    </w:p>
    <w:p w14:paraId="21B8216C" w14:textId="77777777" w:rsidR="00693223" w:rsidRPr="00785E1A" w:rsidRDefault="00693223">
      <w:pPr>
        <w:jc w:val="both"/>
        <w:rPr>
          <w:rFonts w:ascii="Arial" w:hAnsi="Arial" w:cs="Arial"/>
          <w:color w:val="000000"/>
          <w:sz w:val="20"/>
        </w:rPr>
      </w:pPr>
      <w:r w:rsidRPr="00785E1A">
        <w:rPr>
          <w:rFonts w:ascii="Arial" w:hAnsi="Arial" w:cs="Arial"/>
          <w:color w:val="000000"/>
          <w:sz w:val="20"/>
        </w:rPr>
        <w:t xml:space="preserve">Most </w:t>
      </w:r>
      <w:r w:rsidR="008E10E3" w:rsidRPr="00785E1A">
        <w:rPr>
          <w:rFonts w:ascii="Arial" w:hAnsi="Arial" w:cs="Arial"/>
          <w:color w:val="000000"/>
          <w:sz w:val="20"/>
        </w:rPr>
        <w:t>protection applications and breach notices</w:t>
      </w:r>
      <w:r w:rsidRPr="00785E1A">
        <w:rPr>
          <w:rFonts w:ascii="Arial" w:hAnsi="Arial" w:cs="Arial"/>
          <w:color w:val="000000"/>
          <w:sz w:val="20"/>
        </w:rPr>
        <w:t xml:space="preserve"> in the Family Division of the Children's Court are initiated by the Department as a consequence of a </w:t>
      </w:r>
      <w:r w:rsidR="00863BC7" w:rsidRPr="00785E1A">
        <w:rPr>
          <w:rFonts w:ascii="Arial" w:hAnsi="Arial" w:cs="Arial"/>
          <w:color w:val="000000"/>
          <w:sz w:val="20"/>
        </w:rPr>
        <w:t xml:space="preserve">report </w:t>
      </w:r>
      <w:r w:rsidRPr="00785E1A">
        <w:rPr>
          <w:rFonts w:ascii="Arial" w:hAnsi="Arial" w:cs="Arial"/>
          <w:color w:val="000000"/>
          <w:sz w:val="20"/>
        </w:rPr>
        <w:t>received by it of suspected child abuse.</w:t>
      </w:r>
      <w:r w:rsidR="00272B88" w:rsidRPr="00785E1A">
        <w:rPr>
          <w:rFonts w:ascii="Arial" w:hAnsi="Arial" w:cs="Arial"/>
          <w:color w:val="000000"/>
          <w:sz w:val="20"/>
        </w:rPr>
        <w:t xml:space="preserve">  Under the CYPA these were termed “notifications”.  Under the CYFA they are termed “protective intervention reports”.  Save for the change in terminology, the </w:t>
      </w:r>
      <w:r w:rsidR="00C777FC" w:rsidRPr="00785E1A">
        <w:rPr>
          <w:rFonts w:ascii="Arial" w:hAnsi="Arial" w:cs="Arial"/>
          <w:color w:val="000000"/>
          <w:sz w:val="20"/>
        </w:rPr>
        <w:t xml:space="preserve">provisions </w:t>
      </w:r>
      <w:r w:rsidR="006E5B6E" w:rsidRPr="00785E1A">
        <w:rPr>
          <w:rFonts w:ascii="Arial" w:hAnsi="Arial" w:cs="Arial"/>
          <w:color w:val="000000"/>
          <w:sz w:val="20"/>
        </w:rPr>
        <w:t xml:space="preserve">in ss.182-184, 186, 189-191 &amp; 204-209 of the </w:t>
      </w:r>
      <w:r w:rsidR="00C777FC" w:rsidRPr="00785E1A">
        <w:rPr>
          <w:rFonts w:ascii="Arial" w:hAnsi="Arial" w:cs="Arial"/>
          <w:color w:val="000000"/>
          <w:sz w:val="20"/>
        </w:rPr>
        <w:t>CYFA are in substantially the same terms as their predecessors in ss.</w:t>
      </w:r>
      <w:r w:rsidR="006E5B6E" w:rsidRPr="00785E1A">
        <w:rPr>
          <w:rFonts w:ascii="Arial" w:hAnsi="Arial" w:cs="Arial"/>
          <w:color w:val="000000"/>
          <w:sz w:val="20"/>
        </w:rPr>
        <w:t>64, 65(2) &amp; 66-67</w:t>
      </w:r>
      <w:r w:rsidR="00C777FC" w:rsidRPr="00785E1A">
        <w:rPr>
          <w:rFonts w:ascii="Arial" w:hAnsi="Arial" w:cs="Arial"/>
          <w:color w:val="000000"/>
          <w:sz w:val="20"/>
        </w:rPr>
        <w:t xml:space="preserve"> of the CYPA.</w:t>
      </w:r>
    </w:p>
    <w:p w14:paraId="2FE6DD9D" w14:textId="77777777" w:rsidR="00693223" w:rsidRPr="00785E1A" w:rsidRDefault="00693223">
      <w:pPr>
        <w:jc w:val="both"/>
        <w:rPr>
          <w:rFonts w:ascii="Arial" w:hAnsi="Arial" w:cs="Arial"/>
          <w:color w:val="000000"/>
          <w:sz w:val="20"/>
        </w:rPr>
      </w:pPr>
    </w:p>
    <w:p w14:paraId="46D09E69" w14:textId="77777777" w:rsidR="00E732EA" w:rsidRPr="00785E1A" w:rsidRDefault="00E732EA" w:rsidP="00E732EA">
      <w:pPr>
        <w:pStyle w:val="Heading3"/>
        <w:keepNext/>
        <w:keepLines/>
        <w:spacing w:after="120" w:line="240" w:lineRule="auto"/>
        <w:rPr>
          <w:rFonts w:ascii="Arial" w:hAnsi="Arial" w:cs="Arial"/>
          <w:b/>
          <w:bCs/>
          <w:color w:val="000000"/>
          <w:sz w:val="12"/>
        </w:rPr>
      </w:pPr>
      <w:bookmarkStart w:id="679" w:name="_4.6.1_Anonymity_of"/>
      <w:bookmarkStart w:id="680" w:name="B461"/>
      <w:bookmarkEnd w:id="679"/>
      <w:bookmarkEnd w:id="680"/>
      <w:r w:rsidRPr="00785E1A">
        <w:rPr>
          <w:rFonts w:ascii="Arial" w:hAnsi="Arial" w:cs="Arial"/>
          <w:b/>
          <w:bCs/>
          <w:color w:val="000000"/>
          <w:sz w:val="20"/>
        </w:rPr>
        <w:t>4.6.1</w:t>
      </w:r>
      <w:r w:rsidRPr="00785E1A">
        <w:rPr>
          <w:rFonts w:ascii="Arial" w:hAnsi="Arial" w:cs="Arial"/>
          <w:b/>
          <w:bCs/>
          <w:color w:val="000000"/>
          <w:sz w:val="20"/>
        </w:rPr>
        <w:tab/>
        <w:t>Anonymity of protective intervention reporter [notifier]</w:t>
      </w:r>
    </w:p>
    <w:p w14:paraId="4C59FBD5" w14:textId="77777777" w:rsidR="00E732EA" w:rsidRDefault="00E732EA" w:rsidP="00E732EA">
      <w:pPr>
        <w:jc w:val="both"/>
        <w:rPr>
          <w:rFonts w:ascii="Arial" w:hAnsi="Arial" w:cs="Arial"/>
          <w:sz w:val="20"/>
        </w:rPr>
      </w:pPr>
      <w:r>
        <w:rPr>
          <w:rFonts w:ascii="Arial" w:hAnsi="Arial" w:cs="Arial"/>
          <w:sz w:val="20"/>
        </w:rPr>
        <w:t>A reporter is anonymous.  Evidence that identifies the person who made a report as the reporter, or is likely to lead to the identification of that person as the reporter, is only admissible in any legal proceeding if the court or tribunal grants leave for the evidence to be given or if the reporter consents in writing to the admission of that evidence: s.190(2) of the CYFA.  Such leave is very rarely granted and may only be granted under s.190(4) if-</w:t>
      </w:r>
    </w:p>
    <w:p w14:paraId="331F047A" w14:textId="77777777" w:rsidR="00E732EA" w:rsidRDefault="00E732EA" w:rsidP="00E732EA">
      <w:pPr>
        <w:ind w:left="363" w:hanging="363"/>
        <w:jc w:val="both"/>
        <w:rPr>
          <w:rFonts w:ascii="Arial" w:hAnsi="Arial" w:cs="Arial"/>
          <w:sz w:val="20"/>
        </w:rPr>
      </w:pPr>
      <w:r>
        <w:rPr>
          <w:rFonts w:ascii="Arial" w:hAnsi="Arial" w:cs="Arial"/>
          <w:sz w:val="20"/>
        </w:rPr>
        <w:t>(a)</w:t>
      </w:r>
      <w:r>
        <w:rPr>
          <w:rFonts w:ascii="Arial" w:hAnsi="Arial" w:cs="Arial"/>
          <w:sz w:val="20"/>
        </w:rPr>
        <w:tab/>
        <w:t>in the case of a proceeding in a court or VCAT, the court or tribunal is satisfied that it is necessary for the evidence to be given to ensure the safety and well being of the child;</w:t>
      </w:r>
    </w:p>
    <w:p w14:paraId="47FB9DF4" w14:textId="77777777" w:rsidR="00E732EA" w:rsidRDefault="00E732EA" w:rsidP="00E732EA">
      <w:pPr>
        <w:ind w:left="363" w:hanging="363"/>
        <w:jc w:val="both"/>
        <w:rPr>
          <w:rFonts w:ascii="Arial" w:hAnsi="Arial" w:cs="Arial"/>
          <w:sz w:val="20"/>
        </w:rPr>
      </w:pPr>
      <w:r>
        <w:rPr>
          <w:rFonts w:ascii="Arial" w:hAnsi="Arial" w:cs="Arial"/>
          <w:sz w:val="20"/>
        </w:rPr>
        <w:t>(b)</w:t>
      </w:r>
      <w:r>
        <w:rPr>
          <w:rFonts w:ascii="Arial" w:hAnsi="Arial" w:cs="Arial"/>
          <w:sz w:val="20"/>
        </w:rPr>
        <w:tab/>
        <w:t>in any other case, the court or tribunal is satisfied that the interests of justice require the evidence to be given.</w:t>
      </w:r>
    </w:p>
    <w:p w14:paraId="1AE7671E" w14:textId="77777777" w:rsidR="00E732EA" w:rsidRDefault="00E732EA" w:rsidP="00E732EA">
      <w:pPr>
        <w:jc w:val="both"/>
        <w:rPr>
          <w:rFonts w:ascii="Arial" w:hAnsi="Arial" w:cs="Arial"/>
          <w:b/>
          <w:bCs/>
          <w:sz w:val="20"/>
        </w:rPr>
      </w:pPr>
    </w:p>
    <w:p w14:paraId="3A6BBCB2" w14:textId="77777777" w:rsidR="00E732EA" w:rsidRPr="00785E1A" w:rsidRDefault="00E732EA" w:rsidP="00E732EA">
      <w:pPr>
        <w:pStyle w:val="Heading3"/>
        <w:keepNext/>
        <w:keepLines/>
        <w:spacing w:after="120" w:line="240" w:lineRule="auto"/>
        <w:rPr>
          <w:rFonts w:ascii="Arial" w:hAnsi="Arial" w:cs="Arial"/>
          <w:b/>
          <w:bCs/>
          <w:color w:val="000000"/>
          <w:sz w:val="20"/>
        </w:rPr>
      </w:pPr>
      <w:bookmarkStart w:id="681" w:name="_4.6.2_Mandatory_protective"/>
      <w:bookmarkStart w:id="682" w:name="B462"/>
      <w:bookmarkStart w:id="683" w:name="_Toc30648177"/>
      <w:bookmarkStart w:id="684" w:name="_Toc30649075"/>
      <w:bookmarkStart w:id="685" w:name="_Toc30649151"/>
      <w:bookmarkStart w:id="686" w:name="_Toc30649412"/>
      <w:bookmarkStart w:id="687" w:name="_Toc30649737"/>
      <w:bookmarkStart w:id="688" w:name="_Toc30651677"/>
      <w:bookmarkStart w:id="689" w:name="_Toc30652667"/>
      <w:bookmarkStart w:id="690" w:name="_Toc30652763"/>
      <w:bookmarkStart w:id="691" w:name="_Toc30654108"/>
      <w:bookmarkStart w:id="692" w:name="_Toc30654459"/>
      <w:bookmarkStart w:id="693" w:name="_Toc30655078"/>
      <w:bookmarkStart w:id="694" w:name="_Toc30655335"/>
      <w:bookmarkStart w:id="695" w:name="_Toc30657013"/>
      <w:bookmarkStart w:id="696" w:name="_Toc30661762"/>
      <w:bookmarkStart w:id="697" w:name="_Toc30666450"/>
      <w:bookmarkStart w:id="698" w:name="_Toc30666680"/>
      <w:bookmarkStart w:id="699" w:name="_Toc30667855"/>
      <w:bookmarkStart w:id="700" w:name="_Toc30669233"/>
      <w:bookmarkStart w:id="701" w:name="_Toc30671449"/>
      <w:bookmarkStart w:id="702" w:name="_Toc30673976"/>
      <w:bookmarkStart w:id="703" w:name="_Toc30691198"/>
      <w:bookmarkStart w:id="704" w:name="_Toc30691571"/>
      <w:bookmarkStart w:id="705" w:name="_Toc30691951"/>
      <w:bookmarkStart w:id="706" w:name="_Toc30692710"/>
      <w:bookmarkStart w:id="707" w:name="_Toc30693089"/>
      <w:bookmarkStart w:id="708" w:name="_Toc30693467"/>
      <w:bookmarkStart w:id="709" w:name="_Toc30693845"/>
      <w:bookmarkStart w:id="710" w:name="_Toc30694226"/>
      <w:bookmarkStart w:id="711" w:name="_Toc30698815"/>
      <w:bookmarkStart w:id="712" w:name="_Toc30699193"/>
      <w:bookmarkStart w:id="713" w:name="_Toc30699578"/>
      <w:bookmarkStart w:id="714" w:name="_Toc30700733"/>
      <w:bookmarkStart w:id="715" w:name="_Toc30701120"/>
      <w:bookmarkStart w:id="716" w:name="_Toc30743729"/>
      <w:bookmarkStart w:id="717" w:name="_Toc30754552"/>
      <w:bookmarkStart w:id="718" w:name="_Toc30756992"/>
      <w:bookmarkStart w:id="719" w:name="_Toc30757541"/>
      <w:bookmarkStart w:id="720" w:name="_Toc30757941"/>
      <w:bookmarkStart w:id="721" w:name="_Toc30762702"/>
      <w:bookmarkStart w:id="722" w:name="_Toc30767356"/>
      <w:bookmarkStart w:id="723" w:name="_Toc34823372"/>
      <w:bookmarkEnd w:id="681"/>
      <w:bookmarkEnd w:id="682"/>
      <w:r w:rsidRPr="00785E1A">
        <w:rPr>
          <w:rFonts w:ascii="Arial" w:hAnsi="Arial" w:cs="Arial"/>
          <w:b/>
          <w:bCs/>
          <w:color w:val="000000"/>
          <w:sz w:val="20"/>
        </w:rPr>
        <w:t>4.6.2</w:t>
      </w:r>
      <w:r w:rsidRPr="00785E1A">
        <w:rPr>
          <w:rFonts w:ascii="Arial" w:hAnsi="Arial" w:cs="Arial"/>
          <w:b/>
          <w:bCs/>
          <w:color w:val="000000"/>
          <w:sz w:val="20"/>
        </w:rPr>
        <w:tab/>
        <w:t xml:space="preserve">Mandatory </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rsidRPr="00785E1A">
        <w:rPr>
          <w:rFonts w:ascii="Arial" w:hAnsi="Arial" w:cs="Arial"/>
          <w:b/>
          <w:bCs/>
          <w:color w:val="000000"/>
          <w:sz w:val="20"/>
        </w:rPr>
        <w:t>protective intervention report</w:t>
      </w:r>
    </w:p>
    <w:p w14:paraId="5232C77D" w14:textId="77777777" w:rsidR="00E732EA" w:rsidRPr="00785E1A" w:rsidRDefault="00E732EA" w:rsidP="00E732EA">
      <w:pPr>
        <w:keepNext/>
        <w:keepLines/>
        <w:jc w:val="both"/>
        <w:rPr>
          <w:rFonts w:ascii="Arial" w:hAnsi="Arial" w:cs="Arial"/>
          <w:color w:val="000000"/>
          <w:sz w:val="20"/>
        </w:rPr>
      </w:pPr>
      <w:r w:rsidRPr="00785E1A">
        <w:rPr>
          <w:rFonts w:ascii="Arial" w:hAnsi="Arial" w:cs="Arial"/>
          <w:color w:val="000000"/>
          <w:sz w:val="20"/>
        </w:rPr>
        <w:t>A professional person referred to in s.182 of the CYFA who, in the course of practising his or her profession or carrying out the duties of his or her office, position or employment, forms the belief on reasonable grounds that a child is in need of protection from either physical or sexual abuse is required by s.184(1), under pain of a penalty of 10 penalty units, to report to the Secretary that belief and the reasonable grounds for it as soon as practicable-</w:t>
      </w:r>
    </w:p>
    <w:p w14:paraId="011BE38D"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after forming the belief; and</w:t>
      </w:r>
    </w:p>
    <w:p w14:paraId="25F5433C"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after each occasion on which he or she becomes aware of any further reasonable grounds for the belief.</w:t>
      </w:r>
    </w:p>
    <w:p w14:paraId="4D211250" w14:textId="77777777" w:rsidR="00E732EA" w:rsidRPr="00785E1A" w:rsidRDefault="00E732EA" w:rsidP="00E732EA">
      <w:pPr>
        <w:jc w:val="both"/>
        <w:rPr>
          <w:rFonts w:ascii="Arial" w:hAnsi="Arial" w:cs="Arial"/>
          <w:color w:val="000000"/>
          <w:sz w:val="20"/>
        </w:rPr>
      </w:pPr>
    </w:p>
    <w:p w14:paraId="08C87147" w14:textId="77777777" w:rsidR="00E732EA" w:rsidRPr="00785E1A" w:rsidRDefault="00E732EA" w:rsidP="00E732EA">
      <w:pPr>
        <w:jc w:val="both"/>
        <w:rPr>
          <w:rFonts w:ascii="Arial" w:hAnsi="Arial" w:cs="Arial"/>
          <w:color w:val="000000"/>
          <w:sz w:val="20"/>
        </w:rPr>
      </w:pPr>
      <w:r w:rsidRPr="00785E1A">
        <w:rPr>
          <w:rFonts w:ascii="Arial" w:hAnsi="Arial" w:cs="Arial"/>
          <w:color w:val="000000"/>
          <w:sz w:val="20"/>
        </w:rPr>
        <w:t>The relevant professionals referred to in s.182 include-</w:t>
      </w:r>
    </w:p>
    <w:p w14:paraId="0CAE634C" w14:textId="77777777" w:rsidR="00E732EA" w:rsidRPr="00785E1A" w:rsidRDefault="00E732EA" w:rsidP="00E732EA">
      <w:pPr>
        <w:numPr>
          <w:ilvl w:val="0"/>
          <w:numId w:val="5"/>
        </w:numPr>
        <w:tabs>
          <w:tab w:val="clear" w:pos="360"/>
          <w:tab w:val="num" w:pos="363"/>
          <w:tab w:val="num" w:pos="720"/>
        </w:tabs>
        <w:jc w:val="both"/>
        <w:rPr>
          <w:rFonts w:ascii="Arial" w:hAnsi="Arial" w:cs="Arial"/>
          <w:color w:val="000000"/>
          <w:sz w:val="20"/>
        </w:rPr>
      </w:pPr>
      <w:r w:rsidRPr="00785E1A">
        <w:rPr>
          <w:rFonts w:ascii="Arial" w:hAnsi="Arial" w:cs="Arial"/>
          <w:color w:val="000000"/>
          <w:sz w:val="20"/>
        </w:rPr>
        <w:t>registered medical practitioners and registered nurses;</w:t>
      </w:r>
    </w:p>
    <w:p w14:paraId="19241E6C" w14:textId="77777777" w:rsidR="00E732EA" w:rsidRPr="00785E1A" w:rsidRDefault="00E732EA" w:rsidP="00E732EA">
      <w:pPr>
        <w:numPr>
          <w:ilvl w:val="0"/>
          <w:numId w:val="5"/>
        </w:numPr>
        <w:tabs>
          <w:tab w:val="clear" w:pos="360"/>
          <w:tab w:val="num" w:pos="363"/>
          <w:tab w:val="num" w:pos="720"/>
        </w:tabs>
        <w:jc w:val="both"/>
        <w:rPr>
          <w:rFonts w:ascii="Arial" w:hAnsi="Arial" w:cs="Arial"/>
          <w:color w:val="000000"/>
          <w:sz w:val="20"/>
        </w:rPr>
      </w:pPr>
      <w:r w:rsidRPr="00785E1A">
        <w:rPr>
          <w:rFonts w:ascii="Arial" w:hAnsi="Arial" w:cs="Arial"/>
          <w:color w:val="000000"/>
          <w:sz w:val="20"/>
        </w:rPr>
        <w:t>teachers, head teachers or principals;</w:t>
      </w:r>
    </w:p>
    <w:p w14:paraId="19AFD779" w14:textId="77777777" w:rsidR="00E732EA" w:rsidRPr="00785E1A" w:rsidRDefault="00E732EA" w:rsidP="00E732EA">
      <w:pPr>
        <w:numPr>
          <w:ilvl w:val="0"/>
          <w:numId w:val="5"/>
        </w:numPr>
        <w:tabs>
          <w:tab w:val="clear" w:pos="360"/>
          <w:tab w:val="num" w:pos="363"/>
          <w:tab w:val="num" w:pos="720"/>
        </w:tabs>
        <w:jc w:val="both"/>
        <w:rPr>
          <w:rFonts w:ascii="Arial" w:hAnsi="Arial" w:cs="Arial"/>
          <w:color w:val="000000"/>
          <w:sz w:val="20"/>
        </w:rPr>
      </w:pPr>
      <w:r w:rsidRPr="00785E1A">
        <w:rPr>
          <w:rFonts w:ascii="Arial" w:hAnsi="Arial" w:cs="Arial"/>
          <w:color w:val="000000"/>
          <w:sz w:val="20"/>
        </w:rPr>
        <w:t>members of the police force.</w:t>
      </w:r>
    </w:p>
    <w:p w14:paraId="09EA0651" w14:textId="77777777" w:rsidR="00E732EA" w:rsidRPr="00785E1A" w:rsidRDefault="00E732EA" w:rsidP="00E732EA">
      <w:pPr>
        <w:tabs>
          <w:tab w:val="num" w:pos="720"/>
        </w:tabs>
        <w:jc w:val="both"/>
        <w:rPr>
          <w:rFonts w:ascii="Arial" w:hAnsi="Arial" w:cs="Arial"/>
          <w:color w:val="000000"/>
          <w:sz w:val="20"/>
        </w:rPr>
      </w:pPr>
      <w:r w:rsidRPr="00785E1A">
        <w:rPr>
          <w:rFonts w:ascii="Arial" w:hAnsi="Arial" w:cs="Arial"/>
          <w:color w:val="000000"/>
          <w:sz w:val="20"/>
        </w:rPr>
        <w:t xml:space="preserve">They also include – but only from the </w:t>
      </w:r>
      <w:r w:rsidR="00112373" w:rsidRPr="00785E1A">
        <w:rPr>
          <w:rFonts w:ascii="Arial" w:hAnsi="Arial" w:cs="Arial"/>
          <w:color w:val="000000"/>
          <w:sz w:val="20"/>
        </w:rPr>
        <w:t>“</w:t>
      </w:r>
      <w:r w:rsidRPr="00785E1A">
        <w:rPr>
          <w:rFonts w:ascii="Arial" w:hAnsi="Arial" w:cs="Arial"/>
          <w:color w:val="000000"/>
          <w:sz w:val="20"/>
        </w:rPr>
        <w:t>relevant date</w:t>
      </w:r>
      <w:r w:rsidR="00112373" w:rsidRPr="00785E1A">
        <w:rPr>
          <w:rFonts w:ascii="Arial" w:hAnsi="Arial" w:cs="Arial"/>
          <w:color w:val="000000"/>
          <w:sz w:val="20"/>
        </w:rPr>
        <w:t>”</w:t>
      </w:r>
      <w:r w:rsidRPr="00785E1A">
        <w:rPr>
          <w:rFonts w:ascii="Arial" w:hAnsi="Arial" w:cs="Arial"/>
          <w:color w:val="000000"/>
          <w:sz w:val="20"/>
        </w:rPr>
        <w:t xml:space="preserve"> which has not yet been prescribed–</w:t>
      </w:r>
    </w:p>
    <w:p w14:paraId="7200FE3B" w14:textId="77777777" w:rsidR="00E732EA" w:rsidRPr="00785E1A" w:rsidRDefault="00E732EA" w:rsidP="00E732EA">
      <w:pPr>
        <w:numPr>
          <w:ilvl w:val="0"/>
          <w:numId w:val="5"/>
        </w:numPr>
        <w:tabs>
          <w:tab w:val="clear" w:pos="360"/>
          <w:tab w:val="num" w:pos="363"/>
          <w:tab w:val="num" w:pos="720"/>
        </w:tabs>
        <w:ind w:left="363" w:hanging="363"/>
        <w:jc w:val="both"/>
        <w:rPr>
          <w:rFonts w:ascii="Arial" w:hAnsi="Arial" w:cs="Arial"/>
          <w:color w:val="000000"/>
          <w:sz w:val="20"/>
        </w:rPr>
      </w:pPr>
      <w:r w:rsidRPr="00785E1A">
        <w:rPr>
          <w:rFonts w:ascii="Arial" w:hAnsi="Arial" w:cs="Arial"/>
          <w:color w:val="000000"/>
          <w:sz w:val="20"/>
        </w:rPr>
        <w:t>proprietors and persons with a post-secondary qualification in the care, education or minding of children employed by a children’s service to which the Children’s Services Act 1986 (Vic) applies;</w:t>
      </w:r>
    </w:p>
    <w:p w14:paraId="2B260F1A" w14:textId="77777777" w:rsidR="00E732EA" w:rsidRPr="00785E1A" w:rsidRDefault="00E732EA" w:rsidP="00E732EA">
      <w:pPr>
        <w:numPr>
          <w:ilvl w:val="0"/>
          <w:numId w:val="5"/>
        </w:numPr>
        <w:tabs>
          <w:tab w:val="clear" w:pos="360"/>
          <w:tab w:val="num" w:pos="363"/>
          <w:tab w:val="num" w:pos="720"/>
        </w:tabs>
        <w:ind w:left="363" w:hanging="363"/>
        <w:jc w:val="both"/>
        <w:rPr>
          <w:rFonts w:ascii="Arial" w:hAnsi="Arial" w:cs="Arial"/>
          <w:color w:val="000000"/>
          <w:sz w:val="20"/>
        </w:rPr>
      </w:pPr>
      <w:r w:rsidRPr="00785E1A">
        <w:rPr>
          <w:rFonts w:ascii="Arial" w:hAnsi="Arial" w:cs="Arial"/>
          <w:color w:val="000000"/>
          <w:sz w:val="20"/>
        </w:rPr>
        <w:t>post-secondary qualified youth, social or welfare workers who work in the health, education, or community or welfare services field;</w:t>
      </w:r>
    </w:p>
    <w:p w14:paraId="6E1E210C" w14:textId="77777777" w:rsidR="00E732EA" w:rsidRPr="00785E1A" w:rsidRDefault="00E732EA" w:rsidP="00E732EA">
      <w:pPr>
        <w:numPr>
          <w:ilvl w:val="0"/>
          <w:numId w:val="5"/>
        </w:numPr>
        <w:tabs>
          <w:tab w:val="clear" w:pos="360"/>
          <w:tab w:val="num" w:pos="363"/>
          <w:tab w:val="num" w:pos="720"/>
        </w:tabs>
        <w:ind w:left="363" w:hanging="363"/>
        <w:jc w:val="both"/>
        <w:rPr>
          <w:rFonts w:ascii="Arial" w:hAnsi="Arial" w:cs="Arial"/>
          <w:color w:val="000000"/>
          <w:sz w:val="20"/>
        </w:rPr>
      </w:pPr>
      <w:r w:rsidRPr="00785E1A">
        <w:rPr>
          <w:rFonts w:ascii="Arial" w:hAnsi="Arial" w:cs="Arial"/>
          <w:color w:val="000000"/>
          <w:sz w:val="20"/>
        </w:rPr>
        <w:t>persons employed under the Public Administration Act 2004 (Vic) to perform the duties of youth and child welfare workers;</w:t>
      </w:r>
    </w:p>
    <w:p w14:paraId="14E6C9F0" w14:textId="77777777" w:rsidR="00E732EA" w:rsidRPr="00785E1A" w:rsidRDefault="00E732EA" w:rsidP="00E732EA">
      <w:pPr>
        <w:numPr>
          <w:ilvl w:val="0"/>
          <w:numId w:val="5"/>
        </w:numPr>
        <w:tabs>
          <w:tab w:val="clear" w:pos="360"/>
          <w:tab w:val="num" w:pos="363"/>
          <w:tab w:val="num" w:pos="720"/>
        </w:tabs>
        <w:jc w:val="both"/>
        <w:rPr>
          <w:rFonts w:ascii="Arial" w:hAnsi="Arial" w:cs="Arial"/>
          <w:color w:val="000000"/>
          <w:sz w:val="20"/>
        </w:rPr>
      </w:pPr>
      <w:r w:rsidRPr="00785E1A">
        <w:rPr>
          <w:rFonts w:ascii="Arial" w:hAnsi="Arial" w:cs="Arial"/>
          <w:color w:val="000000"/>
          <w:sz w:val="20"/>
        </w:rPr>
        <w:t>registered psychologists;</w:t>
      </w:r>
    </w:p>
    <w:p w14:paraId="74DDCA56" w14:textId="77777777" w:rsidR="00E732EA" w:rsidRPr="00785E1A" w:rsidRDefault="00E732EA" w:rsidP="00E732EA">
      <w:pPr>
        <w:numPr>
          <w:ilvl w:val="0"/>
          <w:numId w:val="5"/>
        </w:numPr>
        <w:tabs>
          <w:tab w:val="clear" w:pos="360"/>
          <w:tab w:val="num" w:pos="363"/>
          <w:tab w:val="num" w:pos="720"/>
        </w:tabs>
        <w:jc w:val="both"/>
        <w:rPr>
          <w:rFonts w:ascii="Arial" w:hAnsi="Arial" w:cs="Arial"/>
          <w:color w:val="000000"/>
          <w:sz w:val="20"/>
        </w:rPr>
      </w:pPr>
      <w:r w:rsidRPr="00785E1A">
        <w:rPr>
          <w:rFonts w:ascii="Arial" w:hAnsi="Arial" w:cs="Arial"/>
          <w:color w:val="000000"/>
          <w:sz w:val="20"/>
        </w:rPr>
        <w:t>youth justice officers and youth parole officers; and</w:t>
      </w:r>
    </w:p>
    <w:p w14:paraId="7BA83063" w14:textId="77777777" w:rsidR="00E732EA" w:rsidRPr="00785E1A" w:rsidRDefault="00E732EA" w:rsidP="00E732EA">
      <w:pPr>
        <w:numPr>
          <w:ilvl w:val="0"/>
          <w:numId w:val="5"/>
        </w:numPr>
        <w:tabs>
          <w:tab w:val="clear" w:pos="360"/>
          <w:tab w:val="num" w:pos="363"/>
          <w:tab w:val="num" w:pos="720"/>
        </w:tabs>
        <w:jc w:val="both"/>
        <w:rPr>
          <w:rFonts w:ascii="Arial" w:hAnsi="Arial" w:cs="Arial"/>
          <w:color w:val="000000"/>
          <w:sz w:val="20"/>
        </w:rPr>
      </w:pPr>
      <w:r w:rsidRPr="00785E1A">
        <w:rPr>
          <w:rFonts w:ascii="Arial" w:hAnsi="Arial" w:cs="Arial"/>
          <w:color w:val="000000"/>
          <w:sz w:val="20"/>
        </w:rPr>
        <w:t>members of prescribed classes of persons.</w:t>
      </w:r>
    </w:p>
    <w:p w14:paraId="7E553C93" w14:textId="77777777" w:rsidR="00E732EA" w:rsidRPr="00785E1A" w:rsidRDefault="00E732EA">
      <w:pPr>
        <w:jc w:val="both"/>
        <w:rPr>
          <w:rFonts w:ascii="Arial" w:hAnsi="Arial" w:cs="Arial"/>
          <w:color w:val="000000"/>
          <w:sz w:val="20"/>
        </w:rPr>
      </w:pPr>
    </w:p>
    <w:p w14:paraId="2701C1EC" w14:textId="77777777" w:rsidR="00693223" w:rsidRPr="00785E1A" w:rsidRDefault="00693223" w:rsidP="00447CE9">
      <w:pPr>
        <w:pStyle w:val="Heading3"/>
        <w:spacing w:line="240" w:lineRule="auto"/>
        <w:rPr>
          <w:rFonts w:ascii="Arial" w:hAnsi="Arial" w:cs="Arial"/>
          <w:b/>
          <w:bCs/>
          <w:color w:val="000000"/>
          <w:sz w:val="20"/>
        </w:rPr>
      </w:pPr>
      <w:bookmarkStart w:id="724" w:name="_4.6.3_Child_protection"/>
      <w:bookmarkStart w:id="725" w:name="B463"/>
      <w:bookmarkStart w:id="726" w:name="_Toc30648174"/>
      <w:bookmarkStart w:id="727" w:name="_Toc30649072"/>
      <w:bookmarkStart w:id="728" w:name="_Toc30649148"/>
      <w:bookmarkStart w:id="729" w:name="_Toc30649409"/>
      <w:bookmarkStart w:id="730" w:name="_Toc30649734"/>
      <w:bookmarkStart w:id="731" w:name="_Toc30651674"/>
      <w:bookmarkStart w:id="732" w:name="_Toc30652664"/>
      <w:bookmarkStart w:id="733" w:name="_Toc30652760"/>
      <w:bookmarkStart w:id="734" w:name="_Toc30654105"/>
      <w:bookmarkStart w:id="735" w:name="_Toc30654456"/>
      <w:bookmarkStart w:id="736" w:name="_Toc30655075"/>
      <w:bookmarkStart w:id="737" w:name="_Toc30655332"/>
      <w:bookmarkStart w:id="738" w:name="_Toc30657010"/>
      <w:bookmarkStart w:id="739" w:name="_Toc30661759"/>
      <w:bookmarkStart w:id="740" w:name="_Toc30666447"/>
      <w:bookmarkStart w:id="741" w:name="_Toc30666677"/>
      <w:bookmarkStart w:id="742" w:name="_Toc30667852"/>
      <w:bookmarkStart w:id="743" w:name="_Toc30669230"/>
      <w:bookmarkStart w:id="744" w:name="_Toc30671446"/>
      <w:bookmarkStart w:id="745" w:name="_Toc30673973"/>
      <w:bookmarkStart w:id="746" w:name="_Toc30691195"/>
      <w:bookmarkStart w:id="747" w:name="_Toc30691568"/>
      <w:bookmarkStart w:id="748" w:name="_Toc30691948"/>
      <w:bookmarkStart w:id="749" w:name="_Toc30692707"/>
      <w:bookmarkStart w:id="750" w:name="_Toc30693086"/>
      <w:bookmarkStart w:id="751" w:name="_Toc30693464"/>
      <w:bookmarkStart w:id="752" w:name="_Toc30693842"/>
      <w:bookmarkStart w:id="753" w:name="_Toc30694223"/>
      <w:bookmarkStart w:id="754" w:name="_Toc30698812"/>
      <w:bookmarkStart w:id="755" w:name="_Toc30699190"/>
      <w:bookmarkStart w:id="756" w:name="_Toc30699575"/>
      <w:bookmarkStart w:id="757" w:name="_Toc30700730"/>
      <w:bookmarkStart w:id="758" w:name="_Toc30701117"/>
      <w:bookmarkStart w:id="759" w:name="_Toc30743726"/>
      <w:bookmarkStart w:id="760" w:name="_Toc30754549"/>
      <w:bookmarkStart w:id="761" w:name="_Toc30756989"/>
      <w:bookmarkStart w:id="762" w:name="_Toc30757538"/>
      <w:bookmarkStart w:id="763" w:name="_Toc30757938"/>
      <w:bookmarkStart w:id="764" w:name="_Toc30762699"/>
      <w:bookmarkStart w:id="765" w:name="_Toc30767353"/>
      <w:bookmarkStart w:id="766" w:name="_Toc34823369"/>
      <w:bookmarkEnd w:id="724"/>
      <w:bookmarkEnd w:id="725"/>
      <w:r w:rsidRPr="00785E1A">
        <w:rPr>
          <w:rFonts w:ascii="Arial" w:hAnsi="Arial" w:cs="Arial"/>
          <w:b/>
          <w:bCs/>
          <w:color w:val="000000"/>
          <w:sz w:val="20"/>
        </w:rPr>
        <w:lastRenderedPageBreak/>
        <w:t>4.6.</w:t>
      </w:r>
      <w:r w:rsidR="004E262E" w:rsidRPr="00785E1A">
        <w:rPr>
          <w:rFonts w:ascii="Arial" w:hAnsi="Arial" w:cs="Arial"/>
          <w:b/>
          <w:bCs/>
          <w:color w:val="000000"/>
          <w:sz w:val="20"/>
        </w:rPr>
        <w:t>3</w:t>
      </w:r>
      <w:r w:rsidRPr="00785E1A">
        <w:rPr>
          <w:rFonts w:ascii="Arial" w:hAnsi="Arial" w:cs="Arial"/>
          <w:b/>
          <w:bCs/>
          <w:color w:val="000000"/>
          <w:sz w:val="20"/>
        </w:rPr>
        <w:tab/>
      </w:r>
      <w:r w:rsidR="00367C49" w:rsidRPr="00785E1A">
        <w:rPr>
          <w:rFonts w:ascii="Arial" w:hAnsi="Arial" w:cs="Arial"/>
          <w:b/>
          <w:bCs/>
          <w:color w:val="000000"/>
          <w:sz w:val="20"/>
        </w:rPr>
        <w:t>Child protection reports</w:t>
      </w:r>
      <w:r w:rsidRPr="00785E1A">
        <w:rPr>
          <w:rFonts w:ascii="Arial" w:hAnsi="Arial" w:cs="Arial"/>
          <w:b/>
          <w:bCs/>
          <w:color w:val="000000"/>
          <w:sz w:val="20"/>
        </w:rPr>
        <w:t xml:space="preserve"> by </w:t>
      </w:r>
      <w:r w:rsidR="00367C49" w:rsidRPr="00785E1A">
        <w:rPr>
          <w:rFonts w:ascii="Arial" w:hAnsi="Arial" w:cs="Arial"/>
          <w:b/>
          <w:bCs/>
          <w:color w:val="000000"/>
          <w:sz w:val="20"/>
        </w:rPr>
        <w:t>report</w:t>
      </w:r>
      <w:r w:rsidRPr="00785E1A">
        <w:rPr>
          <w:rFonts w:ascii="Arial" w:hAnsi="Arial" w:cs="Arial"/>
          <w:b/>
          <w:bCs/>
          <w:color w:val="000000"/>
          <w:sz w:val="20"/>
        </w:rPr>
        <w:t xml:space="preserve"> source </w:t>
      </w:r>
      <w:r w:rsidR="00E0794B" w:rsidRPr="00785E1A">
        <w:rPr>
          <w:rFonts w:ascii="Arial" w:hAnsi="Arial" w:cs="Arial"/>
          <w:b/>
          <w:bCs/>
          <w:color w:val="000000"/>
          <w:sz w:val="20"/>
        </w:rPr>
        <w:t>–</w:t>
      </w:r>
      <w:r w:rsidRPr="00785E1A">
        <w:rPr>
          <w:rFonts w:ascii="Arial" w:hAnsi="Arial" w:cs="Arial"/>
          <w:b/>
          <w:bCs/>
          <w:color w:val="000000"/>
          <w:sz w:val="20"/>
        </w:rPr>
        <w:t xml:space="preserve"> 1999</w:t>
      </w:r>
      <w:r w:rsidR="00E0794B" w:rsidRPr="00785E1A">
        <w:rPr>
          <w:rFonts w:ascii="Arial" w:hAnsi="Arial" w:cs="Arial"/>
          <w:b/>
          <w:bCs/>
          <w:color w:val="000000"/>
          <w:sz w:val="20"/>
        </w:rPr>
        <w:t>-</w:t>
      </w:r>
      <w:r w:rsidRPr="00785E1A">
        <w:rPr>
          <w:rFonts w:ascii="Arial" w:hAnsi="Arial" w:cs="Arial"/>
          <w:b/>
          <w:bCs/>
          <w:color w:val="000000"/>
          <w:sz w:val="20"/>
        </w:rPr>
        <w:t>2000</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00B51BBE" w:rsidRPr="00785E1A">
        <w:rPr>
          <w:rFonts w:ascii="Arial" w:hAnsi="Arial" w:cs="Arial"/>
          <w:b/>
          <w:bCs/>
          <w:color w:val="000000"/>
          <w:sz w:val="20"/>
        </w:rPr>
        <w:t xml:space="preserve"> &amp; 200</w:t>
      </w:r>
      <w:r w:rsidR="008B3B03" w:rsidRPr="00785E1A">
        <w:rPr>
          <w:rFonts w:ascii="Arial" w:hAnsi="Arial" w:cs="Arial"/>
          <w:b/>
          <w:bCs/>
          <w:color w:val="000000"/>
          <w:sz w:val="20"/>
        </w:rPr>
        <w:t>7</w:t>
      </w:r>
      <w:r w:rsidR="00B51BBE" w:rsidRPr="00785E1A">
        <w:rPr>
          <w:rFonts w:ascii="Arial" w:hAnsi="Arial" w:cs="Arial"/>
          <w:b/>
          <w:bCs/>
          <w:color w:val="000000"/>
          <w:sz w:val="20"/>
        </w:rPr>
        <w:t>-2010</w:t>
      </w:r>
    </w:p>
    <w:p w14:paraId="09795194" w14:textId="77777777" w:rsidR="00693223" w:rsidRPr="00785E1A" w:rsidRDefault="00693223" w:rsidP="00447CE9">
      <w:pPr>
        <w:jc w:val="both"/>
        <w:rPr>
          <w:rFonts w:ascii="Arial" w:hAnsi="Arial" w:cs="Arial"/>
          <w:bCs/>
          <w:color w:val="000000"/>
          <w:sz w:val="20"/>
        </w:rPr>
      </w:pPr>
    </w:p>
    <w:p w14:paraId="0E3B6240" w14:textId="77777777" w:rsidR="00112373" w:rsidRPr="00785E1A" w:rsidRDefault="00112373" w:rsidP="00447CE9">
      <w:pPr>
        <w:jc w:val="both"/>
        <w:rPr>
          <w:rFonts w:ascii="Arial" w:hAnsi="Arial" w:cs="Arial"/>
          <w:bCs/>
          <w:color w:val="000000"/>
          <w:sz w:val="20"/>
        </w:rPr>
      </w:pPr>
      <w:r w:rsidRPr="00785E1A">
        <w:rPr>
          <w:rFonts w:ascii="Arial" w:hAnsi="Arial" w:cs="Arial"/>
          <w:bCs/>
          <w:color w:val="000000"/>
          <w:sz w:val="20"/>
        </w:rPr>
        <w:t xml:space="preserve">The following chart shows child protection notifications by notification sources in </w:t>
      </w:r>
      <w:smartTag w:uri="urn:schemas-microsoft-com:office:smarttags" w:element="place">
        <w:smartTag w:uri="urn:schemas-microsoft-com:office:smarttags" w:element="State">
          <w:r w:rsidRPr="00785E1A">
            <w:rPr>
              <w:rFonts w:ascii="Arial" w:hAnsi="Arial" w:cs="Arial"/>
              <w:bCs/>
              <w:color w:val="000000"/>
              <w:sz w:val="20"/>
            </w:rPr>
            <w:t>Victoria</w:t>
          </w:r>
        </w:smartTag>
      </w:smartTag>
      <w:r w:rsidRPr="00785E1A">
        <w:rPr>
          <w:rFonts w:ascii="Arial" w:hAnsi="Arial" w:cs="Arial"/>
          <w:bCs/>
          <w:color w:val="000000"/>
          <w:sz w:val="20"/>
        </w:rPr>
        <w:t xml:space="preserve"> in 1999-2000:</w:t>
      </w:r>
    </w:p>
    <w:p w14:paraId="1734EFAB" w14:textId="77777777" w:rsidR="00112373" w:rsidRPr="00C57C45" w:rsidRDefault="00112373" w:rsidP="00447CE9">
      <w:pPr>
        <w:jc w:val="both"/>
        <w:rPr>
          <w:rFonts w:ascii="Arial" w:hAnsi="Arial" w:cs="Arial"/>
          <w:bCs/>
          <w:sz w:val="20"/>
        </w:rPr>
      </w:pPr>
    </w:p>
    <w:p w14:paraId="64DB325C" w14:textId="77777777" w:rsidR="00693223" w:rsidRDefault="00112373" w:rsidP="00112373">
      <w:pPr>
        <w:ind w:left="-567" w:right="-567"/>
        <w:jc w:val="center"/>
        <w:rPr>
          <w:rFonts w:ascii="Arial" w:hAnsi="Arial" w:cs="Arial"/>
          <w:sz w:val="20"/>
        </w:rPr>
      </w:pPr>
      <w:r>
        <w:object w:dxaOrig="17033" w:dyaOrig="10234" w14:anchorId="4A7DC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4pt;height:255.9pt" o:ole="" o:bordertopcolor="this" o:borderleftcolor="this" o:borderbottomcolor="this" o:borderrightcolor="this">
            <v:imagedata r:id="rId9" o:title="" cropbottom="6324f"/>
            <o:lock v:ext="edit" aspectratio="f"/>
            <w10:bordertop type="single" width="4"/>
            <w10:borderleft type="single" width="4"/>
            <w10:borderbottom type="single" width="4"/>
            <w10:borderright type="single" width="4"/>
          </v:shape>
          <o:OLEObject Type="Embed" ProgID="Excel.Sheet.8" ShapeID="_x0000_i1025" DrawAspect="Content" ObjectID="_1717476795" r:id="rId10"/>
        </w:object>
      </w:r>
    </w:p>
    <w:p w14:paraId="4827D8F3" w14:textId="77777777" w:rsidR="00112373" w:rsidRPr="00785E1A" w:rsidRDefault="00112373" w:rsidP="00112373">
      <w:pPr>
        <w:tabs>
          <w:tab w:val="num" w:pos="720"/>
        </w:tabs>
        <w:jc w:val="both"/>
        <w:rPr>
          <w:rFonts w:ascii="Arial" w:hAnsi="Arial" w:cs="Arial"/>
          <w:color w:val="000000"/>
          <w:sz w:val="20"/>
        </w:rPr>
      </w:pPr>
    </w:p>
    <w:p w14:paraId="3BBAC0D6" w14:textId="77777777" w:rsidR="00267046" w:rsidRPr="00785E1A" w:rsidRDefault="00267046" w:rsidP="00367C49">
      <w:pPr>
        <w:spacing w:after="120"/>
        <w:jc w:val="both"/>
        <w:rPr>
          <w:rFonts w:ascii="Arial" w:hAnsi="Arial" w:cs="Arial"/>
          <w:color w:val="000000"/>
          <w:sz w:val="20"/>
        </w:rPr>
      </w:pPr>
      <w:r w:rsidRPr="00785E1A">
        <w:rPr>
          <w:rFonts w:ascii="Arial" w:hAnsi="Arial" w:cs="Arial"/>
          <w:color w:val="000000"/>
          <w:sz w:val="20"/>
        </w:rPr>
        <w:t xml:space="preserve">The following table – compiled from “Child </w:t>
      </w:r>
      <w:r w:rsidR="003B47AB">
        <w:rPr>
          <w:rFonts w:ascii="Arial" w:hAnsi="Arial" w:cs="Arial"/>
          <w:color w:val="000000"/>
          <w:sz w:val="20"/>
        </w:rPr>
        <w:t>p</w:t>
      </w:r>
      <w:r w:rsidRPr="00785E1A">
        <w:rPr>
          <w:rFonts w:ascii="Arial" w:hAnsi="Arial" w:cs="Arial"/>
          <w:color w:val="000000"/>
          <w:sz w:val="20"/>
        </w:rPr>
        <w:t>rotection Australia”</w:t>
      </w:r>
      <w:r w:rsidR="00705FED" w:rsidRPr="00785E1A">
        <w:rPr>
          <w:rFonts w:ascii="Arial" w:hAnsi="Arial" w:cs="Arial"/>
          <w:color w:val="000000"/>
          <w:sz w:val="20"/>
        </w:rPr>
        <w:t xml:space="preserve"> </w:t>
      </w:r>
      <w:r w:rsidR="00112373" w:rsidRPr="00785E1A">
        <w:rPr>
          <w:rFonts w:ascii="Arial" w:hAnsi="Arial" w:cs="Arial"/>
          <w:color w:val="000000"/>
          <w:sz w:val="20"/>
        </w:rPr>
        <w:t>publication</w:t>
      </w:r>
      <w:r w:rsidR="00705FED" w:rsidRPr="00785E1A">
        <w:rPr>
          <w:rFonts w:ascii="Arial" w:hAnsi="Arial" w:cs="Arial"/>
          <w:color w:val="000000"/>
          <w:sz w:val="20"/>
        </w:rPr>
        <w:t>s</w:t>
      </w:r>
      <w:r w:rsidRPr="00785E1A">
        <w:rPr>
          <w:rFonts w:ascii="Arial" w:hAnsi="Arial" w:cs="Arial"/>
          <w:color w:val="000000"/>
          <w:sz w:val="20"/>
        </w:rPr>
        <w:t xml:space="preserve"> </w:t>
      </w:r>
      <w:r w:rsidR="00112373" w:rsidRPr="00785E1A">
        <w:rPr>
          <w:rFonts w:ascii="Arial" w:hAnsi="Arial" w:cs="Arial"/>
          <w:bCs/>
          <w:color w:val="000000"/>
          <w:sz w:val="20"/>
        </w:rPr>
        <w:t xml:space="preserve">in the Child Welfare Series published by the Australian Institute of Health and Welfare, Canberra </w:t>
      </w:r>
      <w:r w:rsidRPr="00785E1A">
        <w:rPr>
          <w:rFonts w:ascii="Arial" w:hAnsi="Arial" w:cs="Arial"/>
          <w:color w:val="000000"/>
          <w:sz w:val="20"/>
        </w:rPr>
        <w:t xml:space="preserve">– shows the origin in percentage terms of investigated child protection reports </w:t>
      </w:r>
      <w:r w:rsidR="00926EE1" w:rsidRPr="00785E1A">
        <w:rPr>
          <w:rFonts w:ascii="Arial" w:hAnsi="Arial" w:cs="Arial"/>
          <w:color w:val="000000"/>
          <w:sz w:val="20"/>
        </w:rPr>
        <w:t>in Victoria</w:t>
      </w:r>
      <w:r w:rsidRPr="00785E1A">
        <w:rPr>
          <w:rFonts w:ascii="Arial" w:hAnsi="Arial" w:cs="Arial"/>
          <w:color w:val="000000"/>
          <w:sz w:val="20"/>
        </w:rPr>
        <w:t xml:space="preserve"> in </w:t>
      </w:r>
      <w:r w:rsidR="00926EE1" w:rsidRPr="00785E1A">
        <w:rPr>
          <w:rFonts w:ascii="Arial" w:hAnsi="Arial" w:cs="Arial"/>
          <w:color w:val="000000"/>
          <w:sz w:val="20"/>
        </w:rPr>
        <w:t xml:space="preserve">2007-2008, </w:t>
      </w:r>
      <w:r w:rsidRPr="00785E1A">
        <w:rPr>
          <w:rFonts w:ascii="Arial" w:hAnsi="Arial" w:cs="Arial"/>
          <w:color w:val="000000"/>
          <w:sz w:val="20"/>
        </w:rPr>
        <w:t>2008-2009 &amp; 2009</w:t>
      </w:r>
      <w:r w:rsidR="00BB0650" w:rsidRPr="00785E1A">
        <w:rPr>
          <w:rFonts w:ascii="Arial" w:hAnsi="Arial" w:cs="Arial"/>
          <w:color w:val="000000"/>
          <w:sz w:val="20"/>
        </w:rPr>
        <w:noBreakHyphen/>
      </w:r>
      <w:r w:rsidRPr="00785E1A">
        <w:rPr>
          <w:rFonts w:ascii="Arial" w:hAnsi="Arial" w:cs="Arial"/>
          <w:color w:val="000000"/>
          <w:sz w:val="20"/>
        </w:rPr>
        <w:t>2010:</w:t>
      </w:r>
    </w:p>
    <w:tbl>
      <w:tblPr>
        <w:tblW w:w="839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58"/>
        <w:gridCol w:w="1678"/>
        <w:gridCol w:w="1678"/>
        <w:gridCol w:w="1678"/>
      </w:tblGrid>
      <w:tr w:rsidR="00926EE1" w:rsidRPr="00DB31F5" w14:paraId="16F09BE3" w14:textId="77777777" w:rsidTr="00DB31F5">
        <w:tc>
          <w:tcPr>
            <w:tcW w:w="2000" w:type="pct"/>
            <w:tcBorders>
              <w:top w:val="single" w:sz="18" w:space="0" w:color="auto"/>
              <w:bottom w:val="single" w:sz="18" w:space="0" w:color="auto"/>
            </w:tcBorders>
            <w:shd w:val="pct10" w:color="auto" w:fill="auto"/>
          </w:tcPr>
          <w:p w14:paraId="0684B46D"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SOURCE OF REPORT</w:t>
            </w:r>
          </w:p>
        </w:tc>
        <w:tc>
          <w:tcPr>
            <w:tcW w:w="1000" w:type="pct"/>
            <w:tcBorders>
              <w:top w:val="single" w:sz="18" w:space="0" w:color="auto"/>
              <w:bottom w:val="single" w:sz="18" w:space="0" w:color="auto"/>
            </w:tcBorders>
            <w:shd w:val="pct10" w:color="auto" w:fill="auto"/>
          </w:tcPr>
          <w:p w14:paraId="2C0A758B"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2007-2008</w:t>
            </w:r>
          </w:p>
        </w:tc>
        <w:tc>
          <w:tcPr>
            <w:tcW w:w="1000" w:type="pct"/>
            <w:tcBorders>
              <w:top w:val="single" w:sz="18" w:space="0" w:color="auto"/>
              <w:bottom w:val="single" w:sz="18" w:space="0" w:color="auto"/>
            </w:tcBorders>
            <w:shd w:val="pct10" w:color="auto" w:fill="auto"/>
          </w:tcPr>
          <w:p w14:paraId="284C14F6"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2008-2009</w:t>
            </w:r>
          </w:p>
        </w:tc>
        <w:tc>
          <w:tcPr>
            <w:tcW w:w="1000" w:type="pct"/>
            <w:tcBorders>
              <w:top w:val="single" w:sz="18" w:space="0" w:color="auto"/>
              <w:bottom w:val="single" w:sz="18" w:space="0" w:color="auto"/>
            </w:tcBorders>
            <w:shd w:val="pct10" w:color="auto" w:fill="auto"/>
          </w:tcPr>
          <w:p w14:paraId="09CCF571"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2009-2010</w:t>
            </w:r>
          </w:p>
        </w:tc>
      </w:tr>
      <w:tr w:rsidR="00926EE1" w:rsidRPr="00DB31F5" w14:paraId="663DD487" w14:textId="77777777" w:rsidTr="00DB31F5">
        <w:tc>
          <w:tcPr>
            <w:tcW w:w="2000" w:type="pct"/>
            <w:tcBorders>
              <w:top w:val="single" w:sz="18" w:space="0" w:color="auto"/>
              <w:bottom w:val="single" w:sz="4" w:space="0" w:color="auto"/>
            </w:tcBorders>
            <w:shd w:val="clear" w:color="auto" w:fill="auto"/>
          </w:tcPr>
          <w:p w14:paraId="279910E8"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Police</w:t>
            </w:r>
          </w:p>
        </w:tc>
        <w:tc>
          <w:tcPr>
            <w:tcW w:w="1000" w:type="pct"/>
            <w:tcBorders>
              <w:top w:val="single" w:sz="18" w:space="0" w:color="auto"/>
              <w:bottom w:val="single" w:sz="4" w:space="0" w:color="auto"/>
            </w:tcBorders>
            <w:shd w:val="clear" w:color="auto" w:fill="auto"/>
          </w:tcPr>
          <w:p w14:paraId="362A6C06"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24.7</w:t>
            </w:r>
          </w:p>
        </w:tc>
        <w:tc>
          <w:tcPr>
            <w:tcW w:w="1000" w:type="pct"/>
            <w:tcBorders>
              <w:top w:val="single" w:sz="18" w:space="0" w:color="auto"/>
              <w:bottom w:val="single" w:sz="4" w:space="0" w:color="auto"/>
            </w:tcBorders>
            <w:shd w:val="clear" w:color="auto" w:fill="auto"/>
          </w:tcPr>
          <w:p w14:paraId="147EF08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24.8</w:t>
            </w:r>
          </w:p>
        </w:tc>
        <w:tc>
          <w:tcPr>
            <w:tcW w:w="1000" w:type="pct"/>
            <w:tcBorders>
              <w:top w:val="single" w:sz="18" w:space="0" w:color="auto"/>
              <w:bottom w:val="single" w:sz="4" w:space="0" w:color="auto"/>
            </w:tcBorders>
            <w:shd w:val="clear" w:color="auto" w:fill="auto"/>
          </w:tcPr>
          <w:p w14:paraId="64DF5146"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31.0</w:t>
            </w:r>
          </w:p>
        </w:tc>
      </w:tr>
      <w:tr w:rsidR="00926EE1" w:rsidRPr="00DB31F5" w14:paraId="07D1BF3D" w14:textId="77777777" w:rsidTr="00DB31F5">
        <w:tc>
          <w:tcPr>
            <w:tcW w:w="2000" w:type="pct"/>
            <w:tcBorders>
              <w:top w:val="single" w:sz="4" w:space="0" w:color="auto"/>
            </w:tcBorders>
            <w:shd w:val="clear" w:color="auto" w:fill="auto"/>
          </w:tcPr>
          <w:p w14:paraId="6D0F20AC"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School personnel</w:t>
            </w:r>
          </w:p>
        </w:tc>
        <w:tc>
          <w:tcPr>
            <w:tcW w:w="1000" w:type="pct"/>
            <w:tcBorders>
              <w:top w:val="single" w:sz="4" w:space="0" w:color="auto"/>
            </w:tcBorders>
            <w:shd w:val="clear" w:color="auto" w:fill="auto"/>
          </w:tcPr>
          <w:p w14:paraId="78655A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11.8</w:t>
            </w:r>
          </w:p>
        </w:tc>
        <w:tc>
          <w:tcPr>
            <w:tcW w:w="1000" w:type="pct"/>
            <w:tcBorders>
              <w:top w:val="single" w:sz="4" w:space="0" w:color="auto"/>
            </w:tcBorders>
            <w:shd w:val="clear" w:color="auto" w:fill="auto"/>
          </w:tcPr>
          <w:p w14:paraId="6346F519"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13.9</w:t>
            </w:r>
          </w:p>
        </w:tc>
        <w:tc>
          <w:tcPr>
            <w:tcW w:w="1000" w:type="pct"/>
            <w:tcBorders>
              <w:top w:val="single" w:sz="4" w:space="0" w:color="auto"/>
            </w:tcBorders>
            <w:shd w:val="clear" w:color="auto" w:fill="auto"/>
          </w:tcPr>
          <w:p w14:paraId="34359CEB"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13.3</w:t>
            </w:r>
          </w:p>
        </w:tc>
      </w:tr>
      <w:tr w:rsidR="00926EE1" w:rsidRPr="00DB31F5" w14:paraId="14F8D679" w14:textId="77777777" w:rsidTr="00DB31F5">
        <w:tc>
          <w:tcPr>
            <w:tcW w:w="2000" w:type="pct"/>
            <w:shd w:val="clear" w:color="auto" w:fill="auto"/>
          </w:tcPr>
          <w:p w14:paraId="14A22ECD"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Hospital/health centre</w:t>
            </w:r>
          </w:p>
        </w:tc>
        <w:tc>
          <w:tcPr>
            <w:tcW w:w="1000" w:type="pct"/>
            <w:shd w:val="clear" w:color="auto" w:fill="auto"/>
          </w:tcPr>
          <w:p w14:paraId="2CEA25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7.8</w:t>
            </w:r>
          </w:p>
        </w:tc>
        <w:tc>
          <w:tcPr>
            <w:tcW w:w="1000" w:type="pct"/>
            <w:shd w:val="clear" w:color="auto" w:fill="auto"/>
          </w:tcPr>
          <w:p w14:paraId="2DA69322"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6A6738B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6.1</w:t>
            </w:r>
          </w:p>
        </w:tc>
      </w:tr>
      <w:tr w:rsidR="00926EE1" w:rsidRPr="00DB31F5" w14:paraId="3CBE8B27" w14:textId="77777777" w:rsidTr="00DB31F5">
        <w:tc>
          <w:tcPr>
            <w:tcW w:w="2000" w:type="pct"/>
            <w:shd w:val="clear" w:color="auto" w:fill="auto"/>
          </w:tcPr>
          <w:p w14:paraId="2948A6B1"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Parent/guardian</w:t>
            </w:r>
          </w:p>
        </w:tc>
        <w:tc>
          <w:tcPr>
            <w:tcW w:w="1000" w:type="pct"/>
            <w:shd w:val="clear" w:color="auto" w:fill="auto"/>
          </w:tcPr>
          <w:p w14:paraId="632F99C2"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7.2</w:t>
            </w:r>
          </w:p>
        </w:tc>
        <w:tc>
          <w:tcPr>
            <w:tcW w:w="1000" w:type="pct"/>
            <w:shd w:val="clear" w:color="auto" w:fill="auto"/>
          </w:tcPr>
          <w:p w14:paraId="342A8FE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5FE058E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6.2</w:t>
            </w:r>
          </w:p>
        </w:tc>
      </w:tr>
      <w:tr w:rsidR="00926EE1" w:rsidRPr="00DB31F5" w14:paraId="6A5253FC" w14:textId="77777777" w:rsidTr="00DB31F5">
        <w:tc>
          <w:tcPr>
            <w:tcW w:w="2000" w:type="pct"/>
            <w:shd w:val="clear" w:color="auto" w:fill="auto"/>
          </w:tcPr>
          <w:p w14:paraId="74ED21B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Non-government organization</w:t>
            </w:r>
          </w:p>
        </w:tc>
        <w:tc>
          <w:tcPr>
            <w:tcW w:w="1000" w:type="pct"/>
            <w:shd w:val="clear" w:color="auto" w:fill="auto"/>
          </w:tcPr>
          <w:p w14:paraId="483385C8"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10.6</w:t>
            </w:r>
          </w:p>
        </w:tc>
        <w:tc>
          <w:tcPr>
            <w:tcW w:w="1000" w:type="pct"/>
            <w:shd w:val="clear" w:color="auto" w:fill="auto"/>
          </w:tcPr>
          <w:p w14:paraId="7BA01FE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9.4</w:t>
            </w:r>
          </w:p>
        </w:tc>
        <w:tc>
          <w:tcPr>
            <w:tcW w:w="1000" w:type="pct"/>
            <w:shd w:val="clear" w:color="auto" w:fill="auto"/>
          </w:tcPr>
          <w:p w14:paraId="48F4970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8.9</w:t>
            </w:r>
          </w:p>
        </w:tc>
      </w:tr>
      <w:tr w:rsidR="00926EE1" w:rsidRPr="00DB31F5" w14:paraId="6BA9CB37" w14:textId="77777777" w:rsidTr="00DB31F5">
        <w:tc>
          <w:tcPr>
            <w:tcW w:w="2000" w:type="pct"/>
            <w:shd w:val="clear" w:color="auto" w:fill="auto"/>
          </w:tcPr>
          <w:p w14:paraId="736CDB16"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Sibling/other relative</w:t>
            </w:r>
          </w:p>
        </w:tc>
        <w:tc>
          <w:tcPr>
            <w:tcW w:w="1000" w:type="pct"/>
            <w:shd w:val="clear" w:color="auto" w:fill="auto"/>
          </w:tcPr>
          <w:p w14:paraId="321DD47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8.3</w:t>
            </w:r>
          </w:p>
        </w:tc>
        <w:tc>
          <w:tcPr>
            <w:tcW w:w="1000" w:type="pct"/>
            <w:shd w:val="clear" w:color="auto" w:fill="auto"/>
          </w:tcPr>
          <w:p w14:paraId="3D6C2A8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7.3</w:t>
            </w:r>
          </w:p>
        </w:tc>
        <w:tc>
          <w:tcPr>
            <w:tcW w:w="1000" w:type="pct"/>
            <w:shd w:val="clear" w:color="auto" w:fill="auto"/>
          </w:tcPr>
          <w:p w14:paraId="79A936D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6.6</w:t>
            </w:r>
          </w:p>
        </w:tc>
      </w:tr>
      <w:tr w:rsidR="00926EE1" w:rsidRPr="00DB31F5" w14:paraId="18C32366" w14:textId="77777777" w:rsidTr="00DB31F5">
        <w:tc>
          <w:tcPr>
            <w:tcW w:w="2000" w:type="pct"/>
            <w:shd w:val="clear" w:color="auto" w:fill="auto"/>
          </w:tcPr>
          <w:p w14:paraId="6BE5F995"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Anonymous</w:t>
            </w:r>
          </w:p>
        </w:tc>
        <w:tc>
          <w:tcPr>
            <w:tcW w:w="1000" w:type="pct"/>
            <w:shd w:val="clear" w:color="auto" w:fill="auto"/>
          </w:tcPr>
          <w:p w14:paraId="70A4CC0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7D340EF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512F25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14B51B97" w14:textId="77777777" w:rsidTr="00DB31F5">
        <w:tc>
          <w:tcPr>
            <w:tcW w:w="2000" w:type="pct"/>
            <w:shd w:val="clear" w:color="auto" w:fill="auto"/>
          </w:tcPr>
          <w:p w14:paraId="1131C3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Friend/neighbour</w:t>
            </w:r>
          </w:p>
        </w:tc>
        <w:tc>
          <w:tcPr>
            <w:tcW w:w="1000" w:type="pct"/>
            <w:shd w:val="clear" w:color="auto" w:fill="auto"/>
          </w:tcPr>
          <w:p w14:paraId="3D1FBECA"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6.1</w:t>
            </w:r>
          </w:p>
        </w:tc>
        <w:tc>
          <w:tcPr>
            <w:tcW w:w="1000" w:type="pct"/>
            <w:shd w:val="clear" w:color="auto" w:fill="auto"/>
          </w:tcPr>
          <w:p w14:paraId="05E7319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5.5</w:t>
            </w:r>
          </w:p>
        </w:tc>
        <w:tc>
          <w:tcPr>
            <w:tcW w:w="1000" w:type="pct"/>
            <w:shd w:val="clear" w:color="auto" w:fill="auto"/>
          </w:tcPr>
          <w:p w14:paraId="1166180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4.7</w:t>
            </w:r>
          </w:p>
        </w:tc>
      </w:tr>
      <w:tr w:rsidR="00926EE1" w:rsidRPr="00DB31F5" w14:paraId="4C6FBEB1" w14:textId="77777777" w:rsidTr="00DB31F5">
        <w:tc>
          <w:tcPr>
            <w:tcW w:w="2000" w:type="pct"/>
            <w:shd w:val="clear" w:color="auto" w:fill="auto"/>
          </w:tcPr>
          <w:p w14:paraId="02F02F2D"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Social worker</w:t>
            </w:r>
          </w:p>
        </w:tc>
        <w:tc>
          <w:tcPr>
            <w:tcW w:w="1000" w:type="pct"/>
            <w:shd w:val="clear" w:color="auto" w:fill="auto"/>
          </w:tcPr>
          <w:p w14:paraId="534E711E"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0.2</w:t>
            </w:r>
          </w:p>
        </w:tc>
        <w:tc>
          <w:tcPr>
            <w:tcW w:w="1000" w:type="pct"/>
            <w:shd w:val="clear" w:color="auto" w:fill="auto"/>
          </w:tcPr>
          <w:p w14:paraId="03566658"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0.4</w:t>
            </w:r>
          </w:p>
        </w:tc>
        <w:tc>
          <w:tcPr>
            <w:tcW w:w="1000" w:type="pct"/>
            <w:shd w:val="clear" w:color="auto" w:fill="auto"/>
          </w:tcPr>
          <w:p w14:paraId="24A0EB4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3BD8837F" w14:textId="77777777" w:rsidTr="00DB31F5">
        <w:tc>
          <w:tcPr>
            <w:tcW w:w="2000" w:type="pct"/>
            <w:shd w:val="clear" w:color="auto" w:fill="auto"/>
          </w:tcPr>
          <w:p w14:paraId="75F35E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Medical practitioner</w:t>
            </w:r>
          </w:p>
        </w:tc>
        <w:tc>
          <w:tcPr>
            <w:tcW w:w="1000" w:type="pct"/>
            <w:shd w:val="clear" w:color="auto" w:fill="auto"/>
          </w:tcPr>
          <w:p w14:paraId="1477523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3.2</w:t>
            </w:r>
          </w:p>
        </w:tc>
        <w:tc>
          <w:tcPr>
            <w:tcW w:w="1000" w:type="pct"/>
            <w:shd w:val="clear" w:color="auto" w:fill="auto"/>
          </w:tcPr>
          <w:p w14:paraId="40994EA9"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3.5</w:t>
            </w:r>
          </w:p>
        </w:tc>
        <w:tc>
          <w:tcPr>
            <w:tcW w:w="1000" w:type="pct"/>
            <w:shd w:val="clear" w:color="auto" w:fill="auto"/>
          </w:tcPr>
          <w:p w14:paraId="546B84F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3.4</w:t>
            </w:r>
          </w:p>
        </w:tc>
      </w:tr>
      <w:tr w:rsidR="00926EE1" w:rsidRPr="00DB31F5" w14:paraId="4043468C" w14:textId="77777777" w:rsidTr="00DB31F5">
        <w:tc>
          <w:tcPr>
            <w:tcW w:w="2000" w:type="pct"/>
            <w:shd w:val="clear" w:color="auto" w:fill="auto"/>
          </w:tcPr>
          <w:p w14:paraId="7C396677"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Departmental officer</w:t>
            </w:r>
          </w:p>
        </w:tc>
        <w:tc>
          <w:tcPr>
            <w:tcW w:w="1000" w:type="pct"/>
            <w:shd w:val="clear" w:color="auto" w:fill="auto"/>
          </w:tcPr>
          <w:p w14:paraId="411CE07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0.1</w:t>
            </w:r>
          </w:p>
        </w:tc>
        <w:tc>
          <w:tcPr>
            <w:tcW w:w="1000" w:type="pct"/>
            <w:shd w:val="clear" w:color="auto" w:fill="auto"/>
          </w:tcPr>
          <w:p w14:paraId="0BDAF03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0.3</w:t>
            </w:r>
          </w:p>
        </w:tc>
        <w:tc>
          <w:tcPr>
            <w:tcW w:w="1000" w:type="pct"/>
            <w:shd w:val="clear" w:color="auto" w:fill="auto"/>
          </w:tcPr>
          <w:p w14:paraId="693F664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2E84A423" w14:textId="77777777" w:rsidTr="00DB31F5">
        <w:tc>
          <w:tcPr>
            <w:tcW w:w="2000" w:type="pct"/>
            <w:shd w:val="clear" w:color="auto" w:fill="auto"/>
          </w:tcPr>
          <w:p w14:paraId="6FF64EC2"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 health personnel</w:t>
            </w:r>
          </w:p>
        </w:tc>
        <w:tc>
          <w:tcPr>
            <w:tcW w:w="1000" w:type="pct"/>
            <w:shd w:val="clear" w:color="auto" w:fill="auto"/>
          </w:tcPr>
          <w:p w14:paraId="573869E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2A42AAE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5AA2B19C"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6.0</w:t>
            </w:r>
          </w:p>
        </w:tc>
      </w:tr>
      <w:tr w:rsidR="00926EE1" w:rsidRPr="00DB31F5" w14:paraId="2833738B" w14:textId="77777777" w:rsidTr="00DB31F5">
        <w:tc>
          <w:tcPr>
            <w:tcW w:w="2000" w:type="pct"/>
            <w:shd w:val="clear" w:color="auto" w:fill="auto"/>
          </w:tcPr>
          <w:p w14:paraId="31998CDC"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Childcare personnel</w:t>
            </w:r>
          </w:p>
        </w:tc>
        <w:tc>
          <w:tcPr>
            <w:tcW w:w="1000" w:type="pct"/>
            <w:shd w:val="clear" w:color="auto" w:fill="auto"/>
          </w:tcPr>
          <w:p w14:paraId="6ABDABF6"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097AE6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4AEE049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570708E9" w14:textId="77777777" w:rsidTr="00DB31F5">
        <w:tc>
          <w:tcPr>
            <w:tcW w:w="2000" w:type="pct"/>
            <w:tcBorders>
              <w:bottom w:val="single" w:sz="4" w:space="0" w:color="auto"/>
            </w:tcBorders>
            <w:shd w:val="clear" w:color="auto" w:fill="auto"/>
          </w:tcPr>
          <w:p w14:paraId="58E46F0A"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Subject child</w:t>
            </w:r>
          </w:p>
        </w:tc>
        <w:tc>
          <w:tcPr>
            <w:tcW w:w="1000" w:type="pct"/>
            <w:tcBorders>
              <w:bottom w:val="single" w:sz="4" w:space="0" w:color="auto"/>
            </w:tcBorders>
            <w:shd w:val="clear" w:color="auto" w:fill="auto"/>
          </w:tcPr>
          <w:p w14:paraId="4E84C0C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55E46C9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37266540"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286997CF" w14:textId="77777777" w:rsidTr="00DB31F5">
        <w:tc>
          <w:tcPr>
            <w:tcW w:w="2000" w:type="pct"/>
            <w:tcBorders>
              <w:top w:val="single" w:sz="4" w:space="0" w:color="auto"/>
              <w:bottom w:val="single" w:sz="18" w:space="0" w:color="auto"/>
            </w:tcBorders>
            <w:shd w:val="clear" w:color="auto" w:fill="auto"/>
          </w:tcPr>
          <w:p w14:paraId="43EDC97B"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w:t>
            </w:r>
          </w:p>
        </w:tc>
        <w:tc>
          <w:tcPr>
            <w:tcW w:w="1000" w:type="pct"/>
            <w:tcBorders>
              <w:top w:val="single" w:sz="4" w:space="0" w:color="auto"/>
              <w:bottom w:val="single" w:sz="18" w:space="0" w:color="auto"/>
            </w:tcBorders>
            <w:shd w:val="clear" w:color="auto" w:fill="auto"/>
          </w:tcPr>
          <w:p w14:paraId="145750AC"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13.6</w:t>
            </w:r>
          </w:p>
        </w:tc>
        <w:tc>
          <w:tcPr>
            <w:tcW w:w="1000" w:type="pct"/>
            <w:tcBorders>
              <w:top w:val="single" w:sz="4" w:space="0" w:color="auto"/>
              <w:bottom w:val="single" w:sz="18" w:space="0" w:color="auto"/>
            </w:tcBorders>
            <w:shd w:val="clear" w:color="auto" w:fill="auto"/>
          </w:tcPr>
          <w:p w14:paraId="74BE99E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14.6</w:t>
            </w:r>
          </w:p>
        </w:tc>
        <w:tc>
          <w:tcPr>
            <w:tcW w:w="1000" w:type="pct"/>
            <w:tcBorders>
              <w:top w:val="single" w:sz="4" w:space="0" w:color="auto"/>
              <w:bottom w:val="single" w:sz="18" w:space="0" w:color="auto"/>
            </w:tcBorders>
            <w:shd w:val="clear" w:color="auto" w:fill="auto"/>
          </w:tcPr>
          <w:p w14:paraId="4F23B87E"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13.5</w:t>
            </w:r>
          </w:p>
        </w:tc>
      </w:tr>
      <w:tr w:rsidR="00926EE1" w:rsidRPr="00DB31F5" w14:paraId="45DBF601" w14:textId="77777777" w:rsidTr="00DB31F5">
        <w:tc>
          <w:tcPr>
            <w:tcW w:w="2000" w:type="pct"/>
            <w:tcBorders>
              <w:top w:val="single" w:sz="18" w:space="0" w:color="auto"/>
              <w:bottom w:val="single" w:sz="18" w:space="0" w:color="auto"/>
            </w:tcBorders>
            <w:shd w:val="clear" w:color="auto" w:fill="auto"/>
          </w:tcPr>
          <w:p w14:paraId="75F1B876"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TOTAL</w:t>
            </w:r>
          </w:p>
        </w:tc>
        <w:tc>
          <w:tcPr>
            <w:tcW w:w="1000" w:type="pct"/>
            <w:tcBorders>
              <w:top w:val="single" w:sz="18" w:space="0" w:color="auto"/>
              <w:bottom w:val="single" w:sz="18" w:space="0" w:color="auto"/>
            </w:tcBorders>
            <w:shd w:val="clear" w:color="auto" w:fill="auto"/>
          </w:tcPr>
          <w:p w14:paraId="553E8605" w14:textId="77777777" w:rsidR="00926EE1" w:rsidRPr="00DB31F5" w:rsidRDefault="00926EE1" w:rsidP="00DB31F5">
            <w:pPr>
              <w:jc w:val="center"/>
              <w:rPr>
                <w:rFonts w:ascii="Arial" w:hAnsi="Arial" w:cs="Arial"/>
                <w:color w:val="000000"/>
                <w:sz w:val="20"/>
              </w:rPr>
            </w:pPr>
            <w:r w:rsidRPr="00DB31F5">
              <w:rPr>
                <w:rFonts w:ascii="Arial" w:hAnsi="Arial" w:cs="Arial"/>
                <w:b/>
                <w:color w:val="000000"/>
                <w:sz w:val="20"/>
              </w:rPr>
              <w:t>100.0%</w:t>
            </w:r>
          </w:p>
        </w:tc>
        <w:tc>
          <w:tcPr>
            <w:tcW w:w="1000" w:type="pct"/>
            <w:tcBorders>
              <w:top w:val="single" w:sz="18" w:space="0" w:color="auto"/>
              <w:bottom w:val="single" w:sz="18" w:space="0" w:color="auto"/>
            </w:tcBorders>
            <w:shd w:val="clear" w:color="auto" w:fill="auto"/>
          </w:tcPr>
          <w:p w14:paraId="5AA85118"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w:t>
            </w:r>
          </w:p>
        </w:tc>
        <w:tc>
          <w:tcPr>
            <w:tcW w:w="1000" w:type="pct"/>
            <w:tcBorders>
              <w:top w:val="single" w:sz="18" w:space="0" w:color="auto"/>
              <w:bottom w:val="single" w:sz="18" w:space="0" w:color="auto"/>
            </w:tcBorders>
            <w:shd w:val="clear" w:color="auto" w:fill="auto"/>
          </w:tcPr>
          <w:p w14:paraId="063BF969"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100.0%</w:t>
            </w:r>
          </w:p>
        </w:tc>
      </w:tr>
    </w:tbl>
    <w:p w14:paraId="22795B6F" w14:textId="77777777" w:rsidR="00267046" w:rsidRPr="00785E1A" w:rsidRDefault="00267046" w:rsidP="00267046">
      <w:pPr>
        <w:jc w:val="both"/>
        <w:rPr>
          <w:rFonts w:ascii="Arial" w:hAnsi="Arial" w:cs="Arial"/>
          <w:color w:val="000000"/>
          <w:sz w:val="20"/>
        </w:rPr>
      </w:pPr>
    </w:p>
    <w:p w14:paraId="24B56759" w14:textId="77777777" w:rsidR="001372BD" w:rsidRPr="00785E1A" w:rsidRDefault="008D3A55" w:rsidP="00267046">
      <w:pPr>
        <w:jc w:val="both"/>
        <w:rPr>
          <w:rFonts w:ascii="Arial" w:hAnsi="Arial" w:cs="Arial"/>
          <w:color w:val="000000"/>
          <w:sz w:val="20"/>
        </w:rPr>
      </w:pPr>
      <w:r w:rsidRPr="00785E1A">
        <w:rPr>
          <w:rFonts w:ascii="Arial" w:hAnsi="Arial" w:cs="Arial"/>
          <w:color w:val="000000"/>
          <w:sz w:val="20"/>
        </w:rPr>
        <w:t xml:space="preserve">As in </w:t>
      </w:r>
      <w:smartTag w:uri="urn:schemas-microsoft-com:office:smarttags" w:element="State">
        <w:r w:rsidRPr="00785E1A">
          <w:rPr>
            <w:rFonts w:ascii="Arial" w:hAnsi="Arial" w:cs="Arial"/>
            <w:color w:val="000000"/>
            <w:sz w:val="20"/>
          </w:rPr>
          <w:t>Victoria</w:t>
        </w:r>
      </w:smartTag>
      <w:r w:rsidRPr="00785E1A">
        <w:rPr>
          <w:rFonts w:ascii="Arial" w:hAnsi="Arial" w:cs="Arial"/>
          <w:color w:val="000000"/>
          <w:sz w:val="20"/>
        </w:rPr>
        <w:t xml:space="preserve">, </w:t>
      </w:r>
      <w:r w:rsidR="001372BD" w:rsidRPr="00785E1A">
        <w:rPr>
          <w:rFonts w:ascii="Arial" w:hAnsi="Arial" w:cs="Arial"/>
          <w:color w:val="000000"/>
          <w:sz w:val="20"/>
        </w:rPr>
        <w:t xml:space="preserve">the most common source of </w:t>
      </w:r>
      <w:r w:rsidRPr="00785E1A">
        <w:rPr>
          <w:rFonts w:ascii="Arial" w:hAnsi="Arial" w:cs="Arial"/>
          <w:color w:val="000000"/>
          <w:sz w:val="20"/>
        </w:rPr>
        <w:t>child protection reports</w:t>
      </w:r>
      <w:r w:rsidR="001372BD" w:rsidRPr="00785E1A">
        <w:rPr>
          <w:rFonts w:ascii="Arial" w:hAnsi="Arial" w:cs="Arial"/>
          <w:color w:val="000000"/>
          <w:sz w:val="20"/>
        </w:rPr>
        <w:t xml:space="preserve"> for finalised investigations </w:t>
      </w:r>
      <w:r w:rsidRPr="00785E1A">
        <w:rPr>
          <w:rFonts w:ascii="Arial" w:hAnsi="Arial" w:cs="Arial"/>
          <w:color w:val="000000"/>
          <w:sz w:val="20"/>
        </w:rPr>
        <w:t xml:space="preserve">throughout </w:t>
      </w:r>
      <w:smartTag w:uri="urn:schemas-microsoft-com:office:smarttags" w:element="country-region">
        <w:smartTag w:uri="urn:schemas-microsoft-com:office:smarttags" w:element="place">
          <w:r w:rsidRPr="00785E1A">
            <w:rPr>
              <w:rFonts w:ascii="Arial" w:hAnsi="Arial" w:cs="Arial"/>
              <w:color w:val="000000"/>
              <w:sz w:val="20"/>
            </w:rPr>
            <w:t>Australia</w:t>
          </w:r>
        </w:smartTag>
      </w:smartTag>
      <w:r w:rsidRPr="00785E1A">
        <w:rPr>
          <w:rFonts w:ascii="Arial" w:hAnsi="Arial" w:cs="Arial"/>
          <w:color w:val="000000"/>
          <w:sz w:val="20"/>
        </w:rPr>
        <w:t xml:space="preserve"> </w:t>
      </w:r>
      <w:r w:rsidR="001372BD" w:rsidRPr="00785E1A">
        <w:rPr>
          <w:rFonts w:ascii="Arial" w:hAnsi="Arial" w:cs="Arial"/>
          <w:color w:val="000000"/>
          <w:sz w:val="20"/>
        </w:rPr>
        <w:t xml:space="preserve">was police.  </w:t>
      </w:r>
      <w:r w:rsidRPr="00785E1A">
        <w:rPr>
          <w:rFonts w:ascii="Arial" w:hAnsi="Arial" w:cs="Arial"/>
          <w:color w:val="000000"/>
          <w:sz w:val="20"/>
        </w:rPr>
        <w:t xml:space="preserve">In 2009-2010 the national average was 26%.  Also as in </w:t>
      </w:r>
      <w:smartTag w:uri="urn:schemas-microsoft-com:office:smarttags" w:element="State">
        <w:smartTag w:uri="urn:schemas-microsoft-com:office:smarttags" w:element="place">
          <w:r w:rsidRPr="00785E1A">
            <w:rPr>
              <w:rFonts w:ascii="Arial" w:hAnsi="Arial" w:cs="Arial"/>
              <w:color w:val="000000"/>
              <w:sz w:val="20"/>
            </w:rPr>
            <w:t>Victoria</w:t>
          </w:r>
        </w:smartTag>
      </w:smartTag>
      <w:r w:rsidRPr="00785E1A">
        <w:rPr>
          <w:rFonts w:ascii="Arial" w:hAnsi="Arial" w:cs="Arial"/>
          <w:color w:val="000000"/>
          <w:sz w:val="20"/>
        </w:rPr>
        <w:t xml:space="preserve">, the second most common source of investigated child protection reports was school personnel.  In 2009-2010 the national average was 20%, a significantly higher figure than in </w:t>
      </w:r>
      <w:smartTag w:uri="urn:schemas-microsoft-com:office:smarttags" w:element="State">
        <w:smartTag w:uri="urn:schemas-microsoft-com:office:smarttags" w:element="place">
          <w:r w:rsidRPr="00785E1A">
            <w:rPr>
              <w:rFonts w:ascii="Arial" w:hAnsi="Arial" w:cs="Arial"/>
              <w:color w:val="000000"/>
              <w:sz w:val="20"/>
            </w:rPr>
            <w:t>Victoria</w:t>
          </w:r>
        </w:smartTag>
      </w:smartTag>
      <w:r w:rsidRPr="00785E1A">
        <w:rPr>
          <w:rFonts w:ascii="Arial" w:hAnsi="Arial" w:cs="Arial"/>
          <w:color w:val="000000"/>
          <w:sz w:val="20"/>
        </w:rPr>
        <w:t>.  To some extent</w:t>
      </w:r>
      <w:r w:rsidR="00705FED" w:rsidRPr="00785E1A">
        <w:rPr>
          <w:rFonts w:ascii="Arial" w:hAnsi="Arial" w:cs="Arial"/>
          <w:color w:val="000000"/>
          <w:sz w:val="20"/>
        </w:rPr>
        <w:t>,</w:t>
      </w:r>
      <w:r w:rsidRPr="00785E1A">
        <w:rPr>
          <w:rFonts w:ascii="Arial" w:hAnsi="Arial" w:cs="Arial"/>
          <w:color w:val="000000"/>
          <w:sz w:val="20"/>
        </w:rPr>
        <w:t xml:space="preserve"> this may reflect differences across the states and territories in mandatory reporting requirements.</w:t>
      </w:r>
    </w:p>
    <w:p w14:paraId="5E4A99BF" w14:textId="77777777" w:rsidR="001372BD" w:rsidRPr="00705FED" w:rsidRDefault="001372BD" w:rsidP="00267046">
      <w:pPr>
        <w:jc w:val="both"/>
        <w:rPr>
          <w:rFonts w:ascii="Arial" w:hAnsi="Arial" w:cs="Arial"/>
          <w:color w:val="000000"/>
          <w:sz w:val="20"/>
        </w:rPr>
      </w:pPr>
    </w:p>
    <w:p w14:paraId="6EF91B1C" w14:textId="77777777" w:rsidR="00023781" w:rsidRPr="00785E1A" w:rsidRDefault="00023781" w:rsidP="00390E49">
      <w:pPr>
        <w:pStyle w:val="Heading3"/>
        <w:keepNext/>
        <w:keepLines/>
        <w:widowControl/>
        <w:spacing w:line="240" w:lineRule="auto"/>
        <w:rPr>
          <w:rFonts w:ascii="Arial" w:hAnsi="Arial" w:cs="Arial"/>
          <w:b/>
          <w:bCs/>
          <w:color w:val="000000"/>
          <w:sz w:val="20"/>
        </w:rPr>
      </w:pPr>
      <w:bookmarkStart w:id="767" w:name="_4.6.4_Trends_in"/>
      <w:bookmarkStart w:id="768" w:name="B464"/>
      <w:bookmarkStart w:id="769" w:name="_Toc30648175"/>
      <w:bookmarkStart w:id="770" w:name="_Toc30649073"/>
      <w:bookmarkStart w:id="771" w:name="_Toc30649149"/>
      <w:bookmarkStart w:id="772" w:name="_Toc30649410"/>
      <w:bookmarkStart w:id="773" w:name="_Toc30649735"/>
      <w:bookmarkStart w:id="774" w:name="_Toc30651675"/>
      <w:bookmarkStart w:id="775" w:name="_Toc30652665"/>
      <w:bookmarkStart w:id="776" w:name="_Toc30652761"/>
      <w:bookmarkStart w:id="777" w:name="_Toc30654106"/>
      <w:bookmarkStart w:id="778" w:name="_Toc30654457"/>
      <w:bookmarkStart w:id="779" w:name="_Toc30655076"/>
      <w:bookmarkStart w:id="780" w:name="_Toc30655333"/>
      <w:bookmarkStart w:id="781" w:name="_Toc30657011"/>
      <w:bookmarkStart w:id="782" w:name="_Toc30661760"/>
      <w:bookmarkStart w:id="783" w:name="_Toc30666448"/>
      <w:bookmarkStart w:id="784" w:name="_Toc30666678"/>
      <w:bookmarkStart w:id="785" w:name="_Toc30667853"/>
      <w:bookmarkStart w:id="786" w:name="_Toc30669231"/>
      <w:bookmarkStart w:id="787" w:name="_Toc30671447"/>
      <w:bookmarkStart w:id="788" w:name="_Toc30673974"/>
      <w:bookmarkStart w:id="789" w:name="_Toc30691196"/>
      <w:bookmarkStart w:id="790" w:name="_Toc30691569"/>
      <w:bookmarkStart w:id="791" w:name="_Toc30691949"/>
      <w:bookmarkStart w:id="792" w:name="_Toc30692708"/>
      <w:bookmarkStart w:id="793" w:name="_Toc30693087"/>
      <w:bookmarkStart w:id="794" w:name="_Toc30693465"/>
      <w:bookmarkStart w:id="795" w:name="_Toc30693843"/>
      <w:bookmarkStart w:id="796" w:name="_Toc30694224"/>
      <w:bookmarkStart w:id="797" w:name="_Toc30698813"/>
      <w:bookmarkStart w:id="798" w:name="_Toc30699191"/>
      <w:bookmarkStart w:id="799" w:name="_Toc30699576"/>
      <w:bookmarkStart w:id="800" w:name="_Toc30700731"/>
      <w:bookmarkStart w:id="801" w:name="_Toc30701118"/>
      <w:bookmarkStart w:id="802" w:name="_Toc30743727"/>
      <w:bookmarkStart w:id="803" w:name="_Toc30754550"/>
      <w:bookmarkStart w:id="804" w:name="_Toc30756990"/>
      <w:bookmarkStart w:id="805" w:name="_Toc30757539"/>
      <w:bookmarkStart w:id="806" w:name="_Toc30757939"/>
      <w:bookmarkStart w:id="807" w:name="_Toc30762700"/>
      <w:bookmarkStart w:id="808" w:name="_Toc30767354"/>
      <w:bookmarkStart w:id="809" w:name="_Toc34823370"/>
      <w:bookmarkEnd w:id="767"/>
      <w:bookmarkEnd w:id="768"/>
      <w:r>
        <w:rPr>
          <w:rFonts w:ascii="Arial" w:hAnsi="Arial" w:cs="Arial"/>
          <w:b/>
          <w:bCs/>
          <w:color w:val="000000"/>
          <w:sz w:val="20"/>
        </w:rPr>
        <w:lastRenderedPageBreak/>
        <w:t>4.6.4</w:t>
      </w:r>
      <w:r>
        <w:rPr>
          <w:rFonts w:ascii="Arial" w:hAnsi="Arial" w:cs="Arial"/>
          <w:b/>
          <w:bCs/>
          <w:color w:val="000000"/>
          <w:sz w:val="20"/>
        </w:rPr>
        <w:tab/>
      </w:r>
      <w:r w:rsidR="00693223" w:rsidRPr="003D5DFA">
        <w:rPr>
          <w:rFonts w:ascii="Arial" w:hAnsi="Arial" w:cs="Arial"/>
          <w:b/>
          <w:bCs/>
          <w:color w:val="000000"/>
          <w:sz w:val="20"/>
        </w:rPr>
        <w:t xml:space="preserve">Trends in </w:t>
      </w:r>
      <w:r w:rsidR="008D3A55" w:rsidRPr="003D5DFA">
        <w:rPr>
          <w:rFonts w:ascii="Arial" w:hAnsi="Arial" w:cs="Arial"/>
          <w:b/>
          <w:bCs/>
          <w:color w:val="000000"/>
          <w:sz w:val="20"/>
        </w:rPr>
        <w:t xml:space="preserve">child protection </w:t>
      </w:r>
      <w:r w:rsidR="001B04CC" w:rsidRPr="003D5DFA">
        <w:rPr>
          <w:rFonts w:ascii="Arial" w:hAnsi="Arial" w:cs="Arial"/>
          <w:b/>
          <w:bCs/>
          <w:color w:val="000000"/>
          <w:sz w:val="20"/>
        </w:rPr>
        <w:t>reports</w:t>
      </w:r>
      <w:r w:rsidR="00693223" w:rsidRPr="003D5DFA">
        <w:rPr>
          <w:rFonts w:ascii="Arial" w:hAnsi="Arial" w:cs="Arial"/>
          <w:b/>
          <w:bCs/>
          <w:color w:val="000000"/>
          <w:sz w:val="20"/>
        </w:rPr>
        <w:t xml:space="preserve"> 1989</w:t>
      </w:r>
      <w:r w:rsidR="00E732EA" w:rsidRPr="003D5DFA">
        <w:rPr>
          <w:rFonts w:ascii="Arial" w:hAnsi="Arial" w:cs="Arial"/>
          <w:b/>
          <w:bCs/>
          <w:color w:val="000000"/>
          <w:sz w:val="20"/>
        </w:rPr>
        <w:t>-1990</w:t>
      </w:r>
      <w:r w:rsidR="00693223" w:rsidRPr="003D5DFA">
        <w:rPr>
          <w:rFonts w:ascii="Arial" w:hAnsi="Arial" w:cs="Arial"/>
          <w:b/>
          <w:bCs/>
          <w:color w:val="000000"/>
          <w:sz w:val="20"/>
        </w:rPr>
        <w:t xml:space="preserve"> to </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r w:rsidR="00177067" w:rsidRPr="003D5DFA">
        <w:rPr>
          <w:rFonts w:ascii="Arial" w:hAnsi="Arial" w:cs="Arial"/>
          <w:b/>
          <w:bCs/>
          <w:color w:val="000000"/>
          <w:sz w:val="20"/>
        </w:rPr>
        <w:t>201</w:t>
      </w:r>
      <w:r w:rsidR="00A309B2">
        <w:rPr>
          <w:rFonts w:ascii="Arial" w:hAnsi="Arial" w:cs="Arial"/>
          <w:b/>
          <w:bCs/>
          <w:color w:val="000000"/>
          <w:sz w:val="20"/>
        </w:rPr>
        <w:t>2</w:t>
      </w:r>
      <w:r w:rsidR="00177067" w:rsidRPr="003D5DFA">
        <w:rPr>
          <w:rFonts w:ascii="Arial" w:hAnsi="Arial" w:cs="Arial"/>
          <w:b/>
          <w:bCs/>
          <w:color w:val="000000"/>
          <w:sz w:val="20"/>
        </w:rPr>
        <w:t>-201</w:t>
      </w:r>
      <w:r w:rsidR="00A309B2">
        <w:rPr>
          <w:rFonts w:ascii="Arial" w:hAnsi="Arial" w:cs="Arial"/>
          <w:b/>
          <w:bCs/>
          <w:color w:val="000000"/>
          <w:sz w:val="20"/>
        </w:rPr>
        <w:t>3</w:t>
      </w:r>
    </w:p>
    <w:p w14:paraId="6592027F" w14:textId="77777777" w:rsidR="00E732EA" w:rsidRPr="00705FED" w:rsidRDefault="00E732EA" w:rsidP="00390E49">
      <w:pPr>
        <w:pStyle w:val="Heading3"/>
        <w:keepNext/>
        <w:keepLines/>
        <w:widowControl/>
        <w:spacing w:line="240" w:lineRule="auto"/>
        <w:rPr>
          <w:rFonts w:ascii="Arial" w:hAnsi="Arial" w:cs="Arial"/>
          <w:b/>
          <w:bCs/>
          <w:color w:val="000000"/>
          <w:sz w:val="20"/>
        </w:rPr>
      </w:pPr>
    </w:p>
    <w:p w14:paraId="2D76AFC2" w14:textId="77777777" w:rsidR="00023781" w:rsidRPr="00785E1A" w:rsidRDefault="00705FED" w:rsidP="00023781">
      <w:pPr>
        <w:keepNext/>
        <w:keepLines/>
        <w:jc w:val="both"/>
        <w:rPr>
          <w:rFonts w:ascii="Arial" w:hAnsi="Arial" w:cs="Arial"/>
          <w:color w:val="000000"/>
          <w:sz w:val="20"/>
        </w:rPr>
      </w:pPr>
      <w:r>
        <w:rPr>
          <w:rFonts w:ascii="Arial" w:hAnsi="Arial" w:cs="Arial"/>
          <w:sz w:val="20"/>
        </w:rPr>
        <w:t xml:space="preserve">The number of notifications to Victoria's Child Protection Service increased substantially in the 1990s, as illustrated by the following graph provided by Mr Peter Green, Manager DOHS Child Protection &amp; Care in a paper entitled </w:t>
      </w:r>
      <w:r>
        <w:rPr>
          <w:rFonts w:ascii="Helv" w:hAnsi="Helv"/>
          <w:color w:val="000000"/>
          <w:sz w:val="20"/>
          <w:lang w:val="en-US"/>
        </w:rPr>
        <w:t>"Towards Better Policing Responses in Child Protection"</w:t>
      </w:r>
      <w:r>
        <w:rPr>
          <w:rFonts w:ascii="Arial" w:hAnsi="Arial" w:cs="Arial"/>
          <w:sz w:val="20"/>
        </w:rPr>
        <w:t xml:space="preserve"> at XVI World Congress of the International Association of Youth and Family Judges and Magistrates in October 2002.  In the 2000s the numbers of notifications have </w:t>
      </w:r>
      <w:r w:rsidRPr="00785E1A">
        <w:rPr>
          <w:rFonts w:ascii="Arial" w:hAnsi="Arial" w:cs="Arial"/>
          <w:color w:val="000000"/>
          <w:sz w:val="20"/>
        </w:rPr>
        <w:t>been relatively stable although the proportion substantiated has fallen slightly.</w:t>
      </w:r>
    </w:p>
    <w:p w14:paraId="3D41755A" w14:textId="77777777" w:rsidR="00705FED" w:rsidRPr="00785E1A" w:rsidRDefault="00705FED" w:rsidP="00E732EA">
      <w:pPr>
        <w:pStyle w:val="Heading3"/>
        <w:spacing w:line="240" w:lineRule="auto"/>
        <w:rPr>
          <w:rFonts w:ascii="Arial" w:hAnsi="Arial" w:cs="Arial"/>
          <w:b/>
          <w:bCs/>
          <w:color w:val="000000"/>
          <w:sz w:val="16"/>
        </w:rPr>
      </w:pPr>
    </w:p>
    <w:p w14:paraId="133FC94D" w14:textId="23873865" w:rsidR="00E732EA" w:rsidRDefault="002237AE" w:rsidP="00E732EA">
      <w:pPr>
        <w:jc w:val="both"/>
        <w:rPr>
          <w:rFonts w:ascii="Arial" w:hAnsi="Arial" w:cs="Arial"/>
          <w:sz w:val="20"/>
        </w:rPr>
      </w:pPr>
      <w:r>
        <w:rPr>
          <w:rFonts w:ascii="Arial" w:hAnsi="Arial" w:cs="Arial"/>
          <w:noProof/>
          <w:sz w:val="20"/>
        </w:rPr>
        <mc:AlternateContent>
          <mc:Choice Requires="wpg">
            <w:drawing>
              <wp:inline distT="0" distB="0" distL="0" distR="0" wp14:anchorId="669FD180" wp14:editId="7985F7FA">
                <wp:extent cx="5255895" cy="2740660"/>
                <wp:effectExtent l="36195" t="34925" r="41910" b="34290"/>
                <wp:docPr id="4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95" cy="2740660"/>
                          <a:chOff x="1825" y="4516"/>
                          <a:chExt cx="8634" cy="4316"/>
                        </a:xfrm>
                      </wpg:grpSpPr>
                      <wpg:graphicFrame>
                        <wpg:cNvPr id="50" name="Object 141"/>
                        <wpg:cNvFrPr>
                          <a:graphicFrameLocks noChangeAspect="1"/>
                        </wpg:cNvFrPr>
                        <wpg:xfrm>
                          <a:off x="1825" y="4516"/>
                          <a:ext cx="8634" cy="4316"/>
                        </wpg:xfrm>
                        <a:graphic>
                          <a:graphicData uri="http://schemas.openxmlformats.org/drawingml/2006/chart">
                            <c:chart xmlns:c="http://schemas.openxmlformats.org/drawingml/2006/chart" xmlns:r="http://schemas.openxmlformats.org/officeDocument/2006/relationships" r:id="rId11"/>
                          </a:graphicData>
                        </a:graphic>
                      </wpg:graphicFrame>
                      <wpg:grpSp>
                        <wpg:cNvPr id="51" name="Group 142"/>
                        <wpg:cNvGrpSpPr>
                          <a:grpSpLocks/>
                        </wpg:cNvGrpSpPr>
                        <wpg:grpSpPr bwMode="auto">
                          <a:xfrm>
                            <a:off x="3728" y="4628"/>
                            <a:ext cx="1931" cy="1808"/>
                            <a:chOff x="3730" y="2456"/>
                            <a:chExt cx="1931" cy="1808"/>
                          </a:xfrm>
                        </wpg:grpSpPr>
                        <wps:wsp>
                          <wps:cNvPr id="52" name="Text Box 143"/>
                          <wps:cNvSpPr txBox="1">
                            <a:spLocks noChangeArrowheads="1"/>
                          </wps:cNvSpPr>
                          <wps:spPr bwMode="auto">
                            <a:xfrm>
                              <a:off x="3730" y="2456"/>
                              <a:ext cx="1931" cy="108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F97C963"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wps:txbx>
                          <wps:bodyPr rot="0" vert="horz" wrap="square" lIns="91440" tIns="45720" rIns="91440" bIns="45720" anchor="t" anchorCtr="0" upright="1">
                            <a:noAutofit/>
                          </wps:bodyPr>
                        </wps:wsp>
                        <wps:wsp>
                          <wps:cNvPr id="53" name="Line 144"/>
                          <wps:cNvCnPr>
                            <a:cxnSpLocks noChangeShapeType="1"/>
                          </wps:cNvCnPr>
                          <wps:spPr bwMode="auto">
                            <a:xfrm>
                              <a:off x="4948" y="3483"/>
                              <a:ext cx="245" cy="781"/>
                            </a:xfrm>
                            <a:prstGeom prst="line">
                              <a:avLst/>
                            </a:prstGeom>
                            <a:noFill/>
                            <a:ln w="635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g:grpSp>
                      <wps:wsp>
                        <wps:cNvPr id="54" name="Text Box 145"/>
                        <wps:cNvSpPr txBox="1">
                          <a:spLocks noChangeArrowheads="1"/>
                        </wps:cNvSpPr>
                        <wps:spPr bwMode="auto">
                          <a:xfrm>
                            <a:off x="5779" y="6498"/>
                            <a:ext cx="1955" cy="125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B912644"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wps:txbx>
                        <wps:bodyPr rot="0" vert="horz" wrap="square" lIns="91440" tIns="45720" rIns="91440" bIns="45720" anchor="t" anchorCtr="0" upright="1">
                          <a:noAutofit/>
                        </wps:bodyPr>
                      </wps:wsp>
                      <wps:wsp>
                        <wps:cNvPr id="55" name="Text Box 146"/>
                        <wps:cNvSpPr txBox="1">
                          <a:spLocks noChangeArrowheads="1"/>
                        </wps:cNvSpPr>
                        <wps:spPr bwMode="auto">
                          <a:xfrm>
                            <a:off x="8028" y="6500"/>
                            <a:ext cx="1951" cy="12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6011E2B"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63EF3102" w14:textId="77777777" w:rsidR="00705FED" w:rsidRDefault="00705FED" w:rsidP="00705FED">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wps:txbx>
                        <wps:bodyPr rot="0" vert="horz" wrap="square" lIns="91440" tIns="45720" rIns="91440" bIns="45720" anchor="t" anchorCtr="0" upright="1">
                          <a:noAutofit/>
                        </wps:bodyPr>
                      </wps:wsp>
                      <wps:wsp>
                        <wps:cNvPr id="56" name="Line 147"/>
                        <wps:cNvCnPr>
                          <a:cxnSpLocks noChangeShapeType="1"/>
                        </wps:cNvCnPr>
                        <wps:spPr bwMode="auto">
                          <a:xfrm flipH="1" flipV="1">
                            <a:off x="5899" y="6076"/>
                            <a:ext cx="240" cy="48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148"/>
                        <wps:cNvCnPr>
                          <a:cxnSpLocks noChangeShapeType="1"/>
                        </wps:cNvCnPr>
                        <wps:spPr bwMode="auto">
                          <a:xfrm>
                            <a:off x="6139" y="5836"/>
                            <a:ext cx="2160" cy="60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9FD180" id="Group 140" o:spid="_x0000_s1026" style="width:413.85pt;height:215.8pt;mso-position-horizontal-relative:char;mso-position-vertical-relative:line" coordorigin="1825,4516" coordsize="8634,4316"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1VLWy80EAABSEwAADgAAAGRycy9lMm9Eb2MueG1s7Fjfb9s2EH4f0P+B0Htj/ZYtxCm6pMkK&#10;ZGuBZnunJdrSJpEaScfO/vodj5Ss2G7SBEiQh/rBoETydPzuu+9OOv2wbRtyy6SqBZ97wYnvEcYL&#10;UdZ8Nff+vLl8P/WI0pSXtBGczb07prwPZ+9+Od10OQtFJZqSSQJGuMo33dyrtO7yyUQVFWupOhEd&#10;4zC5FLKlGi7lalJKugHrbTMJfT+dbIQsOykKphTcvbCT3hnaXy5Zob8sl4pp0sw98E3jv8T/hfmf&#10;nJ3SfCVpV9WFc4M+w4uW1hweOpi6oJqStawPTLV1IYUSS31SiHYilsu6YHgGOE3g753mSop1h2dZ&#10;5ZtVN8AE0O7h9GyzxR+3V7L71n2V1nsYXoviHwW4TDbdKh/Pm+uVXUwWm99FCfGkay3w4NulbI0J&#10;OBLZIr53A75sq0kBN5MwSaazxCMFzIVZ7Kepi0BRQZjMvmAawjxMx0mQ2ugU1Se3f5pGsd0cR3Z2&#10;QnP7YHTWOWeCbzzFoF5K2jJ7B87yVZK6BEeAChzuz70vi7+BIySIA/Mwd+JL2cOxM4GoEC7OK8pX&#10;7KPqYBu4a3b1QNltxsYeGEcO1UNy5EhjA+4QP8Ksx1OlqKjUEKwix5GjU3FAph+15AxANu2x8YgB&#10;y/QLUaxbxrVNXckaqkE3VFV3yiMyN6GRn0sL6r1cApCHawf4YXwx/EMQ+1AHfagxmyDS4SjSL8L9&#10;KAtB9QyHUxigwvThDmYR+GPoH0x9NzdwP8oi4KVJjTg54P7hzu9yH5RU7cRCHYTnSWLxraIdQw1S&#10;Rgx6VMMe1RtztF/FFoCNLLC4zigK0VuYMEli+KussOxSSEqxqRgtwcE+jYatJooKtoCRx5TmCGpH&#10;0PaniPaAGc07qfQVEy0xA+Ad5DP6SW+vlTZZvVuC7oumLi/rpsELuVqcN5LcUigrl/hDIYBTjpc1&#10;3CzmwmyzFs0dkAt7NHtIvV1sYdLcXIjyDk4sBfgDTICyCoNKyP88sgE1m3vq3zWVzCPNZw6ozYI4&#10;NjUNL+IkC+FCjmcW4xnKCzA197RH7PBc2zq47mS9quBJNk5cfARNX9aIwc4r5zcwy/r68hSLeopd&#10;15wBveIRvc65Vehiy13BGniFhL2560Dc79HKbumxf5RW8Sy2SRzFUyQ2zXtaQXraHM6mvVT1gr9H&#10;qgY8f4hUAzVo3nCymXtplPi+TZcxkdSYbz7+jvEN2gVeot6YvPrES6IRBw6tF1AI+NMCdxg0ajDA&#10;dZrWzW6dljUUt8aubVnpFpvRjr6AA/ZVLkt6QMcMNovNfSTLrjK/FnGgR7DFfaRNyYg8r6dNSZbN&#10;UNHTeHZQCRLHoiBM3rI2YcOEPN+JwU+Jsm0kRPCAaVi5DVRQLV+PaVPf9RypERDM7V6uglnS9xxh&#10;hHnwRqsgYuq6s5/F0DKo77fSnmmuGGYjPXuhYkiWTd39Zqoojv7qGwT3hgdvck7b/Mx1qz3jQtOW&#10;mCY3niIXv8+3JxfIJAvg5e3hhuwJBfK5RXCvh7ON272y5+rf8M7+Mm14tkcLLCROfF6IFgZ7R4E0&#10;iCwFkmm0T4EAXu2RA6nVo7fLAdckPdz80Ny1SibIpls76OOPcABbH/hwg1vc+6r5MjS+Rju7T2Fn&#10;/wMAAP//AwBQSwMEFAAGAAgAAAAhACSD5LT3BwAA8RkAABUAAABkcnMvY2hhcnRzL2NoYXJ0MS54&#10;bWzsWUtz2zgSvm/V/gcua66y+H6oIk/JtDw1tc7EFSdz2BtEQhJXIMEBIFvKVP77dgOgXjFnnGxO&#10;s+uDDQLdALr76xf85sddw5wnKmTN26nrX3muQ9uSV3W7mrofP9yNMteRirQVYbylU3dPpfvj9d//&#10;9qaclGsi1GNHSurAJq2clFN3rVQ3GY9luaYNkVe8oy2sLbloiIJPsRpXgjzD5g0bB56XjPUmrt2A&#10;fMMGDanbnl+8hp8vl3VJb3m5bWirzC0EZUSBBuS67mS/W+knIvhix6YuBZd8qa5K3ozNZr1QsJkf&#10;jw9SXYOSKqKon3uR80TY1PXcMU4y0q7MBG1HHx/NpODbtqJVwUUL5jihb8rJjCkqWtiq4K2CW1t9&#10;Na/SeEPEZtuN4LodCLmoWa32Wmz3+g3sXaw56MN5T3/b1oLKqVv60VEF0dcqwEvH2TiwdgVh/Wgi&#10;1Z5RI5DvBSjt+HCuvsIdYWxByg3q5oT4QHpcR8ZLZSCXhhEOyFbxD7Vi9JYyqmh1osdy0jGuZoIS&#10;JGRkz7cKRw1pt4TdH77NygciVlQZ9roFkxgr7d7yyspCqxU1k/uXJnf26CsARZrkue/HXhQFUZpZ&#10;JrOeXGVhFIdBmEa+56XBfKTFLifPPX+aBaHnZVmUx3EaB0Fo+NeH9TDM/CCP8iTygixNE1wfX8oF&#10;E0eRWd3SAt0X5V8B8jpwSbOfcXZRmUOeiNgXnPEzQIKRqEDOuuqFNNRcVFTYa5kZ2T0AJZmw1nme&#10;umESJwGgjkwkZ3V1VzOmP8RqUbCe0QNZtZ+ML8g6IdUtkVZuvYOWFHfXApvDUHCxMReU+2bBIb6h&#10;71U1aXhr5ZL1J2tFq83+ot9yMTz+4q7yu4qkjdnLVBJtNanEe7pEKyyvf+GqhqBmQtg/frj9IZvA&#10;r8BDFGgSIC4IxGQk71QBkcYi27fid8oBY2KAQpKnaz/PcuR+0ort9Ik9jX+gyfUJL9Gglc0+uT+0&#10;T3ikCYZooiNNOPLzPBoijI+EERLGQ4TJkTBGwmSIMD0SJkiYDhFmR8IUCbMhwvxImCHhsIaPZsjz&#10;EeTJQT37vTGQCCkHte33JkEipLzQORj7iBLzofEFQ4s48CI0artthoA3R+DNT4EHxAfgmSqggPh5&#10;/ROFgEoYKupk9tXgDL04HFJyrxA/iYNBtPS68DM/HATAAZ9Z4g8aoAdokCTZIOZ6cIY+5IGhi/fA&#10;DABBgxfvQRn6qfengAzhvEE99WAMo2QY2n4PxDDJvEHxDiAMkzwZVOcBgGH6BRXg4IgU89GDz6JO&#10;NpwrG/p9k1voTt1LHZlg5GxFPXV/LyAXekURjeLbZD6KvLwY3czDYDRPg9sgT8M4LIrPx+om+drq&#10;xo9OKptksm3r37b0Z1tl/A4+qH9GYRxno+jGC0dZFAdwD7+YBzfZne8ln3XOKidwZx1beylAaptV&#10;q/sFk+hpcs2f7+mKttU/6f48rcLKr8QmNltUInVB1C+ksZntZP6RihfnH6gosZzUCfKE/ma7WDD6&#10;eEiSJh9DNdtfzaRYw2fNcWohuxXZ9aqJoiTE+sdY7jiveUH0s4IE4s1shwo40p3zy5IAwwpJuKhB&#10;AJ35zG2aun1LdlbJJ4SVrgfPJCW7B24L7YW5GIDwrlHOMSZNXRuqoAviW1DWfd1uaAWdkmFoyL+5&#10;+FCXm7dQc5jNoaq0a3V7udZCD2UWFfCAMg8XaAEHH7hZ62sRWzR5EXr9nxUYnrHRBdmraya1M4Xa&#10;glf7B+EIrrAYwM4QBmsuPuHVoNKS6hGref3R4Ywt8Cq6fA988tPUTSPoHxaaHVwSNtlOXS04NJKi&#10;3kAT2fJHPQIyIina3lQeF5f/ooh6WUZs3VpH7Tu6hF506s5ETZi5LiUvz5fypXkoOI0Y4JgHwcD7&#10;HoggKBy2bVP30LIhjXZhozvIk9AYypktiS1A9By1KMPm5F9UWDPj15kHsQWbsVVr5kplOw6Yfbdc&#10;yr4XgSbhDEGPm7o72wWRhWj8YqHlb7dM1fdPDIBnWHq/PngcBIJL1+vd+7v7nLZROVHYraErK+3z&#10;oi7XiCsDxFeDzk/T+C+EOoEqEKeYm300kFbn1T4iFRMJUBvUakQaJUJcNTo9Nn6Xve7Xt7MGfH06&#10;uoIyK0rSJIizPA+gRkhxHQ4+Pwgj/KG/5hBU4OsEgZDqbBhpOTaFxuq6ZQwiaIx1+DssgaxnDR+K&#10;2WPo/wH8OwRwP8rSv5AvfWsEP685/iCQ66Ubqp4ptcF7YT6sLxyC6n+J8tPnKxz/Wst3LbOOZMN0&#10;VcvuBhLVRs5s0lmRzvgsFoi3EPrlO3BAqJFOHBBc6PCCNnhJeGWC3OOUpJu6S0i6MGw6KIWqBXMd&#10;AokLng4haWHk+uNXlJfT+ECpQiZNDY+fDqubqZvp8hrFIZM1JdW8rXQi7wsMeGNqaOU6jMJlcKQp&#10;FanZ6yj7Ypxged63FJmXFnl6O7q5K3wo5bP5aBZF8cgrsnR+k99l+Sz4jFLLjS5jHzdUlWtdJT0I&#10;3sn+bVtuvrrZyMZSb7aXa9LBw7sjQd3YkpFJuZXqJ8obHJMn6IO0pKuqH5F1Pyp3bT8UtFSOfoZ2&#10;THkHD+ZgUV2raX54ILZ8EGRPjgDRsL4CmvGQmDr7gNb6v3CmHp6FakxIp3WmPpS9oqZM0uB/MyKB&#10;RvHln90SRRwBL65TV/xcmUcOLCA/dvgfhnNXPuUBG1jf1v+puf4PAAAA//8DAFBLAwQKAAAAAAAA&#10;ACEAyPDBKv5QAAD+UAAALQAAAGRycy9lbWJlZGRpbmdzL01pY3Jvc29mdF9FeGNlbF9Xb3Jrc2hl&#10;ZXQueGxzeFBLAwQUAAYACAAAACEAUib1vbgBAABOCAAAEwAIAltDb250ZW50X1R5cGVzXS54bWw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FbbThsxEH1H6j+s/FrtOtCqQigbHoA+tkjQDzDr2ayV9UWegSR/37EJAaGENM0ieNmb&#10;PeecObZndny+sH3xABGNd7U4rkaiANd4bdy0Fn9uf5anokBSTqveO6jFElCcT74cjW+XAbDgaIe1&#10;6IjCmZTYdGAVVj6A45HWR6uIX+NUBtXM1BTkyWj0QzbeETgqKWGIyfgSWnXfU3G14M+PSu6ME8XF&#10;47xEVQsVQm8aRSxUPjj9iqT0bWsa0L65twxdYYigNHYAZPsqRMOM8QaIODEUciNnhB73I11lVXFk&#10;FoadCfiVU9/CMLftKwJjkyuLMo1sVpXQtjux4vrNSxiNhuJaRfqlLPslF72c+zi7835WvQ2yr53Z&#10;1soq455y3cLfdCwnz0aZb8cDK3km2KEkOfGeQtb4e+o4GdiQ/9Xx7ZPo+P5BOogrF8h8PXyPZpgd&#10;GwFp2QMOfTAz6C5mPpSgb4hr4nRwAS+xd+jQUc2TBLl6ONz3FdA/FSWZS8dgnNxkMuBb3NycrqMP&#10;yP0vwv4r/9RsUnQZGAgiGVi3m00leM3IzfPgrQapO2vQG7hl/huY/AUAAP//AwBQSwMEFAAGAAgA&#10;AAAhAOT5JVMGAQAA3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0t1qwyAUB/D7wd5Bzn1j2o0x&#10;RpPejEHvxsge4FRPEkn0iNo1ffvJYB+BrgzWS/X496fH9Wayo3ijEA27CpZFCYKcYm1cV8Fr87S4&#10;BxETOo0jO6rgSBE29fXV+oVGTHlT7I2PIqe4WEGfkn+QMqqeLMaCPbm80nKwmPIwdNKjGrAjuSrL&#10;Oxl+ZkA9yxRbXUHY6hsQzdHnk/+TLS0l1JhQKg608CHLQjL5LqLB0FGqQLN6ztPxo6LIapCnQavL&#10;glK/tzuHZjxB+VorDrb9zbP8u4fb1ih6ZLW35NKJHsh5xTdpGuWBw7BjHs69ze0lLTQlcpr0+Xah&#10;958iOfuT9TsAAAD//wMAUEsDBBQABgAIAAAAIQALlI9HCQMAAMQGAAAPAAAAeGwvd29ya2Jvb2su&#10;eG1spFVtb6JAEP5+yf2HzX6ngAIVIjYqkjPxmubqtR+bFRbdCCxZFqXX9L/fLCjVermYO6PL7gzz&#10;zNuz4/CuzlK0o6JkPPexeWNgRPOIxyxf+/jnMtQGGJWS5DFJeU59/EpLfDf6+mW452K74nyLACAv&#10;fbyRsvB0vYw2NCPlDS9oDpqEi4xIOIq1XhaCkrjcUCqzVO8ZhqNnhOW4RfDENRg8SVhEAx5VGc1l&#10;CyJoSiSEX25YUR7RsugauIyIbVVoEc8KgFixlMnXBhSjLPLm65wLskoh7dq0US3g68DPhCI1WXsg&#10;vnCTsUjwkifyBmD1NuCL3E1DN82z9OvL/K9DsnRBd0z1r4tKOP8YldNhOR9gpvHfaFCx0TBhKX1q&#10;mYZIUdyTTBU2xSglpZzFTNLYx7dw5Ht6JhBVMalYCtqe5fZNrI869j0IBISLttPTDgKPMYppQqpU&#10;LoGOR68gdxy3ZyuAWnjHsj1IgWA/DxYQxyPZQVTQ4PjAsTm4NY2XPBKeaajPy1s/GAQ9d2pplj3r&#10;aZbTC7WJO+1pwdg2HXM2HrvB4B3qJxwv4qSSm0PWCt/HFqR4ofpO6qPGNLyKxR+xvDVeYdHU5tNy&#10;1L2rnNR1fGJ0X37URx2RYkfLbWgki2OqmPLM8pjvoaR9C7J9PT/uG+Uzi+XGx65h2Ri1om+UrTeQ&#10;hNMbgCxhAiqmLjTgYEQiyXZ0SVbqBPHoJwE11x4Ca54ob3o/3RAh+zBfFIKqM5BOeAw2Yh43bT59&#10;+2FcogWP1zQ+sYBGdxaNz1OLey4ZjIt2OJwYQaidUV8FeuaG8iKlSHL0WFCyhc2JJbSus7Q+Wy5Z&#10;RtGC5fTEALLrDBre6cdCRCSNFHvhoVI3FBpP6SP7RYGNiY/HTQVoLRelHA3hiSrBfPw2sQcTo+8C&#10;8UIz1CzTNbTJxLE0Owj79q0ZTGd2qNinxrJXK3wA+zSdr5ssA72xpkRWAsY+XJrm7Kk1PEg7YdIK&#10;Dq09c+D9CJor11r/7cXwqeHNH/3oUALg1LEg+vEPaPQbAAD//wMAUEsDBBQABgAIAAAAIQB+uf2Y&#10;GgEAAPAE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8lE1PwzAMhu9I/Icqd5a2G2NCS3dBSLvC+AFR6n5obVLF5qP/HqsC&#10;StEULlUvkWwrr5/4TbI/fLRN9AYea2eVSFaxiMAal9e2VOLl9HizExGStrlunAUlekBxyK6v9k/Q&#10;aOJNWNUdRqxiUYmKqLuXEk0FrcaV68BypXC+1cShL2WnzVmXINM43kr/W0NkE83omCvhjzn3P/Ud&#10;d/5f2xVFbeDBmdcWLF1oIbHSHvJn8nw8ZGHtSyAlJukVEwt5GWY9J8y782esAGgE+Ukho3IlDcHc&#10;zToZ6hu2dhzJEIfapwvPIgnBJHPCGL4l9MeZMfdlTRBnOycO8WOC0ZkhlMMaZLhd2J9NyJ/NwjDr&#10;bxg5+aeyTwAAAP//AwBQSwMEFAAGAAgAAAAhAKCbrFokAQAAzwEAABkAAAB4bC9jaGFydHNoZWV0&#10;cy9zaGVldDEueG1sjJFNT8MwDIbvSPyHKHeaDgmGpnW7oEk7ICEx4Jy1bhMtiSvHMODX47bj47ib&#10;Hb957Nderj9iUO9A2WOq9KwotYJUY+NTV+nn3ebqTqvMNjU2YIJKf0LW69XlxbJ2ljg7AFaCSLnS&#10;jrlfGJNrB9HmAntIUmmRomVJqTO5J7DN+CkGc12WtyZan/REWNA5DGxbX8M91m8REk8QgmBZDGTn&#10;+6xXy7HDI5lT9OLhmP/F6gsxPtU2iJ/5TKsj0mGPeBh026bSsoNBscONZ9mJFo4ZkSdQbzt4sNT5&#10;lFWAVjRlMb/RinznfhPGfvir9siMcQydmAcxWRYibhH5J5EGU20zPiobfJdePbtTl2Ek0TRkj3IX&#10;RQsvU9K2mUb7u8TqGwAA//8DAFBLAwQUAAYACAAAACEArPNSxzsEAACGDgAAGAAAAHhsL3dvcmtz&#10;aGVldHMvc2hlZXQxLnhtbIzSyW7DIBAG4HulvgPiHmNbaRYrTtVFUdNTVXU5EzyOUYBxgWxv37HT&#10;VJVy6cWAMB/8A7PbgzVsBz5odCXPkpQzcAor7dYlf39bDCachShdJQ06KPkRAr+dX1/N9ug3oQGI&#10;jAQXSt7E2BZCBNWAlSHBFhzN1OitjDT0axFaD7LqF1kj8jQdCSu14yeh8P8xsK61gkdUWwsunhAP&#10;RkY6f2h0G86aVf/hrPSbbTtQaFsiVtroeOxRzqwqlmuHXq4M5T5kQ6nOdj+44K1WHgPWMSFOnA56&#10;mXkqpoKk+azSlKArO/NQl/wuK57zjIv5rC/Qh4Z9+NNnXb1XiJtuYlmVPCUigAHVJWeSmh08gDEk&#10;5XRlXyc0L+6zSYeKX/Vv/7zDor+lF88qqOXWxFfcP4FeN5GeRJ6Mbyh4l7+ojo8QFBWe9k/yzlVo&#10;CKEvs5oe0JjqJg99u9dVbGh9mmTDdJSTsYIQF7ozOVPbENF+/vzTn7CnvgEAAP//AAAA//+UVu1u&#10;gzAMfJWKBxg44SsVRRqqFOhbIFZpv7apVN329gsQSOySSf637mzu7DjnVOP79Xo/9/e+rm6f34fb&#10;KYLoMH71H6P56whJdPiBtB+Ob7/n6zhcP+6nKHkRUV0NU+yrCTb/Gc3vR51U8aOu4sFi2sdkvoGx&#10;4dnIBIfMBG9kqcBszaTpUQtV7BNJDpEJdkRAiORCBHKfKOUQmeCNiPKkC0/iOje3XO/noK5mHA0m&#10;eNNAm5rNGiRttt7PQRpyjgYTvGlwfZ3rbfJZQ5rS8drPQRoKjgYTvGkgPW+KWUNekDPS/+R0Pibd&#10;VM5FXRBY7k9SyVFfzgpBlYqM6woURIIOZbQLIFWe4k91CyDyp2rsp6QIXD7FqUTZShQ58MYCRZkR&#10;o5k+f4oWA5AyyYjudkmUyvOG+RS6BRCZIHN/sVRp4ajQYE2+yDDJZC2J3nHzncm1QOREgV4RpUhO&#10;axGZA8npLCKEJB26bDxe73BBPNeHtSBqGGARyMgc6hVRiuS0FhFPSLciSULvj0VK6WhwPazFAv5m&#10;AXrJQygmZC0Y8DcMkHnVIRQTshYNoK3xNGwBFBOytgr4K8LblcsOC6GYkLVCwN8HQC0ihGJC1r4A&#10;38OBbukQiglZFg8m2r0WqJ2HUEzIcmIw0Y7QbSl7hgEUv+84RqmFiXYPr8CLkeNUWviPUGrmsXv8&#10;/gEAAP//AAAA//88j0EKwkAMRa8y5ADWLkSUthtB6EIQunA92nQmWCdDGhU9vdNa3eXD4/2fInoO&#10;qHQ5iuk4aN2WsASjr4glBN5xeKAMxAGyqojW4cGKozCYHjtN6GK9AiPk/D8oxxJyMGdW5dt0erQt&#10;ykgnuGPWX5idDeo9mmgjSkPvVLwBw0IY1GqqLiGyqFjSVLWltFDqNh8HfcX7yWhsTy6cSP08cXwk&#10;MdmT5Tp4RK0+AAAA//8DAFBLAwQUAAYACAAAACEAK8hP5t8FAAAeFwAAGAAAAHhsL3dvcmtzaGVl&#10;dHMvc2hlZXQyLnhtbIySy27bMBBF9wX6DwT3ESUljmPDclA0DRq0i6DPNU2NLMIkRyXHsf33HVFx&#10;ESBdZCMOMbznzkOr26N34glishgaWRWlFBAMtjZsG/nzx/3FjRSJdGi1wwCNPEGSt+v371YHjLvU&#10;A5BgQkiN7ImGpVLJ9OB1KnCAwJkOo9fE17hVaYig2yzyTtVlea28tkFOhGV8CwO7zhq4Q7P3EGiC&#10;RHCauP7U2yGdad68Bed13O2HC4N+YMTGOkunDJXCm+XDNmDUG8d9H6srbc7sfHmF99ZETNhRwTg1&#10;Ffq654VaKCatV63lDsaxiwhdIz9Uyy/1XKr1Kg/ol4VDehEL0pvv4MAQtLwnKQiHr9DRR3COxbUU&#10;40I2iLtR+cBvSvZIWTF6aEP2CabXn2rWpz/ZdozZU/0zfRmfC7jPS3yMooVO7x19w8NnsNueuJK6&#10;mM94LuN4lu3pDpLhvbB7UY9cg44h/BXe8v91xWPVx3webEs968tiXpWLyxFi9onQ/35OPMsnIWez&#10;kM+z8LKob2bV7Lr+r1Jl578AAAD//wAAAP//lFjbbtwgEP2VaD+ga+4QbVeKBfZevmK1XSkvSars&#10;Nm3/voDBmLGNylMSzzlwmBlmhuzur7fbQ18el/3u8+P30+f3Ddo83X9e3u/2t2fk/vCfrr/uj4+3&#10;7uPz7fLwH17djwZvnv4gerk+//irb/fr7d1+bb7hzX53dWu9jHz7/W6/fu2R2m2/9rvtNUDMHIKb&#10;HNItQHAO6RcgJIccFiAihxwXIDyHnBYgNIecFyBshGytm0dfW/f9j69LLtZuDR+R0cUUOMdEiPM/&#10;UWxFDAFiirtacNoPgZASH2kqVApBdmxasdOLBafkyTdq6ZBSnAIFukAyA4lhDOLWLZMy5axGuQWP&#10;ykFIWuaV44aC/NIFkhlIglIJLsgyKVPOa5Rb8KgcXKOWB+UEiNAFkhlIspEp93yB6JZJmXJRo9yC&#10;R+XAta3wyglpoPICqVu2ZQJljUAZqqAEdbAdDIIwkCp6jWGCgTQMxKizikYvpBqXiVY1olUQrUBl&#10;bgeDlAJUUr3GMMHA2ez6WUWj6BShTDRqalRb9NBxFCgPbbAoxIHn9CrHRItEBCRW52SN0kFc+8DD&#10;aHLV80PBjlvuqCgeCpYU26zdcRXn4JLpYEFKwc4QLZKjWdO1slLhBdY+EGkzyeP8VLC3lU9l0Wkz&#10;WM1RyWqs1Z0bcz6rLkViH4gMT+5PfoaalviCpj0RgebSWqtPRkbhbdVFoglEgrgCqdUViX0gCoJT&#10;vubHq+rDKGuPsEgVrcZafYiUkrDpFol9IHI+uaj5Gao6Mpo2SgQ7m7X6EFE668pFoglEgkQD6mBX&#10;JPaBKPAkRL4vHqIW2QCVx7gZZcCVp5FDZxNpOBleGf1Q1XTg0OmygmLTWuvgRY5Bvuoi0QQisZkO&#10;+1mR2AeiIHAuOkQtHIOScoybMQksp2DBDQY5fo6rTTpXnotVkwqaThYIzirW6r1IBJSui0QTiIRy&#10;NcvF0o59INoBZPZwCloYB13gGDfjcJo5Rf2KgSQ4RwtdeRygqnHKoVMughO31uq9iIWAc3aRaAKR&#10;cNnAibVI7ANREAmy5xC1MDg+HONmjM0em4N+jBgYWc9xNZLSN8/FqvkOTWcvBMfjotVYq39Xcjt4&#10;wHf7yrL5G7hqpsPTUWt2NYpWY61eqZgrXSPmSmsGNY2z+Wmt8uKaMUk7dMr2tb6Oq17yDj1Zc+W5&#10;gGtmBe3QkzVXpnlc07u1Q0/WTGUlj1FNJ9M462Qklbd8zZq6rnFWZWf3c5v+4/YPAAD//wAAAP//&#10;PM47DsIwDAbgq0Q+AIUBsbRdkJAYkLoxB+okFsGuHAvE7UnLY/ttf7Ldjt78XrhIphqx6dspCaPR&#10;dVAXhO04drAGZ68JO2Cp9oFaSBhm6yOevEbi4jIGq3S124JTiulfmEwdbMBdxEzuS0zoR9RZVxxE&#10;7FfUnZ/ZYWk6nynymSx9r8y/VNM8RW8lIVr/BgAA//8DAFBLAwQUAAYACAAAACEAHBC/3tIEAACo&#10;GQAAGAAAAHhsL3dvcmtzaGVldHMvc2hlZXQzLnhtbIzSS0/DMAwA4DsS/yHKfU1bGI+q3YQ2IXZD&#10;iMc5S901WhKXJHv9e9xWAyQuXJpElr/Ybsr50Rq2Bx80uopnScoZOIW1dpuKv70+Tu44C1G6Whp0&#10;UPETBD6fXV6UB/Tb0AJERoILFW9j7AohgmrBypBgB44iDXorIx39RoTOg6yHJGtEnqY3wkrt+CgU&#10;/j8GNo1WsES1s+DiiHgwMlL9odVdOGtW/Yez0m933USh7YhYa6PjaUA5s6pYbRx6uTbU9zG7lups&#10;D4c/vNXKY8AmJsSJsdC/Pd+Le0HSrKw1ddCPnXloKv6QFYubOy5m5TCgdw2H8GvP+nmvEbd9YFVX&#10;PCUigAHVd84kLXtYgDEkEcPC56iOpPg2Z+XP/uw/Dv/o2bMaGrkz8QUPT6A3baQHkSe3U2q7776o&#10;T0sIisZOtyd5X6pCQwh9mdX986GpyeOwHnQd24rn02R6m15lOSFqFyLajzGQ9eliyP8CAAD//wAA&#10;AP//lJjvattAEMRfxegBau39kxxkQ2hexLiGfkpLZJzk7XObFO2eooHOh0DTG2bubve3UjTNv6/X&#10;29P5dj5NL39edy/HTrrd/Pf8PNd/PcRu9ybpfHn49f50nS/X59ux63+E7jRdVPpYtfV/5vr7/ZQO&#10;0/5+mvaX+lOtFr9A+FXt4pf7xe8z7KdfLON2WN3wf2++ai1MVmF+EYUlIqxqLSyswvxiGbZPlomw&#10;qrWwuArzi6VshxUirGotLG37DYRf1S5+w3rzfrHk7bCRCKta27z5fTWcXyxWs6a7D0RY1VoYuHnp&#10;Gfyq2BxB4wgFtCc6G2RfF6JWS16x2jQ3IgzwKrYT2AT5l9cgj/IY5qXhej1h2lXQy8Jgr2K7sfWQ&#10;aVdRHkO+NHR/u0+/Otjp2/ox8Iunf/h2vmYVECTMcFDxcp/SrwdpswwblBkQouJj58s4oEIxs0D8&#10;MBjAJAvMMFCxDU4wXgIzDFRsjmC8BOr57oEewDM8MECreNnjAe2RQTY0tUYvNQyUwWN3ANgFBjsV&#10;L6cekSMDVvBgjQZy+yrHkBP843ME8AeGGRVbrcHjIDLMqNjuEXAdGWZUbI7oLZVhJnpmRtCPkXrx&#10;bZgBtY4MMyq2yoBaR4YZFZsjqgzDTGyYQd3DMBMbZsAMjwwzKrbuATM8Msyo2BzBfEwMMyq2yoAO&#10;TwwzKjZHcI+JYUbF5gjuMTHMqNgcAYWJ+ovQMyM9GOKJgUbF7u0IkJ0YalTsLAE2icFGxc4SsJ0Y&#10;blTsLFELMeAkD470oIcyQ46KbZcBVDwz6KjYHRx9O2DYyZ4d6QHgmYFHxW6XgJ7M0KNisxR0l9RX&#10;k4YeAfRkhh4Vu12CB2Nm6FGxswRAZqbVVewsAZCFaXUVO0sAZGFaXcXOEn25Ylq9NK0ugJ7C9KWK&#10;3S4BPYXpSxU7S0BPYZpIxW4SgVYvzAhWsbNct/rePjR/AAAA//8AAAD//zyOuw7CMAxFfyXyB1AY&#10;EEvTBQmJAakbc6BuYlHsyLFA/D1peWw+vkf2bXMSRqNrr24UtuPgYQ3OXhk9sOyFH6iFhKHp2hwi&#10;noJG4uImHK2qq90WnFJMfzDJHjbgLmIm92VMGAbU2a7yKGI/qDc/2WFZujBR5DNZ+n6Zu1SneYre&#10;SkK07g0AAP//AwBQSwMEFAAGAAgAAAAhAG5S4ap1AwAA2wkAABgAAAB4bC93b3Jrc2hlZXRzL3No&#10;ZWV0NC54bWyM0ktvwyAMAOD7pP0HxH0hyZ6Nmk57artN0x5nSpwGFXAGdG3//Qxdp0m77BJMEB+2&#10;YXq5sYZ9gg8aXcurouQMnMJOu0XLX1/ujy44C1G6Thp00PItBH45OzyYrtEvwwAQGQkutHyIcWyE&#10;CGoAK0OBIzha6dFbGWnqFyKMHmSXN1kj6rI8E1Zqx3dC4/9jYN9rBbeoVhZc3CEejIyUfxj0GPaa&#10;Vf/hrPTL1Xik0I5EzLXRcZtRzqxqHhcOvZwbqntTnUi1t/PkD2+18hiwjwVxYpfo35onYiJImk07&#10;TRWktjMPfcuvqua6PuZiNs0NetOwDr9ilvo9R1ymhceu5SURAQyoVDmTNHzCDRjT8rsq3dlHVlNM&#10;pPgxf8d7/z7f0ZNnHfRyZeIzrh9AL4ZID6Iuzk+p7FR9021vIShqO51e1MlVaAihL7M6PR/qmtzk&#10;ca27OFB0XFQn5VlNhlqFiPb9+3/OKm//AgAA//8AAAD//5SVYW6DMAyFr4JygIGTEGgFSI16EcSQ&#10;9qubCqLb7WuPKoaISPW/tn7yl2e/pM30NY7ztZ/7rrl/P7J7q0Bl009/m/DTWavsF2w/nD//ruM0&#10;jLe5VcWHVl0zkPSCWvxlwu9Lp+smX7omH15FvyueQjFHToAh4G0YaVtF8KUz4GoX8bAeDmPNMc8K&#10;eKQNPAPaRjysB55J8EoBj7TMcy7mYZ39Fcf+nIBH2sCzhYnniXX2l9hfLeCRtlVm3Z8tNLf8D5PH&#10;OvPY/C4vIEonidmhrqo4oduImsRIQZAZT2JeEt+IvQlJKmC7dgOxg11VH4cCBKnwJGYHPLG9g+r9&#10;vXtAcegIOnFTQBAlT2I+ZJmwfZIcEsXcMZE+XUieKxKHvJeV42OueaduHPiECS16Idcn8nXFnKvi&#10;J5m6bVaRsmkEg9Mo5sHxG7LmJef/lycAAAD//wAAAP//PI9BCsJADEWvMuQA1i5ElLYbQehCELpw&#10;Pdp0JlgnQxoVPb3TWt3lw+P9nyJ6Dqh0OYrpOGjdlrAEo6+IJQTecXigDMQBsqqI1uHBiqMwmB47&#10;TehivQIj5Pw/KMcScjBnVuXbdHq0LcpIJ7hj1l+YnQ3qPZpoI0pD71S8AcNCGNRqqi4hsqhY0lS1&#10;pbRQ6jYfB33F+8lobE8unEj9PHF8JDHZk+U6eEStPgAAAP//AwBQSwMEFAAGAAgAAAAhAMEXEL5O&#10;BwAAxiAAABMAAAB4bC90aGVtZS90aGVtZTEueG1s7FnNixs3FL8X+j8Mc3f8NeOPJd7gz2yT3SRk&#10;nZQctbbsUVYzMpK8GxMCJTn1UiikpZdCbz2U0kADDb30jwkktOkf0SfN2COt5SSbbEpadg2LR/69&#10;p6f3nn5683Tx0r2YekeYC8KSll++UPI9nIzYmCTTln9rOCg0fE9IlIwRZQlu+Qss/Evbn35yEW3J&#10;CMfYA/lEbKGWH0k52yoWxQiGkbjAZjiB3yaMx0jCI58Wxxwdg96YFiulUq0YI5L4XoJiUHt9MiEj&#10;7A2VSn97qbxP4TGRQg2MKN9XqrElobHjw7JCiIXoUu4dIdryYZ4xOx7ie9L3KBISfmj5Jf3nF7cv&#10;FtFWJkTlBllDbqD/MrlMYHxY0XPy6cFq0iAIg1p7pV8DqFzH9ev9Wr+20qcBaDSClaa22DrrlW6Q&#10;YQ1Q+tWhu1fvVcsW3tBfXbO5HaqPhdegVH+whh8MuuBFC69BKT5cw4edZqdn69egFF9bw9dL7V5Q&#10;t/RrUERJcriGLoW1ane52hVkwuiOE94Mg0G9kinPUZANq+xSU0xYIjflWozuMj4AgAJSJEniycUM&#10;T9AIsriLKDngxNsl0wgSb4YSJmC4VCkNSlX4rz6B/qYjirYwMqSVXWCJWBtS9nhixMlMtvwroNU3&#10;IC+ePXv+8Onzh789f/To+cNfsrm1KktuByVTU+7Vj1///f0X3l+//vDq8Tfp1CfxwsS//PnLl7//&#10;8Tr1sOLcFS++ffLy6ZMX333150+PHdrbHB2Y8CGJsfCu4WPvJothgQ778QE/ncQwQsSSQBHodqju&#10;y8gCXlsg6sJ1sO3C2xxYxgW8PL9r2bof8bkkjpmvRrEF3GOMdhh3OuCqmsvw8HCeTN2T87mJu4nQ&#10;kWvuLkqsAPfnM6BX4lLZjbBl5g2KEommOMHSU7+xQ4wdq7tDiOXXPTLiTLCJ9O4Qr4OI0yVDcmAl&#10;Ui60Q2KIy8JlIITa8s3eba/DqGvVPXxkI2FbIOowfoip5cbLaC5R7FI5RDE1Hb6LZOQycn/BRyau&#10;LyREeoop8/pjLIRL5jqH9RpBvwoM4w77Hl3ENpJLcujSuYsYM5E9dtiNUDxz2kySyMR+Jg4hRZF3&#10;g0kXfI/ZO0Q9QxxQsjHctwm2wv1mIrgF5GqalCeI+mXOHbG8jJm9Hxd0grCLZdo8tti1zYkzOzrz&#10;qZXauxhTdIzGGHu3PnNY0GEzy+e50VciYJUd7EqsK8jOVfWcYAFlkqpr1ilylwgrZffxlG2wZ29x&#10;gngWKIkR36T5GkTdSl045ZxUep2ODk3gNQLlH+SL0ynXBegwkru/SeuNCFlnl3oW7nxdcCt+b7PH&#10;YF/ePe2+BBl8ahkg9rf2zRBRa4I8YYYICgwX3YKIFf5cRJ2rWmzulJvYmzYPAxRGVr0Tk+SNxc+J&#10;sif8d8oedwFzBgWPW/H7lDqbKGXnRIGzCfcfLGt6aJ7cwHCSrHPWeVVzXtX4//uqZtNePq9lzmuZ&#10;81rG9fb1QWqZvHyByibv8uieT7yx5TMhlO7LBcW7Qnd9BLzRjAcwqNtRuie5agHOIviaNZgs3JQj&#10;LeNxJj8nMtqP0AxaQ2XdwJyKTPVUeDMmoGOkh3UrFZ/QrftO83iPjdNOZ7msupqpCwWS+XgpXI1D&#10;l0qm6Fo9796t1Ot+6FR3WZcGKNnTGGFMZhtRdRhRXw5CFF5nhF7ZmVjRdFjRUOqXoVpGceUKMG0V&#10;FXjl9uBFveWHQdpBhmYclOdjFae0mbyMrgrOmUZ6kzOpmQFQYi8zII90U9m6cXlqdWmqvUWkLSOM&#10;dLONMNIwghfhLDvNlvtZxrqZh9QyT7liuRtyM+qNDxFrRSInuIEmJlPQxDtu+bVqCLcqIzRr+RPo&#10;GMPXeAa5I9RbF6JTuHYZSZ5u+HdhlhkXsodElDpck07KBjGRmHuUxC1fLX+VDTTRHKJtK1eAED5a&#10;45pAKx+bcRB0O8h4MsEjaYbdGFGeTh+B4VOucP6qxd8drCTZHMK9H42PvQM65zcRpFhYLysHjomA&#10;i4Ny6s0xgZuwFZHl+XfiYMpo17yK0jmUjiM6i1B2ophknsI1ia7M0U8rHxhP2ZrBoesuPJiqA/a9&#10;T903H9XKcwZp5memxSrq1HST6Yc75A2r8kPUsiqlbv1OLXKuay65DhLVeUq84dR9iwPBMC2fzDJN&#10;WbxOw4qzs1HbtDMsCAxP1Db4bXVGOD3xric/yJ3MWnVALOtKnfj6yty81WYHd4E8enB/OKdS6FBC&#10;b5cjKPrSG8iUNmCL3JNZjQjfvDknLf9+KWwH3UrYLZQaYb8QVINSoRG2q4V2GFbL/bBc6nUqD+Bg&#10;kVFcDtPr+gFcYdBFdmmvx9cu7uPlLc2FEYuLTF/MF7Xh+uK+XNl8ce8RIJ37tcqgWW12aoVmtT0o&#10;BL1Oo9Ds1jqFXq1b7w163bDRHDzwvSMNDtrVblDrNwq1crdbCGolZX6jWagHlUo7qLcb/aD9ICtj&#10;YOUpfWS+APdqu7b/AQAA//8DAFBLAwQUAAYACAAAACEA/dhRUe8CAADcBwAADQAAAHhsL3N0eWxl&#10;cy54bWy0Vclu2zAQvRfoPxC8K1piObYhKYjjCAiQBgXiAr3SEuUQ4SJQVCK36L93qMVWFjQbepE4&#10;o+Hjm3nDUXTaCI7uqa6YkjH2jzyMqMxUzuQ2xj/WqTPDqDJE5oQrSWO8oxU+Tb5+iSqz4/TmllKD&#10;AEJWMb41ply4bpXdUkGqI1VSCV8KpQUxYOqtW5WakryymwR3A8+buoIwiTuEhcjeAiKIvqtLJ1Oi&#10;JIZtGGdm12JhJLLF5VYqTTYcqDb+hGSo8ac6GE5oXc8OESzTqlKFOQJQVxUFy+hzrnN37pLsgASw&#10;H0PyQ9cLusSTqFDSVChTtTQxngC6Jb24k+pBpvYTaIK7qCSqfqF7wsHjYTeJJBG0s880I9y6XIs2&#10;RG/A8eqOggjGdx1M8AzifQe+NbplWQFNxvk+9cBmCY4kAlUN1TIFA/Xr9a4EPSU0YEexjXsleqvJ&#10;zg/C0Qa3PTCJNkrn0PBD0W19O1cScVoYKJtm21v7NqqE50YZA32RRDkjWyUJt5UedvQLSCejnN/Y&#10;S/GzeITdFEjWIhXmMo8xXC+r0bCERPplh9cZFn+M1mGPYEOg/H5Y1BR7/E/sRqQs+e6Ms60U1Hat&#10;LSAZTDtLDMtsm0L1MHrQpFzTpg2zeTXFE+o+NP3rJdlz706/rsWG6rQdLZYAID/KyD/5D6Aj7XyA&#10;f1m7J0TtHe4JtpKCiKNOedQne8WRvdkxvrbZcZgIvWpoUzNumHyhRwAzbw5d144HY4dg24/7UyCB&#10;nBak5ma9/xjjw/obzVktYFj2Ud/ZvTItRIwP6yt7OfyprTnoelXBwIE3qjWL8e+L5cl8dZEGzsxb&#10;zpzJMQ2debhcOeHkfLlapXMv8M7/jKbxJ2Zx++cA3f3JouIwsXWfbE/+5uCL8cjo6LdjAWiPuc+D&#10;qXcW+p6THnu+M5mSmTObHodOGvrBajpZXoRpOOIefnD6e67vD9O/8cOFYYJyJgetBoXGXhAJzH8k&#10;4Q5KuIffcvIXAAD//wMAUEsDBBQABgAIAAAAIQA8uyHYfgYAAEgSAAAUAAAAeGwvc2hhcmVkU3Ry&#10;aW5ncy54bWycWNtuGzcQfS/QfyCEAmnRJLJz1QaOA11s+SZXldT4mdodSYS55Ibk2lG+vmek3Lqz&#10;btG8GBLHHA7PnDkz1NG7j6VVdxSi8e5t5/DpQUeRy31h3Ppt56/F6ZNeR8WkXaGtd/S2s6XYeXf8&#10;809HMSaFvS6+7WxSqt50uzHfUKnjU1+Rg2XlQ6kTvoZ1N1aBdBE3RKm03WcHB6+6pTauo3Jfu4Rz&#10;ezimduZDTcPPK8+fdY6Pojk+SsfT4BPlCRGqflVZk2v+HNWVL9ZUKJ3Ue5MnH4x2argxtggEKxyF&#10;dNRNx0dddrN3dZj1Xj7Bn1cthldseN1ieM2G3gOussMHXGXPWgw9dpW1GDIYsgNpyA7Y0HJGdsiG&#10;ljOyZ2x43uLqORtetBgYkqwFkowhyVogyV6w4WWLK8Yqa8Eq45tnLTfPsifgg7g5r7FB3HyXYPUd&#10;Ja59MquvnDh3dxSTWetERTO8f9/a/G8+nCMQEAs383rJJZLMnpf/eWzj/9WvfWt/+/+75mbtdjd3&#10;SZ3pUP6Ai/cUtmpOqH/6URcTX1AA2j9w+rVXp6jRDQU1M/FWeFiYktSVcdTE5uSOnCjtkWcNiI/V&#10;dR0iRQXNUlMPtSA1Yf1qIcRhr9s9eN1tq4ppMKUGOOxlTrmHA3xbkIbIhfigx5F2hqx6ry0F49WI&#10;dNo0o/8mVmMP5F2Jy+AcB+HLEbdxCQssdsnzl+CLGncod3fwCCJQ5UOCQD/sGNG73FTaQg91YJG8&#10;N2mjTrWx2MeOZzsn6oka6kiqMLE0McqSmSedasC6VUNrEFZsnjmudSggvHFjqqZtXlcU7gy3lqbp&#10;jCw5NdbBIfm7PE/0Wn9CrtWjkSnUZxzP9B1xtCND7x6pXz8H7VcKrgOBHTuRV1XwORH3rChINKqB&#10;wiLo/PYLGzilooanG+BQqD/qtpbBatdrUbseK2pPKOqMYoX+ZJZAO20VGiHy+EWWGP+cm5TSyxrQ&#10;czSO1hYNTqUAIFcUAiJZBV9+7WaP4veKN/e5IThmYKhKCngMfVmif2LxhuxKo5znDD341ET+Qm8L&#10;9MkrirdGFNZoa7XI1cAXrcvg2Jpvs0DbV2e+FN5uvC/uQQ8EumUqIkaQrIUNU3Juq/qh3Ca9Fm76&#10;rtiqJd3JyOY1ZAtQ0hLACbkf6TswCXjkogQnXMwzgpnhH+stNCKfcmVLqvYLshr3s6UEE35u1WAL&#10;Fou6MBY31taamCg0rfvQ5l476fOSuFTnJf42t11CTcLWIZh7ceBwE0xU/fihNs40Ny7AKQi9o6Ig&#10;md/5jajcyay5dCOXriairGvJgrGpKsHCa+ntwm+YlrgiBbBwn5opAT01DiTDPhEueB59EyudY06F&#10;PERUAHWOJ3sslchQ0GXFyiVQ3oF15UFcDmOPHaTqHnQWnegj4nPaCiforA4SfunMeiMkZapry43N&#10;oxokOcD3QPcgJNOnLkVuEJSBZJO68XYlyptRnOQjX6+1FUbUmYG+oBTRDqU01Jic0GpO/VqHtG3u&#10;vjKf1MjfcwdpmobTHVQXF2qASpT1NvO4KJKLdtfcusOCAwaKsoRpCdUulnUQ0Qx18Ba1MEarFeF4&#10;3BMSiDdLiVeLqAZTooGnjaG2coeoAVqeiDj7M82tj6AXTS+TGg8OrvFiz5O+XamBLpeWkkj4CVr4&#10;bjgUJCQ8jxiZW31rREKG3oL4OB+C3r3EpynS1qZRp55VBrEEmAUaeHslzmrNU1CL/C6gHFCcTwYt&#10;p7m5X+hSLTyEWyrjyONhtoGu5F5eea9HY19gcBJ5BfcLjXDLaklW0hS6iEHgJM8tZvmWBM78Uk1Q&#10;jVt++J2RtlIqocxoJYEn49JYOFGLOjhuV1OPoUpURl2w6o7NcilHHB5VBpBcYZmxW7NaSXEaeql5&#10;O8YS2g7KQAqiFOGbvih9XyPIfi12/1mDJ5FVU+Tv/HQu1gZy6fxMNIH++VBUjkeffm9cCxkGyMnA&#10;YHSR+dyL+DUEtaX5cJ98qPyvfK3ONXc0jDrc7G+giFJC0BZRsgNvkfBmxDceg7PSPIZgqAKZwYrI&#10;E9MvL7KDx3hkquWORZ9/PvjnXImRFHf9/ueFL/PW14LeTXerb3O1xhgHVsQ6Vibmu58pcFikjzyG&#10;7ic+jPdqC0WJ6ndMrnRnfB2tkBd+efLzUzzksfaCDWIe5TU2iIc8r7FBPOR5jQ3ivc5rbBDvdV6D&#10;4fC793oXvwQd/w0AAP//AwBQSwMEFAAGAAgAAAAhAJ4sA6kHAgAATgQAABgAAAB4bC9kcmF3aW5n&#10;cy9kcmF3aW5nMS54bWycVE1v2zAMvQ/YfxB0d/wRx3GMOkU8R0WBYuhh+wGarMTGLMmQlDRF0f8+&#10;SnaKLO1h68WmSPOJfI/0ze1J9OjItemULHE8izDikqmmk/sS//xBghwjY6lsaK8kL/EzN/h2/fXL&#10;zanRxZOpNQIAaQo4lri1dijC0LCWC2pmauASojulBbVw1Puw0fQJoEUfJlGUhWbQnDam5dzWYwRP&#10;ePQTaIJ2Eq99ZfSXUf3B8o1krdKjb1AGnUoMHT67Zzh6+ckiBu5VEkfZcoERg+gii1fLxds3e02H&#10;tmNEU8GRoEyrEk8XyePdRfBxuop9Pz5q1DUlTjCSkFVi09KBQxIt4MYHYycLHXRX4hdCkmqxJWlA&#10;wArSqEqDapuuApLM822yJN+SefbqsuOsYMCZBbnumzNXcfaOLdFBlUbt7IwpEardrmP8zD5wH6eh&#10;Z8vX+LKpSV1Xy3lQxXkdpDnZBnmyTANwR1VFkrTa1K+OsNBXf377LkI3CL7fkU8wrxmhxSWBD4r9&#10;NkiqOz3AwHnUCeI6z0N/TPBpp4VjEBq70tRX6BUFoZ2WXkUPdU6aqnH5k1lTS0cl/nuEWUu1BWVY&#10;4a1JEvaJ8R2RJoB/2qZR1lqxg+DSjiulee+nw7TdYDDShZtCfd+MTP/VsdfxjQxP0aVQk559B9iO&#10;IKe/U+p6t7zT/QrWfwAAAP//AwBQSwMEFAAGAAgAAAAhAIOHETyIBgAAqBYAABQAAAB4bC9jaGFy&#10;dHMvY2hhcnQxLnhtbOxYW2/bNhR+H7D/4GoF+uRY94tRp3CVpBiWrEGS9mFvtETbmilSJenEbrH/&#10;vsOL5EucJc267WFNgIQiD494vnP7qNdvVjXp3WIuKkZHjnfkOj1MC1ZWdDZyPtyc9VOnJySiJSKM&#10;4pGzxsJ5c/zjD6+LYTFHXF43qMA9UELFsBg5cymb4WAgijmukThiDaawNmW8RhIe+WxQcnQHymsy&#10;8F03HmgljlWAnqGgRhVt9/On7GfTaVXgE1Ysa0ylOQXHBElAQMyrRrTaCi/m/j2NdVVwJthUHhWs&#10;HhhlrVGgzIsGnVXHAFKJJPYyN+zdIjJyXGegJgmiMzOBaX8pzCRnS1riMmecgju25OtiOCYScwqq&#10;ckYlnNriVT8J8RrxxbLpw3EbMHJSkUqutdnO8WvQnc8Z4NG7wp+WFcdi5BReuIEg/FoA3GSQDnzr&#10;VzDWC4dCrgk2Bnmur6wddO/VRzhDhExQsVDYbAl3opt1tXEfDLVLh5EaoKVkN5Uk+AQTLHG5g3tD&#10;mBxzjIwP1mwp1ahGdInIOWqfiR7dID7D0myvKLjEeGl1wUprCy5n2EyuD02u7KuPvDBKPS9JMzdI&#10;/diPE7vJrEdHoR8kfpp6QRRlge9lp31teDG8azWkUeilqe+5WewlQRLERsO8W8/CzIv8qNOkMd63&#10;bKACrzOyojhXCawQmEHsNZCURp9Jd16al9wivs4ZYTshCW7CXO2sytZMI814ifkO5qK5BEk0JLR3&#10;BwXGT1wX4g4NBSNVeVYRoh/4bJKTdqPruqnOlMGeWMOFPEHC2q01aEuVdggqOJV+mTKcL8wBxbqe&#10;MKhwKvvKCtWMWrtE9dn6MTJHbw/6nIOp1/+jJoFtG5sKpL0mJL/CU+WF6fGry7HonTOIyPLVi5fj&#10;l/4Q/sQKEi0AojmCmqyEG5lDpbGRbW1vZA88qeqTkrg99rI06MOfUGm41dA2+p2toLcRDJVg9JCg&#10;vxGMlKA+0yGNwUYwVoLJQxrDjWCiBNNdQRUFnbXmQaMEQ4sbxIKyki7rw/D9dHV69qKDDsQ66Ewf&#10;y6ECHL/DUBIQ0WK6u+nZJ8LrZw9a1wLre8FjkPruo2AGoX8PnY1BAEkLgnKzgUXUjMm2spjMwCt5&#10;LrT7YdRb8mrkfMmDIHXzPOxHJ/FpP3SzvP/2NPD7p4l/AuYFUZDnf2x10q/uo+FWC4mHS1p9WuKf&#10;bTn/AhVC//TPEg/enp56/fFpdNZ3/TxxU88NT314u2o0xRDO3P7XVqiYMLWhPJ8QoXvOnN2d4xmm&#10;5S94vVu9YOUjsvXDdm8BczmSv6LaFpCt+WvMD85fYl6ovr3NApSet8vJhODrrhaZsge0oT2ayXrb&#10;PG2huu8htGqhCcM4CNPAdpDNvGfRINt1HxJivNJd84H9okCwYaZEGK/AAM2SzGnqil6glVW7JVjq&#10;xrtjKVpdMstoJsYGiLuzWvY2CTVybEYB3WRLAOu8ogtcQscwG2r0O+M3VbG4gNJulEP7tmsV3V+j&#10;QFbNooQ9AGZ3AArxcMN2S77pTYGXRE9oTdC/VGA9tzXJlemHE1auL3mPM6nKrqLgMJgz/llph4Ym&#10;5LWiTfqhUTO2j5Z4egX7xGeABnLA6U30fshJGC9HjrYcKDuvFkDXKbvWIxBDAivnmyL/WLM6bKQi&#10;ybQn1w2eAusfOWNeIWLOi9Hh+UIcmgf0jB0aSGsZpN8l4khZpwjyyAFy/OHagg0QQOIa8KCSAwUX&#10;Y0s9bIToOWzDTNHA3zC3flZPOylEJmRMZtTMFdJyO5h9P52KlvUBvDshdL2omh0tKrRUON5boOxi&#10;SWR1fksg8rYywfQgk3JQCfZzzxry7ZNO+0gxCMihd7wqVRyYwrdDzv6NBNBEZv8Y36vB92qgqtq3&#10;qAa7DfAvioJeeovlHca2EEzMg21pXYI+fjHIXfV7qC08/daTwp3nb916ILN27reaz+ibrh51DbAt&#10;dt1VcP/++4wrbuamWRanWRL7XuRmqa1kLZc6CuMwdOMkyeLYc704sxdYe8FNjyJgLGHiRbEXBW4E&#10;lM7yF8tDg6OtC7LvBmEroavJ9u0dJjZ3XAZNFZ4OXkcfvuWd6Z+Hnflf0IQnU4LM/18yAuX2Lt5V&#10;FnysxHtKrOttNJaVaN4Cs1gIuCtrIj5DjSWCQMVPFOV+DyEDrHavZ7ffSdpKQJn6cGGcoj9rxEFk&#10;vmp0K8Bw9r5J7BK/7yTvEZKnuFL3gfn4TwAAAP//AwBQSwMEFAAGAAgAAAAhAC+zAPOWAgAA6AcA&#10;ABYAAABkb2NQcm9wcy90aHVtYm5haWwud21mzFXPaxNBFP5mdjdpTRUPIgkUIdWiB1OKP/6AHAKC&#10;FgRvXhYDHgQ9xLZgLzan2qMgKkEC/Qs8e1AIKGLOPXoRvPQkHgyCCuv35u3urCaxipdumMx+mTfz&#10;3vfeNy8Gs0DwJQBmcBLyhByBmUHEuWLlF3mbsw3z2tAMJ5zFaZMkivS7zJUftE6SJD2jYeRM4Js7&#10;wx3tdjaMwTzhd3sUsgt46SyMtQvXNlbXbt5R23uP3z5INoEPz9/f3+NPL5q7VmJrGOsiMlZ8SWyz&#10;br+sWa7JXKIPmUNz2M3lFC8xJtlxzO34Pf7j4RaGtA9dXMJmMBjkbIKUjexXnhpNiCPEp4IIbdQ4&#10;Nsy2lSHvtZyx2mp2fe6Ev/c6OVtRGg1Dd4+eVHLRLAaWXlbobYUVAxTXiesFPMK2HRXsh8TDAu4T&#10;9wu4Q9wp4BZxq4BrxNOZSXyfTQSvi3GGwqXb7abZidK5hDmXydBlTnxIJiWjyllrKroSLFn8G19p&#10;2sZ8+XyJj//js5+PmByER+YzZs2kbh7XiX3NYoyYA1+zmLpsc3j7PrGvWYwOsa9ZjBaxr1nslPnv&#10;HEXDmSpVf5NrthiE6GEVZfMK6+YNPporU5Wf1UznIL9rVATTqJUO0lust7nB+mfK6JHlM3rqYR1P&#10;OReVkd368c4zXWl/Oi9Tmqg5U5zvgGeZkF/vr3a1r9IA+Tx0CQsRLTTv3rpxO5PIhFk5qI8lU3W+&#10;LDtW3tussD93aA2X3a06v7zMNfmox4qznNBHr+I6sPNE+2i1vWv32NO6j3Y21WPZeToo7C5l7C5m&#10;7A5ilPNplBfyGuwfZdapfMdSffv/gXF1yZr8HzcrW/gEw4887yCqA85wyIuOqluTMyY9oljgJwAA&#10;AP//AwBQSwMEFAAGAAgAAAAhABWvqjy9AAAAKwEAACQAAAB4bC9jaGFydHNoZWV0cy9fcmVscy9z&#10;aGVldDEueG1sLnJlbHOEj80KwjAQhO+C7xD2btJ6EJGmXkTwKvUBlmT7g20SsvGnb28ugoLgbWeX&#10;/Wam2j+nUdwp8uCdhlIWIMgZbwfXabg0x9UWBCd0FkfvSMNMDPt6uajONGLKT9wPgUWmONbQpxR2&#10;SrHpaUKWPpDLl9bHCVOWsVMBzRU7Uuui2Kj4yYD6iylOVkM82RJEM4fs/J/t23YwdPDmNpFLPyyU&#10;jfjIzTISY0dJg5TvHb+HUubIoOpKfVWsXwAAAP//AwBQSwMEFAAGAAgAAAAhADttMkvBAAAAQgEA&#10;ACMAAAB4bC93b3Jrc2hlZXRzL19yZWxzL3NoZWV0MS54bWwucmVsc4SPwYrCMBRF9wP+Q3h7k9aF&#10;DENTNyK4VecDYvraBtuXkPcU/XuzHGXA5eVwz+U2m/s8qRtmDpEs1LoCheRjF2iw8HvaLb9BsTjq&#10;3BQJLTyQYdMuvpoDTk5KiceQWBULsYVRJP0Yw37E2bGOCamQPubZSYl5MMn5ixvQrKpqbfJfB7Qv&#10;TrXvLOR9V4M6PVJZ/uyOfR88bqO/zkjyz4RJOZBgPqJIOchF7fKAYkHrd/aea30OBKZtzMvz9gkA&#10;AP//AwBQSwMEFAAGAAgAAAAhABPELBPCAAAAQgEAACMAAAB4bC93b3Jrc2hlZXRzL19yZWxzL3No&#10;ZWV0NC54bWwucmVsc4SPwWrDMBBE74X8g9h7JDuHUIolX0oh1yb9AEVe26L2Smi3Jfn76NiEQo7D&#10;Y94wXX9ZF/WLhWMiC61uQCGFNESaLHydPravoFg8DX5JhBauyNC7zUv3iYuXWuI5ZlbVQmxhFslv&#10;xnCYcfWsU0aqZExl9VJjmUz24dtPaHZNszflrwPcnVMdBgvlMLSgTtdcl5+70zjGgO8p/KxI8s+E&#10;ySWSYDmiSD3IVe3LhGJB60f2mHf6HAmM68zdc3cDAAD//wMAUEsDBBQABgAIAAAAIQAORPTfvAAA&#10;ACUBAAAjAAAAeGwvZHJhd2luZ3MvX3JlbHMvZHJhd2luZzEueG1sLnJlbHOEj80KwjAQhO+C7xD2&#10;btJ6EJGmvYjQq9QHWNLtD7ZJyEaxb2+gFwXB07A77Dc7RfWaJ/GkwKOzGnKZgSBrXDvaXsOtueyO&#10;IDiibXFyljQsxFCV201xpQljOuJh9CwSxbKGIUZ/UorNQDOydJ5scjoXZoxpDL3yaO7Yk9pn2UGF&#10;TwaUX0xRtxpC3eYgmsWn5P9s13WjobMzj5ls/BGhzIAhJiCGnqIGKdcNr5LL9CyoslBf5co3AAAA&#10;//8DAFBLAwQUAAYACAAAACEA0BJekwYBAABsBAAAJwAAAHhsL3ByaW50ZXJTZXR0aW5ncy9wcmlu&#10;dGVyU2V0dGluZ3MxLmJpbophiGHwYzBgsGQwArICoCxDBlMGQwZiACPLEq07DBOYmb8zsDAycEK1&#10;MDKwM0QwMTIwAkkmosyhRBEjUDMzFgMeLZm+h4GRkek/0A0gNUDgk1qRm1iUreBfUFKUqBBiZmiC&#10;qi/AwNLI0BSP16WB3sFmiIW6GpsBEFvcncrIwdDA+L/+fz0DgyTQXhYGXgZWBjagC1mBmAXmErC9&#10;bEA+KHw4gTLr3Z5bgUKMl4EbiJUY+MAqQH4Auf4/gwDDBpYIJh2wRyIggQr1FAPDR5qHMQkWAF3F&#10;Top7YL7gAmqC4cHkH7Bb4EE96FyGzUHIrmUUgCU5FqDSgfBH7xYGBlA6BgAAAP//AwBQSwMEFAAG&#10;AAgAAAAhANASXpMGAQAAbAQAACcAAAB4bC9wcmludGVyU2V0dGluZ3MvcHJpbnRlclNldHRpbmdz&#10;Mi5iaW6KYYhh8GMwYLBkMAKyAqAsQwZTBkMGYgAjyxKtOwwTmJm/M7AwMnBCtTAysDNEMDEyMAJJ&#10;JqLMoUQRI1AzMxYDHi2ZvoeBkZHpP9ANIDVA4JNakZtYlK3gX1BSlKgQYmZogqovwMDSyNAUj9el&#10;gd7BZoiFuhqbARBb3J3KyMHQwPi//n89A4Mk0F4WBl4GVgY2oAtZgZgF5hKwvWxAPih8OIEy692e&#10;W4FCjJeBG4iVGPjAKkB+ALn+P4MAwwaWCCYdsEciIIEK9RQDw0eahzEJFgBdxU6Ke2C+4AJqguHB&#10;5B+wW+BBPehchs1ByK5lFIAlORag0oHwR+8WBgZQOgYAAAD//wMAUEsDBBQABgAIAAAAIQCkZxwU&#10;YQEAAJQCAAARAAgBZG9jUHJvcHMvY29yZS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kl1LwzAYhe8F/0PJfZuPblNC14HKrhwUnCjeheTdVmzSkmR2+/em3VrnB14m57xP&#10;znlJtjjoKvoA68razBFNCIrAyFqVZjtHz+tlfIsi54VRoqoNzNERHFrk11eZbLisLRS2bsD6ElwU&#10;SMZx2czRzvuGY+zkDrRwSXCYIG5qq4UPR7vFjZDvYguYETLDGrxQwgvcAeNmJKIzUskR2ext1QOU&#10;xFCBBuMdpgnFX14PVrs/B3rlwqlLf2xCp3PcS7aSJ3F0H1w5Gtu2Tdq0jxHyU/y6enzqq8al6XYl&#10;AeWZklxaEL62uTZiTxllGb647BZYCedXYdebEtTdMS+KugWb4d/KYC5saTyovHs2JrOY0TWZ8pRy&#10;cvM2zg2mEKFvfMoBKgod+KnxoLyk9w/rJRp59GbNUs4mfMIC78d81+kE1OfM/xIZi0kaByJJ+ZTw&#10;dHJBHAB5H/r7P8o/AQAA//8DAFBLAwQUAAYACAAAACEA/Z/R3NkBAAAQBA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U8GK2zAQvRf6D0L3&#10;jZ1uupQga1mSlhy2rcHe7VmVx4mILAlJMUm/vmObOE6zFNrbaPR4evPmiT0eG01a8EFZk9H5LKUE&#10;jLSVMtuMvpRf7j5REqIwldDWQEZPEOgjf/+O5d468FFBIEhhQkZ3MbplkgS5g0aEGV4bvKmtb0TE&#10;o98mtq6VhLWVhwZMTD6k6UMCxwimgurOjYR0YFy28X9JKys7feG1PDkUzNmTc1pJEXFK/lVJb4Ot&#10;I/l8lKBZMr1kqK4AefAqnnjKkumRFVJoWCExr4UOwJJLg21AdKblQvnAWRuXLchoPQnqF9q2oOSn&#10;CNDJyWgrvBImoqwONhz6WrsQPf9h/T7sAGJgCQKGZl9OsdNaLfiiB2DxV+DAtdoJ/0/k87fJO3XD&#10;lPjq9fylihrC9zrvXrq14+PUjl7UYMagL38K5NlWW6imBoxWfLNRYY76ZV5ZNCJysE4DiZYUDsQe&#10;izeJStUAeVYGF3nxeax6l+5vVtBvFef9Y8KVbZwwJ74GhyN38Sa2JptDIwwpwLeYe9R6RjF8dR9e&#10;XGnXIsI5TddNVuCaoMIAjmkbG2yDQfK6I0GZBp06Y24vuuy/Dh+czx9m6X2KsZ70WHL5yvw3AAAA&#10;//8DAFBLAQItABQABgAIAAAAIQBSJvW9uAEAAE4IAAATAAAAAAAAAAAAAAAAAAAAAABbQ29udGVu&#10;dF9UeXBlc10ueG1sUEsBAi0AFAAGAAgAAAAhAOT5JVMGAQAA3AIAAAsAAAAAAAAAAAAAAAAA8QMA&#10;AF9yZWxzLy5yZWxzUEsBAi0AFAAGAAgAAAAhAAuUj0cJAwAAxAYAAA8AAAAAAAAAAAAAAAAAKAcA&#10;AHhsL3dvcmtib29rLnhtbFBLAQItABQABgAIAAAAIQB+uf2YGgEAAPAEAAAaAAAAAAAAAAAAAAAA&#10;AF4KAAB4bC9fcmVscy93b3JrYm9vay54bWwucmVsc1BLAQItABQABgAIAAAAIQCgm6xaJAEAAM8B&#10;AAAZAAAAAAAAAAAAAAAAALgMAAB4bC9jaGFydHNoZWV0cy9zaGVldDEueG1sUEsBAi0AFAAGAAgA&#10;AAAhAKzzUsc7BAAAhg4AABgAAAAAAAAAAAAAAAAAEw4AAHhsL3dvcmtzaGVldHMvc2hlZXQxLnht&#10;bFBLAQItABQABgAIAAAAIQAryE/m3wUAAB4XAAAYAAAAAAAAAAAAAAAAAIQSAAB4bC93b3Jrc2hl&#10;ZXRzL3NoZWV0Mi54bWxQSwECLQAUAAYACAAAACEAHBC/3tIEAACoGQAAGAAAAAAAAAAAAAAAAACZ&#10;GAAAeGwvd29ya3NoZWV0cy9zaGVldDMueG1sUEsBAi0AFAAGAAgAAAAhAG5S4ap1AwAA2wkAABgA&#10;AAAAAAAAAAAAAAAAoR0AAHhsL3dvcmtzaGVldHMvc2hlZXQ0LnhtbFBLAQItABQABgAIAAAAIQDB&#10;FxC+TgcAAMYgAAATAAAAAAAAAAAAAAAAAEwhAAB4bC90aGVtZS90aGVtZTEueG1sUEsBAi0AFAAG&#10;AAgAAAAhAP3YUVHvAgAA3AcAAA0AAAAAAAAAAAAAAAAAyygAAHhsL3N0eWxlcy54bWxQSwECLQAU&#10;AAYACAAAACEAPLsh2H4GAABIEgAAFAAAAAAAAAAAAAAAAADlKwAAeGwvc2hhcmVkU3RyaW5ncy54&#10;bWxQSwECLQAUAAYACAAAACEAniwDqQcCAABOBAAAGAAAAAAAAAAAAAAAAACVMgAAeGwvZHJhd2lu&#10;Z3MvZHJhd2luZzEueG1sUEsBAi0AFAAGAAgAAAAhAIOHETyIBgAAqBYAABQAAAAAAAAAAAAAAAAA&#10;0jQAAHhsL2NoYXJ0cy9jaGFydDEueG1sUEsBAi0AFAAGAAgAAAAhAC+zAPOWAgAA6AcAABYAAAAA&#10;AAAAAAAAAAAAjDsAAGRvY1Byb3BzL3RodW1ibmFpbC53bWZQSwECLQAUAAYACAAAACEAFa+qPL0A&#10;AAArAQAAJAAAAAAAAAAAAAAAAABWPgAAeGwvY2hhcnRzaGVldHMvX3JlbHMvc2hlZXQxLnhtbC5y&#10;ZWxzUEsBAi0AFAAGAAgAAAAhADttMkvBAAAAQgEAACMAAAAAAAAAAAAAAAAAVT8AAHhsL3dvcmtz&#10;aGVldHMvX3JlbHMvc2hlZXQxLnhtbC5yZWxzUEsBAi0AFAAGAAgAAAAhABPELBPCAAAAQgEAACMA&#10;AAAAAAAAAAAAAAAAV0AAAHhsL3dvcmtzaGVldHMvX3JlbHMvc2hlZXQ0LnhtbC5yZWxzUEsBAi0A&#10;FAAGAAgAAAAhAA5E9N+8AAAAJQEAACMAAAAAAAAAAAAAAAAAWkEAAHhsL2RyYXdpbmdzL19yZWxz&#10;L2RyYXdpbmcxLnhtbC5yZWxzUEsBAi0AFAAGAAgAAAAhANASXpMGAQAAbAQAACcAAAAAAAAAAAAA&#10;AAAAV0IAAHhsL3ByaW50ZXJTZXR0aW5ncy9wcmludGVyU2V0dGluZ3MxLmJpblBLAQItABQABgAI&#10;AAAAIQDQEl6TBgEAAGwEAAAnAAAAAAAAAAAAAAAAAKJDAAB4bC9wcmludGVyU2V0dGluZ3MvcHJp&#10;bnRlclNldHRpbmdzMi5iaW5QSwECLQAUAAYACAAAACEApGccFGEBAACUAgAAEQAAAAAAAAAAAAAA&#10;AADtRAAAZG9jUHJvcHMvY29yZS54bWxQSwECLQAUAAYACAAAACEA/Z/R3NkBAAAQBAAAEAAAAAAA&#10;AAAAAAAAAACFRwAAZG9jUHJvcHMvYXBwLnhtbFBLBQYAAAAAFwAXAFQGAACUSgAAAABQSwMEFAAG&#10;AAgAAAAhAAh5jhPeAAAABQEAAA8AAABkcnMvZG93bnJldi54bWxMj09rwkAQxe8Fv8Myhd7qJtqq&#10;pNmIiO1JCv6B0tuYHZNgdjZk1yR++257qZeBx3u895t0OZhadNS6yrKCeByBIM6trrhQcDy8Py9A&#10;OI+ssbZMCm7kYJmNHlJMtO15R93eFyKUsEtQQel9k0jp8pIMurFtiIN3tq1BH2RbSN1iH8pNLSdR&#10;NJMGKw4LJTa0Lim/7K9GwUeP/Woab7rt5by+fR9eP7+2MSn19Dis3kB4Gvx/GH7xAzpkgelkr6yd&#10;qBWER/zfDd5iMp+DOCl4mcYzkFkq7+mzH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GN5tbHSAAAAPwEAACAAAABkcnMvY2hhcnRzL19yZWxzL2NoYXJ0MS54bWwucmVsc4SPwUoDMRRF&#10;94L/EN7eZOpCpEymmyp04UYqLktM3syEJnkhLy3TvzcuhBYEl5fLPYfbb5YYxBkLe0oaVrIDgcmS&#10;82nS8LF/fXgGwdUkZwIl1HBBhs1wf9e/YzC1jXj2mUWjJNYw15rXSrGdMRqWlDG1ZqQSTW2xTCob&#10;ezQTqseue1LlmgHDDVPsnIaycysQ+0tu5v/ZNI7e4pbsKWKqfyh+7Q1pyoRVg5QK4xe6n7+s3rwt&#10;xDTWw8tiMRw+qRx5RqxyCbyAGnp1c3v4BgAA//8DAFBLAQItABQABgAIAAAAIQBbxSLROAEAAMkC&#10;AAATAAAAAAAAAAAAAAAAAAAAAABbQ29udGVudF9UeXBlc10ueG1sUEsBAi0AFAAGAAgAAAAhADj9&#10;If/WAAAAlAEAAAsAAAAAAAAAAAAAAAAAaQEAAF9yZWxzLy5yZWxzUEsBAi0AFAAGAAgAAAAhANVS&#10;1svNBAAAUhMAAA4AAAAAAAAAAAAAAAAAaAIAAGRycy9lMm9Eb2MueG1sUEsBAi0AFAAGAAgAAAAh&#10;ACSD5LT3BwAA8RkAABUAAAAAAAAAAAAAAAAAYQcAAGRycy9jaGFydHMvY2hhcnQxLnhtbFBLAQIt&#10;AAoAAAAAAAAAIQDI8MEq/lAAAP5QAAAtAAAAAAAAAAAAAAAAAIsPAABkcnMvZW1iZWRkaW5ncy9N&#10;aWNyb3NvZnRfRXhjZWxfV29ya3NoZWV0Lnhsc3hQSwECLQAUAAYACAAAACEACHmOE94AAAAFAQAA&#10;DwAAAAAAAAAAAAAAAADUYAAAZHJzL2Rvd25yZXYueG1sUEsBAi0AFAAGAAgAAAAhAKsWzUa5AAAA&#10;IgEAABkAAAAAAAAAAAAAAAAA32EAAGRycy9fcmVscy9lMm9Eb2MueG1sLnJlbHNQSwECLQAUAAYA&#10;CAAAACEAY3m1sdIAAAA/AQAAIAAAAAAAAAAAAAAAAADPYgAAZHJzL2NoYXJ0cy9fcmVscy9jaGFy&#10;dDEueG1sLnJlbHNQSwUGAAAAAAgACAAmAgAA32MAAAAA&#10;">
                <v:shape id="Object 141" o:spid="_x0000_s1027" type="#_x0000_t75" style="position:absolute;left:1795;top:4487;width:8692;height:43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OEwQAAANsAAAAPAAAAZHJzL2Rvd25yZXYueG1sRE/NagIx&#10;EL4XfIcwgpeiWS1aWY0iiiAtHqo+wLAZd1eTyZJEd3375lDo8eP7X647a8STfKgdKxiPMhDEhdM1&#10;lwou5/1wDiJEZI3GMSl4UYD1qve2xFy7ln/oeYqlSCEcclRQxdjkUoaiIoth5BrixF2dtxgT9KXU&#10;HtsUbo2cZNlMWqw5NVTY0Lai4n56WAVfn+XHzR/P7fTwmJk7v4+/d3uj1KDfbRYgInXxX/znPmgF&#10;07Q+fUk/QK5+AQAA//8DAFBLAQItABQABgAIAAAAIQDb4fbL7gAAAIUBAAATAAAAAAAAAAAAAAAA&#10;AAAAAABbQ29udGVudF9UeXBlc10ueG1sUEsBAi0AFAAGAAgAAAAhAFr0LFu/AAAAFQEAAAsAAAAA&#10;AAAAAAAAAAAAHwEAAF9yZWxzLy5yZWxzUEsBAi0AFAAGAAgAAAAhAHZEs4TBAAAA2wAAAA8AAAAA&#10;AAAAAAAAAAAABwIAAGRycy9kb3ducmV2LnhtbFBLBQYAAAAAAwADALcAAAD1AgAAAAA=&#10;">
                  <v:imagedata r:id="rId12" o:title=""/>
                </v:shape>
                <v:group id="Group 142" o:spid="_x0000_s1028" style="position:absolute;left:3728;top:4628;width:1931;height:1808" coordorigin="3730,2456" coordsize="19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202" coordsize="21600,21600" o:spt="202" path="m,l,21600r21600,l21600,xe">
                    <v:stroke joinstyle="miter"/>
                    <v:path gradientshapeok="t" o:connecttype="rect"/>
                  </v:shapetype>
                  <v:shape id="Text Box 143" o:spid="_x0000_s1029" type="#_x0000_t202" style="position:absolute;left:3730;top:2456;width:1931;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MlwwAAANsAAAAPAAAAZHJzL2Rvd25yZXYueG1sRI9Bi8Iw&#10;FITvC/6H8ARva6qsItUoIhX2oqAuuMdH82yLzUtNUq3/3ggLexxm5htmsepMLe7kfGVZwWiYgCDO&#10;ra64UPBz2n7OQPiArLG2TAqe5GG17H0sMNX2wQe6H0MhIoR9igrKEJpUSp+XZNAPbUMcvYt1BkOU&#10;rpDa4SPCTS3HSTKVBiuOCyU2tCkpvx5bo+B0zn5zmmam/co27ex2a3fuvFdq0O/WcxCBuvAf/mt/&#10;awWTMby/xB8gly8AAAD//wMAUEsBAi0AFAAGAAgAAAAhANvh9svuAAAAhQEAABMAAAAAAAAAAAAA&#10;AAAAAAAAAFtDb250ZW50X1R5cGVzXS54bWxQSwECLQAUAAYACAAAACEAWvQsW78AAAAVAQAACwAA&#10;AAAAAAAAAAAAAAAfAQAAX3JlbHMvLnJlbHNQSwECLQAUAAYACAAAACEAlGJzJcMAAADbAAAADwAA&#10;AAAAAAAAAAAAAAAHAgAAZHJzL2Rvd25yZXYueG1sUEsFBgAAAAADAAMAtwAAAPcCAAAAAA==&#10;" stroked="f" strokeweight="0">
                    <v:textbox>
                      <w:txbxContent>
                        <w:p w14:paraId="7F97C963"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v:textbox>
                  </v:shape>
                  <v:line id="Line 144" o:spid="_x0000_s1030" style="position:absolute;visibility:visible;mso-wrap-style:square" from="4948,3483" to="519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unwQAAANsAAAAPAAAAZHJzL2Rvd25yZXYueG1sRI9Li8Iw&#10;FIX3wvyHcIXZaarig2qUQRHcjKDO7C/NtSk2NyWJtvPvJ4Lg8nAeH2e16WwtHuRD5VjBaJiBIC6c&#10;rrhU8HPZDxYgQkTWWDsmBX8UYLP+6K0w167lEz3OsRRphEOOCkyMTS5lKAxZDEPXECfv6rzFmKQv&#10;pfbYpnFby3GWzaTFihPBYENbQ8XtfLeJe5vvjt/3aKyf6GM2Xuxbf/hV6rPffS1BROriO/xqH7SC&#10;6QSeX9IPkOt/AAAA//8DAFBLAQItABQABgAIAAAAIQDb4fbL7gAAAIUBAAATAAAAAAAAAAAAAAAA&#10;AAAAAABbQ29udGVudF9UeXBlc10ueG1sUEsBAi0AFAAGAAgAAAAhAFr0LFu/AAAAFQEAAAsAAAAA&#10;AAAAAAAAAAAAHwEAAF9yZWxzLy5yZWxzUEsBAi0AFAAGAAgAAAAhAKnB+6fBAAAA2wAAAA8AAAAA&#10;AAAAAAAAAAAABwIAAGRycy9kb3ducmV2LnhtbFBLBQYAAAAAAwADALcAAAD1AgAAAAA=&#10;" strokeweight="5pt">
                    <v:stroke startarrowwidth="narrow" startarrowlength="short" endarrow="block"/>
                    <v:shadow color="#969696"/>
                  </v:line>
                </v:group>
                <v:shape id="Text Box 145" o:spid="_x0000_s1031" type="#_x0000_t202" style="position:absolute;left:5779;top:6498;width:195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07KxAAAANsAAAAPAAAAZHJzL2Rvd25yZXYueG1sRI9Ba8JA&#10;FITvBf/D8gRvzUZJRVJXKZJCLxaqhfT4yL4modm3cXdj4r93C4Ueh5n5htnuJ9OJKznfWlawTFIQ&#10;xJXVLdcKPs+vjxsQPiBr7CyTght52O9mD1vMtR35g66nUIsIYZ+jgiaEPpfSVw0Z9IntiaP3bZ3B&#10;EKWrpXY4Rrjp5CpN19Jgy3GhwZ4ODVU/p8EoOJfFV0XrwgxZcRg2l8twdOW7Uov59PIMItAU/sN/&#10;7Tet4CmD3y/xB8jdHQAA//8DAFBLAQItABQABgAIAAAAIQDb4fbL7gAAAIUBAAATAAAAAAAAAAAA&#10;AAAAAAAAAABbQ29udGVudF9UeXBlc10ueG1sUEsBAi0AFAAGAAgAAAAhAFr0LFu/AAAAFQEAAAsA&#10;AAAAAAAAAAAAAAAAHwEAAF9yZWxzLy5yZWxzUEsBAi0AFAAGAAgAAAAhAHTHTsrEAAAA2wAAAA8A&#10;AAAAAAAAAAAAAAAABwIAAGRycy9kb3ducmV2LnhtbFBLBQYAAAAAAwADALcAAAD4AgAAAAA=&#10;" stroked="f" strokeweight="0">
                  <v:textbox>
                    <w:txbxContent>
                      <w:p w14:paraId="4B912644"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v:textbox>
                </v:shape>
                <v:shape id="Text Box 146" o:spid="_x0000_s1032" type="#_x0000_t202" style="position:absolute;left:8028;top:6500;width:195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RwwAAANsAAAAPAAAAZHJzL2Rvd25yZXYueG1sRI9Bi8Iw&#10;FITvwv6H8Bb2pukuq0g1ikgFLwqrgh4fzbMtNi81SbX+e7MgeBxm5htmOu9MLW7kfGVZwfcgAUGc&#10;W11xoeCwX/XHIHxA1lhbJgUP8jCfffSmmGp75z+67UIhIoR9igrKEJpUSp+XZNAPbEMcvbN1BkOU&#10;rpDa4T3CTS1/kmQkDVYcF0psaFlSftm1RsH+mJ1yGmWm/c2W7fh6bTfuuFXq67NbTEAE6sI7/Gqv&#10;tYLhEP6/xB8gZ08AAAD//wMAUEsBAi0AFAAGAAgAAAAhANvh9svuAAAAhQEAABMAAAAAAAAAAAAA&#10;AAAAAAAAAFtDb250ZW50X1R5cGVzXS54bWxQSwECLQAUAAYACAAAACEAWvQsW78AAAAVAQAACwAA&#10;AAAAAAAAAAAAAAAfAQAAX3JlbHMvLnJlbHNQSwECLQAUAAYACAAAACEAG4vrUcMAAADbAAAADwAA&#10;AAAAAAAAAAAAAAAHAgAAZHJzL2Rvd25yZXYueG1sUEsFBgAAAAADAAMAtwAAAPcCAAAAAA==&#10;" stroked="f" strokeweight="0">
                  <v:textbox>
                    <w:txbxContent>
                      <w:p w14:paraId="36011E2B"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63EF3102" w14:textId="77777777" w:rsidR="00705FED" w:rsidRDefault="00705FED" w:rsidP="00705FED">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v:textbox>
                </v:shape>
                <v:line id="Line 147" o:spid="_x0000_s1033" style="position:absolute;flip:x y;visibility:visible;mso-wrap-style:square" from="5899,6076" to="613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yz+wwAAANsAAAAPAAAAZHJzL2Rvd25yZXYueG1sRI9Bi8Iw&#10;FITvgv8hPGFvmqooUo0i4oLsYV2tF2+P5tkGm5faZLX7742w4HGYmW+Yxaq1lbhT441jBcNBAoI4&#10;d9pwoeCUffZnIHxA1lg5JgV/5GG17HYWmGr34APdj6EQEcI+RQVlCHUqpc9LsugHriaO3sU1FkOU&#10;TSF1g48It5UcJclUWjQcF0qsaVNSfj3+WgXuZ/SVnb/3cpPd1ngz45PReqvUR69dz0EEasM7/N/e&#10;aQWTKby+xB8gl08AAAD//wMAUEsBAi0AFAAGAAgAAAAhANvh9svuAAAAhQEAABMAAAAAAAAAAAAA&#10;AAAAAAAAAFtDb250ZW50X1R5cGVzXS54bWxQSwECLQAUAAYACAAAACEAWvQsW78AAAAVAQAACwAA&#10;AAAAAAAAAAAAAAAfAQAAX3JlbHMvLnJlbHNQSwECLQAUAAYACAAAACEANyss/sMAAADbAAAADwAA&#10;AAAAAAAAAAAAAAAHAgAAZHJzL2Rvd25yZXYueG1sUEsFBgAAAAADAAMAtwAAAPcCAAAAAA==&#10;" strokeweight="4.5pt">
                  <v:stroke endarrow="block"/>
                </v:line>
                <v:line id="Line 148" o:spid="_x0000_s1034" style="position:absolute;visibility:visible;mso-wrap-style:square" from="6139,5836" to="829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EO3xQAAANsAAAAPAAAAZHJzL2Rvd25yZXYueG1sRI9Pa8JA&#10;FMTvgt9heUIvUjdatBqzSlsQ7KGCafH8yD7zx+zbkN3G+O3dgtDjMDO/YZJtb2rRUetKywqmkwgE&#10;cWZ1ybmCn+/d8xKE88gaa8uk4EYOtpvhIMFY2ysfqUt9LgKEXYwKCu+bWEqXFWTQTWxDHLyzbQ36&#10;INtc6havAW5qOYuihTRYclgosKGPgrJL+msUvNtxpfOqyr72s8PLZ7ra4ekwVepp1L+tQXjq/X/4&#10;0d5rBfNX+PsSfoDc3AEAAP//AwBQSwECLQAUAAYACAAAACEA2+H2y+4AAACFAQAAEwAAAAAAAAAA&#10;AAAAAAAAAAAAW0NvbnRlbnRfVHlwZXNdLnhtbFBLAQItABQABgAIAAAAIQBa9CxbvwAAABUBAAAL&#10;AAAAAAAAAAAAAAAAAB8BAABfcmVscy8ucmVsc1BLAQItABQABgAIAAAAIQBm7EO3xQAAANsAAAAP&#10;AAAAAAAAAAAAAAAAAAcCAABkcnMvZG93bnJldi54bWxQSwUGAAAAAAMAAwC3AAAA+QIAAAAA&#10;" strokeweight="4.5pt">
                  <v:stroke startarrow="block"/>
                </v:line>
                <w10:anchorlock/>
              </v:group>
              <o:OLEObject Type="Embed" ProgID="Excel.Chart.8" ShapeID="Object 141" DrawAspect="Content" ObjectID="_1709095374" r:id="rId13">
                <o:FieldCodes>\s</o:FieldCodes>
              </o:OLEObject>
            </w:pict>
          </mc:Fallback>
        </mc:AlternateContent>
      </w:r>
    </w:p>
    <w:p w14:paraId="111A4D04" w14:textId="77777777" w:rsidR="00385B99" w:rsidRPr="00385B99" w:rsidRDefault="00385B99" w:rsidP="00385B99">
      <w:pPr>
        <w:jc w:val="center"/>
        <w:rPr>
          <w:rFonts w:ascii="Arial" w:hAnsi="Arial" w:cs="Arial"/>
          <w:b/>
          <w:color w:val="000000"/>
          <w:sz w:val="20"/>
        </w:rPr>
      </w:pPr>
    </w:p>
    <w:p w14:paraId="39095537" w14:textId="77777777" w:rsidR="00385B99" w:rsidRPr="00785E1A" w:rsidRDefault="00385B99" w:rsidP="0094402D">
      <w:pPr>
        <w:keepNext/>
        <w:keepLines/>
        <w:jc w:val="both"/>
        <w:rPr>
          <w:rFonts w:ascii="Arial" w:hAnsi="Arial" w:cs="Arial"/>
          <w:color w:val="000000"/>
          <w:sz w:val="20"/>
        </w:rPr>
      </w:pPr>
      <w:r w:rsidRPr="00785E1A">
        <w:rPr>
          <w:rFonts w:ascii="Arial" w:hAnsi="Arial" w:cs="Arial"/>
          <w:color w:val="000000"/>
          <w:sz w:val="20"/>
        </w:rPr>
        <w:t>The proportion of non-mandated and mandated notifications in 1995-1996 and 2000-2001 and the changes in the respective reporting rates are shown in the following chart also provided in the afore-mentioned paper of Mr Peter Green, Manager DOHS Child Protection &amp; Care:</w:t>
      </w:r>
    </w:p>
    <w:p w14:paraId="3616F2C0" w14:textId="77777777" w:rsidR="00385B99" w:rsidRPr="00785E1A" w:rsidRDefault="00385B99" w:rsidP="00385B99">
      <w:pPr>
        <w:jc w:val="both"/>
        <w:rPr>
          <w:rFonts w:ascii="Arial" w:hAnsi="Arial" w:cs="Arial"/>
          <w:color w:val="000000"/>
          <w:sz w:val="20"/>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2999"/>
        <w:gridCol w:w="953"/>
        <w:gridCol w:w="1086"/>
        <w:gridCol w:w="866"/>
        <w:gridCol w:w="1086"/>
        <w:gridCol w:w="1276"/>
      </w:tblGrid>
      <w:tr w:rsidR="00385B99" w:rsidRPr="00785E1A" w14:paraId="57BB5BFF" w14:textId="77777777" w:rsidTr="00193618">
        <w:trPr>
          <w:cantSplit/>
        </w:trPr>
        <w:tc>
          <w:tcPr>
            <w:tcW w:w="3349" w:type="dxa"/>
            <w:tcBorders>
              <w:bottom w:val="single" w:sz="18" w:space="0" w:color="auto"/>
            </w:tcBorders>
          </w:tcPr>
          <w:p w14:paraId="296B8C70"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STATUS</w:t>
            </w:r>
          </w:p>
        </w:tc>
        <w:tc>
          <w:tcPr>
            <w:tcW w:w="2147" w:type="dxa"/>
            <w:gridSpan w:val="2"/>
            <w:tcBorders>
              <w:bottom w:val="single" w:sz="18" w:space="0" w:color="auto"/>
            </w:tcBorders>
          </w:tcPr>
          <w:p w14:paraId="1DF7729E"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1995-1996</w:t>
            </w:r>
          </w:p>
        </w:tc>
        <w:tc>
          <w:tcPr>
            <w:tcW w:w="2042" w:type="dxa"/>
            <w:gridSpan w:val="2"/>
            <w:tcBorders>
              <w:bottom w:val="single" w:sz="18" w:space="0" w:color="auto"/>
            </w:tcBorders>
          </w:tcPr>
          <w:p w14:paraId="38F4C747"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2000-2001</w:t>
            </w:r>
          </w:p>
        </w:tc>
        <w:tc>
          <w:tcPr>
            <w:tcW w:w="1318" w:type="dxa"/>
            <w:tcBorders>
              <w:bottom w:val="single" w:sz="18" w:space="0" w:color="auto"/>
            </w:tcBorders>
          </w:tcPr>
          <w:p w14:paraId="218DCB42"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 CHANGE</w:t>
            </w:r>
          </w:p>
        </w:tc>
      </w:tr>
      <w:tr w:rsidR="00385B99" w14:paraId="5C840D3B" w14:textId="77777777" w:rsidTr="00193618">
        <w:tc>
          <w:tcPr>
            <w:tcW w:w="3349" w:type="dxa"/>
            <w:tcBorders>
              <w:top w:val="single" w:sz="18" w:space="0" w:color="auto"/>
              <w:bottom w:val="single" w:sz="4" w:space="0" w:color="auto"/>
            </w:tcBorders>
          </w:tcPr>
          <w:p w14:paraId="49C5283E" w14:textId="77777777" w:rsidR="00385B99" w:rsidRDefault="00385B99" w:rsidP="00385B99">
            <w:pPr>
              <w:jc w:val="both"/>
              <w:rPr>
                <w:rFonts w:ascii="Arial" w:hAnsi="Arial" w:cs="Arial"/>
                <w:sz w:val="20"/>
              </w:rPr>
            </w:pPr>
            <w:r>
              <w:rPr>
                <w:rFonts w:ascii="Arial" w:hAnsi="Arial" w:cs="Arial"/>
                <w:sz w:val="20"/>
              </w:rPr>
              <w:t>Non-mandated notifiers (including family, neighbours)</w:t>
            </w:r>
          </w:p>
        </w:tc>
        <w:tc>
          <w:tcPr>
            <w:tcW w:w="1004" w:type="dxa"/>
            <w:tcBorders>
              <w:top w:val="single" w:sz="18" w:space="0" w:color="auto"/>
              <w:bottom w:val="single" w:sz="4" w:space="0" w:color="auto"/>
            </w:tcBorders>
          </w:tcPr>
          <w:p w14:paraId="2BA5ADDD" w14:textId="77777777" w:rsidR="00385B99" w:rsidRDefault="00385B99" w:rsidP="00385B99">
            <w:pPr>
              <w:jc w:val="center"/>
              <w:rPr>
                <w:rFonts w:ascii="Arial" w:hAnsi="Arial" w:cs="Arial"/>
                <w:sz w:val="20"/>
              </w:rPr>
            </w:pPr>
          </w:p>
        </w:tc>
        <w:tc>
          <w:tcPr>
            <w:tcW w:w="1143" w:type="dxa"/>
            <w:tcBorders>
              <w:top w:val="single" w:sz="18" w:space="0" w:color="auto"/>
              <w:bottom w:val="single" w:sz="4" w:space="0" w:color="auto"/>
            </w:tcBorders>
          </w:tcPr>
          <w:p w14:paraId="0E0BBAE0" w14:textId="77777777" w:rsidR="00385B99" w:rsidRDefault="00385B99" w:rsidP="00385B99">
            <w:pPr>
              <w:jc w:val="center"/>
              <w:rPr>
                <w:rFonts w:ascii="Arial" w:hAnsi="Arial" w:cs="Arial"/>
                <w:sz w:val="20"/>
              </w:rPr>
            </w:pPr>
            <w:r>
              <w:rPr>
                <w:rFonts w:ascii="Arial" w:hAnsi="Arial" w:cs="Arial"/>
                <w:sz w:val="20"/>
              </w:rPr>
              <w:t>20,993</w:t>
            </w:r>
          </w:p>
        </w:tc>
        <w:tc>
          <w:tcPr>
            <w:tcW w:w="899" w:type="dxa"/>
            <w:tcBorders>
              <w:top w:val="single" w:sz="18" w:space="0" w:color="auto"/>
              <w:bottom w:val="single" w:sz="4" w:space="0" w:color="auto"/>
            </w:tcBorders>
          </w:tcPr>
          <w:p w14:paraId="730CD0B4" w14:textId="77777777" w:rsidR="00385B99" w:rsidRDefault="00385B99" w:rsidP="00385B99">
            <w:pPr>
              <w:jc w:val="center"/>
              <w:rPr>
                <w:rFonts w:ascii="Arial" w:hAnsi="Arial" w:cs="Arial"/>
                <w:sz w:val="20"/>
              </w:rPr>
            </w:pPr>
          </w:p>
        </w:tc>
        <w:tc>
          <w:tcPr>
            <w:tcW w:w="1143" w:type="dxa"/>
            <w:tcBorders>
              <w:top w:val="single" w:sz="18" w:space="0" w:color="auto"/>
              <w:bottom w:val="single" w:sz="4" w:space="0" w:color="auto"/>
            </w:tcBorders>
          </w:tcPr>
          <w:p w14:paraId="4DAF8579" w14:textId="77777777" w:rsidR="00385B99" w:rsidRDefault="00385B99" w:rsidP="00385B99">
            <w:pPr>
              <w:jc w:val="center"/>
              <w:rPr>
                <w:rFonts w:ascii="Arial" w:hAnsi="Arial" w:cs="Arial"/>
                <w:sz w:val="20"/>
              </w:rPr>
            </w:pPr>
            <w:r>
              <w:rPr>
                <w:rFonts w:ascii="Arial" w:hAnsi="Arial" w:cs="Arial"/>
                <w:sz w:val="20"/>
              </w:rPr>
              <w:t>23,146</w:t>
            </w:r>
          </w:p>
        </w:tc>
        <w:tc>
          <w:tcPr>
            <w:tcW w:w="1318" w:type="dxa"/>
            <w:tcBorders>
              <w:top w:val="single" w:sz="18" w:space="0" w:color="auto"/>
              <w:bottom w:val="single" w:sz="4" w:space="0" w:color="auto"/>
            </w:tcBorders>
          </w:tcPr>
          <w:p w14:paraId="61A04500" w14:textId="77777777" w:rsidR="00385B99" w:rsidRDefault="00385B99" w:rsidP="00385B99">
            <w:pPr>
              <w:jc w:val="center"/>
              <w:rPr>
                <w:rFonts w:ascii="Arial" w:hAnsi="Arial" w:cs="Arial"/>
                <w:sz w:val="20"/>
              </w:rPr>
            </w:pPr>
            <w:r>
              <w:rPr>
                <w:rFonts w:ascii="Arial" w:hAnsi="Arial" w:cs="Arial"/>
                <w:sz w:val="20"/>
              </w:rPr>
              <w:t>+10%</w:t>
            </w:r>
          </w:p>
        </w:tc>
      </w:tr>
      <w:tr w:rsidR="00385B99" w14:paraId="192225F4" w14:textId="77777777" w:rsidTr="00193618">
        <w:tc>
          <w:tcPr>
            <w:tcW w:w="3349" w:type="dxa"/>
            <w:tcBorders>
              <w:top w:val="single" w:sz="4" w:space="0" w:color="auto"/>
            </w:tcBorders>
          </w:tcPr>
          <w:p w14:paraId="50FC706B" w14:textId="77777777" w:rsidR="00385B99" w:rsidRDefault="00385B99" w:rsidP="00385B99">
            <w:pPr>
              <w:jc w:val="both"/>
              <w:rPr>
                <w:rFonts w:ascii="Arial" w:hAnsi="Arial" w:cs="Arial"/>
                <w:sz w:val="20"/>
              </w:rPr>
            </w:pPr>
            <w:r>
              <w:rPr>
                <w:rFonts w:ascii="Arial" w:hAnsi="Arial" w:cs="Arial"/>
                <w:sz w:val="20"/>
              </w:rPr>
              <w:t>All mandated professionals</w:t>
            </w:r>
          </w:p>
        </w:tc>
        <w:tc>
          <w:tcPr>
            <w:tcW w:w="1004" w:type="dxa"/>
            <w:tcBorders>
              <w:top w:val="single" w:sz="4" w:space="0" w:color="auto"/>
            </w:tcBorders>
          </w:tcPr>
          <w:p w14:paraId="7F71867E" w14:textId="77777777" w:rsidR="00385B99" w:rsidRDefault="00385B99" w:rsidP="00385B99">
            <w:pPr>
              <w:jc w:val="center"/>
              <w:rPr>
                <w:rFonts w:ascii="Arial" w:hAnsi="Arial" w:cs="Arial"/>
                <w:sz w:val="20"/>
              </w:rPr>
            </w:pPr>
          </w:p>
        </w:tc>
        <w:tc>
          <w:tcPr>
            <w:tcW w:w="1143" w:type="dxa"/>
            <w:tcBorders>
              <w:top w:val="single" w:sz="4" w:space="0" w:color="auto"/>
            </w:tcBorders>
          </w:tcPr>
          <w:p w14:paraId="414196DF" w14:textId="77777777" w:rsidR="00385B99" w:rsidRDefault="00385B99" w:rsidP="00385B99">
            <w:pPr>
              <w:jc w:val="center"/>
              <w:rPr>
                <w:rFonts w:ascii="Arial" w:hAnsi="Arial" w:cs="Arial"/>
                <w:sz w:val="20"/>
              </w:rPr>
            </w:pPr>
            <w:r>
              <w:rPr>
                <w:rFonts w:ascii="Arial" w:hAnsi="Arial" w:cs="Arial"/>
                <w:sz w:val="20"/>
              </w:rPr>
              <w:t>8,887</w:t>
            </w:r>
          </w:p>
        </w:tc>
        <w:tc>
          <w:tcPr>
            <w:tcW w:w="899" w:type="dxa"/>
            <w:tcBorders>
              <w:top w:val="single" w:sz="4" w:space="0" w:color="auto"/>
            </w:tcBorders>
          </w:tcPr>
          <w:p w14:paraId="0C45AFAC" w14:textId="77777777" w:rsidR="00385B99" w:rsidRDefault="00385B99" w:rsidP="00385B99">
            <w:pPr>
              <w:jc w:val="center"/>
              <w:rPr>
                <w:rFonts w:ascii="Arial" w:hAnsi="Arial" w:cs="Arial"/>
                <w:sz w:val="20"/>
              </w:rPr>
            </w:pPr>
          </w:p>
        </w:tc>
        <w:tc>
          <w:tcPr>
            <w:tcW w:w="1143" w:type="dxa"/>
            <w:tcBorders>
              <w:top w:val="single" w:sz="4" w:space="0" w:color="auto"/>
            </w:tcBorders>
          </w:tcPr>
          <w:p w14:paraId="687117F9" w14:textId="77777777" w:rsidR="00385B99" w:rsidRDefault="00385B99" w:rsidP="00385B99">
            <w:pPr>
              <w:jc w:val="center"/>
              <w:rPr>
                <w:rFonts w:ascii="Arial" w:hAnsi="Arial" w:cs="Arial"/>
                <w:sz w:val="20"/>
              </w:rPr>
            </w:pPr>
            <w:r>
              <w:rPr>
                <w:rFonts w:ascii="Arial" w:hAnsi="Arial" w:cs="Arial"/>
                <w:sz w:val="20"/>
              </w:rPr>
              <w:t>13,850</w:t>
            </w:r>
          </w:p>
        </w:tc>
        <w:tc>
          <w:tcPr>
            <w:tcW w:w="1318" w:type="dxa"/>
            <w:tcBorders>
              <w:top w:val="single" w:sz="4" w:space="0" w:color="auto"/>
            </w:tcBorders>
          </w:tcPr>
          <w:p w14:paraId="55B19807" w14:textId="77777777" w:rsidR="00385B99" w:rsidRDefault="00385B99" w:rsidP="00385B99">
            <w:pPr>
              <w:jc w:val="center"/>
              <w:rPr>
                <w:rFonts w:ascii="Arial" w:hAnsi="Arial" w:cs="Arial"/>
                <w:sz w:val="20"/>
              </w:rPr>
            </w:pPr>
            <w:r>
              <w:rPr>
                <w:rFonts w:ascii="Arial" w:hAnsi="Arial" w:cs="Arial"/>
                <w:sz w:val="20"/>
              </w:rPr>
              <w:t>+56%</w:t>
            </w:r>
          </w:p>
        </w:tc>
      </w:tr>
      <w:tr w:rsidR="00385B99" w14:paraId="714C22AD" w14:textId="77777777" w:rsidTr="00193618">
        <w:tc>
          <w:tcPr>
            <w:tcW w:w="3349" w:type="dxa"/>
          </w:tcPr>
          <w:p w14:paraId="4E16BA36" w14:textId="77777777" w:rsidR="00385B99" w:rsidRDefault="00385B99" w:rsidP="00385B99">
            <w:pPr>
              <w:jc w:val="right"/>
              <w:rPr>
                <w:rFonts w:ascii="Arial" w:hAnsi="Arial" w:cs="Arial"/>
                <w:sz w:val="20"/>
              </w:rPr>
            </w:pPr>
            <w:r>
              <w:rPr>
                <w:rFonts w:ascii="Arial" w:hAnsi="Arial" w:cs="Arial"/>
                <w:sz w:val="20"/>
              </w:rPr>
              <w:t>Police</w:t>
            </w:r>
          </w:p>
        </w:tc>
        <w:tc>
          <w:tcPr>
            <w:tcW w:w="1004" w:type="dxa"/>
          </w:tcPr>
          <w:p w14:paraId="58F288C6" w14:textId="77777777" w:rsidR="00385B99" w:rsidRDefault="00385B99" w:rsidP="00385B99">
            <w:pPr>
              <w:jc w:val="center"/>
              <w:rPr>
                <w:rFonts w:ascii="Arial" w:hAnsi="Arial" w:cs="Arial"/>
                <w:sz w:val="20"/>
              </w:rPr>
            </w:pPr>
            <w:r>
              <w:rPr>
                <w:rFonts w:ascii="Arial" w:hAnsi="Arial" w:cs="Arial"/>
                <w:sz w:val="20"/>
              </w:rPr>
              <w:t>4,492</w:t>
            </w:r>
          </w:p>
        </w:tc>
        <w:tc>
          <w:tcPr>
            <w:tcW w:w="1143" w:type="dxa"/>
          </w:tcPr>
          <w:p w14:paraId="6B7607FE" w14:textId="77777777" w:rsidR="00385B99" w:rsidRDefault="00385B99" w:rsidP="00385B99">
            <w:pPr>
              <w:jc w:val="center"/>
              <w:rPr>
                <w:rFonts w:ascii="Arial" w:hAnsi="Arial" w:cs="Arial"/>
                <w:sz w:val="20"/>
              </w:rPr>
            </w:pPr>
          </w:p>
        </w:tc>
        <w:tc>
          <w:tcPr>
            <w:tcW w:w="899" w:type="dxa"/>
          </w:tcPr>
          <w:p w14:paraId="2A1D82FA" w14:textId="77777777" w:rsidR="00385B99" w:rsidRDefault="00385B99" w:rsidP="00385B99">
            <w:pPr>
              <w:jc w:val="center"/>
              <w:rPr>
                <w:rFonts w:ascii="Arial" w:hAnsi="Arial" w:cs="Arial"/>
                <w:sz w:val="20"/>
              </w:rPr>
            </w:pPr>
            <w:r>
              <w:rPr>
                <w:rFonts w:ascii="Arial" w:hAnsi="Arial" w:cs="Arial"/>
                <w:sz w:val="20"/>
              </w:rPr>
              <w:t>6,707</w:t>
            </w:r>
          </w:p>
        </w:tc>
        <w:tc>
          <w:tcPr>
            <w:tcW w:w="1143" w:type="dxa"/>
          </w:tcPr>
          <w:p w14:paraId="49367348" w14:textId="77777777" w:rsidR="00385B99" w:rsidRDefault="00385B99" w:rsidP="00385B99">
            <w:pPr>
              <w:jc w:val="center"/>
              <w:rPr>
                <w:rFonts w:ascii="Arial" w:hAnsi="Arial" w:cs="Arial"/>
                <w:sz w:val="20"/>
              </w:rPr>
            </w:pPr>
          </w:p>
        </w:tc>
        <w:tc>
          <w:tcPr>
            <w:tcW w:w="1318" w:type="dxa"/>
          </w:tcPr>
          <w:p w14:paraId="48F16F6A" w14:textId="77777777" w:rsidR="00385B99" w:rsidRDefault="00385B99" w:rsidP="00385B99">
            <w:pPr>
              <w:jc w:val="center"/>
              <w:rPr>
                <w:rFonts w:ascii="Arial" w:hAnsi="Arial" w:cs="Arial"/>
                <w:sz w:val="20"/>
              </w:rPr>
            </w:pPr>
            <w:r>
              <w:rPr>
                <w:rFonts w:ascii="Arial" w:hAnsi="Arial" w:cs="Arial"/>
                <w:sz w:val="20"/>
              </w:rPr>
              <w:t>+49%</w:t>
            </w:r>
          </w:p>
        </w:tc>
      </w:tr>
      <w:tr w:rsidR="00385B99" w14:paraId="31362CDE" w14:textId="77777777" w:rsidTr="00193618">
        <w:tc>
          <w:tcPr>
            <w:tcW w:w="3349" w:type="dxa"/>
          </w:tcPr>
          <w:p w14:paraId="10DB39A4" w14:textId="77777777" w:rsidR="00385B99" w:rsidRDefault="00385B99" w:rsidP="00385B99">
            <w:pPr>
              <w:jc w:val="right"/>
              <w:rPr>
                <w:rFonts w:ascii="Arial" w:hAnsi="Arial" w:cs="Arial"/>
                <w:sz w:val="20"/>
              </w:rPr>
            </w:pPr>
            <w:r>
              <w:rPr>
                <w:rFonts w:ascii="Arial" w:hAnsi="Arial" w:cs="Arial"/>
                <w:sz w:val="20"/>
              </w:rPr>
              <w:t>Teachers</w:t>
            </w:r>
          </w:p>
        </w:tc>
        <w:tc>
          <w:tcPr>
            <w:tcW w:w="1004" w:type="dxa"/>
          </w:tcPr>
          <w:p w14:paraId="453F068B" w14:textId="77777777" w:rsidR="00385B99" w:rsidRDefault="00385B99" w:rsidP="00385B99">
            <w:pPr>
              <w:jc w:val="center"/>
              <w:rPr>
                <w:rFonts w:ascii="Arial" w:hAnsi="Arial" w:cs="Arial"/>
                <w:sz w:val="20"/>
              </w:rPr>
            </w:pPr>
            <w:r>
              <w:rPr>
                <w:rFonts w:ascii="Arial" w:hAnsi="Arial" w:cs="Arial"/>
                <w:sz w:val="20"/>
              </w:rPr>
              <w:t>2,798</w:t>
            </w:r>
          </w:p>
        </w:tc>
        <w:tc>
          <w:tcPr>
            <w:tcW w:w="1143" w:type="dxa"/>
          </w:tcPr>
          <w:p w14:paraId="1DEAE4A8" w14:textId="77777777" w:rsidR="00385B99" w:rsidRDefault="00385B99" w:rsidP="00385B99">
            <w:pPr>
              <w:jc w:val="center"/>
              <w:rPr>
                <w:rFonts w:ascii="Arial" w:hAnsi="Arial" w:cs="Arial"/>
                <w:sz w:val="20"/>
              </w:rPr>
            </w:pPr>
          </w:p>
        </w:tc>
        <w:tc>
          <w:tcPr>
            <w:tcW w:w="899" w:type="dxa"/>
          </w:tcPr>
          <w:p w14:paraId="5752B28F" w14:textId="77777777" w:rsidR="00385B99" w:rsidRDefault="00385B99" w:rsidP="00385B99">
            <w:pPr>
              <w:jc w:val="center"/>
              <w:rPr>
                <w:rFonts w:ascii="Arial" w:hAnsi="Arial" w:cs="Arial"/>
                <w:sz w:val="20"/>
              </w:rPr>
            </w:pPr>
            <w:r>
              <w:rPr>
                <w:rFonts w:ascii="Arial" w:hAnsi="Arial" w:cs="Arial"/>
                <w:sz w:val="20"/>
              </w:rPr>
              <w:t>4,945</w:t>
            </w:r>
          </w:p>
        </w:tc>
        <w:tc>
          <w:tcPr>
            <w:tcW w:w="1143" w:type="dxa"/>
          </w:tcPr>
          <w:p w14:paraId="1A98F443" w14:textId="77777777" w:rsidR="00385B99" w:rsidRDefault="00385B99" w:rsidP="00385B99">
            <w:pPr>
              <w:jc w:val="center"/>
              <w:rPr>
                <w:rFonts w:ascii="Arial" w:hAnsi="Arial" w:cs="Arial"/>
                <w:sz w:val="20"/>
              </w:rPr>
            </w:pPr>
          </w:p>
        </w:tc>
        <w:tc>
          <w:tcPr>
            <w:tcW w:w="1318" w:type="dxa"/>
          </w:tcPr>
          <w:p w14:paraId="78DF7FC9" w14:textId="77777777" w:rsidR="00385B99" w:rsidRDefault="00385B99" w:rsidP="00385B99">
            <w:pPr>
              <w:jc w:val="center"/>
              <w:rPr>
                <w:rFonts w:ascii="Arial" w:hAnsi="Arial" w:cs="Arial"/>
                <w:sz w:val="20"/>
              </w:rPr>
            </w:pPr>
            <w:r>
              <w:rPr>
                <w:rFonts w:ascii="Arial" w:hAnsi="Arial" w:cs="Arial"/>
                <w:sz w:val="20"/>
              </w:rPr>
              <w:t>+77%</w:t>
            </w:r>
          </w:p>
        </w:tc>
      </w:tr>
      <w:tr w:rsidR="00385B99" w14:paraId="4509304E" w14:textId="77777777" w:rsidTr="00193618">
        <w:tc>
          <w:tcPr>
            <w:tcW w:w="3349" w:type="dxa"/>
          </w:tcPr>
          <w:p w14:paraId="06641B64" w14:textId="77777777" w:rsidR="00385B99" w:rsidRDefault="00385B99" w:rsidP="00385B99">
            <w:pPr>
              <w:jc w:val="right"/>
              <w:rPr>
                <w:rFonts w:ascii="Arial" w:hAnsi="Arial" w:cs="Arial"/>
                <w:sz w:val="20"/>
              </w:rPr>
            </w:pPr>
            <w:r>
              <w:rPr>
                <w:rFonts w:ascii="Arial" w:hAnsi="Arial" w:cs="Arial"/>
                <w:sz w:val="20"/>
              </w:rPr>
              <w:t>Nurses</w:t>
            </w:r>
          </w:p>
        </w:tc>
        <w:tc>
          <w:tcPr>
            <w:tcW w:w="1004" w:type="dxa"/>
          </w:tcPr>
          <w:p w14:paraId="497B7D88" w14:textId="77777777" w:rsidR="00385B99" w:rsidRDefault="00385B99" w:rsidP="00385B99">
            <w:pPr>
              <w:jc w:val="center"/>
              <w:rPr>
                <w:rFonts w:ascii="Arial" w:hAnsi="Arial" w:cs="Arial"/>
                <w:sz w:val="20"/>
              </w:rPr>
            </w:pPr>
            <w:r>
              <w:rPr>
                <w:rFonts w:ascii="Arial" w:hAnsi="Arial" w:cs="Arial"/>
                <w:sz w:val="20"/>
              </w:rPr>
              <w:t>538</w:t>
            </w:r>
          </w:p>
        </w:tc>
        <w:tc>
          <w:tcPr>
            <w:tcW w:w="1143" w:type="dxa"/>
          </w:tcPr>
          <w:p w14:paraId="218B98B5" w14:textId="77777777" w:rsidR="00385B99" w:rsidRDefault="00385B99" w:rsidP="00385B99">
            <w:pPr>
              <w:jc w:val="center"/>
              <w:rPr>
                <w:rFonts w:ascii="Arial" w:hAnsi="Arial" w:cs="Arial"/>
                <w:sz w:val="20"/>
              </w:rPr>
            </w:pPr>
          </w:p>
        </w:tc>
        <w:tc>
          <w:tcPr>
            <w:tcW w:w="899" w:type="dxa"/>
          </w:tcPr>
          <w:p w14:paraId="036E2A7B" w14:textId="77777777" w:rsidR="00385B99" w:rsidRDefault="00385B99" w:rsidP="00385B99">
            <w:pPr>
              <w:jc w:val="center"/>
              <w:rPr>
                <w:rFonts w:ascii="Arial" w:hAnsi="Arial" w:cs="Arial"/>
                <w:sz w:val="20"/>
              </w:rPr>
            </w:pPr>
            <w:r>
              <w:rPr>
                <w:rFonts w:ascii="Arial" w:hAnsi="Arial" w:cs="Arial"/>
                <w:sz w:val="20"/>
              </w:rPr>
              <w:t>1,119</w:t>
            </w:r>
          </w:p>
        </w:tc>
        <w:tc>
          <w:tcPr>
            <w:tcW w:w="1143" w:type="dxa"/>
          </w:tcPr>
          <w:p w14:paraId="3460522D" w14:textId="77777777" w:rsidR="00385B99" w:rsidRDefault="00385B99" w:rsidP="00385B99">
            <w:pPr>
              <w:jc w:val="center"/>
              <w:rPr>
                <w:rFonts w:ascii="Arial" w:hAnsi="Arial" w:cs="Arial"/>
                <w:sz w:val="20"/>
              </w:rPr>
            </w:pPr>
          </w:p>
        </w:tc>
        <w:tc>
          <w:tcPr>
            <w:tcW w:w="1318" w:type="dxa"/>
          </w:tcPr>
          <w:p w14:paraId="6E3D699A" w14:textId="77777777" w:rsidR="00385B99" w:rsidRDefault="00385B99" w:rsidP="00385B99">
            <w:pPr>
              <w:jc w:val="center"/>
              <w:rPr>
                <w:rFonts w:ascii="Arial" w:hAnsi="Arial" w:cs="Arial"/>
                <w:sz w:val="20"/>
              </w:rPr>
            </w:pPr>
            <w:r>
              <w:rPr>
                <w:rFonts w:ascii="Arial" w:hAnsi="Arial" w:cs="Arial"/>
                <w:sz w:val="20"/>
              </w:rPr>
              <w:t>+108%</w:t>
            </w:r>
          </w:p>
        </w:tc>
      </w:tr>
      <w:tr w:rsidR="00385B99" w14:paraId="6732829F" w14:textId="77777777" w:rsidTr="00193618">
        <w:tc>
          <w:tcPr>
            <w:tcW w:w="3349" w:type="dxa"/>
            <w:tcBorders>
              <w:bottom w:val="single" w:sz="18" w:space="0" w:color="auto"/>
            </w:tcBorders>
          </w:tcPr>
          <w:p w14:paraId="0C8F07D1" w14:textId="77777777" w:rsidR="00385B99" w:rsidRDefault="00385B99" w:rsidP="00385B99">
            <w:pPr>
              <w:jc w:val="right"/>
              <w:rPr>
                <w:rFonts w:ascii="Arial" w:hAnsi="Arial" w:cs="Arial"/>
                <w:sz w:val="20"/>
              </w:rPr>
            </w:pPr>
            <w:r>
              <w:rPr>
                <w:rFonts w:ascii="Arial" w:hAnsi="Arial" w:cs="Arial"/>
                <w:sz w:val="20"/>
              </w:rPr>
              <w:t>Medical practitioners</w:t>
            </w:r>
          </w:p>
        </w:tc>
        <w:tc>
          <w:tcPr>
            <w:tcW w:w="1004" w:type="dxa"/>
            <w:tcBorders>
              <w:bottom w:val="single" w:sz="18" w:space="0" w:color="auto"/>
            </w:tcBorders>
          </w:tcPr>
          <w:p w14:paraId="662B8A7B" w14:textId="77777777" w:rsidR="00385B99" w:rsidRDefault="00385B99" w:rsidP="00385B99">
            <w:pPr>
              <w:jc w:val="center"/>
              <w:rPr>
                <w:rFonts w:ascii="Arial" w:hAnsi="Arial" w:cs="Arial"/>
                <w:sz w:val="20"/>
              </w:rPr>
            </w:pPr>
            <w:r>
              <w:rPr>
                <w:rFonts w:ascii="Arial" w:hAnsi="Arial" w:cs="Arial"/>
                <w:sz w:val="20"/>
              </w:rPr>
              <w:t>1,049</w:t>
            </w:r>
          </w:p>
        </w:tc>
        <w:tc>
          <w:tcPr>
            <w:tcW w:w="1143" w:type="dxa"/>
            <w:tcBorders>
              <w:bottom w:val="single" w:sz="18" w:space="0" w:color="auto"/>
            </w:tcBorders>
          </w:tcPr>
          <w:p w14:paraId="2F6C7B4F" w14:textId="77777777" w:rsidR="00385B99" w:rsidRDefault="00385B99" w:rsidP="00385B99">
            <w:pPr>
              <w:jc w:val="center"/>
              <w:rPr>
                <w:rFonts w:ascii="Arial" w:hAnsi="Arial" w:cs="Arial"/>
                <w:sz w:val="20"/>
              </w:rPr>
            </w:pPr>
          </w:p>
        </w:tc>
        <w:tc>
          <w:tcPr>
            <w:tcW w:w="899" w:type="dxa"/>
            <w:tcBorders>
              <w:bottom w:val="single" w:sz="18" w:space="0" w:color="auto"/>
            </w:tcBorders>
          </w:tcPr>
          <w:p w14:paraId="6FC34B61" w14:textId="77777777" w:rsidR="00385B99" w:rsidRDefault="00385B99" w:rsidP="00385B99">
            <w:pPr>
              <w:jc w:val="center"/>
              <w:rPr>
                <w:rFonts w:ascii="Arial" w:hAnsi="Arial" w:cs="Arial"/>
                <w:sz w:val="20"/>
              </w:rPr>
            </w:pPr>
            <w:r>
              <w:rPr>
                <w:rFonts w:ascii="Arial" w:hAnsi="Arial" w:cs="Arial"/>
                <w:sz w:val="20"/>
              </w:rPr>
              <w:t>1,079</w:t>
            </w:r>
          </w:p>
        </w:tc>
        <w:tc>
          <w:tcPr>
            <w:tcW w:w="1143" w:type="dxa"/>
            <w:tcBorders>
              <w:bottom w:val="single" w:sz="18" w:space="0" w:color="auto"/>
            </w:tcBorders>
          </w:tcPr>
          <w:p w14:paraId="322FC598" w14:textId="77777777" w:rsidR="00385B99" w:rsidRDefault="00385B99" w:rsidP="00385B99">
            <w:pPr>
              <w:jc w:val="center"/>
              <w:rPr>
                <w:rFonts w:ascii="Arial" w:hAnsi="Arial" w:cs="Arial"/>
                <w:sz w:val="20"/>
              </w:rPr>
            </w:pPr>
          </w:p>
        </w:tc>
        <w:tc>
          <w:tcPr>
            <w:tcW w:w="1318" w:type="dxa"/>
            <w:tcBorders>
              <w:bottom w:val="single" w:sz="18" w:space="0" w:color="auto"/>
            </w:tcBorders>
          </w:tcPr>
          <w:p w14:paraId="6DBC2DB6" w14:textId="77777777" w:rsidR="00385B99" w:rsidRDefault="00385B99" w:rsidP="00385B99">
            <w:pPr>
              <w:jc w:val="center"/>
              <w:rPr>
                <w:rFonts w:ascii="Arial" w:hAnsi="Arial" w:cs="Arial"/>
                <w:sz w:val="20"/>
              </w:rPr>
            </w:pPr>
            <w:r>
              <w:rPr>
                <w:rFonts w:ascii="Arial" w:hAnsi="Arial" w:cs="Arial"/>
                <w:sz w:val="20"/>
              </w:rPr>
              <w:t>+3%</w:t>
            </w:r>
          </w:p>
        </w:tc>
      </w:tr>
      <w:tr w:rsidR="00385B99" w14:paraId="6ECDD795" w14:textId="77777777" w:rsidTr="00193618">
        <w:tc>
          <w:tcPr>
            <w:tcW w:w="3349" w:type="dxa"/>
            <w:tcBorders>
              <w:top w:val="single" w:sz="18" w:space="0" w:color="auto"/>
              <w:bottom w:val="single" w:sz="18" w:space="0" w:color="auto"/>
            </w:tcBorders>
          </w:tcPr>
          <w:p w14:paraId="17C9EFFF" w14:textId="77777777" w:rsidR="00385B99" w:rsidRDefault="00385B99" w:rsidP="00385B99">
            <w:pPr>
              <w:jc w:val="center"/>
              <w:rPr>
                <w:rFonts w:ascii="Arial" w:hAnsi="Arial" w:cs="Arial"/>
                <w:b/>
                <w:bCs/>
                <w:sz w:val="20"/>
              </w:rPr>
            </w:pPr>
            <w:r>
              <w:rPr>
                <w:rFonts w:ascii="Arial" w:hAnsi="Arial" w:cs="Arial"/>
                <w:b/>
                <w:bCs/>
                <w:sz w:val="20"/>
              </w:rPr>
              <w:t>TOTAL</w:t>
            </w:r>
          </w:p>
        </w:tc>
        <w:tc>
          <w:tcPr>
            <w:tcW w:w="1004" w:type="dxa"/>
            <w:tcBorders>
              <w:top w:val="single" w:sz="18" w:space="0" w:color="auto"/>
              <w:bottom w:val="single" w:sz="18" w:space="0" w:color="auto"/>
            </w:tcBorders>
          </w:tcPr>
          <w:p w14:paraId="3908C222" w14:textId="77777777" w:rsidR="00385B99" w:rsidRDefault="00385B99" w:rsidP="00385B99">
            <w:pPr>
              <w:jc w:val="center"/>
              <w:rPr>
                <w:rFonts w:ascii="Arial" w:hAnsi="Arial" w:cs="Arial"/>
                <w:sz w:val="20"/>
              </w:rPr>
            </w:pPr>
          </w:p>
        </w:tc>
        <w:tc>
          <w:tcPr>
            <w:tcW w:w="1143" w:type="dxa"/>
            <w:tcBorders>
              <w:top w:val="single" w:sz="18" w:space="0" w:color="auto"/>
              <w:bottom w:val="single" w:sz="18" w:space="0" w:color="auto"/>
            </w:tcBorders>
          </w:tcPr>
          <w:p w14:paraId="200C6A8B" w14:textId="77777777" w:rsidR="00385B99" w:rsidRDefault="00385B99" w:rsidP="00385B99">
            <w:pPr>
              <w:jc w:val="center"/>
              <w:rPr>
                <w:rFonts w:ascii="Arial" w:hAnsi="Arial" w:cs="Arial"/>
                <w:sz w:val="20"/>
              </w:rPr>
            </w:pPr>
            <w:r>
              <w:rPr>
                <w:rFonts w:ascii="Arial" w:hAnsi="Arial" w:cs="Arial"/>
                <w:sz w:val="20"/>
              </w:rPr>
              <w:t>29,870</w:t>
            </w:r>
          </w:p>
        </w:tc>
        <w:tc>
          <w:tcPr>
            <w:tcW w:w="899" w:type="dxa"/>
            <w:tcBorders>
              <w:top w:val="single" w:sz="18" w:space="0" w:color="auto"/>
              <w:bottom w:val="single" w:sz="18" w:space="0" w:color="auto"/>
            </w:tcBorders>
          </w:tcPr>
          <w:p w14:paraId="17602852" w14:textId="77777777" w:rsidR="00385B99" w:rsidRDefault="00385B99" w:rsidP="00385B99">
            <w:pPr>
              <w:jc w:val="center"/>
              <w:rPr>
                <w:rFonts w:ascii="Arial" w:hAnsi="Arial" w:cs="Arial"/>
                <w:sz w:val="20"/>
              </w:rPr>
            </w:pPr>
          </w:p>
        </w:tc>
        <w:tc>
          <w:tcPr>
            <w:tcW w:w="1143" w:type="dxa"/>
            <w:tcBorders>
              <w:top w:val="single" w:sz="18" w:space="0" w:color="auto"/>
              <w:bottom w:val="single" w:sz="18" w:space="0" w:color="auto"/>
            </w:tcBorders>
          </w:tcPr>
          <w:p w14:paraId="5EF792C0" w14:textId="77777777" w:rsidR="00385B99" w:rsidRDefault="00385B99" w:rsidP="00385B99">
            <w:pPr>
              <w:jc w:val="center"/>
              <w:rPr>
                <w:rFonts w:ascii="Arial" w:hAnsi="Arial" w:cs="Arial"/>
                <w:sz w:val="20"/>
              </w:rPr>
            </w:pPr>
            <w:r>
              <w:rPr>
                <w:rFonts w:ascii="Arial" w:hAnsi="Arial" w:cs="Arial"/>
                <w:sz w:val="20"/>
              </w:rPr>
              <w:t>36,966</w:t>
            </w:r>
          </w:p>
        </w:tc>
        <w:tc>
          <w:tcPr>
            <w:tcW w:w="1318" w:type="dxa"/>
            <w:tcBorders>
              <w:top w:val="single" w:sz="18" w:space="0" w:color="auto"/>
              <w:bottom w:val="single" w:sz="18" w:space="0" w:color="auto"/>
            </w:tcBorders>
          </w:tcPr>
          <w:p w14:paraId="5AC5BC18" w14:textId="77777777" w:rsidR="00385B99" w:rsidRDefault="00385B99" w:rsidP="00385B99">
            <w:pPr>
              <w:jc w:val="center"/>
              <w:rPr>
                <w:rFonts w:ascii="Arial" w:hAnsi="Arial" w:cs="Arial"/>
                <w:sz w:val="20"/>
              </w:rPr>
            </w:pPr>
            <w:r>
              <w:rPr>
                <w:rFonts w:ascii="Arial" w:hAnsi="Arial" w:cs="Arial"/>
                <w:sz w:val="20"/>
              </w:rPr>
              <w:t>+24%</w:t>
            </w:r>
          </w:p>
        </w:tc>
      </w:tr>
    </w:tbl>
    <w:p w14:paraId="69D45A6D" w14:textId="77777777" w:rsidR="00385B99" w:rsidRDefault="00385B99" w:rsidP="00385B99">
      <w:pPr>
        <w:jc w:val="both"/>
        <w:rPr>
          <w:rFonts w:ascii="Arial" w:hAnsi="Arial" w:cs="Arial"/>
          <w:sz w:val="20"/>
        </w:rPr>
      </w:pPr>
    </w:p>
    <w:p w14:paraId="129DE5A3" w14:textId="77777777" w:rsidR="00385B99" w:rsidRDefault="00385B99" w:rsidP="00385B99">
      <w:pPr>
        <w:keepNext/>
        <w:keepLines/>
        <w:jc w:val="both"/>
        <w:rPr>
          <w:rFonts w:ascii="Arial" w:hAnsi="Arial" w:cs="Arial"/>
          <w:sz w:val="20"/>
        </w:rPr>
      </w:pPr>
      <w:r>
        <w:rPr>
          <w:rFonts w:ascii="Arial" w:hAnsi="Arial" w:cs="Arial"/>
          <w:sz w:val="20"/>
        </w:rPr>
        <w:t>Some general characteristics of notifications in 2002 were summarised by Mr Green as follows:</w:t>
      </w:r>
    </w:p>
    <w:p w14:paraId="4E7F501E" w14:textId="77777777" w:rsidR="00385B99" w:rsidRDefault="00385B99" w:rsidP="00385B99">
      <w:pPr>
        <w:numPr>
          <w:ilvl w:val="0"/>
          <w:numId w:val="12"/>
        </w:numPr>
        <w:jc w:val="both"/>
        <w:rPr>
          <w:rFonts w:ascii="Arial" w:hAnsi="Arial" w:cs="Arial"/>
          <w:sz w:val="20"/>
        </w:rPr>
      </w:pPr>
      <w:r>
        <w:rPr>
          <w:rFonts w:ascii="Arial" w:hAnsi="Arial" w:cs="Arial"/>
          <w:color w:val="000000"/>
          <w:sz w:val="20"/>
          <w:szCs w:val="12"/>
        </w:rPr>
        <w:t>very young children are over represented</w:t>
      </w:r>
    </w:p>
    <w:p w14:paraId="053167B1" w14:textId="77777777" w:rsidR="00385B99" w:rsidRDefault="00385B99" w:rsidP="00385B99">
      <w:pPr>
        <w:numPr>
          <w:ilvl w:val="0"/>
          <w:numId w:val="12"/>
        </w:numPr>
        <w:jc w:val="both"/>
        <w:rPr>
          <w:rFonts w:ascii="Arial" w:hAnsi="Arial" w:cs="Arial"/>
          <w:sz w:val="20"/>
        </w:rPr>
      </w:pPr>
      <w:r>
        <w:rPr>
          <w:rFonts w:ascii="Arial" w:hAnsi="Arial" w:cs="Arial"/>
          <w:color w:val="000000"/>
          <w:sz w:val="20"/>
          <w:szCs w:val="16"/>
          <w:lang w:val="en-US"/>
        </w:rPr>
        <w:t>k</w:t>
      </w:r>
      <w:proofErr w:type="spellStart"/>
      <w:r>
        <w:rPr>
          <w:rFonts w:ascii="Arial" w:hAnsi="Arial" w:cs="Arial"/>
          <w:color w:val="000000"/>
          <w:sz w:val="20"/>
          <w:szCs w:val="16"/>
        </w:rPr>
        <w:t>ey</w:t>
      </w:r>
      <w:proofErr w:type="spellEnd"/>
      <w:r>
        <w:rPr>
          <w:rFonts w:ascii="Arial" w:hAnsi="Arial" w:cs="Arial"/>
          <w:color w:val="000000"/>
          <w:sz w:val="20"/>
          <w:szCs w:val="16"/>
        </w:rPr>
        <w:t xml:space="preserve"> parental characteristics of investigated families: family violence, alcohol abuse, substance abuse, psychiatric, intellectual and physical disability</w:t>
      </w:r>
    </w:p>
    <w:p w14:paraId="5363AE24" w14:textId="77777777" w:rsidR="00385B99" w:rsidRDefault="00385B99" w:rsidP="00385B99">
      <w:pPr>
        <w:numPr>
          <w:ilvl w:val="0"/>
          <w:numId w:val="12"/>
        </w:numPr>
        <w:jc w:val="both"/>
        <w:rPr>
          <w:rFonts w:ascii="Arial" w:hAnsi="Arial" w:cs="Arial"/>
          <w:sz w:val="20"/>
        </w:rPr>
      </w:pPr>
      <w:r>
        <w:rPr>
          <w:rFonts w:ascii="Arial" w:hAnsi="Arial" w:cs="Arial"/>
          <w:color w:val="000000"/>
          <w:sz w:val="20"/>
          <w:szCs w:val="12"/>
        </w:rPr>
        <w:t>45% of families investigated are sole parent families (compared to 20% in the general population)</w:t>
      </w:r>
    </w:p>
    <w:p w14:paraId="321C87CD" w14:textId="77777777" w:rsidR="00385B99" w:rsidRDefault="00385B99" w:rsidP="00385B99">
      <w:pPr>
        <w:numPr>
          <w:ilvl w:val="0"/>
          <w:numId w:val="12"/>
        </w:numPr>
        <w:jc w:val="both"/>
        <w:rPr>
          <w:rFonts w:ascii="Arial" w:hAnsi="Arial" w:cs="Arial"/>
          <w:sz w:val="20"/>
        </w:rPr>
      </w:pPr>
      <w:r>
        <w:rPr>
          <w:rFonts w:ascii="Arial" w:hAnsi="Arial" w:cs="Arial"/>
          <w:color w:val="000000"/>
          <w:sz w:val="20"/>
          <w:szCs w:val="12"/>
        </w:rPr>
        <w:t>77% of families investigated are low income</w:t>
      </w:r>
    </w:p>
    <w:p w14:paraId="0B928C75" w14:textId="77777777" w:rsidR="00385B99" w:rsidRDefault="00385B99" w:rsidP="00385B99">
      <w:pPr>
        <w:widowControl w:val="0"/>
        <w:numPr>
          <w:ilvl w:val="0"/>
          <w:numId w:val="11"/>
        </w:numPr>
        <w:jc w:val="both"/>
        <w:rPr>
          <w:rFonts w:ascii="Arial" w:eastAsia="Arial Unicode MS" w:hAnsi="Arial" w:cs="Arial"/>
          <w:color w:val="000000"/>
          <w:sz w:val="20"/>
          <w:szCs w:val="12"/>
        </w:rPr>
      </w:pPr>
      <w:r>
        <w:rPr>
          <w:rFonts w:ascii="Arial" w:hAnsi="Arial" w:cs="Arial"/>
          <w:color w:val="000000"/>
          <w:sz w:val="20"/>
          <w:szCs w:val="16"/>
        </w:rPr>
        <w:t>52%</w:t>
      </w:r>
      <w:r>
        <w:rPr>
          <w:rFonts w:ascii="Arial" w:hAnsi="Arial" w:cs="Arial"/>
          <w:color w:val="000000"/>
          <w:sz w:val="20"/>
          <w:szCs w:val="16"/>
          <w:lang w:val="en-US"/>
        </w:rPr>
        <w:t xml:space="preserve"> of parents</w:t>
      </w:r>
      <w:r>
        <w:rPr>
          <w:rFonts w:ascii="Arial" w:hAnsi="Arial" w:cs="Arial"/>
          <w:color w:val="000000"/>
          <w:sz w:val="20"/>
          <w:szCs w:val="16"/>
        </w:rPr>
        <w:t xml:space="preserve"> have experienced family violence</w:t>
      </w:r>
    </w:p>
    <w:p w14:paraId="102314D6" w14:textId="77777777" w:rsidR="00385B99" w:rsidRDefault="00385B99" w:rsidP="00385B99">
      <w:pPr>
        <w:widowControl w:val="0"/>
        <w:numPr>
          <w:ilvl w:val="0"/>
          <w:numId w:val="11"/>
        </w:numPr>
        <w:jc w:val="both"/>
        <w:rPr>
          <w:rFonts w:ascii="Arial" w:hAnsi="Arial" w:cs="Arial"/>
          <w:color w:val="000000"/>
          <w:sz w:val="20"/>
          <w:szCs w:val="12"/>
        </w:rPr>
      </w:pPr>
      <w:r>
        <w:rPr>
          <w:rFonts w:ascii="Arial" w:hAnsi="Arial" w:cs="Arial"/>
          <w:color w:val="000000"/>
          <w:sz w:val="20"/>
          <w:szCs w:val="12"/>
        </w:rPr>
        <w:t>33% of parents investigated have substance abuse problems</w:t>
      </w:r>
    </w:p>
    <w:p w14:paraId="2CE30F4A" w14:textId="77777777" w:rsidR="00385B99" w:rsidRDefault="00385B99" w:rsidP="00385B99">
      <w:pPr>
        <w:widowControl w:val="0"/>
        <w:numPr>
          <w:ilvl w:val="0"/>
          <w:numId w:val="11"/>
        </w:numPr>
        <w:jc w:val="both"/>
        <w:rPr>
          <w:rFonts w:ascii="Arial" w:hAnsi="Arial" w:cs="Arial"/>
          <w:color w:val="000000"/>
          <w:sz w:val="20"/>
          <w:szCs w:val="12"/>
        </w:rPr>
      </w:pPr>
      <w:r>
        <w:rPr>
          <w:rFonts w:ascii="Arial" w:hAnsi="Arial" w:cs="Arial"/>
          <w:color w:val="000000"/>
          <w:sz w:val="20"/>
          <w:szCs w:val="12"/>
        </w:rPr>
        <w:t>31% of parents investigated have alcohol abuse problems</w:t>
      </w:r>
    </w:p>
    <w:p w14:paraId="1DCE508B" w14:textId="77777777" w:rsidR="00385B99" w:rsidRDefault="00385B99" w:rsidP="00385B99">
      <w:pPr>
        <w:widowControl w:val="0"/>
        <w:numPr>
          <w:ilvl w:val="0"/>
          <w:numId w:val="11"/>
        </w:numPr>
        <w:jc w:val="both"/>
        <w:rPr>
          <w:rFonts w:ascii="Arial" w:hAnsi="Arial" w:cs="Arial"/>
          <w:color w:val="000000"/>
          <w:sz w:val="20"/>
          <w:szCs w:val="12"/>
        </w:rPr>
      </w:pPr>
      <w:r>
        <w:rPr>
          <w:rFonts w:ascii="Arial" w:hAnsi="Arial" w:cs="Arial"/>
          <w:color w:val="000000"/>
          <w:sz w:val="20"/>
          <w:szCs w:val="12"/>
        </w:rPr>
        <w:t>19% of parents investigated have a psychiatric disability</w:t>
      </w:r>
    </w:p>
    <w:p w14:paraId="0EF4A2FD" w14:textId="77777777" w:rsidR="00385B99" w:rsidRDefault="00385B99" w:rsidP="00385B99">
      <w:pPr>
        <w:widowControl w:val="0"/>
        <w:numPr>
          <w:ilvl w:val="0"/>
          <w:numId w:val="11"/>
        </w:numPr>
        <w:jc w:val="both"/>
        <w:rPr>
          <w:rFonts w:ascii="Arial" w:hAnsi="Arial" w:cs="Arial"/>
          <w:color w:val="000000"/>
          <w:szCs w:val="12"/>
        </w:rPr>
      </w:pPr>
      <w:r>
        <w:rPr>
          <w:rFonts w:ascii="Arial" w:hAnsi="Arial" w:cs="Arial"/>
          <w:color w:val="000000"/>
          <w:sz w:val="20"/>
          <w:szCs w:val="12"/>
        </w:rPr>
        <w:t>the proportion of parents with one or more of these characteristics has increased from 40% to more than 70%, the proportion with 2 or more has increased from 9% to 44%.</w:t>
      </w:r>
    </w:p>
    <w:p w14:paraId="5A1D8A1E" w14:textId="77777777" w:rsidR="00385B99" w:rsidRDefault="00385B99" w:rsidP="00385B99">
      <w:pPr>
        <w:jc w:val="both"/>
        <w:rPr>
          <w:rFonts w:ascii="Arial" w:hAnsi="Arial" w:cs="Arial"/>
          <w:sz w:val="20"/>
        </w:rPr>
      </w:pPr>
    </w:p>
    <w:p w14:paraId="3A48824E" w14:textId="77777777" w:rsidR="00385B99" w:rsidRPr="00785E1A" w:rsidRDefault="00385B99" w:rsidP="00137C50">
      <w:pPr>
        <w:spacing w:after="120"/>
        <w:jc w:val="both"/>
        <w:rPr>
          <w:rFonts w:ascii="Arial" w:hAnsi="Arial" w:cs="Arial"/>
          <w:color w:val="000000"/>
          <w:sz w:val="20"/>
        </w:rPr>
      </w:pPr>
      <w:r w:rsidRPr="00785E1A">
        <w:rPr>
          <w:rFonts w:ascii="Arial" w:hAnsi="Arial" w:cs="Arial"/>
          <w:color w:val="000000"/>
          <w:sz w:val="20"/>
        </w:rPr>
        <w:t xml:space="preserve">The following snapshots </w:t>
      </w:r>
      <w:r w:rsidR="00137C50" w:rsidRPr="00785E1A">
        <w:rPr>
          <w:rFonts w:ascii="Arial" w:hAnsi="Arial" w:cs="Arial"/>
          <w:color w:val="000000"/>
          <w:sz w:val="20"/>
        </w:rPr>
        <w:t xml:space="preserve">show that only a comparatively small percentage of Victorian child protection reports are investigated by </w:t>
      </w:r>
      <w:r w:rsidR="00785D2D">
        <w:rPr>
          <w:rFonts w:ascii="Arial" w:hAnsi="Arial" w:cs="Arial"/>
          <w:color w:val="000000"/>
          <w:sz w:val="20"/>
        </w:rPr>
        <w:t>DFFH</w:t>
      </w:r>
      <w:r w:rsidR="00A309B2">
        <w:rPr>
          <w:rFonts w:ascii="Arial" w:hAnsi="Arial" w:cs="Arial"/>
          <w:color w:val="000000"/>
          <w:sz w:val="20"/>
        </w:rPr>
        <w:t xml:space="preserve"> and of those investigated </w:t>
      </w:r>
      <w:r w:rsidR="00842179" w:rsidRPr="00785E1A">
        <w:rPr>
          <w:rFonts w:ascii="Arial" w:hAnsi="Arial" w:cs="Arial"/>
          <w:color w:val="000000"/>
          <w:sz w:val="20"/>
        </w:rPr>
        <w:t xml:space="preserve">between a half and two thirds </w:t>
      </w:r>
      <w:r w:rsidR="00137C50" w:rsidRPr="00785E1A">
        <w:rPr>
          <w:rFonts w:ascii="Arial" w:hAnsi="Arial" w:cs="Arial"/>
          <w:color w:val="000000"/>
          <w:sz w:val="20"/>
        </w:rPr>
        <w:t>are substantiated:</w:t>
      </w:r>
    </w:p>
    <w:tbl>
      <w:tblPr>
        <w:tblW w:w="8278"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59"/>
        <w:gridCol w:w="1694"/>
        <w:gridCol w:w="1906"/>
        <w:gridCol w:w="1560"/>
      </w:tblGrid>
      <w:tr w:rsidR="00E42774" w:rsidRPr="00785E1A" w14:paraId="61253B39" w14:textId="77777777" w:rsidTr="00193618">
        <w:tc>
          <w:tcPr>
            <w:tcW w:w="5000" w:type="pct"/>
            <w:gridSpan w:val="5"/>
            <w:tcBorders>
              <w:top w:val="single" w:sz="12" w:space="0" w:color="auto"/>
              <w:left w:val="single" w:sz="12" w:space="0" w:color="auto"/>
              <w:bottom w:val="single" w:sz="4" w:space="0" w:color="auto"/>
            </w:tcBorders>
            <w:shd w:val="pct10" w:color="auto" w:fill="auto"/>
          </w:tcPr>
          <w:p w14:paraId="0ABBC946"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lastRenderedPageBreak/>
              <w:t>VICTORIAN NOTIFICATIONS/REPORTS</w:t>
            </w:r>
          </w:p>
        </w:tc>
      </w:tr>
      <w:tr w:rsidR="00E42774" w:rsidRPr="00785E1A" w14:paraId="688B16DE" w14:textId="77777777" w:rsidTr="001726EF">
        <w:trPr>
          <w:trHeight w:val="600"/>
        </w:trPr>
        <w:tc>
          <w:tcPr>
            <w:tcW w:w="942" w:type="pct"/>
            <w:tcBorders>
              <w:top w:val="single" w:sz="12" w:space="0" w:color="auto"/>
              <w:left w:val="single" w:sz="12" w:space="0" w:color="auto"/>
            </w:tcBorders>
            <w:shd w:val="pct10" w:color="auto" w:fill="auto"/>
          </w:tcPr>
          <w:p w14:paraId="6C5DEDC5"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YEAR</w:t>
            </w:r>
          </w:p>
        </w:tc>
        <w:tc>
          <w:tcPr>
            <w:tcW w:w="942" w:type="pct"/>
            <w:tcBorders>
              <w:top w:val="single" w:sz="12" w:space="0" w:color="auto"/>
              <w:left w:val="single" w:sz="12" w:space="0" w:color="auto"/>
            </w:tcBorders>
            <w:shd w:val="pct10" w:color="auto" w:fill="auto"/>
          </w:tcPr>
          <w:p w14:paraId="6A778644"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1023" w:type="pct"/>
            <w:tcBorders>
              <w:top w:val="single" w:sz="12" w:space="0" w:color="auto"/>
              <w:left w:val="single" w:sz="12" w:space="0" w:color="auto"/>
            </w:tcBorders>
            <w:shd w:val="pct10" w:color="auto" w:fill="auto"/>
          </w:tcPr>
          <w:p w14:paraId="0666C788"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INVESTIGATED</w:t>
            </w:r>
          </w:p>
        </w:tc>
        <w:tc>
          <w:tcPr>
            <w:tcW w:w="1151" w:type="pct"/>
            <w:tcBorders>
              <w:top w:val="single" w:sz="12" w:space="0" w:color="auto"/>
              <w:left w:val="single" w:sz="12" w:space="0" w:color="auto"/>
            </w:tcBorders>
            <w:shd w:val="pct10" w:color="auto" w:fill="auto"/>
          </w:tcPr>
          <w:p w14:paraId="3001644E"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SUBSTANTIATED</w:t>
            </w:r>
          </w:p>
        </w:tc>
        <w:tc>
          <w:tcPr>
            <w:tcW w:w="942" w:type="pct"/>
            <w:tcBorders>
              <w:top w:val="single" w:sz="12" w:space="0" w:color="auto"/>
              <w:left w:val="single" w:sz="12" w:space="0" w:color="auto"/>
            </w:tcBorders>
            <w:shd w:val="pct10" w:color="auto" w:fill="auto"/>
          </w:tcPr>
          <w:p w14:paraId="4071CB25"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NUMBER OF PROTECTION APPLIC’NS</w:t>
            </w:r>
          </w:p>
        </w:tc>
      </w:tr>
      <w:tr w:rsidR="00E42774" w:rsidRPr="00785E1A" w14:paraId="18C9B7A2" w14:textId="77777777" w:rsidTr="001726EF">
        <w:tc>
          <w:tcPr>
            <w:tcW w:w="942" w:type="pct"/>
            <w:tcBorders>
              <w:top w:val="single" w:sz="12" w:space="0" w:color="000000"/>
              <w:left w:val="single" w:sz="12" w:space="0" w:color="auto"/>
              <w:bottom w:val="single" w:sz="4" w:space="0" w:color="auto"/>
            </w:tcBorders>
          </w:tcPr>
          <w:p w14:paraId="3AF926FA"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1997-1998</w:t>
            </w:r>
          </w:p>
        </w:tc>
        <w:tc>
          <w:tcPr>
            <w:tcW w:w="942" w:type="pct"/>
            <w:tcBorders>
              <w:top w:val="single" w:sz="12" w:space="0" w:color="000000"/>
              <w:left w:val="single" w:sz="12" w:space="0" w:color="auto"/>
              <w:bottom w:val="single" w:sz="4" w:space="0" w:color="auto"/>
            </w:tcBorders>
          </w:tcPr>
          <w:p w14:paraId="035926FB"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33,164</w:t>
            </w:r>
          </w:p>
        </w:tc>
        <w:tc>
          <w:tcPr>
            <w:tcW w:w="1023" w:type="pct"/>
            <w:tcBorders>
              <w:top w:val="single" w:sz="12" w:space="0" w:color="000000"/>
              <w:left w:val="single" w:sz="12" w:space="0" w:color="auto"/>
              <w:bottom w:val="single" w:sz="4" w:space="0" w:color="auto"/>
            </w:tcBorders>
          </w:tcPr>
          <w:p w14:paraId="0E391CB7"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14,682</w:t>
            </w:r>
          </w:p>
        </w:tc>
        <w:tc>
          <w:tcPr>
            <w:tcW w:w="1151" w:type="pct"/>
            <w:tcBorders>
              <w:top w:val="single" w:sz="12" w:space="0" w:color="000000"/>
              <w:left w:val="single" w:sz="12" w:space="0" w:color="auto"/>
              <w:bottom w:val="single" w:sz="4" w:space="0" w:color="auto"/>
            </w:tcBorders>
          </w:tcPr>
          <w:p w14:paraId="400F4E6E"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12" w:space="0" w:color="000000"/>
              <w:left w:val="single" w:sz="12" w:space="0" w:color="auto"/>
              <w:bottom w:val="single" w:sz="4" w:space="0" w:color="auto"/>
            </w:tcBorders>
          </w:tcPr>
          <w:p w14:paraId="2640A369"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2,135</w:t>
            </w:r>
          </w:p>
        </w:tc>
      </w:tr>
      <w:tr w:rsidR="00C943C5" w:rsidRPr="00785E1A" w14:paraId="56E6E0E9" w14:textId="77777777" w:rsidTr="001726EF">
        <w:tc>
          <w:tcPr>
            <w:tcW w:w="942" w:type="pct"/>
            <w:tcBorders>
              <w:top w:val="single" w:sz="4" w:space="0" w:color="auto"/>
              <w:left w:val="single" w:sz="12" w:space="0" w:color="auto"/>
              <w:bottom w:val="single" w:sz="4" w:space="0" w:color="auto"/>
            </w:tcBorders>
          </w:tcPr>
          <w:p w14:paraId="0D967614"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1998-1999</w:t>
            </w:r>
          </w:p>
        </w:tc>
        <w:tc>
          <w:tcPr>
            <w:tcW w:w="942" w:type="pct"/>
            <w:tcBorders>
              <w:top w:val="single" w:sz="4" w:space="0" w:color="auto"/>
              <w:left w:val="single" w:sz="12" w:space="0" w:color="auto"/>
              <w:bottom w:val="single" w:sz="4" w:space="0" w:color="auto"/>
            </w:tcBorders>
          </w:tcPr>
          <w:p w14:paraId="603CA7E4"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023" w:type="pct"/>
            <w:tcBorders>
              <w:top w:val="single" w:sz="4" w:space="0" w:color="auto"/>
              <w:left w:val="single" w:sz="12" w:space="0" w:color="auto"/>
              <w:bottom w:val="single" w:sz="4" w:space="0" w:color="auto"/>
            </w:tcBorders>
          </w:tcPr>
          <w:p w14:paraId="1201D2BD"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6AFE4844"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942" w:type="pct"/>
            <w:tcBorders>
              <w:top w:val="single" w:sz="4" w:space="0" w:color="auto"/>
              <w:left w:val="single" w:sz="12" w:space="0" w:color="auto"/>
              <w:bottom w:val="single" w:sz="4" w:space="0" w:color="auto"/>
            </w:tcBorders>
          </w:tcPr>
          <w:p w14:paraId="38274DF7"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E42774" w:rsidRPr="00785E1A" w14:paraId="650A8205" w14:textId="77777777" w:rsidTr="001726EF">
        <w:tc>
          <w:tcPr>
            <w:tcW w:w="942" w:type="pct"/>
            <w:tcBorders>
              <w:top w:val="single" w:sz="4" w:space="0" w:color="auto"/>
              <w:left w:val="single" w:sz="12" w:space="0" w:color="auto"/>
              <w:bottom w:val="single" w:sz="4" w:space="0" w:color="auto"/>
            </w:tcBorders>
          </w:tcPr>
          <w:p w14:paraId="724F1EDC" w14:textId="77777777" w:rsidR="00E42774" w:rsidRPr="00785E1A" w:rsidRDefault="00E42774" w:rsidP="00193618">
            <w:pPr>
              <w:jc w:val="center"/>
              <w:rPr>
                <w:rFonts w:ascii="Arial" w:hAnsi="Arial" w:cs="Arial"/>
                <w:color w:val="000000"/>
                <w:sz w:val="20"/>
              </w:rPr>
            </w:pPr>
            <w:r w:rsidRPr="00785E1A">
              <w:rPr>
                <w:rFonts w:ascii="Arial" w:hAnsi="Arial" w:cs="Arial"/>
                <w:color w:val="000000"/>
                <w:sz w:val="20"/>
              </w:rPr>
              <w:t>1999-2000</w:t>
            </w:r>
          </w:p>
        </w:tc>
        <w:tc>
          <w:tcPr>
            <w:tcW w:w="942" w:type="pct"/>
            <w:tcBorders>
              <w:top w:val="single" w:sz="4" w:space="0" w:color="auto"/>
              <w:left w:val="single" w:sz="12" w:space="0" w:color="auto"/>
              <w:bottom w:val="single" w:sz="4" w:space="0" w:color="auto"/>
            </w:tcBorders>
          </w:tcPr>
          <w:p w14:paraId="605FE46B" w14:textId="77777777" w:rsidR="00E42774" w:rsidRPr="00785E1A" w:rsidRDefault="00E42774" w:rsidP="00193618">
            <w:pPr>
              <w:jc w:val="center"/>
              <w:rPr>
                <w:rFonts w:ascii="Arial" w:hAnsi="Arial" w:cs="Arial"/>
                <w:color w:val="000000"/>
                <w:sz w:val="20"/>
              </w:rPr>
            </w:pPr>
            <w:r w:rsidRPr="00785E1A">
              <w:rPr>
                <w:rFonts w:ascii="Arial" w:hAnsi="Arial" w:cs="Arial"/>
                <w:color w:val="000000"/>
                <w:sz w:val="20"/>
              </w:rPr>
              <w:t>36,805</w:t>
            </w:r>
          </w:p>
        </w:tc>
        <w:tc>
          <w:tcPr>
            <w:tcW w:w="1023" w:type="pct"/>
            <w:tcBorders>
              <w:top w:val="single" w:sz="4" w:space="0" w:color="auto"/>
              <w:left w:val="single" w:sz="12" w:space="0" w:color="auto"/>
              <w:bottom w:val="single" w:sz="4" w:space="0" w:color="auto"/>
            </w:tcBorders>
          </w:tcPr>
          <w:p w14:paraId="59CAB882" w14:textId="77777777" w:rsidR="00E42774"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11532AF" w14:textId="77777777" w:rsidR="00E42774" w:rsidRPr="00785E1A" w:rsidRDefault="009B3EF9" w:rsidP="00193618">
            <w:pPr>
              <w:jc w:val="center"/>
              <w:rPr>
                <w:rFonts w:ascii="Arial" w:hAnsi="Arial" w:cs="Arial"/>
                <w:color w:val="000000"/>
                <w:sz w:val="20"/>
              </w:rPr>
            </w:pPr>
            <w:r w:rsidRPr="00785E1A">
              <w:rPr>
                <w:rFonts w:ascii="Arial" w:hAnsi="Arial" w:cs="Arial"/>
                <w:color w:val="000000"/>
                <w:sz w:val="20"/>
              </w:rPr>
              <w:t>7,359</w:t>
            </w:r>
          </w:p>
        </w:tc>
        <w:tc>
          <w:tcPr>
            <w:tcW w:w="942" w:type="pct"/>
            <w:tcBorders>
              <w:top w:val="single" w:sz="4" w:space="0" w:color="auto"/>
              <w:left w:val="single" w:sz="12" w:space="0" w:color="auto"/>
              <w:bottom w:val="single" w:sz="4" w:space="0" w:color="auto"/>
            </w:tcBorders>
          </w:tcPr>
          <w:p w14:paraId="35464D26" w14:textId="77777777" w:rsidR="00E42774"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1726EF" w:rsidRPr="00785E1A" w14:paraId="2782C6F4" w14:textId="77777777" w:rsidTr="001726EF">
        <w:tc>
          <w:tcPr>
            <w:tcW w:w="942" w:type="pct"/>
            <w:tcBorders>
              <w:top w:val="single" w:sz="4" w:space="0" w:color="auto"/>
              <w:left w:val="single" w:sz="12" w:space="0" w:color="auto"/>
              <w:bottom w:val="single" w:sz="4" w:space="0" w:color="auto"/>
            </w:tcBorders>
          </w:tcPr>
          <w:p w14:paraId="5F2AE423"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2000-2001</w:t>
            </w:r>
          </w:p>
        </w:tc>
        <w:tc>
          <w:tcPr>
            <w:tcW w:w="942" w:type="pct"/>
            <w:tcBorders>
              <w:top w:val="single" w:sz="4" w:space="0" w:color="auto"/>
              <w:left w:val="single" w:sz="12" w:space="0" w:color="auto"/>
              <w:bottom w:val="single" w:sz="4" w:space="0" w:color="auto"/>
            </w:tcBorders>
          </w:tcPr>
          <w:p w14:paraId="0B7F0941"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36,966</w:t>
            </w:r>
          </w:p>
        </w:tc>
        <w:tc>
          <w:tcPr>
            <w:tcW w:w="1023" w:type="pct"/>
            <w:tcBorders>
              <w:top w:val="single" w:sz="4" w:space="0" w:color="auto"/>
              <w:left w:val="single" w:sz="12" w:space="0" w:color="auto"/>
              <w:bottom w:val="single" w:sz="4" w:space="0" w:color="auto"/>
            </w:tcBorders>
          </w:tcPr>
          <w:p w14:paraId="2392C3BA"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06B8A7D"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7,608</w:t>
            </w:r>
          </w:p>
        </w:tc>
        <w:tc>
          <w:tcPr>
            <w:tcW w:w="942" w:type="pct"/>
            <w:tcBorders>
              <w:top w:val="single" w:sz="4" w:space="0" w:color="auto"/>
              <w:left w:val="single" w:sz="12" w:space="0" w:color="auto"/>
              <w:bottom w:val="single" w:sz="4" w:space="0" w:color="auto"/>
            </w:tcBorders>
          </w:tcPr>
          <w:p w14:paraId="48ACC808"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1726EF" w:rsidRPr="00785E1A" w14:paraId="2A5F446F" w14:textId="77777777" w:rsidTr="001726EF">
        <w:tc>
          <w:tcPr>
            <w:tcW w:w="942" w:type="pct"/>
            <w:tcBorders>
              <w:top w:val="single" w:sz="4" w:space="0" w:color="auto"/>
              <w:left w:val="single" w:sz="12" w:space="0" w:color="auto"/>
              <w:bottom w:val="single" w:sz="4" w:space="0" w:color="auto"/>
            </w:tcBorders>
          </w:tcPr>
          <w:p w14:paraId="5F1755A1"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2001-2002</w:t>
            </w:r>
          </w:p>
        </w:tc>
        <w:tc>
          <w:tcPr>
            <w:tcW w:w="942" w:type="pct"/>
            <w:tcBorders>
              <w:top w:val="single" w:sz="4" w:space="0" w:color="auto"/>
              <w:left w:val="single" w:sz="12" w:space="0" w:color="auto"/>
              <w:bottom w:val="single" w:sz="4" w:space="0" w:color="auto"/>
            </w:tcBorders>
          </w:tcPr>
          <w:p w14:paraId="1D3CFD46"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37,976</w:t>
            </w:r>
          </w:p>
        </w:tc>
        <w:tc>
          <w:tcPr>
            <w:tcW w:w="1023" w:type="pct"/>
            <w:tcBorders>
              <w:top w:val="single" w:sz="4" w:space="0" w:color="auto"/>
              <w:left w:val="single" w:sz="12" w:space="0" w:color="auto"/>
              <w:bottom w:val="single" w:sz="4" w:space="0" w:color="auto"/>
            </w:tcBorders>
          </w:tcPr>
          <w:p w14:paraId="47CD1C9A"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22CF264D"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7,687</w:t>
            </w:r>
          </w:p>
        </w:tc>
        <w:tc>
          <w:tcPr>
            <w:tcW w:w="942" w:type="pct"/>
            <w:tcBorders>
              <w:top w:val="single" w:sz="4" w:space="0" w:color="auto"/>
              <w:left w:val="single" w:sz="12" w:space="0" w:color="auto"/>
              <w:bottom w:val="single" w:sz="4" w:space="0" w:color="auto"/>
            </w:tcBorders>
          </w:tcPr>
          <w:p w14:paraId="7FFD101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1726EF" w:rsidRPr="00785E1A" w14:paraId="42867C12" w14:textId="77777777" w:rsidTr="001726EF">
        <w:tc>
          <w:tcPr>
            <w:tcW w:w="942" w:type="pct"/>
            <w:tcBorders>
              <w:top w:val="single" w:sz="4" w:space="0" w:color="auto"/>
              <w:left w:val="single" w:sz="12" w:space="0" w:color="auto"/>
              <w:bottom w:val="single" w:sz="4" w:space="0" w:color="auto"/>
            </w:tcBorders>
          </w:tcPr>
          <w:p w14:paraId="23D11664"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2002-2003</w:t>
            </w:r>
          </w:p>
        </w:tc>
        <w:tc>
          <w:tcPr>
            <w:tcW w:w="942" w:type="pct"/>
            <w:tcBorders>
              <w:top w:val="single" w:sz="4" w:space="0" w:color="auto"/>
              <w:left w:val="single" w:sz="12" w:space="0" w:color="auto"/>
              <w:bottom w:val="single" w:sz="4" w:space="0" w:color="auto"/>
            </w:tcBorders>
          </w:tcPr>
          <w:p w14:paraId="2754B96B"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37,635</w:t>
            </w:r>
          </w:p>
        </w:tc>
        <w:tc>
          <w:tcPr>
            <w:tcW w:w="1023" w:type="pct"/>
            <w:tcBorders>
              <w:top w:val="single" w:sz="4" w:space="0" w:color="auto"/>
              <w:left w:val="single" w:sz="12" w:space="0" w:color="auto"/>
              <w:bottom w:val="single" w:sz="4" w:space="0" w:color="auto"/>
            </w:tcBorders>
          </w:tcPr>
          <w:p w14:paraId="785A1576"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32F636AC"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7,287</w:t>
            </w:r>
          </w:p>
        </w:tc>
        <w:tc>
          <w:tcPr>
            <w:tcW w:w="942" w:type="pct"/>
            <w:tcBorders>
              <w:top w:val="single" w:sz="4" w:space="0" w:color="auto"/>
              <w:left w:val="single" w:sz="12" w:space="0" w:color="auto"/>
              <w:bottom w:val="single" w:sz="4" w:space="0" w:color="auto"/>
            </w:tcBorders>
          </w:tcPr>
          <w:p w14:paraId="2A9C200E"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2,319</w:t>
            </w:r>
          </w:p>
        </w:tc>
      </w:tr>
      <w:tr w:rsidR="001726EF" w:rsidRPr="00785E1A" w14:paraId="0FC00249" w14:textId="77777777" w:rsidTr="001726EF">
        <w:tc>
          <w:tcPr>
            <w:tcW w:w="942" w:type="pct"/>
            <w:tcBorders>
              <w:top w:val="single" w:sz="4" w:space="0" w:color="auto"/>
              <w:left w:val="single" w:sz="12" w:space="0" w:color="auto"/>
              <w:bottom w:val="single" w:sz="4" w:space="0" w:color="auto"/>
            </w:tcBorders>
          </w:tcPr>
          <w:p w14:paraId="3C52A737"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2003-2004</w:t>
            </w:r>
          </w:p>
        </w:tc>
        <w:tc>
          <w:tcPr>
            <w:tcW w:w="942" w:type="pct"/>
            <w:tcBorders>
              <w:top w:val="single" w:sz="4" w:space="0" w:color="auto"/>
              <w:left w:val="single" w:sz="12" w:space="0" w:color="auto"/>
              <w:bottom w:val="single" w:sz="4" w:space="0" w:color="auto"/>
            </w:tcBorders>
          </w:tcPr>
          <w:p w14:paraId="49E5B94E"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36,956</w:t>
            </w:r>
          </w:p>
        </w:tc>
        <w:tc>
          <w:tcPr>
            <w:tcW w:w="1023" w:type="pct"/>
            <w:tcBorders>
              <w:top w:val="single" w:sz="4" w:space="0" w:color="auto"/>
              <w:left w:val="single" w:sz="12" w:space="0" w:color="auto"/>
              <w:bottom w:val="single" w:sz="4" w:space="0" w:color="auto"/>
            </w:tcBorders>
          </w:tcPr>
          <w:p w14:paraId="0D02B464"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3BCF05A5"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4" w:space="0" w:color="auto"/>
              <w:left w:val="single" w:sz="12" w:space="0" w:color="auto"/>
              <w:bottom w:val="single" w:sz="4" w:space="0" w:color="auto"/>
            </w:tcBorders>
          </w:tcPr>
          <w:p w14:paraId="10184FF4"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2,399</w:t>
            </w:r>
          </w:p>
        </w:tc>
      </w:tr>
      <w:tr w:rsidR="001726EF" w:rsidRPr="00785E1A" w14:paraId="1C046131" w14:textId="77777777" w:rsidTr="001726EF">
        <w:tc>
          <w:tcPr>
            <w:tcW w:w="942" w:type="pct"/>
            <w:tcBorders>
              <w:top w:val="single" w:sz="4" w:space="0" w:color="auto"/>
              <w:left w:val="single" w:sz="12" w:space="0" w:color="auto"/>
              <w:bottom w:val="single" w:sz="4" w:space="0" w:color="auto"/>
            </w:tcBorders>
          </w:tcPr>
          <w:p w14:paraId="5424584D"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2004-2005</w:t>
            </w:r>
          </w:p>
        </w:tc>
        <w:tc>
          <w:tcPr>
            <w:tcW w:w="942" w:type="pct"/>
            <w:tcBorders>
              <w:top w:val="single" w:sz="4" w:space="0" w:color="auto"/>
              <w:left w:val="single" w:sz="12" w:space="0" w:color="auto"/>
              <w:bottom w:val="single" w:sz="4" w:space="0" w:color="auto"/>
            </w:tcBorders>
          </w:tcPr>
          <w:p w14:paraId="115C5B24"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37,523</w:t>
            </w:r>
          </w:p>
        </w:tc>
        <w:tc>
          <w:tcPr>
            <w:tcW w:w="1023" w:type="pct"/>
            <w:tcBorders>
              <w:top w:val="single" w:sz="4" w:space="0" w:color="auto"/>
              <w:left w:val="single" w:sz="12" w:space="0" w:color="auto"/>
              <w:bottom w:val="single" w:sz="4" w:space="0" w:color="auto"/>
            </w:tcBorders>
          </w:tcPr>
          <w:p w14:paraId="1F212D6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6D77A2B"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7,398</w:t>
            </w:r>
          </w:p>
        </w:tc>
        <w:tc>
          <w:tcPr>
            <w:tcW w:w="942" w:type="pct"/>
            <w:tcBorders>
              <w:top w:val="single" w:sz="4" w:space="0" w:color="auto"/>
              <w:left w:val="single" w:sz="12" w:space="0" w:color="auto"/>
              <w:bottom w:val="single" w:sz="4" w:space="0" w:color="auto"/>
            </w:tcBorders>
          </w:tcPr>
          <w:p w14:paraId="2376B4D7"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2,586</w:t>
            </w:r>
          </w:p>
        </w:tc>
      </w:tr>
      <w:tr w:rsidR="001726EF" w:rsidRPr="00D00CAA" w14:paraId="795D4217" w14:textId="77777777" w:rsidTr="001726EF">
        <w:tc>
          <w:tcPr>
            <w:tcW w:w="942" w:type="pct"/>
            <w:tcBorders>
              <w:top w:val="single" w:sz="4" w:space="0" w:color="auto"/>
              <w:left w:val="single" w:sz="12" w:space="0" w:color="auto"/>
              <w:bottom w:val="single" w:sz="4" w:space="0" w:color="auto"/>
            </w:tcBorders>
          </w:tcPr>
          <w:p w14:paraId="6F115A6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2005-2006</w:t>
            </w:r>
          </w:p>
        </w:tc>
        <w:tc>
          <w:tcPr>
            <w:tcW w:w="942" w:type="pct"/>
            <w:tcBorders>
              <w:top w:val="single" w:sz="4" w:space="0" w:color="auto"/>
              <w:left w:val="single" w:sz="12" w:space="0" w:color="auto"/>
              <w:bottom w:val="single" w:sz="4" w:space="0" w:color="auto"/>
            </w:tcBorders>
          </w:tcPr>
          <w:p w14:paraId="07C63E2C" w14:textId="77777777" w:rsidR="001726EF" w:rsidRPr="00D00CAA" w:rsidRDefault="001726EF" w:rsidP="00A40623">
            <w:pPr>
              <w:jc w:val="center"/>
              <w:rPr>
                <w:rFonts w:ascii="Arial" w:hAnsi="Arial" w:cs="Arial"/>
                <w:color w:val="000000"/>
                <w:sz w:val="20"/>
              </w:rPr>
            </w:pPr>
            <w:r w:rsidRPr="00D00CAA">
              <w:rPr>
                <w:rFonts w:ascii="Arial" w:hAnsi="Arial" w:cs="Arial"/>
                <w:color w:val="000000"/>
                <w:sz w:val="20"/>
              </w:rPr>
              <w:t>37,987</w:t>
            </w:r>
          </w:p>
        </w:tc>
        <w:tc>
          <w:tcPr>
            <w:tcW w:w="1023" w:type="pct"/>
            <w:tcBorders>
              <w:top w:val="single" w:sz="4" w:space="0" w:color="auto"/>
              <w:left w:val="single" w:sz="12" w:space="0" w:color="auto"/>
              <w:bottom w:val="single" w:sz="4" w:space="0" w:color="auto"/>
            </w:tcBorders>
          </w:tcPr>
          <w:p w14:paraId="5B4BD129" w14:textId="77777777" w:rsidR="001726EF" w:rsidRPr="00D00CAA" w:rsidRDefault="00C943C5" w:rsidP="00193618">
            <w:pPr>
              <w:jc w:val="center"/>
              <w:rPr>
                <w:rFonts w:ascii="Arial" w:hAnsi="Arial" w:cs="Arial"/>
                <w:color w:val="000000"/>
                <w:sz w:val="20"/>
              </w:rPr>
            </w:pPr>
            <w:r w:rsidRPr="00D00CA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06A3EE0F"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7,563</w:t>
            </w:r>
          </w:p>
        </w:tc>
        <w:tc>
          <w:tcPr>
            <w:tcW w:w="942" w:type="pct"/>
            <w:tcBorders>
              <w:top w:val="single" w:sz="4" w:space="0" w:color="auto"/>
              <w:left w:val="single" w:sz="12" w:space="0" w:color="auto"/>
              <w:bottom w:val="single" w:sz="4" w:space="0" w:color="auto"/>
            </w:tcBorders>
          </w:tcPr>
          <w:p w14:paraId="59F078F5"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2,916</w:t>
            </w:r>
          </w:p>
        </w:tc>
      </w:tr>
      <w:tr w:rsidR="001726EF" w:rsidRPr="00D00CAA" w14:paraId="1C4550C3" w14:textId="77777777" w:rsidTr="001726EF">
        <w:tc>
          <w:tcPr>
            <w:tcW w:w="942" w:type="pct"/>
            <w:tcBorders>
              <w:top w:val="single" w:sz="4" w:space="0" w:color="auto"/>
              <w:left w:val="single" w:sz="12" w:space="0" w:color="auto"/>
              <w:bottom w:val="single" w:sz="4" w:space="0" w:color="auto"/>
            </w:tcBorders>
          </w:tcPr>
          <w:p w14:paraId="09BD6C9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2006-2007</w:t>
            </w:r>
          </w:p>
        </w:tc>
        <w:tc>
          <w:tcPr>
            <w:tcW w:w="942" w:type="pct"/>
            <w:tcBorders>
              <w:top w:val="single" w:sz="4" w:space="0" w:color="auto"/>
              <w:left w:val="single" w:sz="12" w:space="0" w:color="auto"/>
              <w:bottom w:val="single" w:sz="4" w:space="0" w:color="auto"/>
            </w:tcBorders>
          </w:tcPr>
          <w:p w14:paraId="42FA7BB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38,675</w:t>
            </w:r>
          </w:p>
        </w:tc>
        <w:tc>
          <w:tcPr>
            <w:tcW w:w="1023" w:type="pct"/>
            <w:tcBorders>
              <w:top w:val="single" w:sz="4" w:space="0" w:color="auto"/>
              <w:left w:val="single" w:sz="12" w:space="0" w:color="auto"/>
              <w:bottom w:val="single" w:sz="4" w:space="0" w:color="auto"/>
            </w:tcBorders>
          </w:tcPr>
          <w:p w14:paraId="1E683C0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10,537</w:t>
            </w:r>
          </w:p>
        </w:tc>
        <w:tc>
          <w:tcPr>
            <w:tcW w:w="1151" w:type="pct"/>
            <w:tcBorders>
              <w:top w:val="single" w:sz="4" w:space="0" w:color="auto"/>
              <w:left w:val="single" w:sz="12" w:space="0" w:color="auto"/>
              <w:bottom w:val="single" w:sz="4" w:space="0" w:color="auto"/>
            </w:tcBorders>
          </w:tcPr>
          <w:p w14:paraId="1FD37C4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6,828</w:t>
            </w:r>
          </w:p>
        </w:tc>
        <w:tc>
          <w:tcPr>
            <w:tcW w:w="942" w:type="pct"/>
            <w:tcBorders>
              <w:top w:val="single" w:sz="4" w:space="0" w:color="auto"/>
              <w:left w:val="single" w:sz="12" w:space="0" w:color="auto"/>
              <w:bottom w:val="single" w:sz="4" w:space="0" w:color="auto"/>
            </w:tcBorders>
          </w:tcPr>
          <w:p w14:paraId="0F53C8A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3,101</w:t>
            </w:r>
          </w:p>
        </w:tc>
      </w:tr>
      <w:tr w:rsidR="001726EF" w:rsidRPr="00D00CAA" w14:paraId="3CC28A2D" w14:textId="77777777" w:rsidTr="001726EF">
        <w:tc>
          <w:tcPr>
            <w:tcW w:w="942" w:type="pct"/>
            <w:tcBorders>
              <w:top w:val="single" w:sz="4" w:space="0" w:color="auto"/>
              <w:left w:val="single" w:sz="12" w:space="0" w:color="auto"/>
              <w:bottom w:val="single" w:sz="4" w:space="0" w:color="auto"/>
            </w:tcBorders>
          </w:tcPr>
          <w:p w14:paraId="2A38151E"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2007-2008</w:t>
            </w:r>
          </w:p>
        </w:tc>
        <w:tc>
          <w:tcPr>
            <w:tcW w:w="942" w:type="pct"/>
            <w:tcBorders>
              <w:top w:val="single" w:sz="4" w:space="0" w:color="auto"/>
              <w:left w:val="single" w:sz="12" w:space="0" w:color="auto"/>
              <w:bottom w:val="single" w:sz="4" w:space="0" w:color="auto"/>
            </w:tcBorders>
          </w:tcPr>
          <w:p w14:paraId="448EF64A"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41,607</w:t>
            </w:r>
          </w:p>
        </w:tc>
        <w:tc>
          <w:tcPr>
            <w:tcW w:w="1023" w:type="pct"/>
            <w:tcBorders>
              <w:top w:val="single" w:sz="4" w:space="0" w:color="auto"/>
              <w:left w:val="single" w:sz="12" w:space="0" w:color="auto"/>
              <w:bottom w:val="single" w:sz="4" w:space="0" w:color="auto"/>
            </w:tcBorders>
          </w:tcPr>
          <w:p w14:paraId="3B8B5F48"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10,080</w:t>
            </w:r>
          </w:p>
        </w:tc>
        <w:tc>
          <w:tcPr>
            <w:tcW w:w="1151" w:type="pct"/>
            <w:tcBorders>
              <w:top w:val="single" w:sz="4" w:space="0" w:color="auto"/>
              <w:left w:val="single" w:sz="12" w:space="0" w:color="auto"/>
              <w:bottom w:val="single" w:sz="4" w:space="0" w:color="auto"/>
            </w:tcBorders>
          </w:tcPr>
          <w:p w14:paraId="6CD3244C"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6,365</w:t>
            </w:r>
          </w:p>
        </w:tc>
        <w:tc>
          <w:tcPr>
            <w:tcW w:w="942" w:type="pct"/>
            <w:tcBorders>
              <w:top w:val="single" w:sz="4" w:space="0" w:color="auto"/>
              <w:left w:val="single" w:sz="12" w:space="0" w:color="auto"/>
              <w:bottom w:val="single" w:sz="4" w:space="0" w:color="auto"/>
            </w:tcBorders>
          </w:tcPr>
          <w:p w14:paraId="7B245AF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3,353</w:t>
            </w:r>
          </w:p>
        </w:tc>
      </w:tr>
      <w:tr w:rsidR="001726EF" w:rsidRPr="00D00CAA" w14:paraId="48E3E54A" w14:textId="77777777" w:rsidTr="001726EF">
        <w:tc>
          <w:tcPr>
            <w:tcW w:w="942" w:type="pct"/>
            <w:tcBorders>
              <w:top w:val="single" w:sz="4" w:space="0" w:color="auto"/>
              <w:left w:val="single" w:sz="12" w:space="0" w:color="auto"/>
              <w:bottom w:val="single" w:sz="4" w:space="0" w:color="auto"/>
            </w:tcBorders>
          </w:tcPr>
          <w:p w14:paraId="0E3BAF1A"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2008-2009</w:t>
            </w:r>
          </w:p>
        </w:tc>
        <w:tc>
          <w:tcPr>
            <w:tcW w:w="942" w:type="pct"/>
            <w:tcBorders>
              <w:top w:val="single" w:sz="4" w:space="0" w:color="auto"/>
              <w:left w:val="single" w:sz="12" w:space="0" w:color="auto"/>
              <w:bottom w:val="single" w:sz="4" w:space="0" w:color="auto"/>
            </w:tcBorders>
          </w:tcPr>
          <w:p w14:paraId="22B9284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42,851</w:t>
            </w:r>
          </w:p>
        </w:tc>
        <w:tc>
          <w:tcPr>
            <w:tcW w:w="1023" w:type="pct"/>
            <w:tcBorders>
              <w:top w:val="single" w:sz="4" w:space="0" w:color="auto"/>
              <w:left w:val="single" w:sz="12" w:space="0" w:color="auto"/>
              <w:bottom w:val="single" w:sz="4" w:space="0" w:color="auto"/>
            </w:tcBorders>
          </w:tcPr>
          <w:p w14:paraId="3449F4BF"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10,300</w:t>
            </w:r>
          </w:p>
        </w:tc>
        <w:tc>
          <w:tcPr>
            <w:tcW w:w="1151" w:type="pct"/>
            <w:tcBorders>
              <w:top w:val="single" w:sz="4" w:space="0" w:color="auto"/>
              <w:left w:val="single" w:sz="12" w:space="0" w:color="auto"/>
              <w:bottom w:val="single" w:sz="4" w:space="0" w:color="auto"/>
            </w:tcBorders>
          </w:tcPr>
          <w:p w14:paraId="143F008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6,344</w:t>
            </w:r>
          </w:p>
        </w:tc>
        <w:tc>
          <w:tcPr>
            <w:tcW w:w="942" w:type="pct"/>
            <w:tcBorders>
              <w:top w:val="single" w:sz="4" w:space="0" w:color="auto"/>
              <w:left w:val="single" w:sz="12" w:space="0" w:color="auto"/>
              <w:bottom w:val="single" w:sz="4" w:space="0" w:color="auto"/>
            </w:tcBorders>
          </w:tcPr>
          <w:p w14:paraId="50041D4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3,048</w:t>
            </w:r>
          </w:p>
        </w:tc>
      </w:tr>
      <w:tr w:rsidR="001726EF" w:rsidRPr="00D00CAA" w14:paraId="26934956" w14:textId="77777777" w:rsidTr="00E76E28">
        <w:tc>
          <w:tcPr>
            <w:tcW w:w="942" w:type="pct"/>
            <w:tcBorders>
              <w:top w:val="single" w:sz="4" w:space="0" w:color="auto"/>
              <w:left w:val="single" w:sz="12" w:space="0" w:color="auto"/>
              <w:bottom w:val="single" w:sz="4" w:space="0" w:color="auto"/>
            </w:tcBorders>
          </w:tcPr>
          <w:p w14:paraId="69E0201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2009-2010</w:t>
            </w:r>
          </w:p>
        </w:tc>
        <w:tc>
          <w:tcPr>
            <w:tcW w:w="942" w:type="pct"/>
            <w:tcBorders>
              <w:top w:val="single" w:sz="4" w:space="0" w:color="auto"/>
              <w:left w:val="single" w:sz="12" w:space="0" w:color="auto"/>
              <w:bottom w:val="single" w:sz="4" w:space="0" w:color="auto"/>
            </w:tcBorders>
          </w:tcPr>
          <w:p w14:paraId="563B4AB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48,369</w:t>
            </w:r>
          </w:p>
        </w:tc>
        <w:tc>
          <w:tcPr>
            <w:tcW w:w="1023" w:type="pct"/>
            <w:tcBorders>
              <w:top w:val="single" w:sz="4" w:space="0" w:color="auto"/>
              <w:left w:val="single" w:sz="12" w:space="0" w:color="auto"/>
              <w:bottom w:val="single" w:sz="4" w:space="0" w:color="auto"/>
            </w:tcBorders>
          </w:tcPr>
          <w:p w14:paraId="3BAE828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12,174</w:t>
            </w:r>
          </w:p>
        </w:tc>
        <w:tc>
          <w:tcPr>
            <w:tcW w:w="1151" w:type="pct"/>
            <w:tcBorders>
              <w:top w:val="single" w:sz="4" w:space="0" w:color="auto"/>
              <w:left w:val="single" w:sz="12" w:space="0" w:color="auto"/>
              <w:bottom w:val="single" w:sz="4" w:space="0" w:color="auto"/>
            </w:tcBorders>
          </w:tcPr>
          <w:p w14:paraId="30D287C1"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6,603</w:t>
            </w:r>
          </w:p>
        </w:tc>
        <w:tc>
          <w:tcPr>
            <w:tcW w:w="942" w:type="pct"/>
            <w:tcBorders>
              <w:top w:val="single" w:sz="4" w:space="0" w:color="auto"/>
              <w:left w:val="single" w:sz="12" w:space="0" w:color="auto"/>
              <w:bottom w:val="single" w:sz="4" w:space="0" w:color="auto"/>
            </w:tcBorders>
          </w:tcPr>
          <w:p w14:paraId="17AEC39E"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3,046</w:t>
            </w:r>
          </w:p>
        </w:tc>
      </w:tr>
      <w:tr w:rsidR="005D4FF3" w:rsidRPr="00D00CAA" w14:paraId="21750184" w14:textId="77777777" w:rsidTr="00177067">
        <w:tc>
          <w:tcPr>
            <w:tcW w:w="942" w:type="pct"/>
            <w:tcBorders>
              <w:top w:val="single" w:sz="4" w:space="0" w:color="auto"/>
              <w:left w:val="single" w:sz="12" w:space="0" w:color="auto"/>
              <w:bottom w:val="single" w:sz="4" w:space="0" w:color="auto"/>
            </w:tcBorders>
          </w:tcPr>
          <w:p w14:paraId="7B711FE9" w14:textId="77777777" w:rsidR="005D4FF3" w:rsidRPr="00D00CAA" w:rsidRDefault="005D4FF3" w:rsidP="00193618">
            <w:pPr>
              <w:jc w:val="center"/>
              <w:rPr>
                <w:rFonts w:ascii="Arial" w:hAnsi="Arial" w:cs="Arial"/>
                <w:color w:val="000000"/>
                <w:sz w:val="20"/>
              </w:rPr>
            </w:pPr>
            <w:r w:rsidRPr="00D00CAA">
              <w:rPr>
                <w:rFonts w:ascii="Arial" w:hAnsi="Arial" w:cs="Arial"/>
                <w:color w:val="000000"/>
                <w:sz w:val="20"/>
              </w:rPr>
              <w:t>2010-2011</w:t>
            </w:r>
          </w:p>
        </w:tc>
        <w:tc>
          <w:tcPr>
            <w:tcW w:w="942" w:type="pct"/>
            <w:tcBorders>
              <w:top w:val="single" w:sz="4" w:space="0" w:color="auto"/>
              <w:left w:val="single" w:sz="12" w:space="0" w:color="auto"/>
              <w:bottom w:val="single" w:sz="4" w:space="0" w:color="auto"/>
            </w:tcBorders>
          </w:tcPr>
          <w:p w14:paraId="3DE22C46"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55,718</w:t>
            </w:r>
          </w:p>
        </w:tc>
        <w:tc>
          <w:tcPr>
            <w:tcW w:w="1023" w:type="pct"/>
            <w:tcBorders>
              <w:top w:val="single" w:sz="4" w:space="0" w:color="auto"/>
              <w:left w:val="single" w:sz="12" w:space="0" w:color="auto"/>
              <w:bottom w:val="single" w:sz="4" w:space="0" w:color="auto"/>
            </w:tcBorders>
          </w:tcPr>
          <w:p w14:paraId="28C9525F" w14:textId="77777777" w:rsidR="005D4FF3" w:rsidRPr="00D00CAA" w:rsidRDefault="005829E6" w:rsidP="00193618">
            <w:pPr>
              <w:jc w:val="center"/>
              <w:rPr>
                <w:rFonts w:ascii="Arial" w:hAnsi="Arial" w:cs="Arial"/>
                <w:color w:val="000000"/>
                <w:sz w:val="20"/>
              </w:rPr>
            </w:pPr>
            <w:r w:rsidRPr="00D00CAA">
              <w:rPr>
                <w:rFonts w:ascii="Arial" w:hAnsi="Arial" w:cs="Arial"/>
                <w:color w:val="000000"/>
                <w:sz w:val="20"/>
              </w:rPr>
              <w:t>13,941</w:t>
            </w:r>
          </w:p>
        </w:tc>
        <w:tc>
          <w:tcPr>
            <w:tcW w:w="1151" w:type="pct"/>
            <w:tcBorders>
              <w:top w:val="single" w:sz="4" w:space="0" w:color="auto"/>
              <w:left w:val="single" w:sz="12" w:space="0" w:color="auto"/>
              <w:bottom w:val="single" w:sz="4" w:space="0" w:color="auto"/>
            </w:tcBorders>
          </w:tcPr>
          <w:p w14:paraId="4E69D14A"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7,643</w:t>
            </w:r>
          </w:p>
        </w:tc>
        <w:tc>
          <w:tcPr>
            <w:tcW w:w="942" w:type="pct"/>
            <w:tcBorders>
              <w:top w:val="single" w:sz="4" w:space="0" w:color="auto"/>
              <w:left w:val="single" w:sz="12" w:space="0" w:color="auto"/>
              <w:bottom w:val="single" w:sz="4" w:space="0" w:color="auto"/>
            </w:tcBorders>
          </w:tcPr>
          <w:p w14:paraId="4C8EE85C" w14:textId="77777777" w:rsidR="005D4FF3" w:rsidRPr="00D00CAA" w:rsidRDefault="00C650FB" w:rsidP="00193618">
            <w:pPr>
              <w:jc w:val="center"/>
              <w:rPr>
                <w:rFonts w:ascii="Arial" w:hAnsi="Arial" w:cs="Arial"/>
                <w:color w:val="000000"/>
                <w:sz w:val="20"/>
              </w:rPr>
            </w:pPr>
            <w:r w:rsidRPr="00D00CAA">
              <w:rPr>
                <w:rFonts w:ascii="Arial" w:hAnsi="Arial" w:cs="Arial"/>
                <w:color w:val="000000"/>
                <w:sz w:val="20"/>
              </w:rPr>
              <w:t>3,270</w:t>
            </w:r>
          </w:p>
        </w:tc>
      </w:tr>
      <w:tr w:rsidR="00177067" w:rsidRPr="003D5DFA" w14:paraId="58465FBC" w14:textId="77777777" w:rsidTr="00492F82">
        <w:tc>
          <w:tcPr>
            <w:tcW w:w="942" w:type="pct"/>
            <w:tcBorders>
              <w:top w:val="single" w:sz="4" w:space="0" w:color="auto"/>
              <w:left w:val="single" w:sz="12" w:space="0" w:color="auto"/>
              <w:bottom w:val="single" w:sz="4" w:space="0" w:color="auto"/>
            </w:tcBorders>
          </w:tcPr>
          <w:p w14:paraId="20C7F49B" w14:textId="77777777" w:rsidR="00177067" w:rsidRPr="003D5DFA" w:rsidRDefault="00177067" w:rsidP="00193618">
            <w:pPr>
              <w:jc w:val="center"/>
              <w:rPr>
                <w:rFonts w:ascii="Arial" w:hAnsi="Arial" w:cs="Arial"/>
                <w:color w:val="000000"/>
                <w:sz w:val="20"/>
              </w:rPr>
            </w:pPr>
            <w:r w:rsidRPr="003D5DFA">
              <w:rPr>
                <w:rFonts w:ascii="Arial" w:hAnsi="Arial" w:cs="Arial"/>
                <w:color w:val="000000"/>
                <w:sz w:val="20"/>
              </w:rPr>
              <w:t>2011-2012</w:t>
            </w:r>
          </w:p>
        </w:tc>
        <w:tc>
          <w:tcPr>
            <w:tcW w:w="942" w:type="pct"/>
            <w:tcBorders>
              <w:top w:val="single" w:sz="4" w:space="0" w:color="auto"/>
              <w:left w:val="single" w:sz="12" w:space="0" w:color="auto"/>
              <w:bottom w:val="single" w:sz="4" w:space="0" w:color="auto"/>
            </w:tcBorders>
          </w:tcPr>
          <w:p w14:paraId="31FF9502" w14:textId="77777777" w:rsidR="00177067" w:rsidRPr="003D5DFA" w:rsidRDefault="00826C57" w:rsidP="00193618">
            <w:pPr>
              <w:jc w:val="center"/>
              <w:rPr>
                <w:rFonts w:ascii="Arial" w:hAnsi="Arial" w:cs="Arial"/>
                <w:color w:val="000000"/>
                <w:sz w:val="20"/>
              </w:rPr>
            </w:pPr>
            <w:r w:rsidRPr="003D5DFA">
              <w:rPr>
                <w:rFonts w:ascii="Arial" w:hAnsi="Arial" w:cs="Arial"/>
                <w:color w:val="000000"/>
                <w:sz w:val="20"/>
              </w:rPr>
              <w:t>63,830</w:t>
            </w:r>
          </w:p>
        </w:tc>
        <w:tc>
          <w:tcPr>
            <w:tcW w:w="1023" w:type="pct"/>
            <w:tcBorders>
              <w:top w:val="single" w:sz="4" w:space="0" w:color="auto"/>
              <w:left w:val="single" w:sz="12" w:space="0" w:color="auto"/>
              <w:bottom w:val="single" w:sz="4" w:space="0" w:color="auto"/>
            </w:tcBorders>
          </w:tcPr>
          <w:p w14:paraId="35043822"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16,072</w:t>
            </w:r>
          </w:p>
        </w:tc>
        <w:tc>
          <w:tcPr>
            <w:tcW w:w="1151" w:type="pct"/>
            <w:tcBorders>
              <w:top w:val="single" w:sz="4" w:space="0" w:color="auto"/>
              <w:left w:val="single" w:sz="12" w:space="0" w:color="auto"/>
              <w:bottom w:val="single" w:sz="4" w:space="0" w:color="auto"/>
            </w:tcBorders>
          </w:tcPr>
          <w:p w14:paraId="7DEA31FC"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9,075</w:t>
            </w:r>
          </w:p>
        </w:tc>
        <w:tc>
          <w:tcPr>
            <w:tcW w:w="942" w:type="pct"/>
            <w:tcBorders>
              <w:top w:val="single" w:sz="4" w:space="0" w:color="auto"/>
              <w:left w:val="single" w:sz="12" w:space="0" w:color="auto"/>
              <w:bottom w:val="single" w:sz="4" w:space="0" w:color="auto"/>
            </w:tcBorders>
          </w:tcPr>
          <w:p w14:paraId="1C8C953F" w14:textId="77777777" w:rsidR="00177067" w:rsidRPr="003D5DFA" w:rsidRDefault="00284783" w:rsidP="00193618">
            <w:pPr>
              <w:jc w:val="center"/>
              <w:rPr>
                <w:rFonts w:ascii="Arial" w:hAnsi="Arial" w:cs="Arial"/>
                <w:color w:val="000000"/>
                <w:sz w:val="20"/>
              </w:rPr>
            </w:pPr>
            <w:r w:rsidRPr="003D5DFA">
              <w:rPr>
                <w:rFonts w:ascii="Arial" w:hAnsi="Arial" w:cs="Arial"/>
                <w:color w:val="000000"/>
                <w:sz w:val="20"/>
              </w:rPr>
              <w:t>3,920</w:t>
            </w:r>
          </w:p>
        </w:tc>
      </w:tr>
      <w:tr w:rsidR="00492F82" w:rsidRPr="003D5DFA" w14:paraId="44E494B2" w14:textId="77777777" w:rsidTr="00453F5C">
        <w:tc>
          <w:tcPr>
            <w:tcW w:w="942" w:type="pct"/>
            <w:tcBorders>
              <w:top w:val="single" w:sz="4" w:space="0" w:color="auto"/>
              <w:left w:val="single" w:sz="12" w:space="0" w:color="auto"/>
              <w:bottom w:val="single" w:sz="4" w:space="0" w:color="auto"/>
              <w:right w:val="single" w:sz="4" w:space="0" w:color="auto"/>
            </w:tcBorders>
          </w:tcPr>
          <w:p w14:paraId="1ED3A4F0" w14:textId="77777777" w:rsidR="00492F82" w:rsidRPr="003D5DFA" w:rsidRDefault="00492F82" w:rsidP="00796A19">
            <w:pPr>
              <w:jc w:val="center"/>
              <w:rPr>
                <w:rFonts w:ascii="Arial" w:hAnsi="Arial" w:cs="Arial"/>
                <w:color w:val="000000"/>
                <w:sz w:val="20"/>
              </w:rPr>
            </w:pPr>
            <w:r w:rsidRPr="003D5DFA">
              <w:rPr>
                <w:rFonts w:ascii="Arial" w:hAnsi="Arial" w:cs="Arial"/>
                <w:color w:val="000000"/>
                <w:sz w:val="20"/>
              </w:rPr>
              <w:t>201</w:t>
            </w:r>
            <w:r>
              <w:rPr>
                <w:rFonts w:ascii="Arial" w:hAnsi="Arial" w:cs="Arial"/>
                <w:color w:val="000000"/>
                <w:sz w:val="20"/>
              </w:rPr>
              <w:t>2</w:t>
            </w:r>
            <w:r w:rsidRPr="003D5DFA">
              <w:rPr>
                <w:rFonts w:ascii="Arial" w:hAnsi="Arial" w:cs="Arial"/>
                <w:color w:val="000000"/>
                <w:sz w:val="20"/>
              </w:rPr>
              <w:t>-201</w:t>
            </w:r>
            <w:r>
              <w:rPr>
                <w:rFonts w:ascii="Arial" w:hAnsi="Arial" w:cs="Arial"/>
                <w:color w:val="000000"/>
                <w:sz w:val="20"/>
              </w:rPr>
              <w:t>3</w:t>
            </w:r>
          </w:p>
        </w:tc>
        <w:tc>
          <w:tcPr>
            <w:tcW w:w="942" w:type="pct"/>
            <w:tcBorders>
              <w:top w:val="single" w:sz="4" w:space="0" w:color="auto"/>
              <w:left w:val="single" w:sz="12" w:space="0" w:color="auto"/>
              <w:bottom w:val="single" w:sz="4" w:space="0" w:color="auto"/>
              <w:right w:val="single" w:sz="4" w:space="0" w:color="auto"/>
            </w:tcBorders>
          </w:tcPr>
          <w:p w14:paraId="386B4568" w14:textId="77777777" w:rsidR="00492F82" w:rsidRPr="003D5DFA" w:rsidRDefault="00A309B2" w:rsidP="00796A19">
            <w:pPr>
              <w:jc w:val="center"/>
              <w:rPr>
                <w:rFonts w:ascii="Arial" w:hAnsi="Arial" w:cs="Arial"/>
                <w:color w:val="000000"/>
                <w:sz w:val="20"/>
              </w:rPr>
            </w:pPr>
            <w:r>
              <w:rPr>
                <w:rFonts w:ascii="Arial" w:hAnsi="Arial" w:cs="Arial"/>
                <w:color w:val="000000"/>
                <w:sz w:val="20"/>
              </w:rPr>
              <w:t>73,265</w:t>
            </w:r>
          </w:p>
        </w:tc>
        <w:tc>
          <w:tcPr>
            <w:tcW w:w="1023" w:type="pct"/>
            <w:tcBorders>
              <w:top w:val="single" w:sz="4" w:space="0" w:color="auto"/>
              <w:left w:val="single" w:sz="12" w:space="0" w:color="auto"/>
              <w:bottom w:val="single" w:sz="4" w:space="0" w:color="auto"/>
              <w:right w:val="single" w:sz="4" w:space="0" w:color="auto"/>
            </w:tcBorders>
          </w:tcPr>
          <w:p w14:paraId="065285CB" w14:textId="77777777" w:rsidR="00492F82" w:rsidRPr="003D5DFA" w:rsidRDefault="00A309B2" w:rsidP="00796A19">
            <w:pPr>
              <w:jc w:val="center"/>
              <w:rPr>
                <w:rFonts w:ascii="Arial" w:hAnsi="Arial" w:cs="Arial"/>
                <w:color w:val="000000"/>
                <w:sz w:val="20"/>
              </w:rPr>
            </w:pPr>
            <w:r>
              <w:rPr>
                <w:rFonts w:ascii="Arial" w:hAnsi="Arial" w:cs="Arial"/>
                <w:color w:val="000000"/>
                <w:sz w:val="20"/>
              </w:rPr>
              <w:t>17,476</w:t>
            </w:r>
          </w:p>
        </w:tc>
        <w:tc>
          <w:tcPr>
            <w:tcW w:w="1151" w:type="pct"/>
            <w:tcBorders>
              <w:top w:val="single" w:sz="4" w:space="0" w:color="auto"/>
              <w:left w:val="single" w:sz="12" w:space="0" w:color="auto"/>
              <w:bottom w:val="single" w:sz="4" w:space="0" w:color="auto"/>
              <w:right w:val="single" w:sz="4" w:space="0" w:color="auto"/>
            </w:tcBorders>
          </w:tcPr>
          <w:p w14:paraId="26E37C83" w14:textId="77777777" w:rsidR="00492F82" w:rsidRPr="003D5DFA" w:rsidRDefault="00A309B2" w:rsidP="00796A19">
            <w:pPr>
              <w:jc w:val="center"/>
              <w:rPr>
                <w:rFonts w:ascii="Arial" w:hAnsi="Arial" w:cs="Arial"/>
                <w:color w:val="000000"/>
                <w:sz w:val="20"/>
              </w:rPr>
            </w:pPr>
            <w:r>
              <w:rPr>
                <w:rFonts w:ascii="Arial" w:hAnsi="Arial" w:cs="Arial"/>
                <w:color w:val="000000"/>
                <w:sz w:val="20"/>
              </w:rPr>
              <w:t>10,489</w:t>
            </w:r>
          </w:p>
        </w:tc>
        <w:tc>
          <w:tcPr>
            <w:tcW w:w="942" w:type="pct"/>
            <w:tcBorders>
              <w:top w:val="single" w:sz="4" w:space="0" w:color="auto"/>
              <w:left w:val="single" w:sz="12" w:space="0" w:color="auto"/>
              <w:bottom w:val="single" w:sz="4" w:space="0" w:color="auto"/>
              <w:right w:val="single" w:sz="18" w:space="0" w:color="auto"/>
            </w:tcBorders>
          </w:tcPr>
          <w:p w14:paraId="002C772C" w14:textId="77777777" w:rsidR="00492F82" w:rsidRPr="003D5DFA" w:rsidRDefault="00A309B2" w:rsidP="00796A19">
            <w:pPr>
              <w:jc w:val="center"/>
              <w:rPr>
                <w:rFonts w:ascii="Arial" w:hAnsi="Arial" w:cs="Arial"/>
                <w:color w:val="000000"/>
                <w:sz w:val="20"/>
              </w:rPr>
            </w:pPr>
            <w:r>
              <w:rPr>
                <w:rFonts w:ascii="Arial" w:hAnsi="Arial" w:cs="Arial"/>
                <w:color w:val="000000"/>
                <w:sz w:val="20"/>
              </w:rPr>
              <w:t>3,804</w:t>
            </w:r>
          </w:p>
        </w:tc>
      </w:tr>
      <w:tr w:rsidR="00453F5C" w:rsidRPr="003D5DFA" w14:paraId="48BA2DF6" w14:textId="77777777" w:rsidTr="00492F82">
        <w:tc>
          <w:tcPr>
            <w:tcW w:w="942" w:type="pct"/>
            <w:tcBorders>
              <w:top w:val="single" w:sz="4" w:space="0" w:color="auto"/>
              <w:left w:val="single" w:sz="12" w:space="0" w:color="auto"/>
              <w:bottom w:val="single" w:sz="18" w:space="0" w:color="auto"/>
              <w:right w:val="single" w:sz="4" w:space="0" w:color="auto"/>
            </w:tcBorders>
          </w:tcPr>
          <w:p w14:paraId="102955F9" w14:textId="77777777" w:rsidR="00453F5C" w:rsidRPr="003D5DFA" w:rsidRDefault="00453F5C" w:rsidP="00796A19">
            <w:pPr>
              <w:jc w:val="center"/>
              <w:rPr>
                <w:rFonts w:ascii="Arial" w:hAnsi="Arial" w:cs="Arial"/>
                <w:color w:val="000000"/>
                <w:sz w:val="20"/>
              </w:rPr>
            </w:pPr>
            <w:r>
              <w:rPr>
                <w:rFonts w:ascii="Arial" w:hAnsi="Arial" w:cs="Arial"/>
                <w:color w:val="000000"/>
                <w:sz w:val="20"/>
              </w:rPr>
              <w:t>2013-2014</w:t>
            </w:r>
          </w:p>
        </w:tc>
        <w:tc>
          <w:tcPr>
            <w:tcW w:w="942" w:type="pct"/>
            <w:tcBorders>
              <w:top w:val="single" w:sz="4" w:space="0" w:color="auto"/>
              <w:left w:val="single" w:sz="12" w:space="0" w:color="auto"/>
              <w:bottom w:val="single" w:sz="18" w:space="0" w:color="auto"/>
              <w:right w:val="single" w:sz="4" w:space="0" w:color="auto"/>
            </w:tcBorders>
          </w:tcPr>
          <w:p w14:paraId="1CD3E323" w14:textId="77777777" w:rsidR="00453F5C" w:rsidRDefault="00453F5C" w:rsidP="00796A19">
            <w:pPr>
              <w:jc w:val="center"/>
              <w:rPr>
                <w:rFonts w:ascii="Arial" w:hAnsi="Arial" w:cs="Arial"/>
                <w:color w:val="000000"/>
                <w:sz w:val="20"/>
              </w:rPr>
            </w:pPr>
            <w:r>
              <w:rPr>
                <w:rFonts w:ascii="Arial" w:hAnsi="Arial" w:cs="Arial"/>
                <w:color w:val="000000"/>
                <w:sz w:val="20"/>
              </w:rPr>
              <w:t>82,056</w:t>
            </w:r>
          </w:p>
        </w:tc>
        <w:tc>
          <w:tcPr>
            <w:tcW w:w="1023" w:type="pct"/>
            <w:tcBorders>
              <w:top w:val="single" w:sz="4" w:space="0" w:color="auto"/>
              <w:left w:val="single" w:sz="12" w:space="0" w:color="auto"/>
              <w:bottom w:val="single" w:sz="18" w:space="0" w:color="auto"/>
              <w:right w:val="single" w:sz="4" w:space="0" w:color="auto"/>
            </w:tcBorders>
          </w:tcPr>
          <w:p w14:paraId="07BD799B" w14:textId="77777777" w:rsidR="00453F5C" w:rsidRDefault="00453F5C" w:rsidP="00796A19">
            <w:pPr>
              <w:jc w:val="center"/>
              <w:rPr>
                <w:rFonts w:ascii="Arial" w:hAnsi="Arial" w:cs="Arial"/>
                <w:color w:val="000000"/>
                <w:sz w:val="20"/>
              </w:rPr>
            </w:pPr>
            <w:r>
              <w:rPr>
                <w:rFonts w:ascii="Arial" w:hAnsi="Arial" w:cs="Arial"/>
                <w:color w:val="000000"/>
                <w:sz w:val="20"/>
              </w:rPr>
              <w:t>19,206</w:t>
            </w:r>
          </w:p>
        </w:tc>
        <w:tc>
          <w:tcPr>
            <w:tcW w:w="1151" w:type="pct"/>
            <w:tcBorders>
              <w:top w:val="single" w:sz="4" w:space="0" w:color="auto"/>
              <w:left w:val="single" w:sz="12" w:space="0" w:color="auto"/>
              <w:bottom w:val="single" w:sz="18" w:space="0" w:color="auto"/>
              <w:right w:val="single" w:sz="4" w:space="0" w:color="auto"/>
            </w:tcBorders>
          </w:tcPr>
          <w:p w14:paraId="0AEED227" w14:textId="77777777" w:rsidR="00453F5C" w:rsidRDefault="00453F5C" w:rsidP="00796A19">
            <w:pPr>
              <w:jc w:val="center"/>
              <w:rPr>
                <w:rFonts w:ascii="Arial" w:hAnsi="Arial" w:cs="Arial"/>
                <w:color w:val="000000"/>
                <w:sz w:val="20"/>
              </w:rPr>
            </w:pPr>
            <w:r>
              <w:rPr>
                <w:rFonts w:ascii="Arial" w:hAnsi="Arial" w:cs="Arial"/>
                <w:color w:val="000000"/>
                <w:sz w:val="20"/>
              </w:rPr>
              <w:t>11,395</w:t>
            </w:r>
          </w:p>
        </w:tc>
        <w:tc>
          <w:tcPr>
            <w:tcW w:w="942" w:type="pct"/>
            <w:tcBorders>
              <w:top w:val="single" w:sz="4" w:space="0" w:color="auto"/>
              <w:left w:val="single" w:sz="12" w:space="0" w:color="auto"/>
              <w:bottom w:val="single" w:sz="18" w:space="0" w:color="auto"/>
              <w:right w:val="single" w:sz="18" w:space="0" w:color="auto"/>
            </w:tcBorders>
          </w:tcPr>
          <w:p w14:paraId="0700E768" w14:textId="77777777" w:rsidR="00453F5C" w:rsidRDefault="00625B1E" w:rsidP="00796A19">
            <w:pPr>
              <w:jc w:val="center"/>
              <w:rPr>
                <w:rFonts w:ascii="Arial" w:hAnsi="Arial" w:cs="Arial"/>
                <w:color w:val="000000"/>
                <w:sz w:val="20"/>
              </w:rPr>
            </w:pPr>
            <w:r>
              <w:rPr>
                <w:rFonts w:ascii="Arial" w:hAnsi="Arial" w:cs="Arial"/>
                <w:color w:val="000000"/>
                <w:sz w:val="20"/>
              </w:rPr>
              <w:t>Approx 4,200</w:t>
            </w:r>
          </w:p>
        </w:tc>
      </w:tr>
    </w:tbl>
    <w:p w14:paraId="29822483" w14:textId="77777777" w:rsidR="00A309B2" w:rsidRDefault="00A309B2" w:rsidP="00A309B2">
      <w:pPr>
        <w:jc w:val="both"/>
        <w:rPr>
          <w:rFonts w:ascii="Arial" w:hAnsi="Arial" w:cs="Arial"/>
          <w:color w:val="000000"/>
          <w:sz w:val="20"/>
        </w:rPr>
      </w:pPr>
    </w:p>
    <w:p w14:paraId="00BF8FE2" w14:textId="77777777" w:rsidR="00842179" w:rsidRPr="003D5DFA" w:rsidRDefault="00453F5C" w:rsidP="00842179">
      <w:pPr>
        <w:jc w:val="both"/>
        <w:rPr>
          <w:rFonts w:ascii="Arial" w:hAnsi="Arial" w:cs="Arial"/>
          <w:color w:val="000000"/>
          <w:sz w:val="20"/>
        </w:rPr>
      </w:pPr>
      <w:r>
        <w:rPr>
          <w:rFonts w:ascii="Arial" w:hAnsi="Arial" w:cs="Arial"/>
          <w:color w:val="000000"/>
          <w:sz w:val="20"/>
        </w:rPr>
        <w:t xml:space="preserve">The writer does not know why only a comparatively small percentage of child protection reports are ultimately investigated.  </w:t>
      </w:r>
      <w:r w:rsidR="0094402D" w:rsidRPr="00D00CAA">
        <w:rPr>
          <w:rFonts w:ascii="Arial" w:hAnsi="Arial" w:cs="Arial"/>
          <w:color w:val="000000"/>
          <w:sz w:val="20"/>
        </w:rPr>
        <w:t xml:space="preserve">It is noteworthy </w:t>
      </w:r>
      <w:r w:rsidR="00C943C5" w:rsidRPr="00D00CAA">
        <w:rPr>
          <w:rFonts w:ascii="Arial" w:hAnsi="Arial" w:cs="Arial"/>
          <w:color w:val="000000"/>
          <w:sz w:val="20"/>
        </w:rPr>
        <w:t xml:space="preserve">– and potentially alarming – </w:t>
      </w:r>
      <w:r w:rsidR="008C13DE" w:rsidRPr="00D00CAA">
        <w:rPr>
          <w:rFonts w:ascii="Arial" w:hAnsi="Arial" w:cs="Arial"/>
          <w:color w:val="000000"/>
          <w:sz w:val="20"/>
        </w:rPr>
        <w:t>that</w:t>
      </w:r>
      <w:r w:rsidR="00C943C5" w:rsidRPr="00D00CAA">
        <w:rPr>
          <w:rFonts w:ascii="Arial" w:hAnsi="Arial" w:cs="Arial"/>
          <w:color w:val="000000"/>
          <w:sz w:val="20"/>
        </w:rPr>
        <w:t xml:space="preserve"> </w:t>
      </w:r>
      <w:r w:rsidR="0094402D" w:rsidRPr="00D00CAA">
        <w:rPr>
          <w:rFonts w:ascii="Arial" w:hAnsi="Arial" w:cs="Arial"/>
          <w:color w:val="000000"/>
          <w:sz w:val="20"/>
        </w:rPr>
        <w:t xml:space="preserve">the increase in the number of protective intervention reports received by the Department in Victoria </w:t>
      </w:r>
      <w:r w:rsidR="008C13DE" w:rsidRPr="00D00CAA">
        <w:rPr>
          <w:rFonts w:ascii="Arial" w:hAnsi="Arial" w:cs="Arial"/>
          <w:color w:val="000000"/>
          <w:sz w:val="20"/>
        </w:rPr>
        <w:t xml:space="preserve">in 2009-2010 </w:t>
      </w:r>
      <w:r w:rsidR="0094402D" w:rsidRPr="00D00CAA">
        <w:rPr>
          <w:rFonts w:ascii="Arial" w:hAnsi="Arial" w:cs="Arial"/>
          <w:color w:val="000000"/>
          <w:sz w:val="20"/>
        </w:rPr>
        <w:t xml:space="preserve">was </w:t>
      </w:r>
      <w:r w:rsidR="000B5FAA" w:rsidRPr="00D00CAA">
        <w:rPr>
          <w:rFonts w:ascii="Arial" w:hAnsi="Arial" w:cs="Arial"/>
          <w:color w:val="000000"/>
          <w:sz w:val="20"/>
        </w:rPr>
        <w:t>almost as great as</w:t>
      </w:r>
      <w:r w:rsidR="0094402D" w:rsidRPr="00D00CAA">
        <w:rPr>
          <w:rFonts w:ascii="Arial" w:hAnsi="Arial" w:cs="Arial"/>
          <w:color w:val="000000"/>
          <w:sz w:val="20"/>
        </w:rPr>
        <w:t xml:space="preserve"> the </w:t>
      </w:r>
      <w:r w:rsidR="00C943C5" w:rsidRPr="00D00CAA">
        <w:rPr>
          <w:rFonts w:ascii="Arial" w:hAnsi="Arial" w:cs="Arial"/>
          <w:color w:val="000000"/>
          <w:sz w:val="20"/>
        </w:rPr>
        <w:t xml:space="preserve">total </w:t>
      </w:r>
      <w:r w:rsidR="0094402D" w:rsidRPr="00D00CAA">
        <w:rPr>
          <w:rFonts w:ascii="Arial" w:hAnsi="Arial" w:cs="Arial"/>
          <w:color w:val="000000"/>
          <w:sz w:val="20"/>
        </w:rPr>
        <w:t>incre</w:t>
      </w:r>
      <w:r w:rsidR="00C650FB" w:rsidRPr="00D00CAA">
        <w:rPr>
          <w:rFonts w:ascii="Arial" w:hAnsi="Arial" w:cs="Arial"/>
          <w:color w:val="000000"/>
          <w:sz w:val="20"/>
        </w:rPr>
        <w:t xml:space="preserve">ase over the previous ten years and that there has been such a large </w:t>
      </w:r>
      <w:r w:rsidR="00C650FB" w:rsidRPr="003D5DFA">
        <w:rPr>
          <w:rFonts w:ascii="Arial" w:hAnsi="Arial" w:cs="Arial"/>
          <w:color w:val="000000"/>
          <w:sz w:val="20"/>
        </w:rPr>
        <w:t xml:space="preserve">increase in </w:t>
      </w:r>
      <w:r w:rsidR="00C6523B" w:rsidRPr="003D5DFA">
        <w:rPr>
          <w:rFonts w:ascii="Arial" w:hAnsi="Arial" w:cs="Arial"/>
          <w:color w:val="000000"/>
          <w:sz w:val="20"/>
        </w:rPr>
        <w:t xml:space="preserve">reports </w:t>
      </w:r>
      <w:r w:rsidR="00240B5E" w:rsidRPr="003D5DFA">
        <w:rPr>
          <w:rFonts w:ascii="Arial" w:hAnsi="Arial" w:cs="Arial"/>
          <w:color w:val="000000"/>
          <w:sz w:val="20"/>
        </w:rPr>
        <w:t xml:space="preserve">and substantiations </w:t>
      </w:r>
      <w:r>
        <w:rPr>
          <w:rFonts w:ascii="Arial" w:hAnsi="Arial" w:cs="Arial"/>
          <w:color w:val="000000"/>
          <w:sz w:val="20"/>
        </w:rPr>
        <w:t>in each year since 2008-2009.</w:t>
      </w:r>
    </w:p>
    <w:p w14:paraId="4FFF7FDB" w14:textId="77777777" w:rsidR="0094402D" w:rsidRPr="00785E1A" w:rsidRDefault="0094402D" w:rsidP="0094402D">
      <w:pPr>
        <w:jc w:val="both"/>
        <w:rPr>
          <w:rFonts w:ascii="Arial" w:hAnsi="Arial" w:cs="Arial"/>
          <w:color w:val="000000"/>
          <w:sz w:val="20"/>
        </w:rPr>
      </w:pPr>
    </w:p>
    <w:p w14:paraId="17D8DB97" w14:textId="77777777" w:rsidR="00E732EA" w:rsidRDefault="00E732EA" w:rsidP="00E732EA">
      <w:pPr>
        <w:ind w:left="-567" w:right="-567"/>
        <w:jc w:val="center"/>
        <w:rPr>
          <w:rFonts w:ascii="Arial" w:hAnsi="Arial" w:cs="Arial"/>
          <w:sz w:val="20"/>
        </w:rPr>
      </w:pPr>
      <w:r w:rsidRPr="00F13CFD">
        <w:rPr>
          <w:rFonts w:ascii="Arial" w:hAnsi="Arial" w:cs="Arial"/>
          <w:sz w:val="16"/>
        </w:rPr>
        <w:object w:dxaOrig="12631" w:dyaOrig="8926" w14:anchorId="56789ED6">
          <v:shape id="_x0000_i1026" type="#_x0000_t75" style="width:428.1pt;height:281.25pt" o:ole="" o:bordertopcolor="this" o:borderleftcolor="this" o:borderbottomcolor="this" o:borderrightcolor="this">
            <v:imagedata r:id="rId14" o:title="" croptop="4163f" cropbottom="2498f" cropleft="1177f" cropright="1177f"/>
            <w10:bordertop type="single" width="4"/>
            <w10:borderleft type="single" width="4"/>
            <w10:borderbottom type="single" width="4"/>
            <w10:borderright type="single" width="4"/>
          </v:shape>
          <o:OLEObject Type="Embed" ProgID="AcroExch.Document.DC" ShapeID="_x0000_i1026" DrawAspect="Content" ObjectID="_1717476796" r:id="rId15"/>
        </w:object>
      </w:r>
    </w:p>
    <w:p w14:paraId="756CE56D" w14:textId="77777777" w:rsidR="0094402D" w:rsidRPr="00785E1A" w:rsidRDefault="0094402D" w:rsidP="0094402D">
      <w:pPr>
        <w:jc w:val="both"/>
        <w:rPr>
          <w:rFonts w:ascii="Arial" w:hAnsi="Arial" w:cs="Arial"/>
          <w:color w:val="000000"/>
          <w:sz w:val="20"/>
        </w:rPr>
      </w:pPr>
    </w:p>
    <w:p w14:paraId="6DAA81ED" w14:textId="77777777" w:rsidR="00E732EA" w:rsidRPr="00785E1A" w:rsidRDefault="00E732EA" w:rsidP="00E732EA">
      <w:pPr>
        <w:jc w:val="both"/>
        <w:rPr>
          <w:rFonts w:ascii="Arial" w:hAnsi="Arial" w:cs="Arial"/>
          <w:color w:val="000000"/>
          <w:sz w:val="20"/>
        </w:rPr>
      </w:pPr>
      <w:r w:rsidRPr="00785E1A">
        <w:rPr>
          <w:rFonts w:ascii="Arial" w:hAnsi="Arial" w:cs="Arial"/>
          <w:color w:val="000000"/>
          <w:sz w:val="20"/>
        </w:rPr>
        <w:t xml:space="preserve">But it is important to keep in perspective the fact – as the above </w:t>
      </w:r>
      <w:r w:rsidR="0094402D" w:rsidRPr="00785E1A">
        <w:rPr>
          <w:rFonts w:ascii="Arial" w:hAnsi="Arial" w:cs="Arial"/>
          <w:color w:val="000000"/>
          <w:sz w:val="20"/>
        </w:rPr>
        <w:t>diagram</w:t>
      </w:r>
      <w:r w:rsidRPr="00785E1A">
        <w:rPr>
          <w:rFonts w:ascii="Arial" w:hAnsi="Arial" w:cs="Arial"/>
          <w:color w:val="000000"/>
          <w:sz w:val="20"/>
        </w:rPr>
        <w:t xml:space="preserve"> shows – that only a very small percentage of Victorian children are the subject of reports – whether substantiated or unsubstantiated – to the Department.  However, the percentage of indigenous children who are the subject of protective intervention reports is grossly out of proportion to the percentage of indigenous children in the Victorian child population.  An indigenous child in Victoria is about </w:t>
      </w:r>
      <w:r w:rsidR="00B00042">
        <w:rPr>
          <w:rFonts w:ascii="Arial" w:hAnsi="Arial" w:cs="Arial"/>
          <w:color w:val="000000"/>
          <w:sz w:val="20"/>
        </w:rPr>
        <w:t xml:space="preserve">7½ </w:t>
      </w:r>
      <w:r w:rsidRPr="00785E1A">
        <w:rPr>
          <w:rFonts w:ascii="Arial" w:hAnsi="Arial" w:cs="Arial"/>
          <w:color w:val="000000"/>
          <w:sz w:val="20"/>
        </w:rPr>
        <w:t>times as likely to be the subject of a substantiated r</w:t>
      </w:r>
      <w:r w:rsidR="0094402D" w:rsidRPr="00785E1A">
        <w:rPr>
          <w:rFonts w:ascii="Arial" w:hAnsi="Arial" w:cs="Arial"/>
          <w:color w:val="000000"/>
          <w:sz w:val="20"/>
        </w:rPr>
        <w:t>eport as a non-indigenous child, as the following chart shows:</w:t>
      </w:r>
    </w:p>
    <w:p w14:paraId="414760B3" w14:textId="77777777" w:rsidR="0094402D" w:rsidRPr="00785E1A" w:rsidRDefault="0094402D" w:rsidP="0094402D">
      <w:pPr>
        <w:jc w:val="both"/>
        <w:rPr>
          <w:rFonts w:ascii="Arial" w:hAnsi="Arial" w:cs="Arial"/>
          <w:color w:val="000000"/>
          <w:sz w:val="20"/>
        </w:rPr>
      </w:pPr>
    </w:p>
    <w:tbl>
      <w:tblPr>
        <w:tblW w:w="8278"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55"/>
        <w:gridCol w:w="1655"/>
        <w:gridCol w:w="1656"/>
        <w:gridCol w:w="1656"/>
        <w:gridCol w:w="1656"/>
      </w:tblGrid>
      <w:tr w:rsidR="00C117DE" w:rsidRPr="00785E1A" w14:paraId="70F85C13" w14:textId="77777777" w:rsidTr="001152F2">
        <w:tc>
          <w:tcPr>
            <w:tcW w:w="5000" w:type="pct"/>
            <w:gridSpan w:val="5"/>
            <w:tcBorders>
              <w:top w:val="single" w:sz="12" w:space="0" w:color="auto"/>
              <w:left w:val="single" w:sz="12" w:space="0" w:color="auto"/>
              <w:bottom w:val="single" w:sz="4" w:space="0" w:color="auto"/>
            </w:tcBorders>
            <w:shd w:val="pct10" w:color="auto" w:fill="auto"/>
          </w:tcPr>
          <w:p w14:paraId="6A5599C0" w14:textId="77777777" w:rsidR="00C117DE" w:rsidRPr="00785E1A" w:rsidRDefault="00C117DE" w:rsidP="00447CE9">
            <w:pPr>
              <w:keepNext/>
              <w:jc w:val="center"/>
              <w:rPr>
                <w:rFonts w:ascii="Arial" w:hAnsi="Arial" w:cs="Arial"/>
                <w:b/>
                <w:color w:val="000000"/>
                <w:sz w:val="20"/>
              </w:rPr>
            </w:pPr>
            <w:r w:rsidRPr="00785E1A">
              <w:rPr>
                <w:rFonts w:ascii="Arial" w:hAnsi="Arial" w:cs="Arial"/>
                <w:b/>
                <w:color w:val="000000"/>
                <w:sz w:val="20"/>
              </w:rPr>
              <w:lastRenderedPageBreak/>
              <w:t>VICTORIAN NOTIFICATIONS/REPORTS</w:t>
            </w:r>
          </w:p>
        </w:tc>
      </w:tr>
      <w:tr w:rsidR="00510E44" w:rsidRPr="00785E1A" w14:paraId="51E1DB67" w14:textId="77777777" w:rsidTr="0094402D">
        <w:tc>
          <w:tcPr>
            <w:tcW w:w="1000" w:type="pct"/>
            <w:vMerge w:val="restart"/>
            <w:tcBorders>
              <w:top w:val="single" w:sz="12" w:space="0" w:color="auto"/>
              <w:left w:val="single" w:sz="12" w:space="0" w:color="auto"/>
            </w:tcBorders>
            <w:shd w:val="pct10" w:color="auto" w:fill="auto"/>
          </w:tcPr>
          <w:p w14:paraId="02F13260" w14:textId="77777777" w:rsidR="00510E44" w:rsidRPr="00785E1A" w:rsidRDefault="00510E44" w:rsidP="00447CE9">
            <w:pPr>
              <w:keepNext/>
              <w:spacing w:before="120"/>
              <w:jc w:val="center"/>
              <w:rPr>
                <w:rFonts w:ascii="Arial" w:hAnsi="Arial" w:cs="Arial"/>
                <w:b/>
                <w:color w:val="000000"/>
                <w:sz w:val="20"/>
              </w:rPr>
            </w:pPr>
            <w:r w:rsidRPr="00785E1A">
              <w:rPr>
                <w:rFonts w:ascii="Arial" w:hAnsi="Arial" w:cs="Arial"/>
                <w:b/>
                <w:color w:val="000000"/>
                <w:sz w:val="20"/>
              </w:rPr>
              <w:t>YEAR</w:t>
            </w:r>
          </w:p>
        </w:tc>
        <w:tc>
          <w:tcPr>
            <w:tcW w:w="1000" w:type="pct"/>
            <w:vMerge w:val="restart"/>
            <w:tcBorders>
              <w:top w:val="single" w:sz="12" w:space="0" w:color="auto"/>
              <w:left w:val="single" w:sz="12" w:space="0" w:color="auto"/>
            </w:tcBorders>
            <w:shd w:val="pct10" w:color="auto" w:fill="auto"/>
          </w:tcPr>
          <w:p w14:paraId="7A264EE2" w14:textId="77777777" w:rsidR="00510E44" w:rsidRPr="00785E1A" w:rsidRDefault="00510E44" w:rsidP="00447CE9">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3001" w:type="pct"/>
            <w:gridSpan w:val="3"/>
            <w:tcBorders>
              <w:top w:val="single" w:sz="12" w:space="0" w:color="auto"/>
              <w:left w:val="single" w:sz="12" w:space="0" w:color="auto"/>
              <w:bottom w:val="single" w:sz="12" w:space="0" w:color="auto"/>
            </w:tcBorders>
            <w:shd w:val="pct10" w:color="auto" w:fill="auto"/>
          </w:tcPr>
          <w:p w14:paraId="2AAD3548" w14:textId="77777777" w:rsidR="00510E44" w:rsidRPr="00785E1A" w:rsidRDefault="00510E44" w:rsidP="00447CE9">
            <w:pPr>
              <w:keepNext/>
              <w:jc w:val="center"/>
              <w:rPr>
                <w:rFonts w:ascii="Arial" w:hAnsi="Arial" w:cs="Arial"/>
                <w:b/>
                <w:color w:val="000000"/>
                <w:sz w:val="20"/>
              </w:rPr>
            </w:pPr>
            <w:r w:rsidRPr="00785E1A">
              <w:rPr>
                <w:rFonts w:ascii="Arial" w:hAnsi="Arial" w:cs="Arial"/>
                <w:b/>
                <w:color w:val="000000"/>
                <w:sz w:val="20"/>
              </w:rPr>
              <w:t>SUBSTANTIATED REPORTS</w:t>
            </w:r>
          </w:p>
        </w:tc>
      </w:tr>
      <w:tr w:rsidR="00B51BBE" w:rsidRPr="00785E1A" w14:paraId="570F613F" w14:textId="77777777" w:rsidTr="001152F2">
        <w:tc>
          <w:tcPr>
            <w:tcW w:w="1000" w:type="pct"/>
            <w:vMerge/>
            <w:tcBorders>
              <w:left w:val="single" w:sz="12" w:space="0" w:color="auto"/>
              <w:bottom w:val="single" w:sz="12" w:space="0" w:color="auto"/>
            </w:tcBorders>
            <w:shd w:val="pct10" w:color="auto" w:fill="auto"/>
          </w:tcPr>
          <w:p w14:paraId="60AAECDC" w14:textId="77777777" w:rsidR="00B51BBE" w:rsidRPr="00785E1A" w:rsidRDefault="00B51BBE" w:rsidP="0028753C">
            <w:pPr>
              <w:jc w:val="center"/>
              <w:rPr>
                <w:rFonts w:ascii="Arial" w:hAnsi="Arial" w:cs="Arial"/>
                <w:b/>
                <w:color w:val="000000"/>
                <w:sz w:val="20"/>
              </w:rPr>
            </w:pPr>
          </w:p>
        </w:tc>
        <w:tc>
          <w:tcPr>
            <w:tcW w:w="1000" w:type="pct"/>
            <w:vMerge/>
            <w:tcBorders>
              <w:left w:val="single" w:sz="12" w:space="0" w:color="auto"/>
              <w:bottom w:val="single" w:sz="12" w:space="0" w:color="auto"/>
            </w:tcBorders>
            <w:shd w:val="pct10" w:color="auto" w:fill="auto"/>
          </w:tcPr>
          <w:p w14:paraId="184DAA16" w14:textId="77777777" w:rsidR="00B51BBE" w:rsidRPr="00785E1A" w:rsidRDefault="00B51BBE" w:rsidP="0028753C">
            <w:pPr>
              <w:jc w:val="center"/>
              <w:rPr>
                <w:rFonts w:ascii="Arial" w:hAnsi="Arial" w:cs="Arial"/>
                <w:b/>
                <w:color w:val="000000"/>
                <w:sz w:val="20"/>
              </w:rPr>
            </w:pPr>
          </w:p>
        </w:tc>
        <w:tc>
          <w:tcPr>
            <w:tcW w:w="1000" w:type="pct"/>
            <w:tcBorders>
              <w:top w:val="single" w:sz="12" w:space="0" w:color="auto"/>
              <w:left w:val="single" w:sz="12" w:space="0" w:color="auto"/>
              <w:bottom w:val="single" w:sz="12" w:space="0" w:color="auto"/>
            </w:tcBorders>
            <w:shd w:val="pct10" w:color="auto" w:fill="auto"/>
          </w:tcPr>
          <w:p w14:paraId="7682D2A0" w14:textId="77777777" w:rsidR="00B51BBE" w:rsidRPr="00785E1A" w:rsidRDefault="00B51BBE" w:rsidP="0028753C">
            <w:pPr>
              <w:jc w:val="center"/>
              <w:rPr>
                <w:rFonts w:ascii="Arial" w:hAnsi="Arial" w:cs="Arial"/>
                <w:b/>
                <w:color w:val="000000"/>
                <w:sz w:val="20"/>
              </w:rPr>
            </w:pPr>
            <w:r w:rsidRPr="00785E1A">
              <w:rPr>
                <w:rFonts w:ascii="Arial" w:hAnsi="Arial" w:cs="Arial"/>
                <w:b/>
                <w:color w:val="000000"/>
                <w:sz w:val="20"/>
              </w:rPr>
              <w:t>TOTAL NUMBER</w:t>
            </w:r>
          </w:p>
        </w:tc>
        <w:tc>
          <w:tcPr>
            <w:tcW w:w="1000" w:type="pct"/>
            <w:tcBorders>
              <w:top w:val="single" w:sz="12" w:space="0" w:color="auto"/>
              <w:left w:val="single" w:sz="12" w:space="0" w:color="auto"/>
              <w:bottom w:val="single" w:sz="12" w:space="0" w:color="auto"/>
            </w:tcBorders>
            <w:shd w:val="pct10" w:color="auto" w:fill="auto"/>
          </w:tcPr>
          <w:p w14:paraId="13D72CA7" w14:textId="77777777" w:rsidR="00B51BBE" w:rsidRPr="00785E1A" w:rsidRDefault="00B51BBE" w:rsidP="00B51BBE">
            <w:pPr>
              <w:spacing w:before="120"/>
              <w:jc w:val="center"/>
              <w:rPr>
                <w:rFonts w:ascii="Arial" w:hAnsi="Arial" w:cs="Arial"/>
                <w:b/>
                <w:color w:val="000000"/>
                <w:sz w:val="20"/>
              </w:rPr>
            </w:pPr>
            <w:r w:rsidRPr="00785E1A">
              <w:rPr>
                <w:rFonts w:ascii="Arial" w:hAnsi="Arial" w:cs="Arial"/>
                <w:b/>
                <w:color w:val="000000"/>
                <w:sz w:val="20"/>
              </w:rPr>
              <w:t>INDIGENOUS</w:t>
            </w:r>
          </w:p>
        </w:tc>
        <w:tc>
          <w:tcPr>
            <w:tcW w:w="1000" w:type="pct"/>
            <w:tcBorders>
              <w:top w:val="single" w:sz="12" w:space="0" w:color="auto"/>
              <w:left w:val="single" w:sz="12" w:space="0" w:color="auto"/>
              <w:bottom w:val="single" w:sz="12" w:space="0" w:color="auto"/>
            </w:tcBorders>
            <w:shd w:val="pct10" w:color="auto" w:fill="auto"/>
          </w:tcPr>
          <w:p w14:paraId="40D8C521" w14:textId="77777777" w:rsidR="00B51BBE" w:rsidRPr="00785E1A" w:rsidRDefault="00B51BBE" w:rsidP="0028753C">
            <w:pPr>
              <w:jc w:val="center"/>
              <w:rPr>
                <w:rFonts w:ascii="Arial" w:hAnsi="Arial" w:cs="Arial"/>
                <w:b/>
                <w:color w:val="000000"/>
                <w:sz w:val="20"/>
              </w:rPr>
            </w:pPr>
            <w:r w:rsidRPr="00785E1A">
              <w:rPr>
                <w:rFonts w:ascii="Arial" w:hAnsi="Arial" w:cs="Arial"/>
                <w:b/>
                <w:color w:val="000000"/>
                <w:sz w:val="20"/>
              </w:rPr>
              <w:t>NON-INDIGENOUS</w:t>
            </w:r>
          </w:p>
        </w:tc>
      </w:tr>
      <w:tr w:rsidR="00B51BBE" w:rsidRPr="00785E1A" w14:paraId="2FABA210" w14:textId="77777777" w:rsidTr="001152F2">
        <w:tc>
          <w:tcPr>
            <w:tcW w:w="1000" w:type="pct"/>
            <w:tcBorders>
              <w:top w:val="single" w:sz="4" w:space="0" w:color="auto"/>
              <w:left w:val="single" w:sz="12" w:space="0" w:color="auto"/>
              <w:bottom w:val="single" w:sz="4" w:space="0" w:color="auto"/>
            </w:tcBorders>
          </w:tcPr>
          <w:p w14:paraId="04129B10"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2006-2007</w:t>
            </w:r>
          </w:p>
        </w:tc>
        <w:tc>
          <w:tcPr>
            <w:tcW w:w="1000" w:type="pct"/>
            <w:tcBorders>
              <w:top w:val="single" w:sz="4" w:space="0" w:color="auto"/>
              <w:left w:val="single" w:sz="12" w:space="0" w:color="auto"/>
              <w:bottom w:val="single" w:sz="4" w:space="0" w:color="auto"/>
            </w:tcBorders>
          </w:tcPr>
          <w:p w14:paraId="58D35AE0"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38,675</w:t>
            </w:r>
          </w:p>
        </w:tc>
        <w:tc>
          <w:tcPr>
            <w:tcW w:w="1000" w:type="pct"/>
            <w:tcBorders>
              <w:top w:val="single" w:sz="4" w:space="0" w:color="auto"/>
              <w:left w:val="single" w:sz="12" w:space="0" w:color="auto"/>
              <w:bottom w:val="single" w:sz="4" w:space="0" w:color="auto"/>
            </w:tcBorders>
          </w:tcPr>
          <w:p w14:paraId="3F5227B4"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6,828</w:t>
            </w:r>
          </w:p>
        </w:tc>
        <w:tc>
          <w:tcPr>
            <w:tcW w:w="1000" w:type="pct"/>
            <w:tcBorders>
              <w:top w:val="single" w:sz="4" w:space="0" w:color="auto"/>
              <w:left w:val="single" w:sz="12" w:space="0" w:color="auto"/>
              <w:bottom w:val="single" w:sz="4" w:space="0" w:color="auto"/>
            </w:tcBorders>
          </w:tcPr>
          <w:p w14:paraId="4DCA068C"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697 [5.66%]</w:t>
            </w:r>
          </w:p>
        </w:tc>
        <w:tc>
          <w:tcPr>
            <w:tcW w:w="1000" w:type="pct"/>
            <w:tcBorders>
              <w:top w:val="single" w:sz="4" w:space="0" w:color="auto"/>
              <w:left w:val="single" w:sz="12" w:space="0" w:color="auto"/>
              <w:bottom w:val="single" w:sz="4" w:space="0" w:color="auto"/>
            </w:tcBorders>
          </w:tcPr>
          <w:p w14:paraId="5A6A00C0"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5,891 [0.53%]</w:t>
            </w:r>
          </w:p>
        </w:tc>
      </w:tr>
      <w:tr w:rsidR="00B51BBE" w:rsidRPr="00785E1A" w14:paraId="60601316" w14:textId="77777777" w:rsidTr="001152F2">
        <w:tc>
          <w:tcPr>
            <w:tcW w:w="1000" w:type="pct"/>
            <w:tcBorders>
              <w:top w:val="single" w:sz="4" w:space="0" w:color="auto"/>
              <w:left w:val="single" w:sz="12" w:space="0" w:color="auto"/>
              <w:bottom w:val="single" w:sz="4" w:space="0" w:color="auto"/>
            </w:tcBorders>
          </w:tcPr>
          <w:p w14:paraId="66751142"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2007-2008</w:t>
            </w:r>
          </w:p>
        </w:tc>
        <w:tc>
          <w:tcPr>
            <w:tcW w:w="1000" w:type="pct"/>
            <w:tcBorders>
              <w:top w:val="single" w:sz="4" w:space="0" w:color="auto"/>
              <w:left w:val="single" w:sz="12" w:space="0" w:color="auto"/>
              <w:bottom w:val="single" w:sz="4" w:space="0" w:color="auto"/>
            </w:tcBorders>
          </w:tcPr>
          <w:p w14:paraId="3423FBD3"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41,607</w:t>
            </w:r>
          </w:p>
        </w:tc>
        <w:tc>
          <w:tcPr>
            <w:tcW w:w="1000" w:type="pct"/>
            <w:tcBorders>
              <w:top w:val="single" w:sz="4" w:space="0" w:color="auto"/>
              <w:left w:val="single" w:sz="12" w:space="0" w:color="auto"/>
              <w:bottom w:val="single" w:sz="4" w:space="0" w:color="auto"/>
            </w:tcBorders>
          </w:tcPr>
          <w:p w14:paraId="6380A83D" w14:textId="77777777" w:rsidR="00B51BBE" w:rsidRPr="00785E1A" w:rsidRDefault="00B51BBE" w:rsidP="00760C81">
            <w:pPr>
              <w:jc w:val="center"/>
              <w:rPr>
                <w:rFonts w:ascii="Arial" w:hAnsi="Arial" w:cs="Arial"/>
                <w:color w:val="000000"/>
                <w:sz w:val="20"/>
              </w:rPr>
            </w:pPr>
            <w:r w:rsidRPr="00785E1A">
              <w:rPr>
                <w:rFonts w:ascii="Arial" w:hAnsi="Arial" w:cs="Arial"/>
                <w:bCs/>
                <w:color w:val="000000"/>
                <w:sz w:val="20"/>
              </w:rPr>
              <w:t>6,365</w:t>
            </w:r>
          </w:p>
        </w:tc>
        <w:tc>
          <w:tcPr>
            <w:tcW w:w="1000" w:type="pct"/>
            <w:tcBorders>
              <w:top w:val="single" w:sz="4" w:space="0" w:color="auto"/>
              <w:left w:val="single" w:sz="12" w:space="0" w:color="auto"/>
              <w:bottom w:val="single" w:sz="4" w:space="0" w:color="auto"/>
            </w:tcBorders>
          </w:tcPr>
          <w:p w14:paraId="59C31D27"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681 [5.50%]</w:t>
            </w:r>
          </w:p>
        </w:tc>
        <w:tc>
          <w:tcPr>
            <w:tcW w:w="1000" w:type="pct"/>
            <w:tcBorders>
              <w:top w:val="single" w:sz="4" w:space="0" w:color="auto"/>
              <w:left w:val="single" w:sz="12" w:space="0" w:color="auto"/>
              <w:bottom w:val="single" w:sz="4" w:space="0" w:color="auto"/>
            </w:tcBorders>
          </w:tcPr>
          <w:p w14:paraId="2D4237B6"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5,461 [0.49%]</w:t>
            </w:r>
          </w:p>
        </w:tc>
      </w:tr>
      <w:tr w:rsidR="00B51BBE" w:rsidRPr="00785E1A" w14:paraId="6CE2E9F3" w14:textId="77777777" w:rsidTr="001152F2">
        <w:tc>
          <w:tcPr>
            <w:tcW w:w="1000" w:type="pct"/>
            <w:tcBorders>
              <w:top w:val="single" w:sz="4" w:space="0" w:color="auto"/>
              <w:left w:val="single" w:sz="12" w:space="0" w:color="auto"/>
              <w:bottom w:val="single" w:sz="4" w:space="0" w:color="auto"/>
            </w:tcBorders>
          </w:tcPr>
          <w:p w14:paraId="60C92841"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2008-2009</w:t>
            </w:r>
          </w:p>
        </w:tc>
        <w:tc>
          <w:tcPr>
            <w:tcW w:w="1000" w:type="pct"/>
            <w:tcBorders>
              <w:top w:val="single" w:sz="4" w:space="0" w:color="auto"/>
              <w:left w:val="single" w:sz="12" w:space="0" w:color="auto"/>
              <w:bottom w:val="single" w:sz="4" w:space="0" w:color="auto"/>
            </w:tcBorders>
          </w:tcPr>
          <w:p w14:paraId="201A29B8"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42,851</w:t>
            </w:r>
          </w:p>
        </w:tc>
        <w:tc>
          <w:tcPr>
            <w:tcW w:w="1000" w:type="pct"/>
            <w:tcBorders>
              <w:top w:val="single" w:sz="4" w:space="0" w:color="auto"/>
              <w:left w:val="single" w:sz="12" w:space="0" w:color="auto"/>
              <w:bottom w:val="single" w:sz="4" w:space="0" w:color="auto"/>
            </w:tcBorders>
          </w:tcPr>
          <w:p w14:paraId="26BF4519"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6,344</w:t>
            </w:r>
          </w:p>
        </w:tc>
        <w:tc>
          <w:tcPr>
            <w:tcW w:w="1000" w:type="pct"/>
            <w:tcBorders>
              <w:top w:val="single" w:sz="4" w:space="0" w:color="auto"/>
              <w:left w:val="single" w:sz="12" w:space="0" w:color="auto"/>
              <w:bottom w:val="single" w:sz="4" w:space="0" w:color="auto"/>
            </w:tcBorders>
          </w:tcPr>
          <w:p w14:paraId="12CA8DFA"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684</w:t>
            </w:r>
            <w:r w:rsidR="00706650" w:rsidRPr="00785E1A">
              <w:rPr>
                <w:rFonts w:ascii="Arial" w:hAnsi="Arial" w:cs="Arial"/>
                <w:color w:val="000000"/>
                <w:sz w:val="20"/>
              </w:rPr>
              <w:t xml:space="preserve"> [</w:t>
            </w:r>
            <w:r w:rsidR="00F364C1" w:rsidRPr="00785E1A">
              <w:rPr>
                <w:rFonts w:ascii="Arial" w:hAnsi="Arial" w:cs="Arial"/>
                <w:color w:val="000000"/>
                <w:sz w:val="20"/>
              </w:rPr>
              <w:t>4.50</w:t>
            </w:r>
            <w:r w:rsidR="00706650" w:rsidRPr="00785E1A">
              <w:rPr>
                <w:rFonts w:ascii="Arial" w:hAnsi="Arial" w:cs="Arial"/>
                <w:color w:val="000000"/>
                <w:sz w:val="20"/>
              </w:rPr>
              <w:t>%]</w:t>
            </w:r>
          </w:p>
        </w:tc>
        <w:tc>
          <w:tcPr>
            <w:tcW w:w="1000" w:type="pct"/>
            <w:tcBorders>
              <w:top w:val="single" w:sz="4" w:space="0" w:color="auto"/>
              <w:left w:val="single" w:sz="12" w:space="0" w:color="auto"/>
              <w:bottom w:val="single" w:sz="4" w:space="0" w:color="auto"/>
            </w:tcBorders>
          </w:tcPr>
          <w:p w14:paraId="7FB564A4"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5,441</w:t>
            </w:r>
            <w:r w:rsidR="00706650" w:rsidRPr="00785E1A">
              <w:rPr>
                <w:rFonts w:ascii="Arial" w:hAnsi="Arial" w:cs="Arial"/>
                <w:color w:val="000000"/>
                <w:sz w:val="20"/>
              </w:rPr>
              <w:t xml:space="preserve"> [</w:t>
            </w:r>
            <w:r w:rsidR="00F364C1" w:rsidRPr="00785E1A">
              <w:rPr>
                <w:rFonts w:ascii="Arial" w:hAnsi="Arial" w:cs="Arial"/>
                <w:color w:val="000000"/>
                <w:sz w:val="20"/>
              </w:rPr>
              <w:t>0.45</w:t>
            </w:r>
            <w:r w:rsidR="00706650" w:rsidRPr="00785E1A">
              <w:rPr>
                <w:rFonts w:ascii="Arial" w:hAnsi="Arial" w:cs="Arial"/>
                <w:color w:val="000000"/>
                <w:sz w:val="20"/>
              </w:rPr>
              <w:t>%]</w:t>
            </w:r>
          </w:p>
        </w:tc>
      </w:tr>
      <w:tr w:rsidR="00B51BBE" w:rsidRPr="00785E1A" w14:paraId="6D30C69F" w14:textId="77777777" w:rsidTr="00AA2A81">
        <w:tc>
          <w:tcPr>
            <w:tcW w:w="1000" w:type="pct"/>
            <w:tcBorders>
              <w:top w:val="single" w:sz="4" w:space="0" w:color="auto"/>
              <w:left w:val="single" w:sz="12" w:space="0" w:color="auto"/>
              <w:bottom w:val="single" w:sz="4" w:space="0" w:color="auto"/>
            </w:tcBorders>
          </w:tcPr>
          <w:p w14:paraId="58361194"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2009-2010</w:t>
            </w:r>
          </w:p>
        </w:tc>
        <w:tc>
          <w:tcPr>
            <w:tcW w:w="1000" w:type="pct"/>
            <w:tcBorders>
              <w:top w:val="single" w:sz="4" w:space="0" w:color="auto"/>
              <w:left w:val="single" w:sz="12" w:space="0" w:color="auto"/>
              <w:bottom w:val="single" w:sz="4" w:space="0" w:color="auto"/>
            </w:tcBorders>
          </w:tcPr>
          <w:p w14:paraId="2D4D2FD0"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48,369</w:t>
            </w:r>
          </w:p>
        </w:tc>
        <w:tc>
          <w:tcPr>
            <w:tcW w:w="1000" w:type="pct"/>
            <w:tcBorders>
              <w:top w:val="single" w:sz="4" w:space="0" w:color="auto"/>
              <w:left w:val="single" w:sz="12" w:space="0" w:color="auto"/>
              <w:bottom w:val="single" w:sz="4" w:space="0" w:color="auto"/>
            </w:tcBorders>
          </w:tcPr>
          <w:p w14:paraId="052FF843"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6,603</w:t>
            </w:r>
          </w:p>
        </w:tc>
        <w:tc>
          <w:tcPr>
            <w:tcW w:w="1000" w:type="pct"/>
            <w:tcBorders>
              <w:top w:val="single" w:sz="4" w:space="0" w:color="auto"/>
              <w:left w:val="single" w:sz="12" w:space="0" w:color="auto"/>
              <w:bottom w:val="single" w:sz="4" w:space="0" w:color="auto"/>
            </w:tcBorders>
          </w:tcPr>
          <w:p w14:paraId="1C53D093"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710</w:t>
            </w:r>
            <w:r w:rsidR="00706650" w:rsidRPr="00785E1A">
              <w:rPr>
                <w:rFonts w:ascii="Arial" w:hAnsi="Arial" w:cs="Arial"/>
                <w:color w:val="000000"/>
                <w:sz w:val="20"/>
              </w:rPr>
              <w:t xml:space="preserve"> [</w:t>
            </w:r>
            <w:r w:rsidR="00F364C1" w:rsidRPr="00785E1A">
              <w:rPr>
                <w:rFonts w:ascii="Arial" w:hAnsi="Arial" w:cs="Arial"/>
                <w:color w:val="000000"/>
                <w:sz w:val="20"/>
              </w:rPr>
              <w:t>4.67</w:t>
            </w:r>
            <w:r w:rsidR="00706650" w:rsidRPr="00785E1A">
              <w:rPr>
                <w:rFonts w:ascii="Arial" w:hAnsi="Arial" w:cs="Arial"/>
                <w:color w:val="000000"/>
                <w:sz w:val="20"/>
              </w:rPr>
              <w:t>%]</w:t>
            </w:r>
          </w:p>
        </w:tc>
        <w:tc>
          <w:tcPr>
            <w:tcW w:w="1000" w:type="pct"/>
            <w:tcBorders>
              <w:top w:val="single" w:sz="4" w:space="0" w:color="auto"/>
              <w:left w:val="single" w:sz="12" w:space="0" w:color="auto"/>
              <w:bottom w:val="single" w:sz="4" w:space="0" w:color="auto"/>
            </w:tcBorders>
          </w:tcPr>
          <w:p w14:paraId="56754DA6"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5,690</w:t>
            </w:r>
            <w:r w:rsidR="00706650" w:rsidRPr="00785E1A">
              <w:rPr>
                <w:rFonts w:ascii="Arial" w:hAnsi="Arial" w:cs="Arial"/>
                <w:color w:val="000000"/>
                <w:sz w:val="20"/>
              </w:rPr>
              <w:t xml:space="preserve"> [</w:t>
            </w:r>
            <w:r w:rsidR="00F364C1" w:rsidRPr="00785E1A">
              <w:rPr>
                <w:rFonts w:ascii="Arial" w:hAnsi="Arial" w:cs="Arial"/>
                <w:color w:val="000000"/>
                <w:sz w:val="20"/>
              </w:rPr>
              <w:t>0.47</w:t>
            </w:r>
            <w:r w:rsidR="00706650" w:rsidRPr="00785E1A">
              <w:rPr>
                <w:rFonts w:ascii="Arial" w:hAnsi="Arial" w:cs="Arial"/>
                <w:color w:val="000000"/>
                <w:sz w:val="20"/>
              </w:rPr>
              <w:t>%]</w:t>
            </w:r>
          </w:p>
        </w:tc>
      </w:tr>
      <w:tr w:rsidR="005D4FF3" w:rsidRPr="00D00CAA" w14:paraId="42216A31" w14:textId="77777777" w:rsidTr="00177067">
        <w:tc>
          <w:tcPr>
            <w:tcW w:w="1000" w:type="pct"/>
            <w:tcBorders>
              <w:top w:val="single" w:sz="4" w:space="0" w:color="auto"/>
              <w:left w:val="single" w:sz="12" w:space="0" w:color="auto"/>
              <w:bottom w:val="single" w:sz="4" w:space="0" w:color="auto"/>
            </w:tcBorders>
          </w:tcPr>
          <w:p w14:paraId="0340C27E" w14:textId="77777777" w:rsidR="005D4FF3" w:rsidRPr="00D00CAA" w:rsidRDefault="005D4FF3" w:rsidP="00760C81">
            <w:pPr>
              <w:jc w:val="center"/>
              <w:rPr>
                <w:rFonts w:ascii="Arial" w:hAnsi="Arial" w:cs="Arial"/>
                <w:color w:val="000000"/>
                <w:sz w:val="20"/>
              </w:rPr>
            </w:pPr>
            <w:r w:rsidRPr="00D00CAA">
              <w:rPr>
                <w:rFonts w:ascii="Arial" w:hAnsi="Arial" w:cs="Arial"/>
                <w:color w:val="000000"/>
                <w:sz w:val="20"/>
              </w:rPr>
              <w:t>2010-2011</w:t>
            </w:r>
          </w:p>
        </w:tc>
        <w:tc>
          <w:tcPr>
            <w:tcW w:w="1000" w:type="pct"/>
            <w:tcBorders>
              <w:top w:val="single" w:sz="4" w:space="0" w:color="auto"/>
              <w:left w:val="single" w:sz="12" w:space="0" w:color="auto"/>
              <w:bottom w:val="single" w:sz="4" w:space="0" w:color="auto"/>
            </w:tcBorders>
          </w:tcPr>
          <w:p w14:paraId="667211A5" w14:textId="77777777" w:rsidR="005D4FF3" w:rsidRPr="00D00CAA" w:rsidRDefault="00607134" w:rsidP="00760C81">
            <w:pPr>
              <w:jc w:val="center"/>
              <w:rPr>
                <w:rFonts w:ascii="Arial" w:hAnsi="Arial" w:cs="Arial"/>
                <w:color w:val="000000"/>
                <w:sz w:val="20"/>
              </w:rPr>
            </w:pPr>
            <w:r w:rsidRPr="00D00CAA">
              <w:rPr>
                <w:rFonts w:ascii="Arial" w:hAnsi="Arial" w:cs="Arial"/>
                <w:color w:val="000000"/>
                <w:sz w:val="20"/>
              </w:rPr>
              <w:t>55,718</w:t>
            </w:r>
          </w:p>
        </w:tc>
        <w:tc>
          <w:tcPr>
            <w:tcW w:w="1000" w:type="pct"/>
            <w:tcBorders>
              <w:top w:val="single" w:sz="4" w:space="0" w:color="auto"/>
              <w:left w:val="single" w:sz="12" w:space="0" w:color="auto"/>
              <w:bottom w:val="single" w:sz="4" w:space="0" w:color="auto"/>
            </w:tcBorders>
          </w:tcPr>
          <w:p w14:paraId="411BD7C9" w14:textId="77777777" w:rsidR="005D4FF3" w:rsidRPr="00D00CAA" w:rsidRDefault="00E16FA2" w:rsidP="00760C81">
            <w:pPr>
              <w:jc w:val="center"/>
              <w:rPr>
                <w:rFonts w:ascii="Arial" w:hAnsi="Arial" w:cs="Arial"/>
                <w:color w:val="000000"/>
                <w:sz w:val="20"/>
              </w:rPr>
            </w:pPr>
            <w:r w:rsidRPr="00D00CAA">
              <w:rPr>
                <w:rFonts w:ascii="Arial" w:hAnsi="Arial" w:cs="Arial"/>
                <w:color w:val="000000"/>
                <w:sz w:val="20"/>
              </w:rPr>
              <w:t>7,643</w:t>
            </w:r>
          </w:p>
        </w:tc>
        <w:tc>
          <w:tcPr>
            <w:tcW w:w="1000" w:type="pct"/>
            <w:tcBorders>
              <w:top w:val="single" w:sz="4" w:space="0" w:color="auto"/>
              <w:left w:val="single" w:sz="12" w:space="0" w:color="auto"/>
              <w:bottom w:val="single" w:sz="4" w:space="0" w:color="auto"/>
            </w:tcBorders>
          </w:tcPr>
          <w:p w14:paraId="643219A0" w14:textId="77777777" w:rsidR="005D4FF3" w:rsidRPr="00D00CAA" w:rsidRDefault="00E16FA2" w:rsidP="00760C81">
            <w:pPr>
              <w:jc w:val="center"/>
              <w:rPr>
                <w:rFonts w:ascii="Arial" w:hAnsi="Arial" w:cs="Arial"/>
                <w:color w:val="000000"/>
                <w:sz w:val="20"/>
              </w:rPr>
            </w:pPr>
            <w:r w:rsidRPr="00D00CAA">
              <w:rPr>
                <w:rFonts w:ascii="Arial" w:hAnsi="Arial" w:cs="Arial"/>
                <w:color w:val="000000"/>
                <w:sz w:val="20"/>
              </w:rPr>
              <w:t>768</w:t>
            </w:r>
            <w:r w:rsidR="005829E6" w:rsidRPr="00D00CAA">
              <w:rPr>
                <w:rFonts w:ascii="Arial" w:hAnsi="Arial" w:cs="Arial"/>
                <w:color w:val="000000"/>
                <w:sz w:val="20"/>
              </w:rPr>
              <w:t xml:space="preserve"> [</w:t>
            </w:r>
            <w:r w:rsidR="00A976E1" w:rsidRPr="00D00CAA">
              <w:rPr>
                <w:rFonts w:ascii="Arial" w:hAnsi="Arial" w:cs="Arial"/>
                <w:color w:val="000000"/>
                <w:sz w:val="20"/>
              </w:rPr>
              <w:t>5.02</w:t>
            </w:r>
            <w:r w:rsidR="005829E6" w:rsidRPr="00D00CAA">
              <w:rPr>
                <w:rFonts w:ascii="Arial" w:hAnsi="Arial" w:cs="Arial"/>
                <w:color w:val="000000"/>
                <w:sz w:val="20"/>
              </w:rPr>
              <w:t>%]</w:t>
            </w:r>
          </w:p>
        </w:tc>
        <w:tc>
          <w:tcPr>
            <w:tcW w:w="1000" w:type="pct"/>
            <w:tcBorders>
              <w:top w:val="single" w:sz="4" w:space="0" w:color="auto"/>
              <w:left w:val="single" w:sz="12" w:space="0" w:color="auto"/>
              <w:bottom w:val="single" w:sz="4" w:space="0" w:color="auto"/>
            </w:tcBorders>
          </w:tcPr>
          <w:p w14:paraId="710E06A2" w14:textId="77777777" w:rsidR="005D4FF3" w:rsidRPr="00D00CAA" w:rsidRDefault="00E16FA2" w:rsidP="00760C81">
            <w:pPr>
              <w:jc w:val="center"/>
              <w:rPr>
                <w:rFonts w:ascii="Arial" w:hAnsi="Arial" w:cs="Arial"/>
                <w:color w:val="000000"/>
                <w:sz w:val="20"/>
              </w:rPr>
            </w:pPr>
            <w:r w:rsidRPr="00D00CAA">
              <w:rPr>
                <w:rFonts w:ascii="Arial" w:hAnsi="Arial" w:cs="Arial"/>
                <w:color w:val="000000"/>
                <w:sz w:val="20"/>
              </w:rPr>
              <w:t>6,557</w:t>
            </w:r>
            <w:r w:rsidR="005829E6" w:rsidRPr="00D00CAA">
              <w:rPr>
                <w:rFonts w:ascii="Arial" w:hAnsi="Arial" w:cs="Arial"/>
                <w:color w:val="000000"/>
                <w:sz w:val="20"/>
              </w:rPr>
              <w:t xml:space="preserve"> [</w:t>
            </w:r>
            <w:r w:rsidR="00A976E1" w:rsidRPr="00D00CAA">
              <w:rPr>
                <w:rFonts w:ascii="Arial" w:hAnsi="Arial" w:cs="Arial"/>
                <w:color w:val="000000"/>
                <w:sz w:val="20"/>
              </w:rPr>
              <w:t>0.54</w:t>
            </w:r>
            <w:r w:rsidR="005829E6" w:rsidRPr="00D00CAA">
              <w:rPr>
                <w:rFonts w:ascii="Arial" w:hAnsi="Arial" w:cs="Arial"/>
                <w:color w:val="000000"/>
                <w:sz w:val="20"/>
              </w:rPr>
              <w:t>%]</w:t>
            </w:r>
          </w:p>
        </w:tc>
      </w:tr>
      <w:tr w:rsidR="00177067" w:rsidRPr="003D5DFA" w14:paraId="22848608" w14:textId="77777777" w:rsidTr="00492F82">
        <w:tc>
          <w:tcPr>
            <w:tcW w:w="1000" w:type="pct"/>
            <w:tcBorders>
              <w:top w:val="single" w:sz="4" w:space="0" w:color="auto"/>
              <w:left w:val="single" w:sz="12" w:space="0" w:color="auto"/>
              <w:bottom w:val="single" w:sz="4" w:space="0" w:color="auto"/>
            </w:tcBorders>
          </w:tcPr>
          <w:p w14:paraId="16F39EAA" w14:textId="77777777" w:rsidR="00177067" w:rsidRPr="003D5DFA" w:rsidRDefault="00826C57" w:rsidP="00760C81">
            <w:pPr>
              <w:jc w:val="center"/>
              <w:rPr>
                <w:rFonts w:ascii="Arial" w:hAnsi="Arial" w:cs="Arial"/>
                <w:color w:val="000000"/>
                <w:sz w:val="20"/>
              </w:rPr>
            </w:pPr>
            <w:r w:rsidRPr="003D5DFA">
              <w:rPr>
                <w:rFonts w:ascii="Arial" w:hAnsi="Arial" w:cs="Arial"/>
                <w:color w:val="000000"/>
                <w:sz w:val="20"/>
              </w:rPr>
              <w:t>2011-2012</w:t>
            </w:r>
          </w:p>
        </w:tc>
        <w:tc>
          <w:tcPr>
            <w:tcW w:w="1000" w:type="pct"/>
            <w:tcBorders>
              <w:top w:val="single" w:sz="4" w:space="0" w:color="auto"/>
              <w:left w:val="single" w:sz="12" w:space="0" w:color="auto"/>
              <w:bottom w:val="single" w:sz="4" w:space="0" w:color="auto"/>
            </w:tcBorders>
          </w:tcPr>
          <w:p w14:paraId="1B1A9077" w14:textId="77777777" w:rsidR="00177067" w:rsidRPr="003D5DFA" w:rsidRDefault="00826C57" w:rsidP="00760C81">
            <w:pPr>
              <w:jc w:val="center"/>
              <w:rPr>
                <w:rFonts w:ascii="Arial" w:hAnsi="Arial" w:cs="Arial"/>
                <w:color w:val="000000"/>
                <w:sz w:val="20"/>
              </w:rPr>
            </w:pPr>
            <w:r w:rsidRPr="003D5DFA">
              <w:rPr>
                <w:rFonts w:ascii="Arial" w:hAnsi="Arial" w:cs="Arial"/>
                <w:color w:val="000000"/>
                <w:sz w:val="20"/>
              </w:rPr>
              <w:t>63,830</w:t>
            </w:r>
          </w:p>
        </w:tc>
        <w:tc>
          <w:tcPr>
            <w:tcW w:w="1000" w:type="pct"/>
            <w:tcBorders>
              <w:top w:val="single" w:sz="4" w:space="0" w:color="auto"/>
              <w:left w:val="single" w:sz="12" w:space="0" w:color="auto"/>
              <w:bottom w:val="single" w:sz="4" w:space="0" w:color="auto"/>
            </w:tcBorders>
          </w:tcPr>
          <w:p w14:paraId="6524DB40" w14:textId="77777777" w:rsidR="00177067" w:rsidRPr="003D5DFA" w:rsidRDefault="00826C57" w:rsidP="00760C81">
            <w:pPr>
              <w:jc w:val="center"/>
              <w:rPr>
                <w:rFonts w:ascii="Arial" w:hAnsi="Arial" w:cs="Arial"/>
                <w:color w:val="000000"/>
                <w:sz w:val="20"/>
              </w:rPr>
            </w:pPr>
            <w:r w:rsidRPr="003D5DFA">
              <w:rPr>
                <w:rFonts w:ascii="Arial" w:hAnsi="Arial" w:cs="Arial"/>
                <w:color w:val="000000"/>
                <w:sz w:val="20"/>
              </w:rPr>
              <w:t>9,075</w:t>
            </w:r>
          </w:p>
        </w:tc>
        <w:tc>
          <w:tcPr>
            <w:tcW w:w="1000" w:type="pct"/>
            <w:tcBorders>
              <w:top w:val="single" w:sz="4" w:space="0" w:color="auto"/>
              <w:left w:val="single" w:sz="12" w:space="0" w:color="auto"/>
              <w:bottom w:val="single" w:sz="4" w:space="0" w:color="auto"/>
            </w:tcBorders>
          </w:tcPr>
          <w:p w14:paraId="51FC2507" w14:textId="77777777" w:rsidR="00177067" w:rsidRPr="003D5DFA" w:rsidRDefault="00655A55" w:rsidP="00760C81">
            <w:pPr>
              <w:jc w:val="center"/>
              <w:rPr>
                <w:rFonts w:ascii="Arial" w:hAnsi="Arial" w:cs="Arial"/>
                <w:color w:val="000000"/>
                <w:sz w:val="20"/>
              </w:rPr>
            </w:pPr>
            <w:r w:rsidRPr="003D5DFA">
              <w:rPr>
                <w:rFonts w:ascii="Arial" w:hAnsi="Arial" w:cs="Arial"/>
                <w:color w:val="000000"/>
                <w:sz w:val="20"/>
              </w:rPr>
              <w:t>963</w:t>
            </w:r>
          </w:p>
        </w:tc>
        <w:tc>
          <w:tcPr>
            <w:tcW w:w="1000" w:type="pct"/>
            <w:tcBorders>
              <w:top w:val="single" w:sz="4" w:space="0" w:color="auto"/>
              <w:left w:val="single" w:sz="12" w:space="0" w:color="auto"/>
              <w:bottom w:val="single" w:sz="4" w:space="0" w:color="auto"/>
            </w:tcBorders>
          </w:tcPr>
          <w:p w14:paraId="51256445" w14:textId="77777777" w:rsidR="00177067" w:rsidRPr="003D5DFA" w:rsidRDefault="00655A55" w:rsidP="00760C81">
            <w:pPr>
              <w:jc w:val="center"/>
              <w:rPr>
                <w:rFonts w:ascii="Arial" w:hAnsi="Arial" w:cs="Arial"/>
                <w:color w:val="000000"/>
                <w:sz w:val="20"/>
              </w:rPr>
            </w:pPr>
            <w:r w:rsidRPr="003D5DFA">
              <w:rPr>
                <w:rFonts w:ascii="Arial" w:hAnsi="Arial" w:cs="Arial"/>
                <w:color w:val="000000"/>
                <w:sz w:val="20"/>
              </w:rPr>
              <w:t>7,778</w:t>
            </w:r>
          </w:p>
        </w:tc>
      </w:tr>
      <w:tr w:rsidR="00492F82" w:rsidRPr="003D5DFA" w14:paraId="47C62F1C" w14:textId="77777777" w:rsidTr="00453F5C">
        <w:tc>
          <w:tcPr>
            <w:tcW w:w="1000" w:type="pct"/>
            <w:tcBorders>
              <w:top w:val="single" w:sz="4" w:space="0" w:color="auto"/>
              <w:left w:val="single" w:sz="12" w:space="0" w:color="auto"/>
              <w:bottom w:val="single" w:sz="4" w:space="0" w:color="auto"/>
            </w:tcBorders>
          </w:tcPr>
          <w:p w14:paraId="5116A803" w14:textId="77777777" w:rsidR="00492F82" w:rsidRPr="003D5DFA" w:rsidRDefault="00492F82" w:rsidP="00760C81">
            <w:pPr>
              <w:jc w:val="center"/>
              <w:rPr>
                <w:rFonts w:ascii="Arial" w:hAnsi="Arial" w:cs="Arial"/>
                <w:color w:val="000000"/>
                <w:sz w:val="20"/>
              </w:rPr>
            </w:pPr>
            <w:r>
              <w:rPr>
                <w:rFonts w:ascii="Arial" w:hAnsi="Arial" w:cs="Arial"/>
                <w:color w:val="000000"/>
                <w:sz w:val="20"/>
              </w:rPr>
              <w:t>2012-2013</w:t>
            </w:r>
          </w:p>
        </w:tc>
        <w:tc>
          <w:tcPr>
            <w:tcW w:w="1000" w:type="pct"/>
            <w:tcBorders>
              <w:top w:val="single" w:sz="4" w:space="0" w:color="auto"/>
              <w:left w:val="single" w:sz="12" w:space="0" w:color="auto"/>
              <w:bottom w:val="single" w:sz="4" w:space="0" w:color="auto"/>
            </w:tcBorders>
          </w:tcPr>
          <w:p w14:paraId="6D386363" w14:textId="77777777" w:rsidR="00492F82" w:rsidRPr="003D5DFA" w:rsidRDefault="00A309B2" w:rsidP="00760C81">
            <w:pPr>
              <w:jc w:val="center"/>
              <w:rPr>
                <w:rFonts w:ascii="Arial" w:hAnsi="Arial" w:cs="Arial"/>
                <w:color w:val="000000"/>
                <w:sz w:val="20"/>
              </w:rPr>
            </w:pPr>
            <w:r>
              <w:rPr>
                <w:rFonts w:ascii="Arial" w:hAnsi="Arial" w:cs="Arial"/>
                <w:color w:val="000000"/>
                <w:sz w:val="20"/>
              </w:rPr>
              <w:t>73,265</w:t>
            </w:r>
          </w:p>
        </w:tc>
        <w:tc>
          <w:tcPr>
            <w:tcW w:w="1000" w:type="pct"/>
            <w:tcBorders>
              <w:top w:val="single" w:sz="4" w:space="0" w:color="auto"/>
              <w:left w:val="single" w:sz="12" w:space="0" w:color="auto"/>
              <w:bottom w:val="single" w:sz="4" w:space="0" w:color="auto"/>
            </w:tcBorders>
          </w:tcPr>
          <w:p w14:paraId="2749C72D" w14:textId="77777777" w:rsidR="00492F82" w:rsidRPr="003D5DFA" w:rsidRDefault="00A309B2" w:rsidP="00760C81">
            <w:pPr>
              <w:jc w:val="center"/>
              <w:rPr>
                <w:rFonts w:ascii="Arial" w:hAnsi="Arial" w:cs="Arial"/>
                <w:color w:val="000000"/>
                <w:sz w:val="20"/>
              </w:rPr>
            </w:pPr>
            <w:r>
              <w:rPr>
                <w:rFonts w:ascii="Arial" w:hAnsi="Arial" w:cs="Arial"/>
                <w:color w:val="000000"/>
                <w:sz w:val="20"/>
              </w:rPr>
              <w:t>10,489</w:t>
            </w:r>
          </w:p>
        </w:tc>
        <w:tc>
          <w:tcPr>
            <w:tcW w:w="1000" w:type="pct"/>
            <w:tcBorders>
              <w:top w:val="single" w:sz="4" w:space="0" w:color="auto"/>
              <w:left w:val="single" w:sz="12" w:space="0" w:color="auto"/>
              <w:bottom w:val="single" w:sz="4" w:space="0" w:color="auto"/>
            </w:tcBorders>
          </w:tcPr>
          <w:p w14:paraId="546AC6B7" w14:textId="77777777" w:rsidR="00492F82" w:rsidRPr="003D5DFA" w:rsidRDefault="000B4173" w:rsidP="00760C81">
            <w:pPr>
              <w:jc w:val="center"/>
              <w:rPr>
                <w:rFonts w:ascii="Arial" w:hAnsi="Arial" w:cs="Arial"/>
                <w:color w:val="000000"/>
                <w:sz w:val="20"/>
              </w:rPr>
            </w:pPr>
            <w:r>
              <w:rPr>
                <w:rFonts w:ascii="Arial" w:hAnsi="Arial" w:cs="Arial"/>
                <w:color w:val="000000"/>
                <w:sz w:val="20"/>
              </w:rPr>
              <w:t>1,067</w:t>
            </w:r>
          </w:p>
        </w:tc>
        <w:tc>
          <w:tcPr>
            <w:tcW w:w="1000" w:type="pct"/>
            <w:tcBorders>
              <w:top w:val="single" w:sz="4" w:space="0" w:color="auto"/>
              <w:left w:val="single" w:sz="12" w:space="0" w:color="auto"/>
              <w:bottom w:val="single" w:sz="4" w:space="0" w:color="auto"/>
            </w:tcBorders>
          </w:tcPr>
          <w:p w14:paraId="1F562B41" w14:textId="77777777" w:rsidR="00492F82" w:rsidRPr="003D5DFA" w:rsidRDefault="000B4173" w:rsidP="00760C81">
            <w:pPr>
              <w:jc w:val="center"/>
              <w:rPr>
                <w:rFonts w:ascii="Arial" w:hAnsi="Arial" w:cs="Arial"/>
                <w:color w:val="000000"/>
                <w:sz w:val="20"/>
              </w:rPr>
            </w:pPr>
            <w:r>
              <w:rPr>
                <w:rFonts w:ascii="Arial" w:hAnsi="Arial" w:cs="Arial"/>
                <w:color w:val="000000"/>
                <w:sz w:val="20"/>
              </w:rPr>
              <w:t>8,977</w:t>
            </w:r>
          </w:p>
        </w:tc>
      </w:tr>
      <w:tr w:rsidR="00453F5C" w:rsidRPr="003D5DFA" w14:paraId="56BF0A70" w14:textId="77777777" w:rsidTr="00AA2A81">
        <w:tc>
          <w:tcPr>
            <w:tcW w:w="1000" w:type="pct"/>
            <w:tcBorders>
              <w:top w:val="single" w:sz="4" w:space="0" w:color="auto"/>
              <w:left w:val="single" w:sz="12" w:space="0" w:color="auto"/>
              <w:bottom w:val="single" w:sz="18" w:space="0" w:color="auto"/>
            </w:tcBorders>
          </w:tcPr>
          <w:p w14:paraId="190A1E7D" w14:textId="77777777" w:rsidR="00453F5C" w:rsidRDefault="00453F5C" w:rsidP="00760C81">
            <w:pPr>
              <w:jc w:val="center"/>
              <w:rPr>
                <w:rFonts w:ascii="Arial" w:hAnsi="Arial" w:cs="Arial"/>
                <w:color w:val="000000"/>
                <w:sz w:val="20"/>
              </w:rPr>
            </w:pPr>
            <w:r>
              <w:rPr>
                <w:rFonts w:ascii="Arial" w:hAnsi="Arial" w:cs="Arial"/>
                <w:color w:val="000000"/>
                <w:sz w:val="20"/>
              </w:rPr>
              <w:t>2013-2014</w:t>
            </w:r>
          </w:p>
        </w:tc>
        <w:tc>
          <w:tcPr>
            <w:tcW w:w="1000" w:type="pct"/>
            <w:tcBorders>
              <w:top w:val="single" w:sz="4" w:space="0" w:color="auto"/>
              <w:left w:val="single" w:sz="12" w:space="0" w:color="auto"/>
              <w:bottom w:val="single" w:sz="18" w:space="0" w:color="auto"/>
            </w:tcBorders>
          </w:tcPr>
          <w:p w14:paraId="344068AB" w14:textId="77777777" w:rsidR="00453F5C" w:rsidRDefault="00453F5C" w:rsidP="00760C81">
            <w:pPr>
              <w:jc w:val="center"/>
              <w:rPr>
                <w:rFonts w:ascii="Arial" w:hAnsi="Arial" w:cs="Arial"/>
                <w:color w:val="000000"/>
                <w:sz w:val="20"/>
              </w:rPr>
            </w:pPr>
            <w:r>
              <w:rPr>
                <w:rFonts w:ascii="Arial" w:hAnsi="Arial" w:cs="Arial"/>
                <w:color w:val="000000"/>
                <w:sz w:val="20"/>
              </w:rPr>
              <w:t>82,056</w:t>
            </w:r>
          </w:p>
        </w:tc>
        <w:tc>
          <w:tcPr>
            <w:tcW w:w="1000" w:type="pct"/>
            <w:tcBorders>
              <w:top w:val="single" w:sz="4" w:space="0" w:color="auto"/>
              <w:left w:val="single" w:sz="12" w:space="0" w:color="auto"/>
              <w:bottom w:val="single" w:sz="18" w:space="0" w:color="auto"/>
            </w:tcBorders>
          </w:tcPr>
          <w:p w14:paraId="25FC37FF" w14:textId="77777777" w:rsidR="00453F5C" w:rsidRDefault="00453F5C" w:rsidP="00760C81">
            <w:pPr>
              <w:jc w:val="center"/>
              <w:rPr>
                <w:rFonts w:ascii="Arial" w:hAnsi="Arial" w:cs="Arial"/>
                <w:color w:val="000000"/>
                <w:sz w:val="20"/>
              </w:rPr>
            </w:pPr>
            <w:r>
              <w:rPr>
                <w:rFonts w:ascii="Arial" w:hAnsi="Arial" w:cs="Arial"/>
                <w:color w:val="000000"/>
                <w:sz w:val="20"/>
              </w:rPr>
              <w:t>11,395</w:t>
            </w:r>
          </w:p>
        </w:tc>
        <w:tc>
          <w:tcPr>
            <w:tcW w:w="1000" w:type="pct"/>
            <w:tcBorders>
              <w:top w:val="single" w:sz="4" w:space="0" w:color="auto"/>
              <w:left w:val="single" w:sz="12" w:space="0" w:color="auto"/>
              <w:bottom w:val="single" w:sz="18" w:space="0" w:color="auto"/>
            </w:tcBorders>
          </w:tcPr>
          <w:p w14:paraId="57FCFD3D" w14:textId="77777777" w:rsidR="00453F5C" w:rsidRDefault="00453F5C" w:rsidP="00760C81">
            <w:pPr>
              <w:jc w:val="center"/>
              <w:rPr>
                <w:rFonts w:ascii="Arial" w:hAnsi="Arial" w:cs="Arial"/>
                <w:color w:val="000000"/>
                <w:sz w:val="20"/>
              </w:rPr>
            </w:pPr>
            <w:r>
              <w:rPr>
                <w:rFonts w:ascii="Arial" w:hAnsi="Arial" w:cs="Arial"/>
                <w:color w:val="000000"/>
                <w:sz w:val="20"/>
              </w:rPr>
              <w:t>1,249</w:t>
            </w:r>
          </w:p>
        </w:tc>
        <w:tc>
          <w:tcPr>
            <w:tcW w:w="1000" w:type="pct"/>
            <w:tcBorders>
              <w:top w:val="single" w:sz="4" w:space="0" w:color="auto"/>
              <w:left w:val="single" w:sz="12" w:space="0" w:color="auto"/>
              <w:bottom w:val="single" w:sz="18" w:space="0" w:color="auto"/>
            </w:tcBorders>
          </w:tcPr>
          <w:p w14:paraId="1F8BF191" w14:textId="77777777" w:rsidR="00453F5C" w:rsidRDefault="00453F5C" w:rsidP="00760C81">
            <w:pPr>
              <w:jc w:val="center"/>
              <w:rPr>
                <w:rFonts w:ascii="Arial" w:hAnsi="Arial" w:cs="Arial"/>
                <w:color w:val="000000"/>
                <w:sz w:val="20"/>
              </w:rPr>
            </w:pPr>
            <w:r>
              <w:rPr>
                <w:rFonts w:ascii="Arial" w:hAnsi="Arial" w:cs="Arial"/>
                <w:color w:val="000000"/>
                <w:sz w:val="20"/>
              </w:rPr>
              <w:t>10,145</w:t>
            </w:r>
          </w:p>
        </w:tc>
      </w:tr>
    </w:tbl>
    <w:p w14:paraId="7A003E74" w14:textId="77777777" w:rsidR="00F364C1" w:rsidRPr="00D00CAA" w:rsidRDefault="00F364C1" w:rsidP="00F364C1">
      <w:pPr>
        <w:jc w:val="both"/>
        <w:rPr>
          <w:rFonts w:ascii="Arial" w:hAnsi="Arial" w:cs="Arial"/>
          <w:color w:val="000000"/>
          <w:sz w:val="20"/>
        </w:rPr>
      </w:pPr>
    </w:p>
    <w:p w14:paraId="7668EB30" w14:textId="77777777" w:rsidR="005C4B22" w:rsidRPr="00D00CAA" w:rsidRDefault="00B00042" w:rsidP="00F364C1">
      <w:pPr>
        <w:jc w:val="both"/>
        <w:rPr>
          <w:rFonts w:ascii="Arial" w:hAnsi="Arial" w:cs="Arial"/>
          <w:color w:val="000000"/>
          <w:sz w:val="20"/>
        </w:rPr>
      </w:pPr>
      <w:r>
        <w:rPr>
          <w:rFonts w:ascii="Arial" w:hAnsi="Arial" w:cs="Arial"/>
          <w:color w:val="000000"/>
          <w:sz w:val="20"/>
        </w:rPr>
        <w:t>As the following chart shows, t</w:t>
      </w:r>
      <w:r w:rsidR="001C536D" w:rsidRPr="00D00CAA">
        <w:rPr>
          <w:rFonts w:ascii="Arial" w:hAnsi="Arial" w:cs="Arial"/>
          <w:color w:val="000000"/>
          <w:sz w:val="20"/>
        </w:rPr>
        <w:t xml:space="preserve">he </w:t>
      </w:r>
      <w:r>
        <w:rPr>
          <w:rFonts w:ascii="Arial" w:hAnsi="Arial" w:cs="Arial"/>
          <w:color w:val="000000"/>
          <w:sz w:val="20"/>
        </w:rPr>
        <w:t>proportion</w:t>
      </w:r>
      <w:r w:rsidR="001C536D" w:rsidRPr="00D00CAA">
        <w:rPr>
          <w:rFonts w:ascii="Arial" w:hAnsi="Arial" w:cs="Arial"/>
          <w:color w:val="000000"/>
          <w:sz w:val="20"/>
        </w:rPr>
        <w:t xml:space="preserve"> of indigenous children the subject of substantiated child protection reports in </w:t>
      </w:r>
      <w:r w:rsidR="005C4B22" w:rsidRPr="00D00CAA">
        <w:rPr>
          <w:rFonts w:ascii="Arial" w:hAnsi="Arial" w:cs="Arial"/>
          <w:color w:val="000000"/>
          <w:sz w:val="20"/>
        </w:rPr>
        <w:t>Victoria</w:t>
      </w:r>
      <w:r w:rsidR="001C536D" w:rsidRPr="00D00CAA">
        <w:rPr>
          <w:rFonts w:ascii="Arial" w:hAnsi="Arial" w:cs="Arial"/>
          <w:color w:val="000000"/>
          <w:sz w:val="20"/>
        </w:rPr>
        <w:t xml:space="preserve"> is significantly more than in </w:t>
      </w:r>
      <w:r w:rsidR="000B4173">
        <w:rPr>
          <w:rFonts w:ascii="Arial" w:hAnsi="Arial" w:cs="Arial"/>
          <w:color w:val="000000"/>
          <w:sz w:val="20"/>
        </w:rPr>
        <w:t>Queensland and Tasmania</w:t>
      </w:r>
      <w:r w:rsidR="001C536D" w:rsidRPr="00D00CAA">
        <w:rPr>
          <w:rFonts w:ascii="Arial" w:hAnsi="Arial" w:cs="Arial"/>
          <w:color w:val="000000"/>
          <w:sz w:val="20"/>
        </w:rPr>
        <w:t xml:space="preserve"> </w:t>
      </w:r>
      <w:r>
        <w:rPr>
          <w:rFonts w:ascii="Arial" w:hAnsi="Arial" w:cs="Arial"/>
          <w:color w:val="000000"/>
          <w:sz w:val="20"/>
        </w:rPr>
        <w:t>but less than in the other States &amp; Territories.</w:t>
      </w:r>
    </w:p>
    <w:p w14:paraId="321384CD" w14:textId="77777777" w:rsidR="005C4B22" w:rsidRPr="00D00CAA" w:rsidRDefault="005C4B22" w:rsidP="00F364C1">
      <w:pPr>
        <w:jc w:val="both"/>
        <w:rPr>
          <w:rFonts w:ascii="Arial" w:hAnsi="Arial" w:cs="Arial"/>
          <w:color w:val="000000"/>
          <w:sz w:val="20"/>
        </w:rPr>
      </w:pPr>
    </w:p>
    <w:tbl>
      <w:tblPr>
        <w:tblW w:w="827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90"/>
        <w:gridCol w:w="894"/>
        <w:gridCol w:w="802"/>
        <w:gridCol w:w="810"/>
        <w:gridCol w:w="768"/>
        <w:gridCol w:w="802"/>
        <w:gridCol w:w="791"/>
        <w:gridCol w:w="706"/>
        <w:gridCol w:w="676"/>
        <w:gridCol w:w="939"/>
      </w:tblGrid>
      <w:tr w:rsidR="006E6DAE" w:rsidRPr="00D00CAA" w14:paraId="27E3B6CA" w14:textId="77777777" w:rsidTr="00AA2A81">
        <w:trPr>
          <w:jc w:val="center"/>
        </w:trPr>
        <w:tc>
          <w:tcPr>
            <w:tcW w:w="8278" w:type="dxa"/>
            <w:gridSpan w:val="10"/>
            <w:tcBorders>
              <w:top w:val="single" w:sz="12" w:space="0" w:color="auto"/>
              <w:left w:val="single" w:sz="12" w:space="0" w:color="auto"/>
              <w:bottom w:val="single" w:sz="4" w:space="0" w:color="auto"/>
            </w:tcBorders>
            <w:shd w:val="pct10" w:color="auto" w:fill="auto"/>
          </w:tcPr>
          <w:p w14:paraId="31DA89C2"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RATIO OF INDIGENOUS/NON-INDIGENOUS SUBSTANTIATED REPORTS</w:t>
            </w:r>
          </w:p>
        </w:tc>
      </w:tr>
      <w:tr w:rsidR="006E6DAE" w:rsidRPr="00D00CAA" w14:paraId="79F7D737" w14:textId="77777777" w:rsidTr="00AA2A81">
        <w:trPr>
          <w:jc w:val="center"/>
        </w:trPr>
        <w:tc>
          <w:tcPr>
            <w:tcW w:w="1090" w:type="dxa"/>
            <w:tcBorders>
              <w:top w:val="single" w:sz="12" w:space="0" w:color="auto"/>
              <w:left w:val="single" w:sz="12" w:space="0" w:color="auto"/>
              <w:bottom w:val="single" w:sz="12" w:space="0" w:color="auto"/>
              <w:right w:val="single" w:sz="12" w:space="0" w:color="auto"/>
            </w:tcBorders>
            <w:shd w:val="pct10" w:color="auto" w:fill="auto"/>
          </w:tcPr>
          <w:p w14:paraId="65E818A8"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YEAR</w:t>
            </w:r>
          </w:p>
        </w:tc>
        <w:tc>
          <w:tcPr>
            <w:tcW w:w="894" w:type="dxa"/>
            <w:tcBorders>
              <w:top w:val="single" w:sz="12" w:space="0" w:color="auto"/>
              <w:left w:val="single" w:sz="12" w:space="0" w:color="auto"/>
              <w:bottom w:val="single" w:sz="12" w:space="0" w:color="auto"/>
              <w:right w:val="single" w:sz="12" w:space="0" w:color="auto"/>
            </w:tcBorders>
            <w:shd w:val="pct10" w:color="auto" w:fill="auto"/>
          </w:tcPr>
          <w:p w14:paraId="1406C47E"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NSW</w:t>
            </w:r>
          </w:p>
        </w:tc>
        <w:tc>
          <w:tcPr>
            <w:tcW w:w="802" w:type="dxa"/>
            <w:tcBorders>
              <w:top w:val="single" w:sz="12" w:space="0" w:color="auto"/>
              <w:left w:val="single" w:sz="12" w:space="0" w:color="auto"/>
              <w:bottom w:val="single" w:sz="12" w:space="0" w:color="auto"/>
              <w:right w:val="single" w:sz="12" w:space="0" w:color="auto"/>
            </w:tcBorders>
            <w:shd w:val="pct10" w:color="auto" w:fill="auto"/>
          </w:tcPr>
          <w:p w14:paraId="62ACD8FB"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VIC</w:t>
            </w:r>
          </w:p>
        </w:tc>
        <w:tc>
          <w:tcPr>
            <w:tcW w:w="810" w:type="dxa"/>
            <w:tcBorders>
              <w:top w:val="single" w:sz="12" w:space="0" w:color="auto"/>
              <w:left w:val="single" w:sz="12" w:space="0" w:color="auto"/>
              <w:bottom w:val="single" w:sz="12" w:space="0" w:color="auto"/>
              <w:right w:val="single" w:sz="12" w:space="0" w:color="auto"/>
            </w:tcBorders>
            <w:shd w:val="pct10" w:color="auto" w:fill="auto"/>
          </w:tcPr>
          <w:p w14:paraId="1C0D12C4"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QLD</w:t>
            </w:r>
          </w:p>
        </w:tc>
        <w:tc>
          <w:tcPr>
            <w:tcW w:w="768" w:type="dxa"/>
            <w:tcBorders>
              <w:top w:val="single" w:sz="12" w:space="0" w:color="auto"/>
              <w:left w:val="single" w:sz="12" w:space="0" w:color="auto"/>
              <w:bottom w:val="single" w:sz="12" w:space="0" w:color="auto"/>
              <w:right w:val="single" w:sz="12" w:space="0" w:color="auto"/>
            </w:tcBorders>
            <w:shd w:val="pct10" w:color="auto" w:fill="auto"/>
          </w:tcPr>
          <w:p w14:paraId="3C95AD2A"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WA</w:t>
            </w:r>
          </w:p>
        </w:tc>
        <w:tc>
          <w:tcPr>
            <w:tcW w:w="802" w:type="dxa"/>
            <w:tcBorders>
              <w:top w:val="single" w:sz="12" w:space="0" w:color="auto"/>
              <w:left w:val="single" w:sz="12" w:space="0" w:color="auto"/>
              <w:bottom w:val="single" w:sz="12" w:space="0" w:color="auto"/>
              <w:right w:val="single" w:sz="12" w:space="0" w:color="auto"/>
            </w:tcBorders>
            <w:shd w:val="pct10" w:color="auto" w:fill="auto"/>
          </w:tcPr>
          <w:p w14:paraId="5520F46E"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SA</w:t>
            </w:r>
          </w:p>
        </w:tc>
        <w:tc>
          <w:tcPr>
            <w:tcW w:w="791" w:type="dxa"/>
            <w:tcBorders>
              <w:top w:val="single" w:sz="12" w:space="0" w:color="auto"/>
              <w:left w:val="single" w:sz="12" w:space="0" w:color="auto"/>
              <w:bottom w:val="single" w:sz="12" w:space="0" w:color="auto"/>
              <w:right w:val="single" w:sz="12" w:space="0" w:color="auto"/>
            </w:tcBorders>
            <w:shd w:val="pct10" w:color="auto" w:fill="auto"/>
          </w:tcPr>
          <w:p w14:paraId="6C4E076F"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TAS</w:t>
            </w:r>
          </w:p>
        </w:tc>
        <w:tc>
          <w:tcPr>
            <w:tcW w:w="706" w:type="dxa"/>
            <w:tcBorders>
              <w:top w:val="single" w:sz="12" w:space="0" w:color="auto"/>
              <w:left w:val="single" w:sz="12" w:space="0" w:color="auto"/>
              <w:bottom w:val="single" w:sz="12" w:space="0" w:color="auto"/>
              <w:right w:val="single" w:sz="12" w:space="0" w:color="auto"/>
            </w:tcBorders>
            <w:shd w:val="pct10" w:color="auto" w:fill="auto"/>
          </w:tcPr>
          <w:p w14:paraId="0880279C"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ACT</w:t>
            </w:r>
          </w:p>
        </w:tc>
        <w:tc>
          <w:tcPr>
            <w:tcW w:w="676" w:type="dxa"/>
            <w:tcBorders>
              <w:top w:val="single" w:sz="12" w:space="0" w:color="auto"/>
              <w:left w:val="single" w:sz="12" w:space="0" w:color="auto"/>
              <w:bottom w:val="single" w:sz="12" w:space="0" w:color="auto"/>
              <w:right w:val="single" w:sz="12" w:space="0" w:color="auto"/>
            </w:tcBorders>
            <w:shd w:val="pct10" w:color="auto" w:fill="auto"/>
          </w:tcPr>
          <w:p w14:paraId="377C4FEF"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NT</w:t>
            </w:r>
          </w:p>
        </w:tc>
        <w:tc>
          <w:tcPr>
            <w:tcW w:w="939" w:type="dxa"/>
            <w:tcBorders>
              <w:top w:val="single" w:sz="12" w:space="0" w:color="auto"/>
              <w:left w:val="single" w:sz="12" w:space="0" w:color="auto"/>
              <w:bottom w:val="single" w:sz="12" w:space="0" w:color="auto"/>
            </w:tcBorders>
            <w:shd w:val="pct10" w:color="auto" w:fill="auto"/>
          </w:tcPr>
          <w:p w14:paraId="37134982"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TOTAL</w:t>
            </w:r>
          </w:p>
        </w:tc>
      </w:tr>
      <w:tr w:rsidR="006E6DAE" w:rsidRPr="00D00CAA" w14:paraId="131062A5" w14:textId="77777777" w:rsidTr="00AA2A81">
        <w:trPr>
          <w:jc w:val="center"/>
        </w:trPr>
        <w:tc>
          <w:tcPr>
            <w:tcW w:w="1090" w:type="dxa"/>
            <w:tcBorders>
              <w:top w:val="single" w:sz="4" w:space="0" w:color="auto"/>
              <w:left w:val="single" w:sz="12" w:space="0" w:color="auto"/>
              <w:bottom w:val="single" w:sz="4" w:space="0" w:color="auto"/>
              <w:right w:val="single" w:sz="12" w:space="0" w:color="auto"/>
            </w:tcBorders>
          </w:tcPr>
          <w:p w14:paraId="340854C3"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2008-09</w:t>
            </w:r>
          </w:p>
        </w:tc>
        <w:tc>
          <w:tcPr>
            <w:tcW w:w="894" w:type="dxa"/>
            <w:tcBorders>
              <w:left w:val="single" w:sz="12" w:space="0" w:color="auto"/>
              <w:right w:val="single" w:sz="12" w:space="0" w:color="auto"/>
            </w:tcBorders>
          </w:tcPr>
          <w:p w14:paraId="3EA89960"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8.2</w:t>
            </w:r>
          </w:p>
        </w:tc>
        <w:tc>
          <w:tcPr>
            <w:tcW w:w="802" w:type="dxa"/>
            <w:tcBorders>
              <w:left w:val="single" w:sz="12" w:space="0" w:color="auto"/>
              <w:right w:val="single" w:sz="12" w:space="0" w:color="auto"/>
            </w:tcBorders>
            <w:shd w:val="pct10" w:color="auto" w:fill="auto"/>
          </w:tcPr>
          <w:p w14:paraId="6510DE3A"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10.0</w:t>
            </w:r>
          </w:p>
        </w:tc>
        <w:tc>
          <w:tcPr>
            <w:tcW w:w="810" w:type="dxa"/>
            <w:tcBorders>
              <w:left w:val="single" w:sz="12" w:space="0" w:color="auto"/>
              <w:right w:val="single" w:sz="12" w:space="0" w:color="auto"/>
            </w:tcBorders>
          </w:tcPr>
          <w:p w14:paraId="532A358E"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6.5</w:t>
            </w:r>
          </w:p>
        </w:tc>
        <w:tc>
          <w:tcPr>
            <w:tcW w:w="768" w:type="dxa"/>
            <w:tcBorders>
              <w:left w:val="single" w:sz="12" w:space="0" w:color="auto"/>
              <w:right w:val="single" w:sz="12" w:space="0" w:color="auto"/>
            </w:tcBorders>
          </w:tcPr>
          <w:p w14:paraId="1555644D"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10.7</w:t>
            </w:r>
          </w:p>
        </w:tc>
        <w:tc>
          <w:tcPr>
            <w:tcW w:w="802" w:type="dxa"/>
            <w:tcBorders>
              <w:left w:val="single" w:sz="12" w:space="0" w:color="auto"/>
              <w:right w:val="single" w:sz="12" w:space="0" w:color="auto"/>
            </w:tcBorders>
          </w:tcPr>
          <w:p w14:paraId="07F59E0A"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13.4</w:t>
            </w:r>
          </w:p>
        </w:tc>
        <w:tc>
          <w:tcPr>
            <w:tcW w:w="791" w:type="dxa"/>
            <w:tcBorders>
              <w:left w:val="single" w:sz="12" w:space="0" w:color="auto"/>
              <w:right w:val="single" w:sz="12" w:space="0" w:color="auto"/>
            </w:tcBorders>
          </w:tcPr>
          <w:p w14:paraId="74BCA4B8"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n/a</w:t>
            </w:r>
          </w:p>
        </w:tc>
        <w:tc>
          <w:tcPr>
            <w:tcW w:w="706" w:type="dxa"/>
            <w:tcBorders>
              <w:left w:val="single" w:sz="12" w:space="0" w:color="auto"/>
              <w:right w:val="single" w:sz="12" w:space="0" w:color="auto"/>
            </w:tcBorders>
          </w:tcPr>
          <w:p w14:paraId="040824CD"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8.1</w:t>
            </w:r>
          </w:p>
        </w:tc>
        <w:tc>
          <w:tcPr>
            <w:tcW w:w="676" w:type="dxa"/>
            <w:tcBorders>
              <w:left w:val="single" w:sz="12" w:space="0" w:color="auto"/>
              <w:right w:val="single" w:sz="12" w:space="0" w:color="auto"/>
            </w:tcBorders>
          </w:tcPr>
          <w:p w14:paraId="47788CFC"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6.1</w:t>
            </w:r>
          </w:p>
        </w:tc>
        <w:tc>
          <w:tcPr>
            <w:tcW w:w="939" w:type="dxa"/>
            <w:tcBorders>
              <w:left w:val="single" w:sz="12" w:space="0" w:color="auto"/>
            </w:tcBorders>
          </w:tcPr>
          <w:p w14:paraId="76C58872"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7.5</w:t>
            </w:r>
          </w:p>
        </w:tc>
      </w:tr>
      <w:tr w:rsidR="006E6DAE" w:rsidRPr="00D00CAA" w14:paraId="7E8A9F91" w14:textId="77777777" w:rsidTr="00AA2A81">
        <w:trPr>
          <w:jc w:val="center"/>
        </w:trPr>
        <w:tc>
          <w:tcPr>
            <w:tcW w:w="1090" w:type="dxa"/>
            <w:tcBorders>
              <w:top w:val="single" w:sz="4" w:space="0" w:color="auto"/>
              <w:left w:val="single" w:sz="12" w:space="0" w:color="auto"/>
              <w:bottom w:val="single" w:sz="4" w:space="0" w:color="auto"/>
              <w:right w:val="single" w:sz="12" w:space="0" w:color="auto"/>
            </w:tcBorders>
          </w:tcPr>
          <w:p w14:paraId="76A516B3"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2009-10</w:t>
            </w:r>
          </w:p>
        </w:tc>
        <w:tc>
          <w:tcPr>
            <w:tcW w:w="894" w:type="dxa"/>
            <w:tcBorders>
              <w:left w:val="single" w:sz="12" w:space="0" w:color="auto"/>
              <w:bottom w:val="single" w:sz="4" w:space="0" w:color="auto"/>
              <w:right w:val="single" w:sz="12" w:space="0" w:color="auto"/>
            </w:tcBorders>
          </w:tcPr>
          <w:p w14:paraId="3664CB29"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8.7</w:t>
            </w:r>
          </w:p>
        </w:tc>
        <w:tc>
          <w:tcPr>
            <w:tcW w:w="802" w:type="dxa"/>
            <w:tcBorders>
              <w:left w:val="single" w:sz="12" w:space="0" w:color="auto"/>
              <w:bottom w:val="single" w:sz="4" w:space="0" w:color="auto"/>
              <w:right w:val="single" w:sz="12" w:space="0" w:color="auto"/>
            </w:tcBorders>
            <w:shd w:val="pct10" w:color="auto" w:fill="auto"/>
          </w:tcPr>
          <w:p w14:paraId="53D2C0BB"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10.0</w:t>
            </w:r>
          </w:p>
        </w:tc>
        <w:tc>
          <w:tcPr>
            <w:tcW w:w="810" w:type="dxa"/>
            <w:tcBorders>
              <w:left w:val="single" w:sz="12" w:space="0" w:color="auto"/>
              <w:bottom w:val="single" w:sz="4" w:space="0" w:color="auto"/>
              <w:right w:val="single" w:sz="12" w:space="0" w:color="auto"/>
            </w:tcBorders>
          </w:tcPr>
          <w:p w14:paraId="5738A1CB" w14:textId="77777777" w:rsidR="006E6DAE" w:rsidRPr="00D00CAA" w:rsidRDefault="006E6DAE" w:rsidP="006E6DAE">
            <w:pPr>
              <w:jc w:val="center"/>
              <w:rPr>
                <w:rFonts w:ascii="Arial" w:hAnsi="Arial" w:cs="Arial"/>
                <w:color w:val="000000"/>
                <w:sz w:val="20"/>
              </w:rPr>
            </w:pPr>
            <w:r w:rsidRPr="00D00CAA">
              <w:rPr>
                <w:rFonts w:ascii="Arial" w:hAnsi="Arial" w:cs="Arial"/>
                <w:color w:val="000000"/>
                <w:sz w:val="20"/>
              </w:rPr>
              <w:t>6.1</w:t>
            </w:r>
          </w:p>
        </w:tc>
        <w:tc>
          <w:tcPr>
            <w:tcW w:w="768" w:type="dxa"/>
            <w:tcBorders>
              <w:left w:val="single" w:sz="12" w:space="0" w:color="auto"/>
              <w:bottom w:val="single" w:sz="4" w:space="0" w:color="auto"/>
              <w:right w:val="single" w:sz="12" w:space="0" w:color="auto"/>
            </w:tcBorders>
          </w:tcPr>
          <w:p w14:paraId="32A3DD1C"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12.7</w:t>
            </w:r>
          </w:p>
        </w:tc>
        <w:tc>
          <w:tcPr>
            <w:tcW w:w="802" w:type="dxa"/>
            <w:tcBorders>
              <w:left w:val="single" w:sz="12" w:space="0" w:color="auto"/>
              <w:bottom w:val="single" w:sz="4" w:space="0" w:color="auto"/>
              <w:right w:val="single" w:sz="12" w:space="0" w:color="auto"/>
            </w:tcBorders>
          </w:tcPr>
          <w:p w14:paraId="53665862"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10.1</w:t>
            </w:r>
          </w:p>
        </w:tc>
        <w:tc>
          <w:tcPr>
            <w:tcW w:w="791" w:type="dxa"/>
            <w:tcBorders>
              <w:left w:val="single" w:sz="12" w:space="0" w:color="auto"/>
              <w:bottom w:val="single" w:sz="4" w:space="0" w:color="auto"/>
              <w:right w:val="single" w:sz="12" w:space="0" w:color="auto"/>
            </w:tcBorders>
          </w:tcPr>
          <w:p w14:paraId="18597FF2"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2.8</w:t>
            </w:r>
          </w:p>
        </w:tc>
        <w:tc>
          <w:tcPr>
            <w:tcW w:w="706" w:type="dxa"/>
            <w:tcBorders>
              <w:left w:val="single" w:sz="12" w:space="0" w:color="auto"/>
              <w:bottom w:val="single" w:sz="4" w:space="0" w:color="auto"/>
              <w:right w:val="single" w:sz="12" w:space="0" w:color="auto"/>
            </w:tcBorders>
          </w:tcPr>
          <w:p w14:paraId="3C8E204F"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12.5</w:t>
            </w:r>
          </w:p>
        </w:tc>
        <w:tc>
          <w:tcPr>
            <w:tcW w:w="676" w:type="dxa"/>
            <w:tcBorders>
              <w:left w:val="single" w:sz="12" w:space="0" w:color="auto"/>
              <w:bottom w:val="single" w:sz="4" w:space="0" w:color="auto"/>
              <w:right w:val="single" w:sz="12" w:space="0" w:color="auto"/>
            </w:tcBorders>
          </w:tcPr>
          <w:p w14:paraId="337A55C9" w14:textId="77777777" w:rsidR="006E6DAE" w:rsidRPr="00D00CAA" w:rsidRDefault="001C536D" w:rsidP="004D46D2">
            <w:pPr>
              <w:jc w:val="center"/>
              <w:rPr>
                <w:rFonts w:ascii="Arial" w:hAnsi="Arial" w:cs="Arial"/>
                <w:color w:val="000000"/>
                <w:sz w:val="20"/>
              </w:rPr>
            </w:pPr>
            <w:r w:rsidRPr="00D00CAA">
              <w:rPr>
                <w:rFonts w:ascii="Arial" w:hAnsi="Arial" w:cs="Arial"/>
                <w:color w:val="000000"/>
                <w:sz w:val="20"/>
              </w:rPr>
              <w:t>6.7</w:t>
            </w:r>
          </w:p>
        </w:tc>
        <w:tc>
          <w:tcPr>
            <w:tcW w:w="939" w:type="dxa"/>
            <w:tcBorders>
              <w:left w:val="single" w:sz="12" w:space="0" w:color="auto"/>
              <w:bottom w:val="single" w:sz="4" w:space="0" w:color="auto"/>
            </w:tcBorders>
          </w:tcPr>
          <w:p w14:paraId="7739C6C0" w14:textId="77777777" w:rsidR="006E6DAE" w:rsidRPr="00D00CAA" w:rsidRDefault="001C536D" w:rsidP="004D46D2">
            <w:pPr>
              <w:jc w:val="center"/>
              <w:rPr>
                <w:rFonts w:ascii="Arial" w:hAnsi="Arial" w:cs="Arial"/>
                <w:color w:val="000000"/>
                <w:sz w:val="20"/>
              </w:rPr>
            </w:pPr>
            <w:r w:rsidRPr="00D00CAA">
              <w:rPr>
                <w:rFonts w:ascii="Arial" w:hAnsi="Arial" w:cs="Arial"/>
                <w:color w:val="000000"/>
                <w:sz w:val="20"/>
              </w:rPr>
              <w:t>7.7</w:t>
            </w:r>
          </w:p>
        </w:tc>
      </w:tr>
      <w:tr w:rsidR="00ED4D32" w:rsidRPr="00D00CAA" w14:paraId="07DB5077" w14:textId="77777777" w:rsidTr="00177067">
        <w:trPr>
          <w:jc w:val="center"/>
        </w:trPr>
        <w:tc>
          <w:tcPr>
            <w:tcW w:w="1090" w:type="dxa"/>
            <w:tcBorders>
              <w:top w:val="single" w:sz="4" w:space="0" w:color="auto"/>
              <w:left w:val="single" w:sz="12" w:space="0" w:color="auto"/>
              <w:bottom w:val="single" w:sz="4" w:space="0" w:color="auto"/>
              <w:right w:val="single" w:sz="12" w:space="0" w:color="auto"/>
            </w:tcBorders>
          </w:tcPr>
          <w:p w14:paraId="27188C91" w14:textId="77777777" w:rsidR="00ED4D32" w:rsidRPr="00D00CAA" w:rsidRDefault="00ED4D32" w:rsidP="004D46D2">
            <w:pPr>
              <w:jc w:val="center"/>
              <w:rPr>
                <w:rFonts w:ascii="Arial" w:hAnsi="Arial" w:cs="Arial"/>
                <w:color w:val="000000"/>
                <w:sz w:val="20"/>
              </w:rPr>
            </w:pPr>
            <w:r w:rsidRPr="00D00CAA">
              <w:rPr>
                <w:rFonts w:ascii="Arial" w:hAnsi="Arial" w:cs="Arial"/>
                <w:color w:val="000000"/>
                <w:sz w:val="20"/>
              </w:rPr>
              <w:t>2010-11</w:t>
            </w:r>
          </w:p>
        </w:tc>
        <w:tc>
          <w:tcPr>
            <w:tcW w:w="894" w:type="dxa"/>
            <w:tcBorders>
              <w:top w:val="single" w:sz="4" w:space="0" w:color="auto"/>
              <w:left w:val="single" w:sz="12" w:space="0" w:color="auto"/>
              <w:bottom w:val="single" w:sz="4" w:space="0" w:color="auto"/>
              <w:right w:val="single" w:sz="12" w:space="0" w:color="auto"/>
            </w:tcBorders>
          </w:tcPr>
          <w:p w14:paraId="73D55922"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8.9</w:t>
            </w:r>
          </w:p>
        </w:tc>
        <w:tc>
          <w:tcPr>
            <w:tcW w:w="802" w:type="dxa"/>
            <w:tcBorders>
              <w:top w:val="single" w:sz="4" w:space="0" w:color="auto"/>
              <w:left w:val="single" w:sz="12" w:space="0" w:color="auto"/>
              <w:bottom w:val="single" w:sz="4" w:space="0" w:color="auto"/>
              <w:right w:val="single" w:sz="12" w:space="0" w:color="auto"/>
            </w:tcBorders>
            <w:shd w:val="pct10" w:color="auto" w:fill="auto"/>
          </w:tcPr>
          <w:p w14:paraId="5AC971F9"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9.3</w:t>
            </w:r>
          </w:p>
        </w:tc>
        <w:tc>
          <w:tcPr>
            <w:tcW w:w="810" w:type="dxa"/>
            <w:tcBorders>
              <w:top w:val="single" w:sz="4" w:space="0" w:color="auto"/>
              <w:left w:val="single" w:sz="12" w:space="0" w:color="auto"/>
              <w:bottom w:val="single" w:sz="4" w:space="0" w:color="auto"/>
              <w:right w:val="single" w:sz="12" w:space="0" w:color="auto"/>
            </w:tcBorders>
          </w:tcPr>
          <w:p w14:paraId="7D264AC6" w14:textId="77777777" w:rsidR="00ED4D32" w:rsidRPr="00D00CAA" w:rsidRDefault="00AA2A81" w:rsidP="006E6DAE">
            <w:pPr>
              <w:jc w:val="center"/>
              <w:rPr>
                <w:rFonts w:ascii="Arial" w:hAnsi="Arial" w:cs="Arial"/>
                <w:color w:val="000000"/>
                <w:sz w:val="20"/>
              </w:rPr>
            </w:pPr>
            <w:r w:rsidRPr="00D00CAA">
              <w:rPr>
                <w:rFonts w:ascii="Arial" w:hAnsi="Arial" w:cs="Arial"/>
                <w:color w:val="000000"/>
                <w:sz w:val="20"/>
              </w:rPr>
              <w:t>6.3</w:t>
            </w:r>
          </w:p>
        </w:tc>
        <w:tc>
          <w:tcPr>
            <w:tcW w:w="768" w:type="dxa"/>
            <w:tcBorders>
              <w:top w:val="single" w:sz="4" w:space="0" w:color="auto"/>
              <w:left w:val="single" w:sz="12" w:space="0" w:color="auto"/>
              <w:bottom w:val="single" w:sz="4" w:space="0" w:color="auto"/>
              <w:right w:val="single" w:sz="12" w:space="0" w:color="auto"/>
            </w:tcBorders>
          </w:tcPr>
          <w:p w14:paraId="410F8EA8"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12.4</w:t>
            </w:r>
          </w:p>
        </w:tc>
        <w:tc>
          <w:tcPr>
            <w:tcW w:w="802" w:type="dxa"/>
            <w:tcBorders>
              <w:top w:val="single" w:sz="4" w:space="0" w:color="auto"/>
              <w:left w:val="single" w:sz="12" w:space="0" w:color="auto"/>
              <w:bottom w:val="single" w:sz="4" w:space="0" w:color="auto"/>
              <w:right w:val="single" w:sz="12" w:space="0" w:color="auto"/>
            </w:tcBorders>
          </w:tcPr>
          <w:p w14:paraId="0CE09F45"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9.2</w:t>
            </w:r>
          </w:p>
        </w:tc>
        <w:tc>
          <w:tcPr>
            <w:tcW w:w="791" w:type="dxa"/>
            <w:tcBorders>
              <w:top w:val="single" w:sz="4" w:space="0" w:color="auto"/>
              <w:left w:val="single" w:sz="12" w:space="0" w:color="auto"/>
              <w:bottom w:val="single" w:sz="4" w:space="0" w:color="auto"/>
              <w:right w:val="single" w:sz="12" w:space="0" w:color="auto"/>
            </w:tcBorders>
          </w:tcPr>
          <w:p w14:paraId="204AE48C"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2.5</w:t>
            </w:r>
          </w:p>
        </w:tc>
        <w:tc>
          <w:tcPr>
            <w:tcW w:w="706" w:type="dxa"/>
            <w:tcBorders>
              <w:top w:val="single" w:sz="4" w:space="0" w:color="auto"/>
              <w:left w:val="single" w:sz="12" w:space="0" w:color="auto"/>
              <w:bottom w:val="single" w:sz="4" w:space="0" w:color="auto"/>
              <w:right w:val="single" w:sz="12" w:space="0" w:color="auto"/>
            </w:tcBorders>
          </w:tcPr>
          <w:p w14:paraId="742E9776"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13.0</w:t>
            </w:r>
          </w:p>
        </w:tc>
        <w:tc>
          <w:tcPr>
            <w:tcW w:w="676" w:type="dxa"/>
            <w:tcBorders>
              <w:top w:val="single" w:sz="4" w:space="0" w:color="auto"/>
              <w:left w:val="single" w:sz="12" w:space="0" w:color="auto"/>
              <w:bottom w:val="single" w:sz="4" w:space="0" w:color="auto"/>
              <w:right w:val="single" w:sz="12" w:space="0" w:color="auto"/>
            </w:tcBorders>
          </w:tcPr>
          <w:p w14:paraId="3A758A72"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6.6</w:t>
            </w:r>
          </w:p>
        </w:tc>
        <w:tc>
          <w:tcPr>
            <w:tcW w:w="939" w:type="dxa"/>
            <w:tcBorders>
              <w:top w:val="single" w:sz="4" w:space="0" w:color="auto"/>
              <w:left w:val="single" w:sz="12" w:space="0" w:color="auto"/>
              <w:bottom w:val="single" w:sz="4" w:space="0" w:color="auto"/>
            </w:tcBorders>
          </w:tcPr>
          <w:p w14:paraId="4A4D0590"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7.7</w:t>
            </w:r>
          </w:p>
        </w:tc>
      </w:tr>
      <w:tr w:rsidR="00177067" w:rsidRPr="003D5DFA" w14:paraId="72F48946" w14:textId="77777777" w:rsidTr="00492F82">
        <w:trPr>
          <w:jc w:val="center"/>
        </w:trPr>
        <w:tc>
          <w:tcPr>
            <w:tcW w:w="1090" w:type="dxa"/>
            <w:tcBorders>
              <w:top w:val="single" w:sz="4" w:space="0" w:color="auto"/>
              <w:left w:val="single" w:sz="12" w:space="0" w:color="auto"/>
              <w:bottom w:val="single" w:sz="4" w:space="0" w:color="auto"/>
              <w:right w:val="single" w:sz="12" w:space="0" w:color="auto"/>
            </w:tcBorders>
          </w:tcPr>
          <w:p w14:paraId="03AA8EF8"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2011-12</w:t>
            </w:r>
          </w:p>
        </w:tc>
        <w:tc>
          <w:tcPr>
            <w:tcW w:w="894" w:type="dxa"/>
            <w:tcBorders>
              <w:top w:val="single" w:sz="4" w:space="0" w:color="auto"/>
              <w:left w:val="single" w:sz="12" w:space="0" w:color="auto"/>
              <w:bottom w:val="single" w:sz="4" w:space="0" w:color="auto"/>
              <w:right w:val="single" w:sz="12" w:space="0" w:color="auto"/>
            </w:tcBorders>
          </w:tcPr>
          <w:p w14:paraId="413B7A3D"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9.0</w:t>
            </w:r>
          </w:p>
        </w:tc>
        <w:tc>
          <w:tcPr>
            <w:tcW w:w="802" w:type="dxa"/>
            <w:tcBorders>
              <w:top w:val="single" w:sz="4" w:space="0" w:color="auto"/>
              <w:left w:val="single" w:sz="12" w:space="0" w:color="auto"/>
              <w:bottom w:val="single" w:sz="4" w:space="0" w:color="auto"/>
              <w:right w:val="single" w:sz="12" w:space="0" w:color="auto"/>
            </w:tcBorders>
            <w:shd w:val="pct10" w:color="auto" w:fill="auto"/>
          </w:tcPr>
          <w:p w14:paraId="21CD4E34"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9.7</w:t>
            </w:r>
          </w:p>
        </w:tc>
        <w:tc>
          <w:tcPr>
            <w:tcW w:w="810" w:type="dxa"/>
            <w:tcBorders>
              <w:top w:val="single" w:sz="4" w:space="0" w:color="auto"/>
              <w:left w:val="single" w:sz="12" w:space="0" w:color="auto"/>
              <w:bottom w:val="single" w:sz="4" w:space="0" w:color="auto"/>
              <w:right w:val="single" w:sz="12" w:space="0" w:color="auto"/>
            </w:tcBorders>
          </w:tcPr>
          <w:p w14:paraId="5C3DE4C6" w14:textId="77777777" w:rsidR="00177067" w:rsidRPr="003D5DFA" w:rsidRDefault="00655A55" w:rsidP="006E6DAE">
            <w:pPr>
              <w:jc w:val="center"/>
              <w:rPr>
                <w:rFonts w:ascii="Arial" w:hAnsi="Arial" w:cs="Arial"/>
                <w:color w:val="000000"/>
                <w:sz w:val="20"/>
              </w:rPr>
            </w:pPr>
            <w:r w:rsidRPr="003D5DFA">
              <w:rPr>
                <w:rFonts w:ascii="Arial" w:hAnsi="Arial" w:cs="Arial"/>
                <w:color w:val="000000"/>
                <w:sz w:val="20"/>
              </w:rPr>
              <w:t>6.0</w:t>
            </w:r>
          </w:p>
        </w:tc>
        <w:tc>
          <w:tcPr>
            <w:tcW w:w="768" w:type="dxa"/>
            <w:tcBorders>
              <w:top w:val="single" w:sz="4" w:space="0" w:color="auto"/>
              <w:left w:val="single" w:sz="12" w:space="0" w:color="auto"/>
              <w:bottom w:val="single" w:sz="4" w:space="0" w:color="auto"/>
              <w:right w:val="single" w:sz="12" w:space="0" w:color="auto"/>
            </w:tcBorders>
          </w:tcPr>
          <w:p w14:paraId="4D7E6F7F"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13.4</w:t>
            </w:r>
          </w:p>
        </w:tc>
        <w:tc>
          <w:tcPr>
            <w:tcW w:w="802" w:type="dxa"/>
            <w:tcBorders>
              <w:top w:val="single" w:sz="4" w:space="0" w:color="auto"/>
              <w:left w:val="single" w:sz="12" w:space="0" w:color="auto"/>
              <w:bottom w:val="single" w:sz="4" w:space="0" w:color="auto"/>
              <w:right w:val="single" w:sz="12" w:space="0" w:color="auto"/>
            </w:tcBorders>
          </w:tcPr>
          <w:p w14:paraId="068846BD"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11.6</w:t>
            </w:r>
          </w:p>
        </w:tc>
        <w:tc>
          <w:tcPr>
            <w:tcW w:w="791" w:type="dxa"/>
            <w:tcBorders>
              <w:top w:val="single" w:sz="4" w:space="0" w:color="auto"/>
              <w:left w:val="single" w:sz="12" w:space="0" w:color="auto"/>
              <w:bottom w:val="single" w:sz="4" w:space="0" w:color="auto"/>
              <w:right w:val="single" w:sz="12" w:space="0" w:color="auto"/>
            </w:tcBorders>
          </w:tcPr>
          <w:p w14:paraId="350E6DD8"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2.7</w:t>
            </w:r>
          </w:p>
        </w:tc>
        <w:tc>
          <w:tcPr>
            <w:tcW w:w="706" w:type="dxa"/>
            <w:tcBorders>
              <w:top w:val="single" w:sz="4" w:space="0" w:color="auto"/>
              <w:left w:val="single" w:sz="12" w:space="0" w:color="auto"/>
              <w:bottom w:val="single" w:sz="4" w:space="0" w:color="auto"/>
              <w:right w:val="single" w:sz="12" w:space="0" w:color="auto"/>
            </w:tcBorders>
          </w:tcPr>
          <w:p w14:paraId="0598BF41"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13.8</w:t>
            </w:r>
          </w:p>
        </w:tc>
        <w:tc>
          <w:tcPr>
            <w:tcW w:w="676" w:type="dxa"/>
            <w:tcBorders>
              <w:top w:val="single" w:sz="4" w:space="0" w:color="auto"/>
              <w:left w:val="single" w:sz="12" w:space="0" w:color="auto"/>
              <w:bottom w:val="single" w:sz="4" w:space="0" w:color="auto"/>
              <w:right w:val="single" w:sz="12" w:space="0" w:color="auto"/>
            </w:tcBorders>
          </w:tcPr>
          <w:p w14:paraId="4FEDD48A"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7.8</w:t>
            </w:r>
          </w:p>
        </w:tc>
        <w:tc>
          <w:tcPr>
            <w:tcW w:w="939" w:type="dxa"/>
            <w:tcBorders>
              <w:top w:val="single" w:sz="4" w:space="0" w:color="auto"/>
              <w:left w:val="single" w:sz="12" w:space="0" w:color="auto"/>
              <w:bottom w:val="single" w:sz="4" w:space="0" w:color="auto"/>
            </w:tcBorders>
          </w:tcPr>
          <w:p w14:paraId="71FF8740"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7.8</w:t>
            </w:r>
          </w:p>
        </w:tc>
      </w:tr>
      <w:tr w:rsidR="00492F82" w:rsidRPr="003D5DFA" w14:paraId="25C585D9" w14:textId="77777777" w:rsidTr="00453F5C">
        <w:trPr>
          <w:jc w:val="center"/>
        </w:trPr>
        <w:tc>
          <w:tcPr>
            <w:tcW w:w="1090" w:type="dxa"/>
            <w:tcBorders>
              <w:top w:val="single" w:sz="4" w:space="0" w:color="auto"/>
              <w:left w:val="single" w:sz="12" w:space="0" w:color="auto"/>
              <w:bottom w:val="single" w:sz="4" w:space="0" w:color="auto"/>
              <w:right w:val="single" w:sz="12" w:space="0" w:color="auto"/>
            </w:tcBorders>
          </w:tcPr>
          <w:p w14:paraId="2A433958" w14:textId="77777777" w:rsidR="00492F82" w:rsidRPr="003D5DFA" w:rsidRDefault="00492F82" w:rsidP="004D46D2">
            <w:pPr>
              <w:jc w:val="center"/>
              <w:rPr>
                <w:rFonts w:ascii="Arial" w:hAnsi="Arial" w:cs="Arial"/>
                <w:color w:val="000000"/>
                <w:sz w:val="20"/>
              </w:rPr>
            </w:pPr>
            <w:r>
              <w:rPr>
                <w:rFonts w:ascii="Arial" w:hAnsi="Arial" w:cs="Arial"/>
                <w:color w:val="000000"/>
                <w:sz w:val="20"/>
              </w:rPr>
              <w:t>2012-13</w:t>
            </w:r>
          </w:p>
        </w:tc>
        <w:tc>
          <w:tcPr>
            <w:tcW w:w="894" w:type="dxa"/>
            <w:tcBorders>
              <w:top w:val="single" w:sz="4" w:space="0" w:color="auto"/>
              <w:left w:val="single" w:sz="12" w:space="0" w:color="auto"/>
              <w:bottom w:val="single" w:sz="4" w:space="0" w:color="auto"/>
              <w:right w:val="single" w:sz="12" w:space="0" w:color="auto"/>
            </w:tcBorders>
          </w:tcPr>
          <w:p w14:paraId="6FFBA2A2" w14:textId="77777777" w:rsidR="00492F82" w:rsidRPr="003D5DFA" w:rsidRDefault="00921BCD" w:rsidP="004D46D2">
            <w:pPr>
              <w:jc w:val="center"/>
              <w:rPr>
                <w:rFonts w:ascii="Arial" w:hAnsi="Arial" w:cs="Arial"/>
                <w:color w:val="000000"/>
                <w:sz w:val="20"/>
              </w:rPr>
            </w:pPr>
            <w:r>
              <w:rPr>
                <w:rFonts w:ascii="Arial" w:hAnsi="Arial" w:cs="Arial"/>
                <w:color w:val="000000"/>
                <w:sz w:val="20"/>
              </w:rPr>
              <w:t>9.5</w:t>
            </w:r>
          </w:p>
        </w:tc>
        <w:tc>
          <w:tcPr>
            <w:tcW w:w="802" w:type="dxa"/>
            <w:tcBorders>
              <w:top w:val="single" w:sz="4" w:space="0" w:color="auto"/>
              <w:left w:val="single" w:sz="12" w:space="0" w:color="auto"/>
              <w:bottom w:val="single" w:sz="4" w:space="0" w:color="auto"/>
              <w:right w:val="single" w:sz="12" w:space="0" w:color="auto"/>
            </w:tcBorders>
            <w:shd w:val="pct10" w:color="auto" w:fill="auto"/>
          </w:tcPr>
          <w:p w14:paraId="239B0D80" w14:textId="77777777" w:rsidR="00492F82" w:rsidRPr="003D5DFA" w:rsidRDefault="00921BCD" w:rsidP="004D46D2">
            <w:pPr>
              <w:jc w:val="center"/>
              <w:rPr>
                <w:rFonts w:ascii="Arial" w:hAnsi="Arial" w:cs="Arial"/>
                <w:color w:val="000000"/>
                <w:sz w:val="20"/>
              </w:rPr>
            </w:pPr>
            <w:r>
              <w:rPr>
                <w:rFonts w:ascii="Arial" w:hAnsi="Arial" w:cs="Arial"/>
                <w:color w:val="000000"/>
                <w:sz w:val="20"/>
              </w:rPr>
              <w:t>9.4</w:t>
            </w:r>
          </w:p>
        </w:tc>
        <w:tc>
          <w:tcPr>
            <w:tcW w:w="810" w:type="dxa"/>
            <w:tcBorders>
              <w:top w:val="single" w:sz="4" w:space="0" w:color="auto"/>
              <w:left w:val="single" w:sz="12" w:space="0" w:color="auto"/>
              <w:bottom w:val="single" w:sz="4" w:space="0" w:color="auto"/>
              <w:right w:val="single" w:sz="12" w:space="0" w:color="auto"/>
            </w:tcBorders>
          </w:tcPr>
          <w:p w14:paraId="0E61A9AA" w14:textId="77777777" w:rsidR="00492F82" w:rsidRPr="003D5DFA" w:rsidRDefault="00921BCD" w:rsidP="006E6DAE">
            <w:pPr>
              <w:jc w:val="center"/>
              <w:rPr>
                <w:rFonts w:ascii="Arial" w:hAnsi="Arial" w:cs="Arial"/>
                <w:color w:val="000000"/>
                <w:sz w:val="20"/>
              </w:rPr>
            </w:pPr>
            <w:r>
              <w:rPr>
                <w:rFonts w:ascii="Arial" w:hAnsi="Arial" w:cs="Arial"/>
                <w:color w:val="000000"/>
                <w:sz w:val="20"/>
              </w:rPr>
              <w:t>6.7</w:t>
            </w:r>
          </w:p>
        </w:tc>
        <w:tc>
          <w:tcPr>
            <w:tcW w:w="768" w:type="dxa"/>
            <w:tcBorders>
              <w:top w:val="single" w:sz="4" w:space="0" w:color="auto"/>
              <w:left w:val="single" w:sz="12" w:space="0" w:color="auto"/>
              <w:bottom w:val="single" w:sz="4" w:space="0" w:color="auto"/>
              <w:right w:val="single" w:sz="12" w:space="0" w:color="auto"/>
            </w:tcBorders>
          </w:tcPr>
          <w:p w14:paraId="53B6A125" w14:textId="77777777" w:rsidR="00492F82" w:rsidRPr="003D5DFA" w:rsidRDefault="00921BCD" w:rsidP="004D46D2">
            <w:pPr>
              <w:jc w:val="center"/>
              <w:rPr>
                <w:rFonts w:ascii="Arial" w:hAnsi="Arial" w:cs="Arial"/>
                <w:color w:val="000000"/>
                <w:sz w:val="20"/>
              </w:rPr>
            </w:pPr>
            <w:r>
              <w:rPr>
                <w:rFonts w:ascii="Arial" w:hAnsi="Arial" w:cs="Arial"/>
                <w:color w:val="000000"/>
                <w:sz w:val="20"/>
              </w:rPr>
              <w:t>15.0</w:t>
            </w:r>
          </w:p>
        </w:tc>
        <w:tc>
          <w:tcPr>
            <w:tcW w:w="802" w:type="dxa"/>
            <w:tcBorders>
              <w:top w:val="single" w:sz="4" w:space="0" w:color="auto"/>
              <w:left w:val="single" w:sz="12" w:space="0" w:color="auto"/>
              <w:bottom w:val="single" w:sz="4" w:space="0" w:color="auto"/>
              <w:right w:val="single" w:sz="12" w:space="0" w:color="auto"/>
            </w:tcBorders>
          </w:tcPr>
          <w:p w14:paraId="2050DFBC" w14:textId="77777777" w:rsidR="00492F82" w:rsidRPr="003D5DFA" w:rsidRDefault="00921BCD" w:rsidP="004D46D2">
            <w:pPr>
              <w:jc w:val="center"/>
              <w:rPr>
                <w:rFonts w:ascii="Arial" w:hAnsi="Arial" w:cs="Arial"/>
                <w:color w:val="000000"/>
                <w:sz w:val="20"/>
              </w:rPr>
            </w:pPr>
            <w:r>
              <w:rPr>
                <w:rFonts w:ascii="Arial" w:hAnsi="Arial" w:cs="Arial"/>
                <w:color w:val="000000"/>
                <w:sz w:val="20"/>
              </w:rPr>
              <w:t>13.0</w:t>
            </w:r>
          </w:p>
        </w:tc>
        <w:tc>
          <w:tcPr>
            <w:tcW w:w="791" w:type="dxa"/>
            <w:tcBorders>
              <w:top w:val="single" w:sz="4" w:space="0" w:color="auto"/>
              <w:left w:val="single" w:sz="12" w:space="0" w:color="auto"/>
              <w:bottom w:val="single" w:sz="4" w:space="0" w:color="auto"/>
              <w:right w:val="single" w:sz="12" w:space="0" w:color="auto"/>
            </w:tcBorders>
          </w:tcPr>
          <w:p w14:paraId="59A3FA39" w14:textId="77777777" w:rsidR="00492F82" w:rsidRPr="003D5DFA" w:rsidRDefault="00921BCD" w:rsidP="004D46D2">
            <w:pPr>
              <w:jc w:val="center"/>
              <w:rPr>
                <w:rFonts w:ascii="Arial" w:hAnsi="Arial" w:cs="Arial"/>
                <w:color w:val="000000"/>
                <w:sz w:val="20"/>
              </w:rPr>
            </w:pPr>
            <w:r>
              <w:rPr>
                <w:rFonts w:ascii="Arial" w:hAnsi="Arial" w:cs="Arial"/>
                <w:color w:val="000000"/>
                <w:sz w:val="20"/>
              </w:rPr>
              <w:t>3.3</w:t>
            </w:r>
          </w:p>
        </w:tc>
        <w:tc>
          <w:tcPr>
            <w:tcW w:w="706" w:type="dxa"/>
            <w:tcBorders>
              <w:top w:val="single" w:sz="4" w:space="0" w:color="auto"/>
              <w:left w:val="single" w:sz="12" w:space="0" w:color="auto"/>
              <w:bottom w:val="single" w:sz="4" w:space="0" w:color="auto"/>
              <w:right w:val="single" w:sz="12" w:space="0" w:color="auto"/>
            </w:tcBorders>
          </w:tcPr>
          <w:p w14:paraId="02C34F20" w14:textId="77777777" w:rsidR="00492F82" w:rsidRPr="003D5DFA" w:rsidRDefault="00921BCD" w:rsidP="004D46D2">
            <w:pPr>
              <w:jc w:val="center"/>
              <w:rPr>
                <w:rFonts w:ascii="Arial" w:hAnsi="Arial" w:cs="Arial"/>
                <w:color w:val="000000"/>
                <w:sz w:val="20"/>
              </w:rPr>
            </w:pPr>
            <w:r>
              <w:rPr>
                <w:rFonts w:ascii="Arial" w:hAnsi="Arial" w:cs="Arial"/>
                <w:color w:val="000000"/>
                <w:sz w:val="20"/>
              </w:rPr>
              <w:t>10.8</w:t>
            </w:r>
          </w:p>
        </w:tc>
        <w:tc>
          <w:tcPr>
            <w:tcW w:w="676" w:type="dxa"/>
            <w:tcBorders>
              <w:top w:val="single" w:sz="4" w:space="0" w:color="auto"/>
              <w:left w:val="single" w:sz="12" w:space="0" w:color="auto"/>
              <w:bottom w:val="single" w:sz="4" w:space="0" w:color="auto"/>
              <w:right w:val="single" w:sz="12" w:space="0" w:color="auto"/>
            </w:tcBorders>
          </w:tcPr>
          <w:p w14:paraId="19BF401D" w14:textId="77777777" w:rsidR="00492F82" w:rsidRPr="003D5DFA" w:rsidRDefault="000B4173" w:rsidP="004D46D2">
            <w:pPr>
              <w:jc w:val="center"/>
              <w:rPr>
                <w:rFonts w:ascii="Arial" w:hAnsi="Arial" w:cs="Arial"/>
                <w:color w:val="000000"/>
                <w:sz w:val="20"/>
              </w:rPr>
            </w:pPr>
            <w:r>
              <w:rPr>
                <w:rFonts w:ascii="Arial" w:hAnsi="Arial" w:cs="Arial"/>
                <w:color w:val="000000"/>
                <w:sz w:val="20"/>
              </w:rPr>
              <w:t>9.3</w:t>
            </w:r>
          </w:p>
        </w:tc>
        <w:tc>
          <w:tcPr>
            <w:tcW w:w="939" w:type="dxa"/>
            <w:tcBorders>
              <w:top w:val="single" w:sz="4" w:space="0" w:color="auto"/>
              <w:left w:val="single" w:sz="12" w:space="0" w:color="auto"/>
              <w:bottom w:val="single" w:sz="4" w:space="0" w:color="auto"/>
            </w:tcBorders>
          </w:tcPr>
          <w:p w14:paraId="590B68EF" w14:textId="77777777" w:rsidR="00492F82" w:rsidRPr="003D5DFA" w:rsidRDefault="000B4173" w:rsidP="004D46D2">
            <w:pPr>
              <w:jc w:val="center"/>
              <w:rPr>
                <w:rFonts w:ascii="Arial" w:hAnsi="Arial" w:cs="Arial"/>
                <w:color w:val="000000"/>
                <w:sz w:val="20"/>
              </w:rPr>
            </w:pPr>
            <w:r>
              <w:rPr>
                <w:rFonts w:ascii="Arial" w:hAnsi="Arial" w:cs="Arial"/>
                <w:color w:val="000000"/>
                <w:sz w:val="20"/>
              </w:rPr>
              <w:t>7.9</w:t>
            </w:r>
          </w:p>
        </w:tc>
      </w:tr>
      <w:tr w:rsidR="00453F5C" w:rsidRPr="003D5DFA" w14:paraId="1B48E45D" w14:textId="77777777" w:rsidTr="00AA2A81">
        <w:trPr>
          <w:jc w:val="center"/>
        </w:trPr>
        <w:tc>
          <w:tcPr>
            <w:tcW w:w="1090" w:type="dxa"/>
            <w:tcBorders>
              <w:top w:val="single" w:sz="4" w:space="0" w:color="auto"/>
              <w:left w:val="single" w:sz="12" w:space="0" w:color="auto"/>
              <w:bottom w:val="single" w:sz="18" w:space="0" w:color="auto"/>
              <w:right w:val="single" w:sz="12" w:space="0" w:color="auto"/>
            </w:tcBorders>
          </w:tcPr>
          <w:p w14:paraId="25AC9453" w14:textId="77777777" w:rsidR="00453F5C" w:rsidRDefault="00453F5C" w:rsidP="004D46D2">
            <w:pPr>
              <w:jc w:val="center"/>
              <w:rPr>
                <w:rFonts w:ascii="Arial" w:hAnsi="Arial" w:cs="Arial"/>
                <w:color w:val="000000"/>
                <w:sz w:val="20"/>
              </w:rPr>
            </w:pPr>
            <w:r>
              <w:rPr>
                <w:rFonts w:ascii="Arial" w:hAnsi="Arial" w:cs="Arial"/>
                <w:color w:val="000000"/>
                <w:sz w:val="20"/>
              </w:rPr>
              <w:t>2013-14</w:t>
            </w:r>
          </w:p>
        </w:tc>
        <w:tc>
          <w:tcPr>
            <w:tcW w:w="894" w:type="dxa"/>
            <w:tcBorders>
              <w:top w:val="single" w:sz="4" w:space="0" w:color="auto"/>
              <w:left w:val="single" w:sz="12" w:space="0" w:color="auto"/>
              <w:bottom w:val="single" w:sz="18" w:space="0" w:color="auto"/>
              <w:right w:val="single" w:sz="12" w:space="0" w:color="auto"/>
            </w:tcBorders>
          </w:tcPr>
          <w:p w14:paraId="68C2FA5C" w14:textId="77777777" w:rsidR="00453F5C" w:rsidRDefault="00453F5C" w:rsidP="004D46D2">
            <w:pPr>
              <w:jc w:val="center"/>
              <w:rPr>
                <w:rFonts w:ascii="Arial" w:hAnsi="Arial" w:cs="Arial"/>
                <w:color w:val="000000"/>
                <w:sz w:val="20"/>
              </w:rPr>
            </w:pPr>
            <w:r>
              <w:rPr>
                <w:rFonts w:ascii="Arial" w:hAnsi="Arial" w:cs="Arial"/>
                <w:color w:val="000000"/>
                <w:sz w:val="20"/>
              </w:rPr>
              <w:t>7.9</w:t>
            </w:r>
          </w:p>
        </w:tc>
        <w:tc>
          <w:tcPr>
            <w:tcW w:w="802" w:type="dxa"/>
            <w:tcBorders>
              <w:top w:val="single" w:sz="4" w:space="0" w:color="auto"/>
              <w:left w:val="single" w:sz="12" w:space="0" w:color="auto"/>
              <w:bottom w:val="single" w:sz="18" w:space="0" w:color="auto"/>
              <w:right w:val="single" w:sz="12" w:space="0" w:color="auto"/>
            </w:tcBorders>
            <w:shd w:val="pct10" w:color="auto" w:fill="auto"/>
          </w:tcPr>
          <w:p w14:paraId="1B0B7CD5" w14:textId="77777777" w:rsidR="00453F5C" w:rsidRDefault="00453F5C" w:rsidP="004D46D2">
            <w:pPr>
              <w:jc w:val="center"/>
              <w:rPr>
                <w:rFonts w:ascii="Arial" w:hAnsi="Arial" w:cs="Arial"/>
                <w:color w:val="000000"/>
                <w:sz w:val="20"/>
              </w:rPr>
            </w:pPr>
            <w:r>
              <w:rPr>
                <w:rFonts w:ascii="Arial" w:hAnsi="Arial" w:cs="Arial"/>
                <w:color w:val="000000"/>
                <w:sz w:val="20"/>
              </w:rPr>
              <w:t>7.4</w:t>
            </w:r>
          </w:p>
        </w:tc>
        <w:tc>
          <w:tcPr>
            <w:tcW w:w="810" w:type="dxa"/>
            <w:tcBorders>
              <w:top w:val="single" w:sz="4" w:space="0" w:color="auto"/>
              <w:left w:val="single" w:sz="12" w:space="0" w:color="auto"/>
              <w:bottom w:val="single" w:sz="18" w:space="0" w:color="auto"/>
              <w:right w:val="single" w:sz="12" w:space="0" w:color="auto"/>
            </w:tcBorders>
          </w:tcPr>
          <w:p w14:paraId="22C0AFF4" w14:textId="77777777" w:rsidR="00453F5C" w:rsidRDefault="00453F5C" w:rsidP="006E6DAE">
            <w:pPr>
              <w:jc w:val="center"/>
              <w:rPr>
                <w:rFonts w:ascii="Arial" w:hAnsi="Arial" w:cs="Arial"/>
                <w:color w:val="000000"/>
                <w:sz w:val="20"/>
              </w:rPr>
            </w:pPr>
            <w:r>
              <w:rPr>
                <w:rFonts w:ascii="Arial" w:hAnsi="Arial" w:cs="Arial"/>
                <w:color w:val="000000"/>
                <w:sz w:val="20"/>
              </w:rPr>
              <w:t>6.2</w:t>
            </w:r>
          </w:p>
        </w:tc>
        <w:tc>
          <w:tcPr>
            <w:tcW w:w="768" w:type="dxa"/>
            <w:tcBorders>
              <w:top w:val="single" w:sz="4" w:space="0" w:color="auto"/>
              <w:left w:val="single" w:sz="12" w:space="0" w:color="auto"/>
              <w:bottom w:val="single" w:sz="18" w:space="0" w:color="auto"/>
              <w:right w:val="single" w:sz="12" w:space="0" w:color="auto"/>
            </w:tcBorders>
          </w:tcPr>
          <w:p w14:paraId="552ADC6F" w14:textId="77777777" w:rsidR="00453F5C" w:rsidRDefault="00453F5C" w:rsidP="004D46D2">
            <w:pPr>
              <w:jc w:val="center"/>
              <w:rPr>
                <w:rFonts w:ascii="Arial" w:hAnsi="Arial" w:cs="Arial"/>
                <w:color w:val="000000"/>
                <w:sz w:val="20"/>
              </w:rPr>
            </w:pPr>
            <w:r>
              <w:rPr>
                <w:rFonts w:ascii="Arial" w:hAnsi="Arial" w:cs="Arial"/>
                <w:color w:val="000000"/>
                <w:sz w:val="20"/>
              </w:rPr>
              <w:t>13.3</w:t>
            </w:r>
          </w:p>
        </w:tc>
        <w:tc>
          <w:tcPr>
            <w:tcW w:w="802" w:type="dxa"/>
            <w:tcBorders>
              <w:top w:val="single" w:sz="4" w:space="0" w:color="auto"/>
              <w:left w:val="single" w:sz="12" w:space="0" w:color="auto"/>
              <w:bottom w:val="single" w:sz="18" w:space="0" w:color="auto"/>
              <w:right w:val="single" w:sz="12" w:space="0" w:color="auto"/>
            </w:tcBorders>
          </w:tcPr>
          <w:p w14:paraId="68578263" w14:textId="77777777" w:rsidR="00453F5C" w:rsidRDefault="00453F5C" w:rsidP="004D46D2">
            <w:pPr>
              <w:jc w:val="center"/>
              <w:rPr>
                <w:rFonts w:ascii="Arial" w:hAnsi="Arial" w:cs="Arial"/>
                <w:color w:val="000000"/>
                <w:sz w:val="20"/>
              </w:rPr>
            </w:pPr>
            <w:r>
              <w:rPr>
                <w:rFonts w:ascii="Arial" w:hAnsi="Arial" w:cs="Arial"/>
                <w:color w:val="000000"/>
                <w:sz w:val="20"/>
              </w:rPr>
              <w:t>10.6</w:t>
            </w:r>
          </w:p>
        </w:tc>
        <w:tc>
          <w:tcPr>
            <w:tcW w:w="791" w:type="dxa"/>
            <w:tcBorders>
              <w:top w:val="single" w:sz="4" w:space="0" w:color="auto"/>
              <w:left w:val="single" w:sz="12" w:space="0" w:color="auto"/>
              <w:bottom w:val="single" w:sz="18" w:space="0" w:color="auto"/>
              <w:right w:val="single" w:sz="12" w:space="0" w:color="auto"/>
            </w:tcBorders>
          </w:tcPr>
          <w:p w14:paraId="0031F7AB" w14:textId="77777777" w:rsidR="00453F5C" w:rsidRDefault="00453F5C" w:rsidP="004D46D2">
            <w:pPr>
              <w:jc w:val="center"/>
              <w:rPr>
                <w:rFonts w:ascii="Arial" w:hAnsi="Arial" w:cs="Arial"/>
                <w:color w:val="000000"/>
                <w:sz w:val="20"/>
              </w:rPr>
            </w:pPr>
            <w:r>
              <w:rPr>
                <w:rFonts w:ascii="Arial" w:hAnsi="Arial" w:cs="Arial"/>
                <w:color w:val="000000"/>
                <w:sz w:val="20"/>
              </w:rPr>
              <w:t>2.0</w:t>
            </w:r>
          </w:p>
        </w:tc>
        <w:tc>
          <w:tcPr>
            <w:tcW w:w="706" w:type="dxa"/>
            <w:tcBorders>
              <w:top w:val="single" w:sz="4" w:space="0" w:color="auto"/>
              <w:left w:val="single" w:sz="12" w:space="0" w:color="auto"/>
              <w:bottom w:val="single" w:sz="18" w:space="0" w:color="auto"/>
              <w:right w:val="single" w:sz="12" w:space="0" w:color="auto"/>
            </w:tcBorders>
          </w:tcPr>
          <w:p w14:paraId="17F71D96" w14:textId="77777777" w:rsidR="00453F5C" w:rsidRDefault="00453F5C" w:rsidP="004D46D2">
            <w:pPr>
              <w:jc w:val="center"/>
              <w:rPr>
                <w:rFonts w:ascii="Arial" w:hAnsi="Arial" w:cs="Arial"/>
                <w:color w:val="000000"/>
                <w:sz w:val="20"/>
              </w:rPr>
            </w:pPr>
            <w:r>
              <w:rPr>
                <w:rFonts w:ascii="Arial" w:hAnsi="Arial" w:cs="Arial"/>
                <w:color w:val="000000"/>
                <w:sz w:val="20"/>
              </w:rPr>
              <w:t>8.2</w:t>
            </w:r>
          </w:p>
        </w:tc>
        <w:tc>
          <w:tcPr>
            <w:tcW w:w="676" w:type="dxa"/>
            <w:tcBorders>
              <w:top w:val="single" w:sz="4" w:space="0" w:color="auto"/>
              <w:left w:val="single" w:sz="12" w:space="0" w:color="auto"/>
              <w:bottom w:val="single" w:sz="18" w:space="0" w:color="auto"/>
              <w:right w:val="single" w:sz="12" w:space="0" w:color="auto"/>
            </w:tcBorders>
          </w:tcPr>
          <w:p w14:paraId="7E36BB63" w14:textId="77777777" w:rsidR="00453F5C" w:rsidRDefault="00453F5C" w:rsidP="004D46D2">
            <w:pPr>
              <w:jc w:val="center"/>
              <w:rPr>
                <w:rFonts w:ascii="Arial" w:hAnsi="Arial" w:cs="Arial"/>
                <w:color w:val="000000"/>
                <w:sz w:val="20"/>
              </w:rPr>
            </w:pPr>
            <w:r>
              <w:rPr>
                <w:rFonts w:ascii="Arial" w:hAnsi="Arial" w:cs="Arial"/>
                <w:color w:val="000000"/>
                <w:sz w:val="20"/>
              </w:rPr>
              <w:t>10.5</w:t>
            </w:r>
          </w:p>
        </w:tc>
        <w:tc>
          <w:tcPr>
            <w:tcW w:w="939" w:type="dxa"/>
            <w:tcBorders>
              <w:top w:val="single" w:sz="4" w:space="0" w:color="auto"/>
              <w:left w:val="single" w:sz="12" w:space="0" w:color="auto"/>
              <w:bottom w:val="single" w:sz="18" w:space="0" w:color="auto"/>
            </w:tcBorders>
          </w:tcPr>
          <w:p w14:paraId="14BFC081" w14:textId="77777777" w:rsidR="00453F5C" w:rsidRDefault="00453F5C" w:rsidP="004D46D2">
            <w:pPr>
              <w:jc w:val="center"/>
              <w:rPr>
                <w:rFonts w:ascii="Arial" w:hAnsi="Arial" w:cs="Arial"/>
                <w:color w:val="000000"/>
                <w:sz w:val="20"/>
              </w:rPr>
            </w:pPr>
            <w:r>
              <w:rPr>
                <w:rFonts w:ascii="Arial" w:hAnsi="Arial" w:cs="Arial"/>
                <w:color w:val="000000"/>
                <w:sz w:val="20"/>
              </w:rPr>
              <w:t>6.8</w:t>
            </w:r>
          </w:p>
        </w:tc>
      </w:tr>
    </w:tbl>
    <w:p w14:paraId="566D92E9" w14:textId="77777777" w:rsidR="005C4B22" w:rsidRPr="00D00CAA" w:rsidRDefault="005C4B22" w:rsidP="00F364C1">
      <w:pPr>
        <w:jc w:val="both"/>
        <w:rPr>
          <w:rFonts w:ascii="Arial" w:hAnsi="Arial" w:cs="Arial"/>
          <w:color w:val="000000"/>
          <w:sz w:val="20"/>
        </w:rPr>
      </w:pPr>
    </w:p>
    <w:p w14:paraId="44A9C74A" w14:textId="77777777" w:rsidR="00F364C1" w:rsidRPr="00785E1A" w:rsidRDefault="00F364C1" w:rsidP="00F364C1">
      <w:pPr>
        <w:jc w:val="both"/>
        <w:rPr>
          <w:rFonts w:ascii="Arial" w:hAnsi="Arial" w:cs="Arial"/>
          <w:color w:val="000000"/>
          <w:sz w:val="20"/>
        </w:rPr>
      </w:pPr>
      <w:r w:rsidRPr="00785E1A">
        <w:rPr>
          <w:rFonts w:ascii="Arial" w:hAnsi="Arial" w:cs="Arial"/>
          <w:color w:val="000000"/>
          <w:sz w:val="20"/>
        </w:rPr>
        <w:t>Further, in 20</w:t>
      </w:r>
      <w:r w:rsidR="00B00042">
        <w:rPr>
          <w:rFonts w:ascii="Arial" w:hAnsi="Arial" w:cs="Arial"/>
          <w:color w:val="000000"/>
          <w:sz w:val="20"/>
        </w:rPr>
        <w:t>13</w:t>
      </w:r>
      <w:r w:rsidRPr="00785E1A">
        <w:rPr>
          <w:rFonts w:ascii="Arial" w:hAnsi="Arial" w:cs="Arial"/>
          <w:color w:val="000000"/>
          <w:sz w:val="20"/>
        </w:rPr>
        <w:t>-201</w:t>
      </w:r>
      <w:r w:rsidR="00B00042">
        <w:rPr>
          <w:rFonts w:ascii="Arial" w:hAnsi="Arial" w:cs="Arial"/>
          <w:color w:val="000000"/>
          <w:sz w:val="20"/>
        </w:rPr>
        <w:t>4</w:t>
      </w:r>
      <w:r w:rsidRPr="00785E1A">
        <w:rPr>
          <w:rFonts w:ascii="Arial" w:hAnsi="Arial" w:cs="Arial"/>
          <w:color w:val="000000"/>
          <w:sz w:val="20"/>
        </w:rPr>
        <w:t xml:space="preserve"> an indigenous child in Victoria was </w:t>
      </w:r>
      <w:r w:rsidR="00B00042">
        <w:rPr>
          <w:rFonts w:ascii="Arial" w:hAnsi="Arial" w:cs="Arial"/>
          <w:color w:val="000000"/>
          <w:sz w:val="20"/>
        </w:rPr>
        <w:t>nearly 12</w:t>
      </w:r>
      <w:r w:rsidR="005C4B22" w:rsidRPr="00785E1A">
        <w:rPr>
          <w:rFonts w:ascii="Arial" w:hAnsi="Arial" w:cs="Arial"/>
          <w:color w:val="000000"/>
          <w:sz w:val="20"/>
        </w:rPr>
        <w:t xml:space="preserve"> </w:t>
      </w:r>
      <w:r w:rsidRPr="00785E1A">
        <w:rPr>
          <w:rFonts w:ascii="Arial" w:hAnsi="Arial" w:cs="Arial"/>
          <w:color w:val="000000"/>
          <w:sz w:val="20"/>
        </w:rPr>
        <w:t>times as like</w:t>
      </w:r>
      <w:r w:rsidR="00B00042">
        <w:rPr>
          <w:rFonts w:ascii="Arial" w:hAnsi="Arial" w:cs="Arial"/>
          <w:color w:val="000000"/>
          <w:sz w:val="20"/>
        </w:rPr>
        <w:t>ly to be on a protection order than a non-indigenous child</w:t>
      </w:r>
      <w:r w:rsidR="005C4B22" w:rsidRPr="00785E1A">
        <w:rPr>
          <w:rFonts w:ascii="Arial" w:hAnsi="Arial" w:cs="Arial"/>
          <w:color w:val="000000"/>
          <w:sz w:val="20"/>
        </w:rPr>
        <w:t>.</w:t>
      </w:r>
    </w:p>
    <w:p w14:paraId="404F4922" w14:textId="77777777" w:rsidR="00531EA8" w:rsidRPr="00785E1A" w:rsidRDefault="00531EA8">
      <w:pPr>
        <w:jc w:val="both"/>
        <w:rPr>
          <w:rFonts w:ascii="Arial" w:hAnsi="Arial" w:cs="Arial"/>
          <w:b/>
          <w:bCs/>
          <w:color w:val="000000"/>
          <w:sz w:val="20"/>
          <w:szCs w:val="20"/>
        </w:rPr>
      </w:pPr>
    </w:p>
    <w:p w14:paraId="3CB582BB" w14:textId="77777777" w:rsidR="00C57C45" w:rsidRPr="00A007C5" w:rsidRDefault="00C57C45" w:rsidP="001C536D">
      <w:pPr>
        <w:pStyle w:val="Heading3"/>
        <w:keepNext/>
        <w:keepLines/>
        <w:spacing w:after="120" w:line="240" w:lineRule="auto"/>
        <w:rPr>
          <w:rFonts w:ascii="Arial" w:hAnsi="Arial" w:cs="Arial"/>
          <w:b/>
          <w:bCs/>
          <w:color w:val="000000"/>
          <w:sz w:val="20"/>
          <w:lang w:val="en-AU"/>
        </w:rPr>
      </w:pPr>
      <w:bookmarkStart w:id="810" w:name="_4.6.5_Australian_rate"/>
      <w:bookmarkStart w:id="811" w:name="B465"/>
      <w:bookmarkStart w:id="812" w:name="_Toc30648176"/>
      <w:bookmarkStart w:id="813" w:name="_Toc30649074"/>
      <w:bookmarkStart w:id="814" w:name="_Toc30649150"/>
      <w:bookmarkStart w:id="815" w:name="_Toc30649411"/>
      <w:bookmarkStart w:id="816" w:name="_Toc30649736"/>
      <w:bookmarkStart w:id="817" w:name="_Toc30651676"/>
      <w:bookmarkStart w:id="818" w:name="_Toc30652666"/>
      <w:bookmarkStart w:id="819" w:name="_Toc30652762"/>
      <w:bookmarkStart w:id="820" w:name="_Toc30654107"/>
      <w:bookmarkStart w:id="821" w:name="_Toc30654458"/>
      <w:bookmarkStart w:id="822" w:name="_Toc30655077"/>
      <w:bookmarkStart w:id="823" w:name="_Toc30655334"/>
      <w:bookmarkStart w:id="824" w:name="_Toc30657012"/>
      <w:bookmarkStart w:id="825" w:name="_Toc30661761"/>
      <w:bookmarkStart w:id="826" w:name="_Toc30666449"/>
      <w:bookmarkStart w:id="827" w:name="_Toc30666679"/>
      <w:bookmarkStart w:id="828" w:name="_Toc30667854"/>
      <w:bookmarkStart w:id="829" w:name="_Toc30669232"/>
      <w:bookmarkStart w:id="830" w:name="_Toc30671448"/>
      <w:bookmarkStart w:id="831" w:name="_Toc30673975"/>
      <w:bookmarkStart w:id="832" w:name="_Toc30691197"/>
      <w:bookmarkStart w:id="833" w:name="_Toc30691570"/>
      <w:bookmarkStart w:id="834" w:name="_Toc30691950"/>
      <w:bookmarkStart w:id="835" w:name="_Toc30692709"/>
      <w:bookmarkStart w:id="836" w:name="_Toc30693088"/>
      <w:bookmarkStart w:id="837" w:name="_Toc30693466"/>
      <w:bookmarkStart w:id="838" w:name="_Toc30693844"/>
      <w:bookmarkStart w:id="839" w:name="_Toc30694225"/>
      <w:bookmarkStart w:id="840" w:name="_Toc30698814"/>
      <w:bookmarkStart w:id="841" w:name="_Toc30699192"/>
      <w:bookmarkStart w:id="842" w:name="_Toc30699577"/>
      <w:bookmarkStart w:id="843" w:name="_Toc30700732"/>
      <w:bookmarkStart w:id="844" w:name="_Toc30701119"/>
      <w:bookmarkStart w:id="845" w:name="_Toc30743728"/>
      <w:bookmarkStart w:id="846" w:name="_Toc30754551"/>
      <w:bookmarkStart w:id="847" w:name="_Toc30756991"/>
      <w:bookmarkStart w:id="848" w:name="_Toc30757540"/>
      <w:bookmarkStart w:id="849" w:name="_Toc30757940"/>
      <w:bookmarkStart w:id="850" w:name="_Toc30762701"/>
      <w:bookmarkStart w:id="851" w:name="_Toc30767355"/>
      <w:bookmarkStart w:id="852" w:name="_Toc34823371"/>
      <w:bookmarkEnd w:id="810"/>
      <w:bookmarkEnd w:id="811"/>
      <w:r w:rsidRPr="00785E1A">
        <w:rPr>
          <w:rFonts w:ascii="Arial" w:hAnsi="Arial" w:cs="Arial"/>
          <w:b/>
          <w:bCs/>
          <w:color w:val="000000"/>
          <w:sz w:val="20"/>
        </w:rPr>
        <w:t>4.6.</w:t>
      </w:r>
      <w:r w:rsidR="001C536D" w:rsidRPr="00785E1A">
        <w:rPr>
          <w:rFonts w:ascii="Arial" w:hAnsi="Arial" w:cs="Arial"/>
          <w:b/>
          <w:bCs/>
          <w:color w:val="000000"/>
          <w:sz w:val="20"/>
        </w:rPr>
        <w:t>5</w:t>
      </w:r>
      <w:r w:rsidRPr="00785E1A">
        <w:rPr>
          <w:rFonts w:ascii="Arial" w:hAnsi="Arial" w:cs="Arial"/>
          <w:b/>
          <w:bCs/>
          <w:color w:val="000000"/>
          <w:sz w:val="20"/>
        </w:rPr>
        <w:tab/>
      </w:r>
      <w:r w:rsidR="009855F0" w:rsidRPr="00785E1A">
        <w:rPr>
          <w:rFonts w:ascii="Arial" w:hAnsi="Arial" w:cs="Arial"/>
          <w:b/>
          <w:bCs/>
          <w:color w:val="000000"/>
          <w:sz w:val="20"/>
        </w:rPr>
        <w:t>Australian rate of reports of alleged child abuse</w:t>
      </w:r>
    </w:p>
    <w:p w14:paraId="1A65108F" w14:textId="77777777" w:rsidR="009855F0" w:rsidRPr="00785E1A" w:rsidRDefault="009855F0" w:rsidP="00273AB2">
      <w:pPr>
        <w:jc w:val="both"/>
        <w:rPr>
          <w:rFonts w:ascii="Arial" w:hAnsi="Arial" w:cs="Arial"/>
          <w:color w:val="000000"/>
          <w:sz w:val="20"/>
        </w:rPr>
      </w:pPr>
      <w:r w:rsidRPr="00785E1A">
        <w:rPr>
          <w:rFonts w:ascii="Arial" w:hAnsi="Arial" w:cs="Arial"/>
          <w:bCs/>
          <w:color w:val="000000"/>
          <w:sz w:val="20"/>
        </w:rPr>
        <w:t>In an address to Parliamentarians Against Child Abuse given at Parliament House, Canberra on 05/09/2006, Professor Dorothy Scott (Director of the Australian Centre for Child Protection, University of South Australia), asserting that some Australian child protection systems are imploding under a flood of reports of alleged child abuse, commented that Australia has the second highest rate of such reports in the world:</w:t>
      </w:r>
    </w:p>
    <w:p w14:paraId="32390283" w14:textId="77777777" w:rsidR="009855F0" w:rsidRPr="00785E1A" w:rsidRDefault="009855F0" w:rsidP="00A44656">
      <w:pPr>
        <w:spacing w:before="80"/>
        <w:ind w:left="567" w:right="567"/>
        <w:jc w:val="both"/>
        <w:rPr>
          <w:rFonts w:ascii="Arial" w:hAnsi="Arial" w:cs="Arial"/>
          <w:bCs/>
          <w:color w:val="000000"/>
          <w:sz w:val="20"/>
        </w:rPr>
      </w:pPr>
      <w:r w:rsidRPr="00785E1A">
        <w:rPr>
          <w:rFonts w:ascii="Arial" w:hAnsi="Arial" w:cs="Arial"/>
          <w:bCs/>
          <w:color w:val="000000"/>
          <w:sz w:val="20"/>
        </w:rPr>
        <w:t xml:space="preserve">“Most of the statutory child protection services in </w:t>
      </w:r>
      <w:smartTag w:uri="urn:schemas-microsoft-com:office:smarttags" w:element="place">
        <w:smartTag w:uri="urn:schemas-microsoft-com:office:smarttags" w:element="country-region">
          <w:r w:rsidRPr="00785E1A">
            <w:rPr>
              <w:rFonts w:ascii="Arial" w:hAnsi="Arial" w:cs="Arial"/>
              <w:bCs/>
              <w:color w:val="000000"/>
              <w:sz w:val="20"/>
            </w:rPr>
            <w:t>Australia</w:t>
          </w:r>
        </w:smartTag>
      </w:smartTag>
      <w:r w:rsidRPr="00785E1A">
        <w:rPr>
          <w:rFonts w:ascii="Arial" w:hAnsi="Arial" w:cs="Arial"/>
          <w:bCs/>
          <w:color w:val="000000"/>
          <w:sz w:val="20"/>
        </w:rPr>
        <w:t xml:space="preserve"> are in crisis.  They are potentially harmful to the children and families they are designed to serve.  The dedicated</w:t>
      </w:r>
      <w:r w:rsidR="00FA7C17" w:rsidRPr="00785E1A">
        <w:rPr>
          <w:rFonts w:ascii="Arial" w:hAnsi="Arial" w:cs="Arial"/>
          <w:bCs/>
          <w:color w:val="000000"/>
          <w:sz w:val="20"/>
        </w:rPr>
        <w:t xml:space="preserve"> people doing this excruciatingly difficult work operate under hazardous conditions.  Media moral outrage which erupts when children die or are hurt, and which politicises that which should be above politics, further weakens fragile services and exacerbates staff vacancies.  In some States child protection systems are imploding.  They have become like huge Casualty Departments unable to cope with a flood of referrals.</w:t>
      </w:r>
    </w:p>
    <w:p w14:paraId="502216C8" w14:textId="77777777" w:rsidR="00FA7C17" w:rsidRPr="00785E1A" w:rsidRDefault="00FA7C17" w:rsidP="00A44656">
      <w:pPr>
        <w:spacing w:before="80"/>
        <w:ind w:left="567" w:right="567"/>
        <w:jc w:val="both"/>
        <w:rPr>
          <w:rFonts w:ascii="Arial" w:hAnsi="Arial" w:cs="Arial"/>
          <w:bCs/>
          <w:color w:val="000000"/>
          <w:sz w:val="20"/>
        </w:rPr>
      </w:pPr>
      <w:smartTag w:uri="urn:schemas-microsoft-com:office:smarttags" w:element="place">
        <w:smartTag w:uri="urn:schemas-microsoft-com:office:smarttags" w:element="country-region">
          <w:r w:rsidRPr="00785E1A">
            <w:rPr>
              <w:rFonts w:ascii="Arial" w:hAnsi="Arial" w:cs="Arial"/>
              <w:bCs/>
              <w:color w:val="000000"/>
              <w:sz w:val="20"/>
            </w:rPr>
            <w:t>Australia</w:t>
          </w:r>
        </w:smartTag>
      </w:smartTag>
      <w:r w:rsidRPr="00785E1A">
        <w:rPr>
          <w:rFonts w:ascii="Arial" w:hAnsi="Arial" w:cs="Arial"/>
          <w:bCs/>
          <w:color w:val="000000"/>
          <w:sz w:val="20"/>
        </w:rPr>
        <w:t xml:space="preserve"> has the second highest rate of reports of alleged child abuse in the world (52.4 notifications per 1000 children each year).  In </w:t>
      </w:r>
      <w:smartTag w:uri="urn:schemas-microsoft-com:office:smarttags" w:element="country-region">
        <w:r w:rsidRPr="00785E1A">
          <w:rPr>
            <w:rFonts w:ascii="Arial" w:hAnsi="Arial" w:cs="Arial"/>
            <w:bCs/>
            <w:color w:val="000000"/>
            <w:sz w:val="20"/>
          </w:rPr>
          <w:t>England</w:t>
        </w:r>
      </w:smartTag>
      <w:r w:rsidRPr="00785E1A">
        <w:rPr>
          <w:rFonts w:ascii="Arial" w:hAnsi="Arial" w:cs="Arial"/>
          <w:bCs/>
          <w:color w:val="000000"/>
          <w:sz w:val="20"/>
        </w:rPr>
        <w:t xml:space="preserve"> the figure is 6.2 reports per 1000 children and in </w:t>
      </w:r>
      <w:smartTag w:uri="urn:schemas-microsoft-com:office:smarttags" w:element="country-region">
        <w:smartTag w:uri="urn:schemas-microsoft-com:office:smarttags" w:element="place">
          <w:r w:rsidRPr="00785E1A">
            <w:rPr>
              <w:rFonts w:ascii="Arial" w:hAnsi="Arial" w:cs="Arial"/>
              <w:bCs/>
              <w:color w:val="000000"/>
              <w:sz w:val="20"/>
            </w:rPr>
            <w:t>Scotland</w:t>
          </w:r>
        </w:smartTag>
      </w:smartTag>
      <w:r w:rsidRPr="00785E1A">
        <w:rPr>
          <w:rFonts w:ascii="Arial" w:hAnsi="Arial" w:cs="Arial"/>
          <w:bCs/>
          <w:color w:val="000000"/>
          <w:sz w:val="20"/>
        </w:rPr>
        <w:t xml:space="preserve"> it is 8.6.  Child Protection notifications in </w:t>
      </w:r>
      <w:smartTag w:uri="urn:schemas-microsoft-com:office:smarttags" w:element="place">
        <w:smartTag w:uri="urn:schemas-microsoft-com:office:smarttags" w:element="country-region">
          <w:r w:rsidRPr="00785E1A">
            <w:rPr>
              <w:rFonts w:ascii="Arial" w:hAnsi="Arial" w:cs="Arial"/>
              <w:bCs/>
              <w:color w:val="000000"/>
              <w:sz w:val="20"/>
            </w:rPr>
            <w:t>Australia</w:t>
          </w:r>
        </w:smartTag>
      </w:smartTag>
      <w:r w:rsidRPr="00785E1A">
        <w:rPr>
          <w:rFonts w:ascii="Arial" w:hAnsi="Arial" w:cs="Arial"/>
          <w:bCs/>
          <w:color w:val="000000"/>
          <w:sz w:val="20"/>
        </w:rPr>
        <w:t xml:space="preserve"> increased from 107,134 in 1999-2000 to 252,831 in 2004-2005.  One in five was substantiated as child abuse.  There is no evidence that child abuse is a more serious problem in </w:t>
      </w:r>
      <w:smartTag w:uri="urn:schemas-microsoft-com:office:smarttags" w:element="country-region">
        <w:r w:rsidRPr="00785E1A">
          <w:rPr>
            <w:rFonts w:ascii="Arial" w:hAnsi="Arial" w:cs="Arial"/>
            <w:bCs/>
            <w:color w:val="000000"/>
            <w:sz w:val="20"/>
          </w:rPr>
          <w:t>Australia</w:t>
        </w:r>
      </w:smartTag>
      <w:r w:rsidRPr="00785E1A">
        <w:rPr>
          <w:rFonts w:ascii="Arial" w:hAnsi="Arial" w:cs="Arial"/>
          <w:bCs/>
          <w:color w:val="000000"/>
          <w:sz w:val="20"/>
        </w:rPr>
        <w:t xml:space="preserve"> than in the </w:t>
      </w:r>
      <w:smartTag w:uri="urn:schemas-microsoft-com:office:smarttags" w:element="country-region">
        <w:r w:rsidRPr="00785E1A">
          <w:rPr>
            <w:rFonts w:ascii="Arial" w:hAnsi="Arial" w:cs="Arial"/>
            <w:bCs/>
            <w:color w:val="000000"/>
            <w:sz w:val="20"/>
          </w:rPr>
          <w:t>UK</w:t>
        </w:r>
      </w:smartTag>
      <w:r w:rsidRPr="00785E1A">
        <w:rPr>
          <w:rFonts w:ascii="Arial" w:hAnsi="Arial" w:cs="Arial"/>
          <w:bCs/>
          <w:color w:val="000000"/>
          <w:sz w:val="20"/>
        </w:rPr>
        <w:t xml:space="preserve">, and the number of children in State care is not markedly different from other English speaking countries, with </w:t>
      </w:r>
      <w:smartTag w:uri="urn:schemas-microsoft-com:office:smarttags" w:element="country-region">
        <w:r w:rsidRPr="00785E1A">
          <w:rPr>
            <w:rFonts w:ascii="Arial" w:hAnsi="Arial" w:cs="Arial"/>
            <w:bCs/>
            <w:color w:val="000000"/>
            <w:sz w:val="20"/>
          </w:rPr>
          <w:t>Australia</w:t>
        </w:r>
      </w:smartTag>
      <w:r w:rsidRPr="00785E1A">
        <w:rPr>
          <w:rFonts w:ascii="Arial" w:hAnsi="Arial" w:cs="Arial"/>
          <w:bCs/>
          <w:color w:val="000000"/>
          <w:sz w:val="20"/>
        </w:rPr>
        <w:t xml:space="preserve"> having 4.9 children in care per 1000 children, </w:t>
      </w:r>
      <w:smartTag w:uri="urn:schemas-microsoft-com:office:smarttags" w:element="country-region">
        <w:r w:rsidRPr="00785E1A">
          <w:rPr>
            <w:rFonts w:ascii="Arial" w:hAnsi="Arial" w:cs="Arial"/>
            <w:bCs/>
            <w:color w:val="000000"/>
            <w:sz w:val="20"/>
          </w:rPr>
          <w:t>England</w:t>
        </w:r>
      </w:smartTag>
      <w:r w:rsidRPr="00785E1A">
        <w:rPr>
          <w:rFonts w:ascii="Arial" w:hAnsi="Arial" w:cs="Arial"/>
          <w:bCs/>
          <w:color w:val="000000"/>
          <w:sz w:val="20"/>
        </w:rPr>
        <w:t xml:space="preserve"> 5.0, </w:t>
      </w:r>
      <w:smartTag w:uri="urn:schemas-microsoft-com:office:smarttags" w:element="place">
        <w:smartTag w:uri="urn:schemas-microsoft-com:office:smarttags" w:element="country-region">
          <w:r w:rsidRPr="00785E1A">
            <w:rPr>
              <w:rFonts w:ascii="Arial" w:hAnsi="Arial" w:cs="Arial"/>
              <w:bCs/>
              <w:color w:val="000000"/>
              <w:sz w:val="20"/>
            </w:rPr>
            <w:t>Scotland</w:t>
          </w:r>
        </w:smartTag>
      </w:smartTag>
      <w:r w:rsidRPr="00785E1A">
        <w:rPr>
          <w:rFonts w:ascii="Arial" w:hAnsi="Arial" w:cs="Arial"/>
          <w:bCs/>
          <w:color w:val="000000"/>
          <w:sz w:val="20"/>
        </w:rPr>
        <w:t xml:space="preserve"> 6.6 and the U.S.A. 7.1.  So is part of the problem that too many Australian children are caught unnecessarily in the net of our child protection systems and could this be making them unworkable?  I believe so… In some Australian jurisdictions it is now estimated that one in five children will be the subject of a child protection notification. </w:t>
      </w:r>
      <w:r w:rsidR="00C777FC" w:rsidRPr="00785E1A">
        <w:rPr>
          <w:rFonts w:ascii="Arial" w:hAnsi="Arial" w:cs="Arial"/>
          <w:bCs/>
          <w:color w:val="000000"/>
          <w:sz w:val="20"/>
        </w:rPr>
        <w:t>This is completely unsustainable.”</w:t>
      </w:r>
    </w:p>
    <w:p w14:paraId="46D0E387" w14:textId="77777777" w:rsidR="009855F0" w:rsidRPr="00785E1A" w:rsidRDefault="009855F0" w:rsidP="009855F0">
      <w:pPr>
        <w:pStyle w:val="Heading3"/>
        <w:spacing w:line="240" w:lineRule="auto"/>
        <w:rPr>
          <w:rFonts w:ascii="Arial" w:hAnsi="Arial" w:cs="Arial"/>
          <w:bCs/>
          <w:color w:val="000000"/>
          <w:sz w:val="20"/>
          <w:lang w:val="en-US"/>
        </w:rPr>
      </w:pPr>
    </w:p>
    <w:p w14:paraId="56B588F5" w14:textId="77777777" w:rsidR="00023781" w:rsidRPr="00785E1A" w:rsidRDefault="00BF7A03" w:rsidP="00023781">
      <w:pPr>
        <w:jc w:val="both"/>
        <w:rPr>
          <w:rFonts w:ascii="Arial" w:hAnsi="Arial" w:cs="Arial"/>
          <w:color w:val="000000"/>
          <w:sz w:val="20"/>
        </w:rPr>
      </w:pPr>
      <w:r w:rsidRPr="00785E1A">
        <w:rPr>
          <w:rFonts w:ascii="Arial" w:hAnsi="Arial" w:cs="Arial"/>
          <w:bCs/>
          <w:color w:val="000000"/>
          <w:sz w:val="20"/>
          <w:lang w:val="en-US"/>
        </w:rPr>
        <w:t xml:space="preserve">Professor Scott’s view that most of the Australian child protection services are in crisis </w:t>
      </w:r>
      <w:r w:rsidR="00F93DE4" w:rsidRPr="00785E1A">
        <w:rPr>
          <w:rFonts w:ascii="Arial" w:hAnsi="Arial" w:cs="Arial"/>
          <w:bCs/>
          <w:color w:val="000000"/>
          <w:sz w:val="20"/>
          <w:lang w:val="en-US"/>
        </w:rPr>
        <w:t xml:space="preserve">is shared by many other professionals.  For example, writing in 2009 in CIS Policy Monograph 97 entitled </w:t>
      </w:r>
      <w:r w:rsidR="00F93DE4" w:rsidRPr="00785E1A">
        <w:rPr>
          <w:rFonts w:ascii="Arial" w:hAnsi="Arial" w:cs="Arial"/>
          <w:bCs/>
          <w:color w:val="000000"/>
          <w:sz w:val="20"/>
          <w:lang w:val="en-US"/>
        </w:rPr>
        <w:lastRenderedPageBreak/>
        <w:t xml:space="preserve">“Fatally Flawed: The Child Protection Crisis in </w:t>
      </w:r>
      <w:smartTag w:uri="urn:schemas-microsoft-com:office:smarttags" w:element="place">
        <w:smartTag w:uri="urn:schemas-microsoft-com:office:smarttags" w:element="country-region">
          <w:r w:rsidR="00F93DE4" w:rsidRPr="00785E1A">
            <w:rPr>
              <w:rFonts w:ascii="Arial" w:hAnsi="Arial" w:cs="Arial"/>
              <w:bCs/>
              <w:color w:val="000000"/>
              <w:sz w:val="20"/>
              <w:lang w:val="en-US"/>
            </w:rPr>
            <w:t>Australia</w:t>
          </w:r>
        </w:smartTag>
      </w:smartTag>
      <w:r w:rsidR="00F93DE4" w:rsidRPr="00785E1A">
        <w:rPr>
          <w:rFonts w:ascii="Arial" w:hAnsi="Arial" w:cs="Arial"/>
          <w:bCs/>
          <w:color w:val="000000"/>
          <w:sz w:val="20"/>
          <w:lang w:val="en-US"/>
        </w:rPr>
        <w:t xml:space="preserve">”, Jeremy </w:t>
      </w:r>
      <w:proofErr w:type="spellStart"/>
      <w:r w:rsidR="00F93DE4" w:rsidRPr="00785E1A">
        <w:rPr>
          <w:rFonts w:ascii="Arial" w:hAnsi="Arial" w:cs="Arial"/>
          <w:bCs/>
          <w:color w:val="000000"/>
          <w:sz w:val="20"/>
          <w:lang w:val="en-US"/>
        </w:rPr>
        <w:t>Sammut</w:t>
      </w:r>
      <w:proofErr w:type="spellEnd"/>
      <w:r w:rsidR="00F93DE4" w:rsidRPr="00785E1A">
        <w:rPr>
          <w:rFonts w:ascii="Arial" w:hAnsi="Arial" w:cs="Arial"/>
          <w:bCs/>
          <w:color w:val="000000"/>
          <w:sz w:val="20"/>
          <w:lang w:val="en-US"/>
        </w:rPr>
        <w:t xml:space="preserve"> &amp; Toby O’Brien say</w:t>
      </w:r>
      <w:r w:rsidR="001B4618" w:rsidRPr="00785E1A">
        <w:rPr>
          <w:rFonts w:ascii="Arial" w:hAnsi="Arial" w:cs="Arial"/>
          <w:bCs/>
          <w:color w:val="000000"/>
          <w:sz w:val="20"/>
          <w:lang w:val="en-US"/>
        </w:rPr>
        <w:t xml:space="preserve"> at </w:t>
      </w:r>
      <w:proofErr w:type="spellStart"/>
      <w:r w:rsidR="001B4618" w:rsidRPr="00785E1A">
        <w:rPr>
          <w:rFonts w:ascii="Arial" w:hAnsi="Arial" w:cs="Arial"/>
          <w:bCs/>
          <w:color w:val="000000"/>
          <w:sz w:val="20"/>
          <w:lang w:val="en-US"/>
        </w:rPr>
        <w:t>p.vii</w:t>
      </w:r>
      <w:proofErr w:type="spellEnd"/>
      <w:r w:rsidR="00F93DE4" w:rsidRPr="00785E1A">
        <w:rPr>
          <w:rFonts w:ascii="Arial" w:hAnsi="Arial" w:cs="Arial"/>
          <w:bCs/>
          <w:color w:val="000000"/>
          <w:sz w:val="20"/>
          <w:lang w:val="en-US"/>
        </w:rPr>
        <w:t>:</w:t>
      </w:r>
    </w:p>
    <w:p w14:paraId="0D5413D2" w14:textId="77777777" w:rsidR="00F93DE4" w:rsidRPr="00785E1A" w:rsidRDefault="00F93DE4" w:rsidP="005D4FF3">
      <w:pPr>
        <w:keepNext/>
        <w:keepLines/>
        <w:spacing w:before="80"/>
        <w:ind w:left="567" w:right="567"/>
        <w:jc w:val="both"/>
        <w:rPr>
          <w:rFonts w:ascii="Arial" w:hAnsi="Arial" w:cs="Arial"/>
          <w:bCs/>
          <w:color w:val="000000"/>
          <w:sz w:val="20"/>
        </w:rPr>
      </w:pPr>
      <w:r w:rsidRPr="00785E1A">
        <w:rPr>
          <w:rFonts w:ascii="Arial" w:hAnsi="Arial" w:cs="Arial"/>
          <w:bCs/>
          <w:color w:val="000000"/>
          <w:sz w:val="20"/>
        </w:rPr>
        <w:t xml:space="preserve">“Despite record government spending on child welfare services in this country, the child protection system is in crisis – most markedly in </w:t>
      </w:r>
      <w:smartTag w:uri="urn:schemas-microsoft-com:office:smarttags" w:element="place">
        <w:smartTag w:uri="urn:schemas-microsoft-com:office:smarttags" w:element="State">
          <w:r w:rsidRPr="00785E1A">
            <w:rPr>
              <w:rFonts w:ascii="Arial" w:hAnsi="Arial" w:cs="Arial"/>
              <w:bCs/>
              <w:color w:val="000000"/>
              <w:sz w:val="20"/>
            </w:rPr>
            <w:t>New South Wales</w:t>
          </w:r>
        </w:smartTag>
      </w:smartTag>
      <w:r w:rsidRPr="00785E1A">
        <w:rPr>
          <w:rFonts w:ascii="Arial" w:hAnsi="Arial" w:cs="Arial"/>
          <w:bCs/>
          <w:color w:val="000000"/>
          <w:sz w:val="20"/>
        </w:rPr>
        <w:t>.  Australian child protection authorities are failing to fulfil their core responsibility of protecting and rescuing vulnerable children.  Reports of suspected child abuse and neglect are not being fully in</w:t>
      </w:r>
      <w:r w:rsidR="001B4618" w:rsidRPr="00785E1A">
        <w:rPr>
          <w:rFonts w:ascii="Arial" w:hAnsi="Arial" w:cs="Arial"/>
          <w:bCs/>
          <w:color w:val="000000"/>
          <w:sz w:val="20"/>
        </w:rPr>
        <w:t xml:space="preserve">vestigated, and the ‘Starved Girls’ of </w:t>
      </w:r>
      <w:smartTag w:uri="urn:schemas-microsoft-com:office:smarttags" w:element="country-region">
        <w:smartTag w:uri="urn:schemas-microsoft-com:office:smarttags" w:element="place">
          <w:r w:rsidR="001B4618" w:rsidRPr="00785E1A">
            <w:rPr>
              <w:rFonts w:ascii="Arial" w:hAnsi="Arial" w:cs="Arial"/>
              <w:bCs/>
              <w:color w:val="000000"/>
              <w:sz w:val="20"/>
            </w:rPr>
            <w:t>Australia</w:t>
          </w:r>
        </w:smartTag>
      </w:smartTag>
      <w:r w:rsidR="001B4618" w:rsidRPr="00785E1A">
        <w:rPr>
          <w:rFonts w:ascii="Arial" w:hAnsi="Arial" w:cs="Arial"/>
          <w:bCs/>
          <w:color w:val="000000"/>
          <w:sz w:val="20"/>
        </w:rPr>
        <w:t xml:space="preserve"> are falling through the cracks in increasing numbers.</w:t>
      </w:r>
      <w:r w:rsidR="005E2785" w:rsidRPr="00785E1A">
        <w:rPr>
          <w:rFonts w:ascii="Arial" w:hAnsi="Arial" w:cs="Arial"/>
          <w:bCs/>
          <w:color w:val="000000"/>
          <w:sz w:val="20"/>
        </w:rPr>
        <w:t>”</w:t>
      </w:r>
    </w:p>
    <w:p w14:paraId="6D891995" w14:textId="77777777" w:rsidR="00BF7A03" w:rsidRPr="00785E1A" w:rsidRDefault="00BF7A03" w:rsidP="009855F0">
      <w:pPr>
        <w:pStyle w:val="Heading3"/>
        <w:spacing w:line="240" w:lineRule="auto"/>
        <w:rPr>
          <w:rFonts w:ascii="Arial" w:hAnsi="Arial" w:cs="Arial"/>
          <w:bCs/>
          <w:color w:val="000000"/>
          <w:sz w:val="20"/>
          <w:lang w:val="en-US"/>
        </w:rPr>
      </w:pPr>
    </w:p>
    <w:p w14:paraId="3FA74F1B" w14:textId="77777777" w:rsidR="00023781" w:rsidRPr="00785E1A" w:rsidRDefault="005E2785" w:rsidP="00390E49">
      <w:pPr>
        <w:jc w:val="both"/>
        <w:rPr>
          <w:rFonts w:ascii="Arial" w:hAnsi="Arial" w:cs="Arial"/>
          <w:color w:val="000000"/>
          <w:sz w:val="20"/>
        </w:rPr>
      </w:pPr>
      <w:r w:rsidRPr="00785E1A">
        <w:rPr>
          <w:rFonts w:ascii="Arial" w:hAnsi="Arial" w:cs="Arial"/>
          <w:bCs/>
          <w:color w:val="000000"/>
          <w:sz w:val="20"/>
          <w:lang w:val="en-US"/>
        </w:rPr>
        <w:t xml:space="preserve">However, unlike Professor Scott and most policy advisors </w:t>
      </w:r>
      <w:proofErr w:type="spellStart"/>
      <w:r w:rsidRPr="00785E1A">
        <w:rPr>
          <w:rFonts w:ascii="Arial" w:hAnsi="Arial" w:cs="Arial"/>
          <w:bCs/>
          <w:color w:val="000000"/>
          <w:sz w:val="20"/>
          <w:lang w:val="en-US"/>
        </w:rPr>
        <w:t>Messrs</w:t>
      </w:r>
      <w:proofErr w:type="spellEnd"/>
      <w:r w:rsidRPr="00785E1A">
        <w:rPr>
          <w:rFonts w:ascii="Arial" w:hAnsi="Arial" w:cs="Arial"/>
          <w:bCs/>
          <w:color w:val="000000"/>
          <w:sz w:val="20"/>
          <w:lang w:val="en-US"/>
        </w:rPr>
        <w:t xml:space="preserve"> </w:t>
      </w:r>
      <w:proofErr w:type="spellStart"/>
      <w:r w:rsidRPr="00785E1A">
        <w:rPr>
          <w:rFonts w:ascii="Arial" w:hAnsi="Arial" w:cs="Arial"/>
          <w:bCs/>
          <w:color w:val="000000"/>
          <w:sz w:val="20"/>
          <w:lang w:val="en-US"/>
        </w:rPr>
        <w:t>Sammut</w:t>
      </w:r>
      <w:proofErr w:type="spellEnd"/>
      <w:r w:rsidRPr="00785E1A">
        <w:rPr>
          <w:rFonts w:ascii="Arial" w:hAnsi="Arial" w:cs="Arial"/>
          <w:bCs/>
          <w:color w:val="000000"/>
          <w:sz w:val="20"/>
          <w:lang w:val="en-US"/>
        </w:rPr>
        <w:t xml:space="preserve"> &amp; O’Brien do not blame mandatory reporting</w:t>
      </w:r>
      <w:r w:rsidR="003E0D54" w:rsidRPr="00785E1A">
        <w:rPr>
          <w:rFonts w:ascii="Arial" w:hAnsi="Arial" w:cs="Arial"/>
          <w:bCs/>
          <w:color w:val="000000"/>
          <w:sz w:val="20"/>
          <w:lang w:val="en-US"/>
        </w:rPr>
        <w:t xml:space="preserve">.  Nor do they </w:t>
      </w:r>
      <w:r w:rsidRPr="00785E1A">
        <w:rPr>
          <w:rFonts w:ascii="Arial" w:hAnsi="Arial" w:cs="Arial"/>
          <w:bCs/>
          <w:color w:val="000000"/>
          <w:sz w:val="20"/>
          <w:lang w:val="en-US"/>
        </w:rPr>
        <w:t xml:space="preserve">consider that </w:t>
      </w:r>
      <w:r w:rsidR="00A44656" w:rsidRPr="00785E1A">
        <w:rPr>
          <w:rFonts w:ascii="Arial" w:hAnsi="Arial" w:cs="Arial"/>
          <w:bCs/>
          <w:color w:val="000000"/>
          <w:sz w:val="20"/>
          <w:lang w:val="en-US"/>
        </w:rPr>
        <w:t>the growth in reports has been concentrated in less serious types of abuse and neglect.  On the contrary, they postulate that in NSW at least the “real cause of the child protection is the large number of ‘hard core’ obviously dysfunctional parents” about whom a disproportionate number of reports are made.</w:t>
      </w:r>
    </w:p>
    <w:p w14:paraId="1092A0E5" w14:textId="77777777" w:rsidR="005E2785" w:rsidRPr="00785E1A" w:rsidRDefault="005E2785" w:rsidP="009855F0">
      <w:pPr>
        <w:pStyle w:val="Heading3"/>
        <w:spacing w:line="240" w:lineRule="auto"/>
        <w:rPr>
          <w:rFonts w:ascii="Arial" w:hAnsi="Arial" w:cs="Arial"/>
          <w:bCs/>
          <w:color w:val="000000"/>
          <w:sz w:val="20"/>
          <w:lang w:val="en-US"/>
        </w:rPr>
      </w:pPr>
    </w:p>
    <w:p w14:paraId="64331BC0" w14:textId="77777777" w:rsidR="00023781" w:rsidRPr="00785E1A" w:rsidRDefault="00013EC4" w:rsidP="00390E49">
      <w:pPr>
        <w:jc w:val="both"/>
        <w:rPr>
          <w:rFonts w:ascii="Arial" w:hAnsi="Arial" w:cs="Arial"/>
          <w:color w:val="000000"/>
          <w:sz w:val="20"/>
        </w:rPr>
      </w:pPr>
      <w:r w:rsidRPr="003D5DFA">
        <w:rPr>
          <w:rFonts w:ascii="Arial" w:hAnsi="Arial" w:cs="Arial"/>
          <w:bCs/>
          <w:color w:val="000000"/>
          <w:sz w:val="20"/>
        </w:rPr>
        <w:t xml:space="preserve">It appears, however, that </w:t>
      </w:r>
      <w:r w:rsidR="009676A3" w:rsidRPr="003D5DFA">
        <w:rPr>
          <w:rFonts w:ascii="Arial" w:hAnsi="Arial" w:cs="Arial"/>
          <w:bCs/>
          <w:color w:val="000000"/>
          <w:sz w:val="20"/>
        </w:rPr>
        <w:t xml:space="preserve">until 2009-2010 </w:t>
      </w:r>
      <w:r w:rsidRPr="003D5DFA">
        <w:rPr>
          <w:rFonts w:ascii="Arial" w:hAnsi="Arial" w:cs="Arial"/>
          <w:bCs/>
          <w:color w:val="000000"/>
          <w:sz w:val="20"/>
        </w:rPr>
        <w:t>Victoria</w:t>
      </w:r>
      <w:r w:rsidR="00A60FC0" w:rsidRPr="003D5DFA">
        <w:rPr>
          <w:rFonts w:ascii="Arial" w:hAnsi="Arial" w:cs="Arial"/>
          <w:bCs/>
          <w:color w:val="000000"/>
          <w:sz w:val="20"/>
        </w:rPr>
        <w:t xml:space="preserve"> </w:t>
      </w:r>
      <w:r w:rsidR="009676A3" w:rsidRPr="003D5DFA">
        <w:rPr>
          <w:rFonts w:ascii="Arial" w:hAnsi="Arial" w:cs="Arial"/>
          <w:bCs/>
          <w:color w:val="000000"/>
          <w:sz w:val="20"/>
        </w:rPr>
        <w:t>wa</w:t>
      </w:r>
      <w:r w:rsidR="00A60FC0" w:rsidRPr="003D5DFA">
        <w:rPr>
          <w:rFonts w:ascii="Arial" w:hAnsi="Arial" w:cs="Arial"/>
          <w:bCs/>
          <w:color w:val="000000"/>
          <w:sz w:val="20"/>
        </w:rPr>
        <w:t xml:space="preserve">s the </w:t>
      </w:r>
      <w:r w:rsidRPr="003D5DFA">
        <w:rPr>
          <w:rFonts w:ascii="Arial" w:hAnsi="Arial" w:cs="Arial"/>
          <w:bCs/>
          <w:color w:val="000000"/>
          <w:sz w:val="20"/>
        </w:rPr>
        <w:t>one state in which the number of notifications</w:t>
      </w:r>
      <w:r w:rsidR="00461A78" w:rsidRPr="003D5DFA">
        <w:rPr>
          <w:rFonts w:ascii="Arial" w:hAnsi="Arial" w:cs="Arial"/>
          <w:bCs/>
          <w:color w:val="000000"/>
          <w:sz w:val="20"/>
        </w:rPr>
        <w:t>/reports</w:t>
      </w:r>
      <w:r w:rsidRPr="003D5DFA">
        <w:rPr>
          <w:rFonts w:ascii="Arial" w:hAnsi="Arial" w:cs="Arial"/>
          <w:bCs/>
          <w:color w:val="000000"/>
          <w:sz w:val="20"/>
        </w:rPr>
        <w:t xml:space="preserve"> ha</w:t>
      </w:r>
      <w:r w:rsidR="001152F2" w:rsidRPr="003D5DFA">
        <w:rPr>
          <w:rFonts w:ascii="Arial" w:hAnsi="Arial" w:cs="Arial"/>
          <w:bCs/>
          <w:color w:val="000000"/>
          <w:sz w:val="20"/>
        </w:rPr>
        <w:t>d</w:t>
      </w:r>
      <w:r w:rsidRPr="003D5DFA">
        <w:rPr>
          <w:rFonts w:ascii="Arial" w:hAnsi="Arial" w:cs="Arial"/>
          <w:bCs/>
          <w:color w:val="000000"/>
          <w:sz w:val="20"/>
        </w:rPr>
        <w:t xml:space="preserve"> not increased significantly</w:t>
      </w:r>
      <w:r w:rsidR="009676A3" w:rsidRPr="003D5DFA">
        <w:rPr>
          <w:rFonts w:ascii="Arial" w:hAnsi="Arial" w:cs="Arial"/>
          <w:bCs/>
          <w:color w:val="000000"/>
          <w:sz w:val="20"/>
        </w:rPr>
        <w:t xml:space="preserve">. </w:t>
      </w:r>
      <w:r w:rsidRPr="003D5DFA">
        <w:rPr>
          <w:rFonts w:ascii="Arial" w:hAnsi="Arial" w:cs="Arial"/>
          <w:bCs/>
          <w:color w:val="000000"/>
          <w:sz w:val="20"/>
        </w:rPr>
        <w:t xml:space="preserve"> </w:t>
      </w:r>
      <w:r w:rsidR="00C478CF" w:rsidRPr="003D5DFA">
        <w:rPr>
          <w:rFonts w:ascii="Arial" w:hAnsi="Arial" w:cs="Arial"/>
          <w:bCs/>
          <w:color w:val="000000"/>
          <w:sz w:val="20"/>
        </w:rPr>
        <w:t xml:space="preserve">[The figures for SA in 1999-00, in </w:t>
      </w:r>
      <w:smartTag w:uri="urn:schemas-microsoft-com:office:smarttags" w:element="State">
        <w:smartTag w:uri="urn:schemas-microsoft-com:office:smarttags" w:element="place">
          <w:r w:rsidR="00C478CF" w:rsidRPr="003D5DFA">
            <w:rPr>
              <w:rFonts w:ascii="Arial" w:hAnsi="Arial" w:cs="Arial"/>
              <w:bCs/>
              <w:color w:val="000000"/>
              <w:sz w:val="20"/>
            </w:rPr>
            <w:t>Tasmania</w:t>
          </w:r>
        </w:smartTag>
      </w:smartTag>
      <w:r w:rsidR="00C478CF" w:rsidRPr="003D5DFA">
        <w:rPr>
          <w:rFonts w:ascii="Arial" w:hAnsi="Arial" w:cs="Arial"/>
          <w:bCs/>
          <w:color w:val="000000"/>
          <w:sz w:val="20"/>
        </w:rPr>
        <w:t xml:space="preserve"> until 2002-2003 and in ACT until 2001-2002 </w:t>
      </w:r>
      <w:r w:rsidRPr="003D5DFA">
        <w:rPr>
          <w:rFonts w:ascii="Arial" w:hAnsi="Arial" w:cs="Arial"/>
          <w:bCs/>
          <w:color w:val="000000"/>
          <w:sz w:val="20"/>
        </w:rPr>
        <w:t xml:space="preserve">are calculated on a different basis from those in subsequent years].  </w:t>
      </w:r>
      <w:r w:rsidR="00C478CF" w:rsidRPr="003D5DFA">
        <w:rPr>
          <w:rFonts w:ascii="Arial" w:hAnsi="Arial" w:cs="Arial"/>
          <w:bCs/>
          <w:color w:val="000000"/>
          <w:sz w:val="20"/>
        </w:rPr>
        <w:t xml:space="preserve">The number of notifications in each Australian state and territory from 1999-2000 to </w:t>
      </w:r>
      <w:r w:rsidR="00BE411C" w:rsidRPr="003D5DFA">
        <w:rPr>
          <w:rFonts w:ascii="Arial" w:hAnsi="Arial" w:cs="Arial"/>
          <w:bCs/>
          <w:color w:val="000000"/>
          <w:sz w:val="20"/>
        </w:rPr>
        <w:t>20</w:t>
      </w:r>
      <w:r w:rsidR="00EC234F" w:rsidRPr="003D5DFA">
        <w:rPr>
          <w:rFonts w:ascii="Arial" w:hAnsi="Arial" w:cs="Arial"/>
          <w:bCs/>
          <w:color w:val="000000"/>
          <w:sz w:val="20"/>
        </w:rPr>
        <w:t>1</w:t>
      </w:r>
      <w:r w:rsidR="00B00042">
        <w:rPr>
          <w:rFonts w:ascii="Arial" w:hAnsi="Arial" w:cs="Arial"/>
          <w:bCs/>
          <w:color w:val="000000"/>
          <w:sz w:val="20"/>
        </w:rPr>
        <w:t>3</w:t>
      </w:r>
      <w:r w:rsidR="00BE411C" w:rsidRPr="003D5DFA">
        <w:rPr>
          <w:rFonts w:ascii="Arial" w:hAnsi="Arial" w:cs="Arial"/>
          <w:bCs/>
          <w:color w:val="000000"/>
          <w:sz w:val="20"/>
        </w:rPr>
        <w:t>-201</w:t>
      </w:r>
      <w:r w:rsidR="00B00042">
        <w:rPr>
          <w:rFonts w:ascii="Arial" w:hAnsi="Arial" w:cs="Arial"/>
          <w:bCs/>
          <w:color w:val="000000"/>
          <w:sz w:val="20"/>
        </w:rPr>
        <w:t>4</w:t>
      </w:r>
      <w:r w:rsidR="00C478CF" w:rsidRPr="003D5DFA">
        <w:rPr>
          <w:rFonts w:ascii="Arial" w:hAnsi="Arial" w:cs="Arial"/>
          <w:bCs/>
          <w:color w:val="000000"/>
          <w:sz w:val="20"/>
        </w:rPr>
        <w:t xml:space="preserve"> </w:t>
      </w:r>
      <w:r w:rsidR="00281D46" w:rsidRPr="003D5DFA">
        <w:rPr>
          <w:rFonts w:ascii="Arial" w:hAnsi="Arial" w:cs="Arial"/>
          <w:bCs/>
          <w:color w:val="000000"/>
          <w:sz w:val="20"/>
        </w:rPr>
        <w:t xml:space="preserve">and the number of substantiated notifications from 2004-2005 to </w:t>
      </w:r>
      <w:r w:rsidR="00BE411C" w:rsidRPr="003D5DFA">
        <w:rPr>
          <w:rFonts w:ascii="Arial" w:hAnsi="Arial" w:cs="Arial"/>
          <w:bCs/>
          <w:color w:val="000000"/>
          <w:sz w:val="20"/>
        </w:rPr>
        <w:t>20</w:t>
      </w:r>
      <w:r w:rsidR="00EC234F" w:rsidRPr="003D5DFA">
        <w:rPr>
          <w:rFonts w:ascii="Arial" w:hAnsi="Arial" w:cs="Arial"/>
          <w:bCs/>
          <w:color w:val="000000"/>
          <w:sz w:val="20"/>
        </w:rPr>
        <w:t>1</w:t>
      </w:r>
      <w:r w:rsidR="00B00042">
        <w:rPr>
          <w:rFonts w:ascii="Arial" w:hAnsi="Arial" w:cs="Arial"/>
          <w:bCs/>
          <w:color w:val="000000"/>
          <w:sz w:val="20"/>
        </w:rPr>
        <w:t>3</w:t>
      </w:r>
      <w:r w:rsidR="00BE411C" w:rsidRPr="003D5DFA">
        <w:rPr>
          <w:rFonts w:ascii="Arial" w:hAnsi="Arial" w:cs="Arial"/>
          <w:bCs/>
          <w:color w:val="000000"/>
          <w:sz w:val="20"/>
        </w:rPr>
        <w:t>-201</w:t>
      </w:r>
      <w:r w:rsidR="00B00042">
        <w:rPr>
          <w:rFonts w:ascii="Arial" w:hAnsi="Arial" w:cs="Arial"/>
          <w:bCs/>
          <w:color w:val="000000"/>
          <w:sz w:val="20"/>
        </w:rPr>
        <w:t>4</w:t>
      </w:r>
      <w:r w:rsidR="00281D46" w:rsidRPr="003D5DFA">
        <w:rPr>
          <w:rFonts w:ascii="Arial" w:hAnsi="Arial" w:cs="Arial"/>
          <w:bCs/>
          <w:color w:val="000000"/>
          <w:sz w:val="20"/>
        </w:rPr>
        <w:t xml:space="preserve"> which are </w:t>
      </w:r>
      <w:r w:rsidR="00883816" w:rsidRPr="003D5DFA">
        <w:rPr>
          <w:rFonts w:ascii="Arial" w:hAnsi="Arial" w:cs="Arial"/>
          <w:bCs/>
          <w:color w:val="000000"/>
          <w:sz w:val="20"/>
        </w:rPr>
        <w:t xml:space="preserve">detailed </w:t>
      </w:r>
      <w:r w:rsidR="00281D46" w:rsidRPr="003D5DFA">
        <w:rPr>
          <w:rFonts w:ascii="Arial" w:hAnsi="Arial" w:cs="Arial"/>
          <w:bCs/>
          <w:color w:val="000000"/>
          <w:sz w:val="20"/>
        </w:rPr>
        <w:t xml:space="preserve">in the charts </w:t>
      </w:r>
      <w:r w:rsidR="00883816" w:rsidRPr="003D5DFA">
        <w:rPr>
          <w:rFonts w:ascii="Arial" w:hAnsi="Arial" w:cs="Arial"/>
          <w:bCs/>
          <w:color w:val="000000"/>
          <w:sz w:val="20"/>
        </w:rPr>
        <w:t xml:space="preserve">below </w:t>
      </w:r>
      <w:r w:rsidR="007D4416" w:rsidRPr="003D5DFA">
        <w:rPr>
          <w:rFonts w:ascii="Arial" w:hAnsi="Arial" w:cs="Arial"/>
          <w:bCs/>
          <w:color w:val="000000"/>
          <w:sz w:val="20"/>
        </w:rPr>
        <w:t>are</w:t>
      </w:r>
      <w:r w:rsidR="00C478CF" w:rsidRPr="003D5DFA">
        <w:rPr>
          <w:rFonts w:ascii="Arial" w:hAnsi="Arial" w:cs="Arial"/>
          <w:bCs/>
          <w:color w:val="000000"/>
          <w:sz w:val="20"/>
        </w:rPr>
        <w:t xml:space="preserve"> </w:t>
      </w:r>
      <w:r w:rsidR="00A22080" w:rsidRPr="003D5DFA">
        <w:rPr>
          <w:rFonts w:ascii="Arial" w:hAnsi="Arial" w:cs="Arial"/>
          <w:bCs/>
          <w:color w:val="000000"/>
          <w:sz w:val="20"/>
        </w:rPr>
        <w:t xml:space="preserve">taken </w:t>
      </w:r>
      <w:r w:rsidR="00C478CF" w:rsidRPr="003D5DFA">
        <w:rPr>
          <w:rFonts w:ascii="Arial" w:hAnsi="Arial" w:cs="Arial"/>
          <w:bCs/>
          <w:color w:val="000000"/>
          <w:sz w:val="20"/>
        </w:rPr>
        <w:t xml:space="preserve">from </w:t>
      </w:r>
      <w:r w:rsidR="00BA78EA" w:rsidRPr="003D5DFA">
        <w:rPr>
          <w:rFonts w:ascii="Arial" w:hAnsi="Arial" w:cs="Arial"/>
          <w:bCs/>
          <w:color w:val="000000"/>
          <w:sz w:val="20"/>
        </w:rPr>
        <w:t xml:space="preserve">tables in various editions of </w:t>
      </w:r>
      <w:r w:rsidR="00C478CF" w:rsidRPr="003D5DFA">
        <w:rPr>
          <w:rFonts w:ascii="Arial" w:hAnsi="Arial" w:cs="Arial"/>
          <w:bCs/>
          <w:color w:val="000000"/>
          <w:sz w:val="20"/>
        </w:rPr>
        <w:t>“Child protection Australia” in the Child Welfare Series published by the Australian Institute of Health and Welfare, Canberra.</w:t>
      </w:r>
    </w:p>
    <w:p w14:paraId="17BC752F" w14:textId="77777777" w:rsidR="00013EC4" w:rsidRPr="003D5DFA" w:rsidRDefault="00013EC4" w:rsidP="009855F0">
      <w:pPr>
        <w:pStyle w:val="Heading3"/>
        <w:spacing w:line="240" w:lineRule="auto"/>
        <w:rPr>
          <w:rFonts w:ascii="Arial" w:hAnsi="Arial" w:cs="Arial"/>
          <w:bCs/>
          <w:color w:val="000000"/>
          <w:sz w:val="20"/>
          <w:lang w:val="en-US"/>
        </w:rPr>
      </w:pPr>
    </w:p>
    <w:tbl>
      <w:tblPr>
        <w:tblW w:w="878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950"/>
        <w:gridCol w:w="848"/>
        <w:gridCol w:w="848"/>
        <w:gridCol w:w="828"/>
        <w:gridCol w:w="848"/>
        <w:gridCol w:w="836"/>
        <w:gridCol w:w="828"/>
        <w:gridCol w:w="828"/>
        <w:gridCol w:w="949"/>
      </w:tblGrid>
      <w:tr w:rsidR="00A23E26" w:rsidRPr="00785E1A" w14:paraId="744A42CF" w14:textId="77777777" w:rsidTr="00281D46">
        <w:trPr>
          <w:jc w:val="center"/>
        </w:trPr>
        <w:tc>
          <w:tcPr>
            <w:tcW w:w="8789" w:type="dxa"/>
            <w:gridSpan w:val="10"/>
            <w:tcBorders>
              <w:top w:val="single" w:sz="12" w:space="0" w:color="auto"/>
              <w:left w:val="single" w:sz="12" w:space="0" w:color="auto"/>
              <w:bottom w:val="single" w:sz="4" w:space="0" w:color="auto"/>
            </w:tcBorders>
            <w:shd w:val="pct10" w:color="auto" w:fill="auto"/>
          </w:tcPr>
          <w:p w14:paraId="33E85D26" w14:textId="77777777" w:rsidR="00A23E26" w:rsidRPr="00785E1A" w:rsidRDefault="00A23E26" w:rsidP="00D4369A">
            <w:pPr>
              <w:keepNext/>
              <w:jc w:val="center"/>
              <w:rPr>
                <w:rFonts w:ascii="Arial" w:hAnsi="Arial" w:cs="Arial"/>
                <w:b/>
                <w:color w:val="000000"/>
                <w:sz w:val="20"/>
              </w:rPr>
            </w:pPr>
            <w:r w:rsidRPr="00785E1A">
              <w:rPr>
                <w:rFonts w:ascii="Arial" w:hAnsi="Arial" w:cs="Arial"/>
                <w:b/>
                <w:color w:val="000000"/>
                <w:sz w:val="20"/>
              </w:rPr>
              <w:t>NOTIFICATIONS/REPORTS</w:t>
            </w:r>
          </w:p>
        </w:tc>
      </w:tr>
      <w:tr w:rsidR="00166488" w:rsidRPr="00785E1A" w14:paraId="768C8517" w14:textId="77777777" w:rsidTr="005D4FF3">
        <w:trPr>
          <w:jc w:val="center"/>
        </w:trPr>
        <w:tc>
          <w:tcPr>
            <w:tcW w:w="1100" w:type="dxa"/>
            <w:tcBorders>
              <w:top w:val="single" w:sz="12" w:space="0" w:color="auto"/>
              <w:left w:val="single" w:sz="12" w:space="0" w:color="auto"/>
              <w:bottom w:val="single" w:sz="12" w:space="0" w:color="auto"/>
              <w:right w:val="single" w:sz="12" w:space="0" w:color="auto"/>
            </w:tcBorders>
            <w:shd w:val="pct10" w:color="auto" w:fill="auto"/>
          </w:tcPr>
          <w:p w14:paraId="5FF1EE64"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YEAR</w:t>
            </w:r>
          </w:p>
        </w:tc>
        <w:tc>
          <w:tcPr>
            <w:tcW w:w="953" w:type="dxa"/>
            <w:tcBorders>
              <w:top w:val="single" w:sz="12" w:space="0" w:color="auto"/>
              <w:left w:val="single" w:sz="12" w:space="0" w:color="auto"/>
              <w:bottom w:val="single" w:sz="12" w:space="0" w:color="auto"/>
              <w:right w:val="single" w:sz="12" w:space="0" w:color="auto"/>
            </w:tcBorders>
            <w:shd w:val="pct10" w:color="auto" w:fill="auto"/>
          </w:tcPr>
          <w:p w14:paraId="5F536172"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NSW</w:t>
            </w:r>
          </w:p>
        </w:tc>
        <w:tc>
          <w:tcPr>
            <w:tcW w:w="854" w:type="dxa"/>
            <w:tcBorders>
              <w:top w:val="single" w:sz="12" w:space="0" w:color="auto"/>
              <w:left w:val="single" w:sz="12" w:space="0" w:color="auto"/>
              <w:bottom w:val="single" w:sz="12" w:space="0" w:color="auto"/>
              <w:right w:val="single" w:sz="12" w:space="0" w:color="auto"/>
            </w:tcBorders>
            <w:shd w:val="pct10" w:color="auto" w:fill="auto"/>
          </w:tcPr>
          <w:p w14:paraId="1CCE3A91"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VIC</w:t>
            </w:r>
          </w:p>
        </w:tc>
        <w:tc>
          <w:tcPr>
            <w:tcW w:w="854" w:type="dxa"/>
            <w:tcBorders>
              <w:top w:val="single" w:sz="12" w:space="0" w:color="auto"/>
              <w:left w:val="single" w:sz="12" w:space="0" w:color="auto"/>
              <w:bottom w:val="single" w:sz="12" w:space="0" w:color="auto"/>
              <w:right w:val="single" w:sz="12" w:space="0" w:color="auto"/>
            </w:tcBorders>
            <w:shd w:val="pct10" w:color="auto" w:fill="auto"/>
          </w:tcPr>
          <w:p w14:paraId="2EA99296"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QLD</w:t>
            </w:r>
          </w:p>
        </w:tc>
        <w:tc>
          <w:tcPr>
            <w:tcW w:w="828" w:type="dxa"/>
            <w:tcBorders>
              <w:top w:val="single" w:sz="12" w:space="0" w:color="auto"/>
              <w:left w:val="single" w:sz="12" w:space="0" w:color="auto"/>
              <w:bottom w:val="single" w:sz="12" w:space="0" w:color="auto"/>
              <w:right w:val="single" w:sz="12" w:space="0" w:color="auto"/>
            </w:tcBorders>
            <w:shd w:val="pct10" w:color="auto" w:fill="auto"/>
          </w:tcPr>
          <w:p w14:paraId="3A694A07"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WA</w:t>
            </w:r>
          </w:p>
        </w:tc>
        <w:tc>
          <w:tcPr>
            <w:tcW w:w="854" w:type="dxa"/>
            <w:tcBorders>
              <w:top w:val="single" w:sz="12" w:space="0" w:color="auto"/>
              <w:left w:val="single" w:sz="12" w:space="0" w:color="auto"/>
              <w:bottom w:val="single" w:sz="12" w:space="0" w:color="auto"/>
              <w:right w:val="single" w:sz="12" w:space="0" w:color="auto"/>
            </w:tcBorders>
            <w:shd w:val="pct10" w:color="auto" w:fill="auto"/>
          </w:tcPr>
          <w:p w14:paraId="7449B798"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SA</w:t>
            </w:r>
          </w:p>
        </w:tc>
        <w:tc>
          <w:tcPr>
            <w:tcW w:w="839" w:type="dxa"/>
            <w:tcBorders>
              <w:top w:val="single" w:sz="12" w:space="0" w:color="auto"/>
              <w:left w:val="single" w:sz="12" w:space="0" w:color="auto"/>
              <w:bottom w:val="single" w:sz="12" w:space="0" w:color="auto"/>
              <w:right w:val="single" w:sz="12" w:space="0" w:color="auto"/>
            </w:tcBorders>
            <w:shd w:val="pct10" w:color="auto" w:fill="auto"/>
          </w:tcPr>
          <w:p w14:paraId="4B15463E"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TAS</w:t>
            </w:r>
          </w:p>
        </w:tc>
        <w:tc>
          <w:tcPr>
            <w:tcW w:w="828" w:type="dxa"/>
            <w:tcBorders>
              <w:top w:val="single" w:sz="12" w:space="0" w:color="auto"/>
              <w:left w:val="single" w:sz="12" w:space="0" w:color="auto"/>
              <w:bottom w:val="single" w:sz="12" w:space="0" w:color="auto"/>
              <w:right w:val="single" w:sz="12" w:space="0" w:color="auto"/>
            </w:tcBorders>
            <w:shd w:val="pct10" w:color="auto" w:fill="auto"/>
          </w:tcPr>
          <w:p w14:paraId="0A349477"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ACT</w:t>
            </w:r>
          </w:p>
        </w:tc>
        <w:tc>
          <w:tcPr>
            <w:tcW w:w="727" w:type="dxa"/>
            <w:tcBorders>
              <w:top w:val="single" w:sz="12" w:space="0" w:color="auto"/>
              <w:left w:val="single" w:sz="12" w:space="0" w:color="auto"/>
              <w:bottom w:val="single" w:sz="12" w:space="0" w:color="auto"/>
              <w:right w:val="single" w:sz="12" w:space="0" w:color="auto"/>
            </w:tcBorders>
            <w:shd w:val="pct10" w:color="auto" w:fill="auto"/>
          </w:tcPr>
          <w:p w14:paraId="1E3047D7"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NT</w:t>
            </w:r>
          </w:p>
        </w:tc>
        <w:tc>
          <w:tcPr>
            <w:tcW w:w="952" w:type="dxa"/>
            <w:tcBorders>
              <w:top w:val="single" w:sz="12" w:space="0" w:color="auto"/>
              <w:left w:val="single" w:sz="12" w:space="0" w:color="auto"/>
              <w:bottom w:val="single" w:sz="12" w:space="0" w:color="auto"/>
            </w:tcBorders>
            <w:shd w:val="pct10" w:color="auto" w:fill="auto"/>
          </w:tcPr>
          <w:p w14:paraId="3D40B5D5"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TOTAL</w:t>
            </w:r>
          </w:p>
        </w:tc>
      </w:tr>
      <w:tr w:rsidR="00166488" w:rsidRPr="00785E1A" w14:paraId="31AD945E" w14:textId="77777777" w:rsidTr="005D4FF3">
        <w:trPr>
          <w:jc w:val="center"/>
        </w:trPr>
        <w:tc>
          <w:tcPr>
            <w:tcW w:w="1100" w:type="dxa"/>
            <w:tcBorders>
              <w:top w:val="single" w:sz="12" w:space="0" w:color="auto"/>
              <w:left w:val="single" w:sz="12" w:space="0" w:color="auto"/>
              <w:bottom w:val="single" w:sz="4" w:space="0" w:color="auto"/>
              <w:right w:val="single" w:sz="12" w:space="0" w:color="auto"/>
            </w:tcBorders>
          </w:tcPr>
          <w:p w14:paraId="07DAC5F6"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1999-</w:t>
            </w:r>
            <w:r w:rsidR="00C478CF" w:rsidRPr="00785E1A">
              <w:rPr>
                <w:rFonts w:ascii="Arial" w:hAnsi="Arial" w:cs="Arial"/>
                <w:color w:val="000000"/>
                <w:sz w:val="20"/>
              </w:rPr>
              <w:t>00</w:t>
            </w:r>
          </w:p>
        </w:tc>
        <w:tc>
          <w:tcPr>
            <w:tcW w:w="953" w:type="dxa"/>
            <w:tcBorders>
              <w:top w:val="single" w:sz="12" w:space="0" w:color="auto"/>
              <w:left w:val="single" w:sz="12" w:space="0" w:color="auto"/>
              <w:bottom w:val="single" w:sz="4" w:space="0" w:color="auto"/>
              <w:right w:val="single" w:sz="12" w:space="0" w:color="auto"/>
            </w:tcBorders>
          </w:tcPr>
          <w:p w14:paraId="6EE9128E"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30,398</w:t>
            </w:r>
          </w:p>
        </w:tc>
        <w:tc>
          <w:tcPr>
            <w:tcW w:w="854" w:type="dxa"/>
            <w:tcBorders>
              <w:top w:val="single" w:sz="12" w:space="0" w:color="auto"/>
              <w:left w:val="single" w:sz="12" w:space="0" w:color="auto"/>
              <w:bottom w:val="single" w:sz="4" w:space="0" w:color="auto"/>
              <w:right w:val="single" w:sz="12" w:space="0" w:color="auto"/>
            </w:tcBorders>
            <w:shd w:val="pct10" w:color="auto" w:fill="auto"/>
          </w:tcPr>
          <w:p w14:paraId="7E79C785"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36,805</w:t>
            </w:r>
          </w:p>
        </w:tc>
        <w:tc>
          <w:tcPr>
            <w:tcW w:w="854" w:type="dxa"/>
            <w:tcBorders>
              <w:top w:val="single" w:sz="12" w:space="0" w:color="auto"/>
              <w:left w:val="single" w:sz="12" w:space="0" w:color="auto"/>
              <w:bottom w:val="single" w:sz="4" w:space="0" w:color="auto"/>
              <w:right w:val="single" w:sz="12" w:space="0" w:color="auto"/>
            </w:tcBorders>
          </w:tcPr>
          <w:p w14:paraId="20E835ED"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19.057</w:t>
            </w:r>
          </w:p>
        </w:tc>
        <w:tc>
          <w:tcPr>
            <w:tcW w:w="828" w:type="dxa"/>
            <w:tcBorders>
              <w:top w:val="single" w:sz="12" w:space="0" w:color="auto"/>
              <w:left w:val="single" w:sz="12" w:space="0" w:color="auto"/>
              <w:bottom w:val="single" w:sz="4" w:space="0" w:color="auto"/>
              <w:right w:val="single" w:sz="12" w:space="0" w:color="auto"/>
            </w:tcBorders>
          </w:tcPr>
          <w:p w14:paraId="07697B46"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2,645</w:t>
            </w:r>
          </w:p>
        </w:tc>
        <w:tc>
          <w:tcPr>
            <w:tcW w:w="854" w:type="dxa"/>
            <w:tcBorders>
              <w:top w:val="single" w:sz="12" w:space="0" w:color="auto"/>
              <w:left w:val="single" w:sz="12" w:space="0" w:color="auto"/>
              <w:bottom w:val="single" w:sz="4" w:space="0" w:color="auto"/>
              <w:right w:val="single" w:sz="12" w:space="0" w:color="auto"/>
            </w:tcBorders>
          </w:tcPr>
          <w:p w14:paraId="74AAEC6A"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15,181</w:t>
            </w:r>
          </w:p>
        </w:tc>
        <w:tc>
          <w:tcPr>
            <w:tcW w:w="839" w:type="dxa"/>
            <w:tcBorders>
              <w:top w:val="single" w:sz="12" w:space="0" w:color="auto"/>
              <w:left w:val="single" w:sz="12" w:space="0" w:color="auto"/>
              <w:bottom w:val="single" w:sz="4" w:space="0" w:color="auto"/>
              <w:right w:val="single" w:sz="12" w:space="0" w:color="auto"/>
            </w:tcBorders>
          </w:tcPr>
          <w:p w14:paraId="5C3CA35B"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422</w:t>
            </w:r>
          </w:p>
        </w:tc>
        <w:tc>
          <w:tcPr>
            <w:tcW w:w="828" w:type="dxa"/>
            <w:tcBorders>
              <w:top w:val="single" w:sz="12" w:space="0" w:color="auto"/>
              <w:left w:val="single" w:sz="12" w:space="0" w:color="auto"/>
              <w:bottom w:val="single" w:sz="4" w:space="0" w:color="auto"/>
              <w:right w:val="single" w:sz="12" w:space="0" w:color="auto"/>
            </w:tcBorders>
          </w:tcPr>
          <w:p w14:paraId="1D53B5D9"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1,189</w:t>
            </w:r>
          </w:p>
        </w:tc>
        <w:tc>
          <w:tcPr>
            <w:tcW w:w="727" w:type="dxa"/>
            <w:tcBorders>
              <w:top w:val="single" w:sz="12" w:space="0" w:color="auto"/>
              <w:left w:val="single" w:sz="12" w:space="0" w:color="auto"/>
              <w:bottom w:val="single" w:sz="4" w:space="0" w:color="auto"/>
              <w:right w:val="single" w:sz="12" w:space="0" w:color="auto"/>
            </w:tcBorders>
          </w:tcPr>
          <w:p w14:paraId="2F740CDE"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1,437</w:t>
            </w:r>
          </w:p>
        </w:tc>
        <w:tc>
          <w:tcPr>
            <w:tcW w:w="952" w:type="dxa"/>
            <w:tcBorders>
              <w:top w:val="single" w:sz="12" w:space="0" w:color="auto"/>
              <w:left w:val="single" w:sz="12" w:space="0" w:color="auto"/>
              <w:bottom w:val="single" w:sz="4" w:space="0" w:color="auto"/>
            </w:tcBorders>
          </w:tcPr>
          <w:p w14:paraId="121E5B9F"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107,134</w:t>
            </w:r>
          </w:p>
        </w:tc>
      </w:tr>
      <w:tr w:rsidR="00166488" w:rsidRPr="00785E1A" w14:paraId="02FD7FA8"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6B219710"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2000-01</w:t>
            </w:r>
          </w:p>
        </w:tc>
        <w:tc>
          <w:tcPr>
            <w:tcW w:w="953" w:type="dxa"/>
            <w:tcBorders>
              <w:top w:val="single" w:sz="4" w:space="0" w:color="auto"/>
              <w:left w:val="single" w:sz="12" w:space="0" w:color="auto"/>
              <w:right w:val="single" w:sz="12" w:space="0" w:color="auto"/>
            </w:tcBorders>
          </w:tcPr>
          <w:p w14:paraId="02AD3481"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40,937</w:t>
            </w:r>
          </w:p>
        </w:tc>
        <w:tc>
          <w:tcPr>
            <w:tcW w:w="854" w:type="dxa"/>
            <w:tcBorders>
              <w:top w:val="single" w:sz="4" w:space="0" w:color="auto"/>
              <w:left w:val="single" w:sz="12" w:space="0" w:color="auto"/>
              <w:right w:val="single" w:sz="12" w:space="0" w:color="auto"/>
            </w:tcBorders>
            <w:shd w:val="pct10" w:color="auto" w:fill="auto"/>
          </w:tcPr>
          <w:p w14:paraId="49C3FDB9"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36,966</w:t>
            </w:r>
          </w:p>
        </w:tc>
        <w:tc>
          <w:tcPr>
            <w:tcW w:w="854" w:type="dxa"/>
            <w:tcBorders>
              <w:top w:val="single" w:sz="4" w:space="0" w:color="auto"/>
              <w:left w:val="single" w:sz="12" w:space="0" w:color="auto"/>
              <w:right w:val="single" w:sz="12" w:space="0" w:color="auto"/>
            </w:tcBorders>
          </w:tcPr>
          <w:p w14:paraId="7EE97946"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22,069</w:t>
            </w:r>
          </w:p>
        </w:tc>
        <w:tc>
          <w:tcPr>
            <w:tcW w:w="828" w:type="dxa"/>
            <w:tcBorders>
              <w:top w:val="single" w:sz="4" w:space="0" w:color="auto"/>
              <w:left w:val="single" w:sz="12" w:space="0" w:color="auto"/>
              <w:right w:val="single" w:sz="12" w:space="0" w:color="auto"/>
            </w:tcBorders>
          </w:tcPr>
          <w:p w14:paraId="5DDE65D1"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2,851</w:t>
            </w:r>
          </w:p>
        </w:tc>
        <w:tc>
          <w:tcPr>
            <w:tcW w:w="854" w:type="dxa"/>
            <w:tcBorders>
              <w:top w:val="single" w:sz="4" w:space="0" w:color="auto"/>
              <w:left w:val="single" w:sz="12" w:space="0" w:color="auto"/>
              <w:right w:val="single" w:sz="12" w:space="0" w:color="auto"/>
            </w:tcBorders>
          </w:tcPr>
          <w:p w14:paraId="37F4F8A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9,988</w:t>
            </w:r>
          </w:p>
        </w:tc>
        <w:tc>
          <w:tcPr>
            <w:tcW w:w="839" w:type="dxa"/>
            <w:tcBorders>
              <w:top w:val="single" w:sz="4" w:space="0" w:color="auto"/>
              <w:left w:val="single" w:sz="12" w:space="0" w:color="auto"/>
              <w:right w:val="single" w:sz="12" w:space="0" w:color="auto"/>
            </w:tcBorders>
          </w:tcPr>
          <w:p w14:paraId="4BF36CC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315</w:t>
            </w:r>
          </w:p>
        </w:tc>
        <w:tc>
          <w:tcPr>
            <w:tcW w:w="828" w:type="dxa"/>
            <w:tcBorders>
              <w:top w:val="single" w:sz="4" w:space="0" w:color="auto"/>
              <w:left w:val="single" w:sz="12" w:space="0" w:color="auto"/>
              <w:right w:val="single" w:sz="12" w:space="0" w:color="auto"/>
            </w:tcBorders>
          </w:tcPr>
          <w:p w14:paraId="54A07617"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794</w:t>
            </w:r>
          </w:p>
        </w:tc>
        <w:tc>
          <w:tcPr>
            <w:tcW w:w="727" w:type="dxa"/>
            <w:tcBorders>
              <w:top w:val="single" w:sz="4" w:space="0" w:color="auto"/>
              <w:left w:val="single" w:sz="12" w:space="0" w:color="auto"/>
              <w:right w:val="single" w:sz="12" w:space="0" w:color="auto"/>
            </w:tcBorders>
          </w:tcPr>
          <w:p w14:paraId="2ADF36DC"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1,551</w:t>
            </w:r>
          </w:p>
        </w:tc>
        <w:tc>
          <w:tcPr>
            <w:tcW w:w="952" w:type="dxa"/>
            <w:tcBorders>
              <w:top w:val="single" w:sz="4" w:space="0" w:color="auto"/>
              <w:left w:val="single" w:sz="12" w:space="0" w:color="auto"/>
            </w:tcBorders>
          </w:tcPr>
          <w:p w14:paraId="50485BF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115,471</w:t>
            </w:r>
          </w:p>
        </w:tc>
      </w:tr>
      <w:tr w:rsidR="00166488" w:rsidRPr="00785E1A" w14:paraId="634C38A9"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521710D8"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2001-</w:t>
            </w:r>
            <w:r w:rsidR="00013EC4" w:rsidRPr="00785E1A">
              <w:rPr>
                <w:rFonts w:ascii="Arial" w:hAnsi="Arial" w:cs="Arial"/>
                <w:color w:val="000000"/>
                <w:sz w:val="20"/>
              </w:rPr>
              <w:t>02</w:t>
            </w:r>
          </w:p>
        </w:tc>
        <w:tc>
          <w:tcPr>
            <w:tcW w:w="953" w:type="dxa"/>
            <w:tcBorders>
              <w:left w:val="single" w:sz="12" w:space="0" w:color="auto"/>
              <w:right w:val="single" w:sz="12" w:space="0" w:color="auto"/>
            </w:tcBorders>
          </w:tcPr>
          <w:p w14:paraId="59EE0CE1"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55,208</w:t>
            </w:r>
          </w:p>
        </w:tc>
        <w:tc>
          <w:tcPr>
            <w:tcW w:w="854" w:type="dxa"/>
            <w:tcBorders>
              <w:left w:val="single" w:sz="12" w:space="0" w:color="auto"/>
              <w:right w:val="single" w:sz="12" w:space="0" w:color="auto"/>
            </w:tcBorders>
            <w:shd w:val="pct10" w:color="auto" w:fill="auto"/>
          </w:tcPr>
          <w:p w14:paraId="1C70FF7D"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37,976</w:t>
            </w:r>
          </w:p>
        </w:tc>
        <w:tc>
          <w:tcPr>
            <w:tcW w:w="854" w:type="dxa"/>
            <w:tcBorders>
              <w:left w:val="single" w:sz="12" w:space="0" w:color="auto"/>
              <w:right w:val="single" w:sz="12" w:space="0" w:color="auto"/>
            </w:tcBorders>
          </w:tcPr>
          <w:p w14:paraId="36061988"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27,592</w:t>
            </w:r>
          </w:p>
        </w:tc>
        <w:tc>
          <w:tcPr>
            <w:tcW w:w="828" w:type="dxa"/>
            <w:tcBorders>
              <w:left w:val="single" w:sz="12" w:space="0" w:color="auto"/>
              <w:right w:val="single" w:sz="12" w:space="0" w:color="auto"/>
            </w:tcBorders>
          </w:tcPr>
          <w:p w14:paraId="230E35F3"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3,045</w:t>
            </w:r>
          </w:p>
        </w:tc>
        <w:tc>
          <w:tcPr>
            <w:tcW w:w="854" w:type="dxa"/>
            <w:tcBorders>
              <w:left w:val="single" w:sz="12" w:space="0" w:color="auto"/>
              <w:right w:val="single" w:sz="12" w:space="0" w:color="auto"/>
            </w:tcBorders>
          </w:tcPr>
          <w:p w14:paraId="73385FF3"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11,203</w:t>
            </w:r>
          </w:p>
        </w:tc>
        <w:tc>
          <w:tcPr>
            <w:tcW w:w="839" w:type="dxa"/>
            <w:tcBorders>
              <w:left w:val="single" w:sz="12" w:space="0" w:color="auto"/>
              <w:right w:val="single" w:sz="12" w:space="0" w:color="auto"/>
            </w:tcBorders>
          </w:tcPr>
          <w:p w14:paraId="54C5E1B7"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508</w:t>
            </w:r>
          </w:p>
        </w:tc>
        <w:tc>
          <w:tcPr>
            <w:tcW w:w="828" w:type="dxa"/>
            <w:tcBorders>
              <w:left w:val="single" w:sz="12" w:space="0" w:color="auto"/>
              <w:right w:val="single" w:sz="12" w:space="0" w:color="auto"/>
            </w:tcBorders>
          </w:tcPr>
          <w:p w14:paraId="46710DCF"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801</w:t>
            </w:r>
          </w:p>
        </w:tc>
        <w:tc>
          <w:tcPr>
            <w:tcW w:w="727" w:type="dxa"/>
            <w:tcBorders>
              <w:left w:val="single" w:sz="12" w:space="0" w:color="auto"/>
              <w:right w:val="single" w:sz="12" w:space="0" w:color="auto"/>
            </w:tcBorders>
          </w:tcPr>
          <w:p w14:paraId="7A2BA05A"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1,605</w:t>
            </w:r>
          </w:p>
        </w:tc>
        <w:tc>
          <w:tcPr>
            <w:tcW w:w="952" w:type="dxa"/>
            <w:tcBorders>
              <w:left w:val="single" w:sz="12" w:space="0" w:color="auto"/>
            </w:tcBorders>
          </w:tcPr>
          <w:p w14:paraId="76B39AF2"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137,938</w:t>
            </w:r>
          </w:p>
        </w:tc>
      </w:tr>
      <w:tr w:rsidR="00166488" w:rsidRPr="00785E1A" w14:paraId="52E9F5AF"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7E26AA3F"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2002-</w:t>
            </w:r>
            <w:r w:rsidR="00013EC4" w:rsidRPr="00785E1A">
              <w:rPr>
                <w:rFonts w:ascii="Arial" w:hAnsi="Arial" w:cs="Arial"/>
                <w:color w:val="000000"/>
                <w:sz w:val="20"/>
              </w:rPr>
              <w:t>03</w:t>
            </w:r>
          </w:p>
        </w:tc>
        <w:tc>
          <w:tcPr>
            <w:tcW w:w="953" w:type="dxa"/>
            <w:tcBorders>
              <w:left w:val="single" w:sz="12" w:space="0" w:color="auto"/>
              <w:right w:val="single" w:sz="12" w:space="0" w:color="auto"/>
            </w:tcBorders>
          </w:tcPr>
          <w:p w14:paraId="2C5E2095"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109.498</w:t>
            </w:r>
          </w:p>
        </w:tc>
        <w:tc>
          <w:tcPr>
            <w:tcW w:w="854" w:type="dxa"/>
            <w:tcBorders>
              <w:left w:val="single" w:sz="12" w:space="0" w:color="auto"/>
              <w:right w:val="single" w:sz="12" w:space="0" w:color="auto"/>
            </w:tcBorders>
            <w:shd w:val="pct10" w:color="auto" w:fill="auto"/>
          </w:tcPr>
          <w:p w14:paraId="3214CAF9"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37,635</w:t>
            </w:r>
          </w:p>
        </w:tc>
        <w:tc>
          <w:tcPr>
            <w:tcW w:w="854" w:type="dxa"/>
            <w:tcBorders>
              <w:left w:val="single" w:sz="12" w:space="0" w:color="auto"/>
              <w:right w:val="single" w:sz="12" w:space="0" w:color="auto"/>
            </w:tcBorders>
          </w:tcPr>
          <w:p w14:paraId="62BB79F0"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31,068</w:t>
            </w:r>
          </w:p>
        </w:tc>
        <w:tc>
          <w:tcPr>
            <w:tcW w:w="828" w:type="dxa"/>
            <w:tcBorders>
              <w:left w:val="single" w:sz="12" w:space="0" w:color="auto"/>
              <w:right w:val="single" w:sz="12" w:space="0" w:color="auto"/>
            </w:tcBorders>
          </w:tcPr>
          <w:p w14:paraId="4D41D0F7"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2,293</w:t>
            </w:r>
          </w:p>
        </w:tc>
        <w:tc>
          <w:tcPr>
            <w:tcW w:w="854" w:type="dxa"/>
            <w:tcBorders>
              <w:left w:val="single" w:sz="12" w:space="0" w:color="auto"/>
              <w:right w:val="single" w:sz="12" w:space="0" w:color="auto"/>
            </w:tcBorders>
          </w:tcPr>
          <w:p w14:paraId="70FA7955"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13,442</w:t>
            </w:r>
          </w:p>
        </w:tc>
        <w:tc>
          <w:tcPr>
            <w:tcW w:w="839" w:type="dxa"/>
            <w:tcBorders>
              <w:left w:val="single" w:sz="12" w:space="0" w:color="auto"/>
              <w:right w:val="single" w:sz="12" w:space="0" w:color="auto"/>
            </w:tcBorders>
          </w:tcPr>
          <w:p w14:paraId="540D9768"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741</w:t>
            </w:r>
          </w:p>
        </w:tc>
        <w:tc>
          <w:tcPr>
            <w:tcW w:w="828" w:type="dxa"/>
            <w:tcBorders>
              <w:left w:val="single" w:sz="12" w:space="0" w:color="auto"/>
              <w:right w:val="single" w:sz="12" w:space="0" w:color="auto"/>
            </w:tcBorders>
          </w:tcPr>
          <w:p w14:paraId="28764F6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2,124</w:t>
            </w:r>
          </w:p>
        </w:tc>
        <w:tc>
          <w:tcPr>
            <w:tcW w:w="727" w:type="dxa"/>
            <w:tcBorders>
              <w:left w:val="single" w:sz="12" w:space="0" w:color="auto"/>
              <w:right w:val="single" w:sz="12" w:space="0" w:color="auto"/>
            </w:tcBorders>
          </w:tcPr>
          <w:p w14:paraId="5DD17F28"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1,554</w:t>
            </w:r>
          </w:p>
        </w:tc>
        <w:tc>
          <w:tcPr>
            <w:tcW w:w="952" w:type="dxa"/>
            <w:tcBorders>
              <w:left w:val="single" w:sz="12" w:space="0" w:color="auto"/>
            </w:tcBorders>
          </w:tcPr>
          <w:p w14:paraId="4907FFB7"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198,255</w:t>
            </w:r>
          </w:p>
        </w:tc>
      </w:tr>
      <w:tr w:rsidR="00166488" w:rsidRPr="00785E1A" w14:paraId="21BB779C"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74830B1F"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2003-</w:t>
            </w:r>
            <w:r w:rsidR="00013EC4" w:rsidRPr="00785E1A">
              <w:rPr>
                <w:rFonts w:ascii="Arial" w:hAnsi="Arial" w:cs="Arial"/>
                <w:color w:val="000000"/>
                <w:sz w:val="20"/>
              </w:rPr>
              <w:t>04</w:t>
            </w:r>
          </w:p>
        </w:tc>
        <w:tc>
          <w:tcPr>
            <w:tcW w:w="953" w:type="dxa"/>
            <w:tcBorders>
              <w:left w:val="single" w:sz="12" w:space="0" w:color="auto"/>
              <w:right w:val="single" w:sz="12" w:space="0" w:color="auto"/>
            </w:tcBorders>
          </w:tcPr>
          <w:p w14:paraId="624E8837"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115,541</w:t>
            </w:r>
          </w:p>
        </w:tc>
        <w:tc>
          <w:tcPr>
            <w:tcW w:w="854" w:type="dxa"/>
            <w:tcBorders>
              <w:left w:val="single" w:sz="12" w:space="0" w:color="auto"/>
              <w:right w:val="single" w:sz="12" w:space="0" w:color="auto"/>
            </w:tcBorders>
            <w:shd w:val="pct10" w:color="auto" w:fill="auto"/>
          </w:tcPr>
          <w:p w14:paraId="79CC8BCE"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36,956</w:t>
            </w:r>
          </w:p>
        </w:tc>
        <w:tc>
          <w:tcPr>
            <w:tcW w:w="854" w:type="dxa"/>
            <w:tcBorders>
              <w:left w:val="single" w:sz="12" w:space="0" w:color="auto"/>
              <w:right w:val="single" w:sz="12" w:space="0" w:color="auto"/>
            </w:tcBorders>
          </w:tcPr>
          <w:p w14:paraId="371C5845"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35,023</w:t>
            </w:r>
          </w:p>
        </w:tc>
        <w:tc>
          <w:tcPr>
            <w:tcW w:w="828" w:type="dxa"/>
            <w:tcBorders>
              <w:left w:val="single" w:sz="12" w:space="0" w:color="auto"/>
              <w:right w:val="single" w:sz="12" w:space="0" w:color="auto"/>
            </w:tcBorders>
          </w:tcPr>
          <w:p w14:paraId="55732169"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2,417</w:t>
            </w:r>
          </w:p>
        </w:tc>
        <w:tc>
          <w:tcPr>
            <w:tcW w:w="854" w:type="dxa"/>
            <w:tcBorders>
              <w:left w:val="single" w:sz="12" w:space="0" w:color="auto"/>
              <w:right w:val="single" w:sz="12" w:space="0" w:color="auto"/>
            </w:tcBorders>
          </w:tcPr>
          <w:p w14:paraId="3CD5AAE3"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14,917</w:t>
            </w:r>
          </w:p>
        </w:tc>
        <w:tc>
          <w:tcPr>
            <w:tcW w:w="839" w:type="dxa"/>
            <w:tcBorders>
              <w:left w:val="single" w:sz="12" w:space="0" w:color="auto"/>
              <w:right w:val="single" w:sz="12" w:space="0" w:color="auto"/>
            </w:tcBorders>
          </w:tcPr>
          <w:p w14:paraId="6C0995F6"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7,248</w:t>
            </w:r>
          </w:p>
        </w:tc>
        <w:tc>
          <w:tcPr>
            <w:tcW w:w="828" w:type="dxa"/>
            <w:tcBorders>
              <w:left w:val="single" w:sz="12" w:space="0" w:color="auto"/>
              <w:right w:val="single" w:sz="12" w:space="0" w:color="auto"/>
            </w:tcBorders>
          </w:tcPr>
          <w:p w14:paraId="46CAF3D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5,325</w:t>
            </w:r>
          </w:p>
        </w:tc>
        <w:tc>
          <w:tcPr>
            <w:tcW w:w="727" w:type="dxa"/>
            <w:tcBorders>
              <w:left w:val="single" w:sz="12" w:space="0" w:color="auto"/>
              <w:right w:val="single" w:sz="12" w:space="0" w:color="auto"/>
            </w:tcBorders>
          </w:tcPr>
          <w:p w14:paraId="72F9EB3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1,957</w:t>
            </w:r>
          </w:p>
        </w:tc>
        <w:tc>
          <w:tcPr>
            <w:tcW w:w="952" w:type="dxa"/>
            <w:tcBorders>
              <w:left w:val="single" w:sz="12" w:space="0" w:color="auto"/>
            </w:tcBorders>
          </w:tcPr>
          <w:p w14:paraId="78C1112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219,384</w:t>
            </w:r>
          </w:p>
        </w:tc>
      </w:tr>
      <w:tr w:rsidR="00166488" w:rsidRPr="00785E1A" w14:paraId="4682C0BD"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2FE853F2"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2004-</w:t>
            </w:r>
            <w:r w:rsidR="00013EC4" w:rsidRPr="00785E1A">
              <w:rPr>
                <w:rFonts w:ascii="Arial" w:hAnsi="Arial" w:cs="Arial"/>
                <w:color w:val="000000"/>
                <w:sz w:val="20"/>
              </w:rPr>
              <w:t>05</w:t>
            </w:r>
          </w:p>
        </w:tc>
        <w:tc>
          <w:tcPr>
            <w:tcW w:w="953" w:type="dxa"/>
            <w:tcBorders>
              <w:left w:val="single" w:sz="12" w:space="0" w:color="auto"/>
              <w:bottom w:val="single" w:sz="4" w:space="0" w:color="auto"/>
              <w:right w:val="single" w:sz="12" w:space="0" w:color="auto"/>
            </w:tcBorders>
          </w:tcPr>
          <w:p w14:paraId="7EE92E32"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133,636</w:t>
            </w:r>
          </w:p>
        </w:tc>
        <w:tc>
          <w:tcPr>
            <w:tcW w:w="854" w:type="dxa"/>
            <w:tcBorders>
              <w:left w:val="single" w:sz="12" w:space="0" w:color="auto"/>
              <w:bottom w:val="single" w:sz="4" w:space="0" w:color="auto"/>
              <w:right w:val="single" w:sz="12" w:space="0" w:color="auto"/>
            </w:tcBorders>
            <w:shd w:val="pct10" w:color="auto" w:fill="auto"/>
          </w:tcPr>
          <w:p w14:paraId="529E38B6"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37,523</w:t>
            </w:r>
          </w:p>
        </w:tc>
        <w:tc>
          <w:tcPr>
            <w:tcW w:w="854" w:type="dxa"/>
            <w:tcBorders>
              <w:left w:val="single" w:sz="12" w:space="0" w:color="auto"/>
              <w:bottom w:val="single" w:sz="4" w:space="0" w:color="auto"/>
              <w:right w:val="single" w:sz="12" w:space="0" w:color="auto"/>
            </w:tcBorders>
          </w:tcPr>
          <w:p w14:paraId="1AF28466"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40,829</w:t>
            </w:r>
          </w:p>
        </w:tc>
        <w:tc>
          <w:tcPr>
            <w:tcW w:w="828" w:type="dxa"/>
            <w:tcBorders>
              <w:left w:val="single" w:sz="12" w:space="0" w:color="auto"/>
              <w:bottom w:val="single" w:sz="4" w:space="0" w:color="auto"/>
              <w:right w:val="single" w:sz="12" w:space="0" w:color="auto"/>
            </w:tcBorders>
          </w:tcPr>
          <w:p w14:paraId="64CDEE35"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3,206</w:t>
            </w:r>
          </w:p>
        </w:tc>
        <w:tc>
          <w:tcPr>
            <w:tcW w:w="854" w:type="dxa"/>
            <w:tcBorders>
              <w:left w:val="single" w:sz="12" w:space="0" w:color="auto"/>
              <w:bottom w:val="single" w:sz="4" w:space="0" w:color="auto"/>
              <w:right w:val="single" w:sz="12" w:space="0" w:color="auto"/>
            </w:tcBorders>
          </w:tcPr>
          <w:p w14:paraId="4B384716"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17,473</w:t>
            </w:r>
          </w:p>
        </w:tc>
        <w:tc>
          <w:tcPr>
            <w:tcW w:w="839" w:type="dxa"/>
            <w:tcBorders>
              <w:left w:val="single" w:sz="12" w:space="0" w:color="auto"/>
              <w:bottom w:val="single" w:sz="4" w:space="0" w:color="auto"/>
              <w:right w:val="single" w:sz="12" w:space="0" w:color="auto"/>
            </w:tcBorders>
          </w:tcPr>
          <w:p w14:paraId="490BFD0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10,788</w:t>
            </w:r>
          </w:p>
        </w:tc>
        <w:tc>
          <w:tcPr>
            <w:tcW w:w="828" w:type="dxa"/>
            <w:tcBorders>
              <w:left w:val="single" w:sz="12" w:space="0" w:color="auto"/>
              <w:bottom w:val="single" w:sz="4" w:space="0" w:color="auto"/>
              <w:right w:val="single" w:sz="12" w:space="0" w:color="auto"/>
            </w:tcBorders>
          </w:tcPr>
          <w:p w14:paraId="6BF777F8"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7,275</w:t>
            </w:r>
          </w:p>
        </w:tc>
        <w:tc>
          <w:tcPr>
            <w:tcW w:w="727" w:type="dxa"/>
            <w:tcBorders>
              <w:left w:val="single" w:sz="12" w:space="0" w:color="auto"/>
              <w:bottom w:val="single" w:sz="4" w:space="0" w:color="auto"/>
              <w:right w:val="single" w:sz="12" w:space="0" w:color="auto"/>
            </w:tcBorders>
          </w:tcPr>
          <w:p w14:paraId="0FC2514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2,101</w:t>
            </w:r>
          </w:p>
        </w:tc>
        <w:tc>
          <w:tcPr>
            <w:tcW w:w="952" w:type="dxa"/>
            <w:tcBorders>
              <w:left w:val="single" w:sz="12" w:space="0" w:color="auto"/>
              <w:bottom w:val="single" w:sz="4" w:space="0" w:color="auto"/>
            </w:tcBorders>
          </w:tcPr>
          <w:p w14:paraId="2CB568D0"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252,831</w:t>
            </w:r>
          </w:p>
        </w:tc>
      </w:tr>
      <w:tr w:rsidR="00166488" w:rsidRPr="00785E1A" w14:paraId="0E8A0C9B"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2128EFF3"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2005-</w:t>
            </w:r>
            <w:r w:rsidR="00013EC4" w:rsidRPr="00785E1A">
              <w:rPr>
                <w:rFonts w:ascii="Arial" w:hAnsi="Arial" w:cs="Arial"/>
                <w:color w:val="000000"/>
                <w:sz w:val="20"/>
              </w:rPr>
              <w:t>06</w:t>
            </w:r>
          </w:p>
        </w:tc>
        <w:tc>
          <w:tcPr>
            <w:tcW w:w="953" w:type="dxa"/>
            <w:tcBorders>
              <w:top w:val="single" w:sz="4" w:space="0" w:color="auto"/>
              <w:left w:val="single" w:sz="12" w:space="0" w:color="auto"/>
              <w:bottom w:val="single" w:sz="4" w:space="0" w:color="auto"/>
              <w:right w:val="single" w:sz="12" w:space="0" w:color="auto"/>
            </w:tcBorders>
          </w:tcPr>
          <w:p w14:paraId="3A89F639"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152,806</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59B7C458"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37,987</w:t>
            </w:r>
          </w:p>
        </w:tc>
        <w:tc>
          <w:tcPr>
            <w:tcW w:w="854" w:type="dxa"/>
            <w:tcBorders>
              <w:top w:val="single" w:sz="4" w:space="0" w:color="auto"/>
              <w:left w:val="single" w:sz="12" w:space="0" w:color="auto"/>
              <w:bottom w:val="single" w:sz="4" w:space="0" w:color="auto"/>
              <w:right w:val="single" w:sz="12" w:space="0" w:color="auto"/>
            </w:tcBorders>
          </w:tcPr>
          <w:p w14:paraId="79F4436D"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33,612</w:t>
            </w:r>
          </w:p>
        </w:tc>
        <w:tc>
          <w:tcPr>
            <w:tcW w:w="828" w:type="dxa"/>
            <w:tcBorders>
              <w:top w:val="single" w:sz="4" w:space="0" w:color="auto"/>
              <w:left w:val="single" w:sz="12" w:space="0" w:color="auto"/>
              <w:bottom w:val="single" w:sz="4" w:space="0" w:color="auto"/>
              <w:right w:val="single" w:sz="12" w:space="0" w:color="auto"/>
            </w:tcBorders>
          </w:tcPr>
          <w:p w14:paraId="2ACB962C"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3,315</w:t>
            </w:r>
          </w:p>
        </w:tc>
        <w:tc>
          <w:tcPr>
            <w:tcW w:w="854" w:type="dxa"/>
            <w:tcBorders>
              <w:top w:val="single" w:sz="4" w:space="0" w:color="auto"/>
              <w:left w:val="single" w:sz="12" w:space="0" w:color="auto"/>
              <w:bottom w:val="single" w:sz="4" w:space="0" w:color="auto"/>
              <w:right w:val="single" w:sz="12" w:space="0" w:color="auto"/>
            </w:tcBorders>
          </w:tcPr>
          <w:p w14:paraId="5F4CED46"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15,069</w:t>
            </w:r>
          </w:p>
        </w:tc>
        <w:tc>
          <w:tcPr>
            <w:tcW w:w="839" w:type="dxa"/>
            <w:tcBorders>
              <w:top w:val="single" w:sz="4" w:space="0" w:color="auto"/>
              <w:left w:val="single" w:sz="12" w:space="0" w:color="auto"/>
              <w:bottom w:val="single" w:sz="4" w:space="0" w:color="auto"/>
              <w:right w:val="single" w:sz="12" w:space="0" w:color="auto"/>
            </w:tcBorders>
          </w:tcPr>
          <w:p w14:paraId="253787B9"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13,029</w:t>
            </w:r>
          </w:p>
        </w:tc>
        <w:tc>
          <w:tcPr>
            <w:tcW w:w="828" w:type="dxa"/>
            <w:tcBorders>
              <w:top w:val="single" w:sz="4" w:space="0" w:color="auto"/>
              <w:left w:val="single" w:sz="12" w:space="0" w:color="auto"/>
              <w:bottom w:val="single" w:sz="4" w:space="0" w:color="auto"/>
              <w:right w:val="single" w:sz="12" w:space="0" w:color="auto"/>
            </w:tcBorders>
          </w:tcPr>
          <w:p w14:paraId="5E5E9042"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8,064</w:t>
            </w:r>
          </w:p>
        </w:tc>
        <w:tc>
          <w:tcPr>
            <w:tcW w:w="727" w:type="dxa"/>
            <w:tcBorders>
              <w:top w:val="single" w:sz="4" w:space="0" w:color="auto"/>
              <w:left w:val="single" w:sz="12" w:space="0" w:color="auto"/>
              <w:bottom w:val="single" w:sz="4" w:space="0" w:color="auto"/>
              <w:right w:val="single" w:sz="12" w:space="0" w:color="auto"/>
            </w:tcBorders>
          </w:tcPr>
          <w:p w14:paraId="6CD11BD3"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2,863</w:t>
            </w:r>
          </w:p>
        </w:tc>
        <w:tc>
          <w:tcPr>
            <w:tcW w:w="952" w:type="dxa"/>
            <w:tcBorders>
              <w:top w:val="single" w:sz="4" w:space="0" w:color="auto"/>
              <w:left w:val="single" w:sz="12" w:space="0" w:color="auto"/>
              <w:bottom w:val="single" w:sz="4" w:space="0" w:color="auto"/>
            </w:tcBorders>
          </w:tcPr>
          <w:p w14:paraId="2D25646A"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266,745</w:t>
            </w:r>
          </w:p>
        </w:tc>
      </w:tr>
      <w:tr w:rsidR="00E14F02" w:rsidRPr="00785E1A" w14:paraId="63509981"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61123E78" w14:textId="77777777" w:rsidR="00E14F02" w:rsidRPr="00785E1A" w:rsidRDefault="00DB2806" w:rsidP="00013EC4">
            <w:pPr>
              <w:jc w:val="center"/>
              <w:rPr>
                <w:rFonts w:ascii="Arial" w:hAnsi="Arial" w:cs="Arial"/>
                <w:color w:val="000000"/>
                <w:sz w:val="20"/>
              </w:rPr>
            </w:pPr>
            <w:r w:rsidRPr="00785E1A">
              <w:rPr>
                <w:rFonts w:ascii="Arial" w:hAnsi="Arial" w:cs="Arial"/>
                <w:color w:val="000000"/>
                <w:sz w:val="20"/>
              </w:rPr>
              <w:t>2006-</w:t>
            </w:r>
            <w:r w:rsidR="00E14F02" w:rsidRPr="00785E1A">
              <w:rPr>
                <w:rFonts w:ascii="Arial" w:hAnsi="Arial" w:cs="Arial"/>
                <w:color w:val="000000"/>
                <w:sz w:val="20"/>
              </w:rPr>
              <w:t>07</w:t>
            </w:r>
          </w:p>
        </w:tc>
        <w:tc>
          <w:tcPr>
            <w:tcW w:w="953" w:type="dxa"/>
            <w:tcBorders>
              <w:top w:val="single" w:sz="4" w:space="0" w:color="auto"/>
              <w:left w:val="single" w:sz="12" w:space="0" w:color="auto"/>
              <w:bottom w:val="single" w:sz="4" w:space="0" w:color="auto"/>
              <w:right w:val="single" w:sz="12" w:space="0" w:color="auto"/>
            </w:tcBorders>
          </w:tcPr>
          <w:p w14:paraId="13F36939"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189,928</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7C186B32"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38,675</w:t>
            </w:r>
          </w:p>
        </w:tc>
        <w:tc>
          <w:tcPr>
            <w:tcW w:w="854" w:type="dxa"/>
            <w:tcBorders>
              <w:top w:val="single" w:sz="4" w:space="0" w:color="auto"/>
              <w:left w:val="single" w:sz="12" w:space="0" w:color="auto"/>
              <w:bottom w:val="single" w:sz="4" w:space="0" w:color="auto"/>
              <w:right w:val="single" w:sz="12" w:space="0" w:color="auto"/>
            </w:tcBorders>
          </w:tcPr>
          <w:p w14:paraId="4FD565E8"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28,580</w:t>
            </w:r>
          </w:p>
        </w:tc>
        <w:tc>
          <w:tcPr>
            <w:tcW w:w="828" w:type="dxa"/>
            <w:tcBorders>
              <w:top w:val="single" w:sz="4" w:space="0" w:color="auto"/>
              <w:left w:val="single" w:sz="12" w:space="0" w:color="auto"/>
              <w:bottom w:val="single" w:sz="4" w:space="0" w:color="auto"/>
              <w:right w:val="single" w:sz="12" w:space="0" w:color="auto"/>
            </w:tcBorders>
          </w:tcPr>
          <w:p w14:paraId="48B36227"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7,700</w:t>
            </w:r>
          </w:p>
        </w:tc>
        <w:tc>
          <w:tcPr>
            <w:tcW w:w="854" w:type="dxa"/>
            <w:tcBorders>
              <w:top w:val="single" w:sz="4" w:space="0" w:color="auto"/>
              <w:left w:val="single" w:sz="12" w:space="0" w:color="auto"/>
              <w:bottom w:val="single" w:sz="4" w:space="0" w:color="auto"/>
              <w:right w:val="single" w:sz="12" w:space="0" w:color="auto"/>
            </w:tcBorders>
          </w:tcPr>
          <w:p w14:paraId="24C94916"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18,434</w:t>
            </w:r>
          </w:p>
        </w:tc>
        <w:tc>
          <w:tcPr>
            <w:tcW w:w="839" w:type="dxa"/>
            <w:tcBorders>
              <w:top w:val="single" w:sz="4" w:space="0" w:color="auto"/>
              <w:left w:val="single" w:sz="12" w:space="0" w:color="auto"/>
              <w:bottom w:val="single" w:sz="4" w:space="0" w:color="auto"/>
              <w:right w:val="single" w:sz="12" w:space="0" w:color="auto"/>
            </w:tcBorders>
          </w:tcPr>
          <w:p w14:paraId="59059F71"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14,498</w:t>
            </w:r>
          </w:p>
        </w:tc>
        <w:tc>
          <w:tcPr>
            <w:tcW w:w="828" w:type="dxa"/>
            <w:tcBorders>
              <w:top w:val="single" w:sz="4" w:space="0" w:color="auto"/>
              <w:left w:val="single" w:sz="12" w:space="0" w:color="auto"/>
              <w:bottom w:val="single" w:sz="4" w:space="0" w:color="auto"/>
              <w:right w:val="single" w:sz="12" w:space="0" w:color="auto"/>
            </w:tcBorders>
          </w:tcPr>
          <w:p w14:paraId="47C292B5"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8,710</w:t>
            </w:r>
          </w:p>
        </w:tc>
        <w:tc>
          <w:tcPr>
            <w:tcW w:w="727" w:type="dxa"/>
            <w:tcBorders>
              <w:top w:val="single" w:sz="4" w:space="0" w:color="auto"/>
              <w:left w:val="single" w:sz="12" w:space="0" w:color="auto"/>
              <w:bottom w:val="single" w:sz="4" w:space="0" w:color="auto"/>
              <w:right w:val="single" w:sz="12" w:space="0" w:color="auto"/>
            </w:tcBorders>
          </w:tcPr>
          <w:p w14:paraId="0E830FBC"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2,992</w:t>
            </w:r>
          </w:p>
        </w:tc>
        <w:tc>
          <w:tcPr>
            <w:tcW w:w="952" w:type="dxa"/>
            <w:tcBorders>
              <w:top w:val="single" w:sz="4" w:space="0" w:color="auto"/>
              <w:left w:val="single" w:sz="12" w:space="0" w:color="auto"/>
              <w:bottom w:val="single" w:sz="4" w:space="0" w:color="auto"/>
            </w:tcBorders>
          </w:tcPr>
          <w:p w14:paraId="54FF5AF0"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309,517</w:t>
            </w:r>
          </w:p>
        </w:tc>
      </w:tr>
      <w:tr w:rsidR="00181BB3" w:rsidRPr="00785E1A" w14:paraId="72718D95"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261DCE6B" w14:textId="77777777" w:rsidR="00181BB3" w:rsidRPr="00785E1A" w:rsidRDefault="00DB2806" w:rsidP="00013EC4">
            <w:pPr>
              <w:jc w:val="center"/>
              <w:rPr>
                <w:rFonts w:ascii="Arial" w:hAnsi="Arial" w:cs="Arial"/>
                <w:color w:val="000000"/>
                <w:sz w:val="20"/>
              </w:rPr>
            </w:pPr>
            <w:r w:rsidRPr="00785E1A">
              <w:rPr>
                <w:rFonts w:ascii="Arial" w:hAnsi="Arial" w:cs="Arial"/>
                <w:color w:val="000000"/>
                <w:sz w:val="20"/>
              </w:rPr>
              <w:t>2007-</w:t>
            </w:r>
            <w:r w:rsidR="00181BB3" w:rsidRPr="00785E1A">
              <w:rPr>
                <w:rFonts w:ascii="Arial" w:hAnsi="Arial" w:cs="Arial"/>
                <w:color w:val="000000"/>
                <w:sz w:val="20"/>
              </w:rPr>
              <w:t>08</w:t>
            </w:r>
          </w:p>
        </w:tc>
        <w:tc>
          <w:tcPr>
            <w:tcW w:w="953" w:type="dxa"/>
            <w:tcBorders>
              <w:top w:val="single" w:sz="4" w:space="0" w:color="auto"/>
              <w:left w:val="single" w:sz="12" w:space="0" w:color="auto"/>
              <w:right w:val="single" w:sz="12" w:space="0" w:color="auto"/>
            </w:tcBorders>
          </w:tcPr>
          <w:p w14:paraId="6084AF91"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195,599</w:t>
            </w:r>
          </w:p>
        </w:tc>
        <w:tc>
          <w:tcPr>
            <w:tcW w:w="854" w:type="dxa"/>
            <w:tcBorders>
              <w:top w:val="single" w:sz="4" w:space="0" w:color="auto"/>
              <w:left w:val="single" w:sz="12" w:space="0" w:color="auto"/>
              <w:right w:val="single" w:sz="12" w:space="0" w:color="auto"/>
            </w:tcBorders>
            <w:shd w:val="pct10" w:color="auto" w:fill="auto"/>
          </w:tcPr>
          <w:p w14:paraId="5D503F91"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41,607</w:t>
            </w:r>
          </w:p>
        </w:tc>
        <w:tc>
          <w:tcPr>
            <w:tcW w:w="854" w:type="dxa"/>
            <w:tcBorders>
              <w:top w:val="single" w:sz="4" w:space="0" w:color="auto"/>
              <w:left w:val="single" w:sz="12" w:space="0" w:color="auto"/>
              <w:right w:val="single" w:sz="12" w:space="0" w:color="auto"/>
            </w:tcBorders>
          </w:tcPr>
          <w:p w14:paraId="6AA37B1C"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25,003</w:t>
            </w:r>
          </w:p>
        </w:tc>
        <w:tc>
          <w:tcPr>
            <w:tcW w:w="828" w:type="dxa"/>
            <w:tcBorders>
              <w:top w:val="single" w:sz="4" w:space="0" w:color="auto"/>
              <w:left w:val="single" w:sz="12" w:space="0" w:color="auto"/>
              <w:right w:val="single" w:sz="12" w:space="0" w:color="auto"/>
            </w:tcBorders>
          </w:tcPr>
          <w:p w14:paraId="1CB6CE6B"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8,977</w:t>
            </w:r>
          </w:p>
        </w:tc>
        <w:tc>
          <w:tcPr>
            <w:tcW w:w="854" w:type="dxa"/>
            <w:tcBorders>
              <w:top w:val="single" w:sz="4" w:space="0" w:color="auto"/>
              <w:left w:val="single" w:sz="12" w:space="0" w:color="auto"/>
              <w:right w:val="single" w:sz="12" w:space="0" w:color="auto"/>
            </w:tcBorders>
          </w:tcPr>
          <w:p w14:paraId="2C19B245"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20,847</w:t>
            </w:r>
          </w:p>
        </w:tc>
        <w:tc>
          <w:tcPr>
            <w:tcW w:w="839" w:type="dxa"/>
            <w:tcBorders>
              <w:top w:val="single" w:sz="4" w:space="0" w:color="auto"/>
              <w:left w:val="single" w:sz="12" w:space="0" w:color="auto"/>
              <w:right w:val="single" w:sz="12" w:space="0" w:color="auto"/>
            </w:tcBorders>
          </w:tcPr>
          <w:p w14:paraId="70D8BAE9"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12,863</w:t>
            </w:r>
          </w:p>
        </w:tc>
        <w:tc>
          <w:tcPr>
            <w:tcW w:w="828" w:type="dxa"/>
            <w:tcBorders>
              <w:top w:val="single" w:sz="4" w:space="0" w:color="auto"/>
              <w:left w:val="single" w:sz="12" w:space="0" w:color="auto"/>
              <w:right w:val="single" w:sz="12" w:space="0" w:color="auto"/>
            </w:tcBorders>
          </w:tcPr>
          <w:p w14:paraId="45875F2D"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8,970</w:t>
            </w:r>
          </w:p>
        </w:tc>
        <w:tc>
          <w:tcPr>
            <w:tcW w:w="727" w:type="dxa"/>
            <w:tcBorders>
              <w:top w:val="single" w:sz="4" w:space="0" w:color="auto"/>
              <w:left w:val="single" w:sz="12" w:space="0" w:color="auto"/>
              <w:right w:val="single" w:sz="12" w:space="0" w:color="auto"/>
            </w:tcBorders>
          </w:tcPr>
          <w:p w14:paraId="755B15CA"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3,660</w:t>
            </w:r>
          </w:p>
        </w:tc>
        <w:tc>
          <w:tcPr>
            <w:tcW w:w="952" w:type="dxa"/>
            <w:tcBorders>
              <w:top w:val="single" w:sz="4" w:space="0" w:color="auto"/>
              <w:left w:val="single" w:sz="12" w:space="0" w:color="auto"/>
            </w:tcBorders>
          </w:tcPr>
          <w:p w14:paraId="425FDB6C"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317,526</w:t>
            </w:r>
          </w:p>
        </w:tc>
      </w:tr>
      <w:tr w:rsidR="00BE411C" w:rsidRPr="00785E1A" w14:paraId="2C7027A2"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095174AF"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2008-</w:t>
            </w:r>
            <w:r w:rsidR="00BE411C" w:rsidRPr="00785E1A">
              <w:rPr>
                <w:rFonts w:ascii="Arial" w:hAnsi="Arial" w:cs="Arial"/>
                <w:color w:val="000000"/>
                <w:sz w:val="20"/>
              </w:rPr>
              <w:t>09</w:t>
            </w:r>
          </w:p>
        </w:tc>
        <w:tc>
          <w:tcPr>
            <w:tcW w:w="953" w:type="dxa"/>
            <w:tcBorders>
              <w:left w:val="single" w:sz="12" w:space="0" w:color="auto"/>
              <w:right w:val="single" w:sz="12" w:space="0" w:color="auto"/>
            </w:tcBorders>
          </w:tcPr>
          <w:p w14:paraId="14F61240"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213,686</w:t>
            </w:r>
          </w:p>
        </w:tc>
        <w:tc>
          <w:tcPr>
            <w:tcW w:w="854" w:type="dxa"/>
            <w:tcBorders>
              <w:left w:val="single" w:sz="12" w:space="0" w:color="auto"/>
              <w:right w:val="single" w:sz="12" w:space="0" w:color="auto"/>
            </w:tcBorders>
            <w:shd w:val="pct10" w:color="auto" w:fill="auto"/>
          </w:tcPr>
          <w:p w14:paraId="3F26EF53"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42,851</w:t>
            </w:r>
          </w:p>
        </w:tc>
        <w:tc>
          <w:tcPr>
            <w:tcW w:w="854" w:type="dxa"/>
            <w:tcBorders>
              <w:left w:val="single" w:sz="12" w:space="0" w:color="auto"/>
              <w:right w:val="single" w:sz="12" w:space="0" w:color="auto"/>
            </w:tcBorders>
          </w:tcPr>
          <w:p w14:paraId="53B82755"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23,408</w:t>
            </w:r>
          </w:p>
        </w:tc>
        <w:tc>
          <w:tcPr>
            <w:tcW w:w="828" w:type="dxa"/>
            <w:tcBorders>
              <w:left w:val="single" w:sz="12" w:space="0" w:color="auto"/>
              <w:right w:val="single" w:sz="12" w:space="0" w:color="auto"/>
            </w:tcBorders>
          </w:tcPr>
          <w:p w14:paraId="5AC9BC19"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10,159</w:t>
            </w:r>
          </w:p>
        </w:tc>
        <w:tc>
          <w:tcPr>
            <w:tcW w:w="854" w:type="dxa"/>
            <w:tcBorders>
              <w:left w:val="single" w:sz="12" w:space="0" w:color="auto"/>
              <w:right w:val="single" w:sz="12" w:space="0" w:color="auto"/>
            </w:tcBorders>
          </w:tcPr>
          <w:p w14:paraId="0841EB38"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23,221</w:t>
            </w:r>
          </w:p>
        </w:tc>
        <w:tc>
          <w:tcPr>
            <w:tcW w:w="839" w:type="dxa"/>
            <w:tcBorders>
              <w:left w:val="single" w:sz="12" w:space="0" w:color="auto"/>
              <w:right w:val="single" w:sz="12" w:space="0" w:color="auto"/>
            </w:tcBorders>
          </w:tcPr>
          <w:p w14:paraId="63E9788A"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10,345</w:t>
            </w:r>
          </w:p>
        </w:tc>
        <w:tc>
          <w:tcPr>
            <w:tcW w:w="828" w:type="dxa"/>
            <w:tcBorders>
              <w:left w:val="single" w:sz="12" w:space="0" w:color="auto"/>
              <w:right w:val="single" w:sz="12" w:space="0" w:color="auto"/>
            </w:tcBorders>
          </w:tcPr>
          <w:p w14:paraId="0EC244F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9,595</w:t>
            </w:r>
          </w:p>
        </w:tc>
        <w:tc>
          <w:tcPr>
            <w:tcW w:w="727" w:type="dxa"/>
            <w:tcBorders>
              <w:left w:val="single" w:sz="12" w:space="0" w:color="auto"/>
              <w:right w:val="single" w:sz="12" w:space="0" w:color="auto"/>
            </w:tcBorders>
          </w:tcPr>
          <w:p w14:paraId="4DDD653E"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6,189</w:t>
            </w:r>
          </w:p>
        </w:tc>
        <w:tc>
          <w:tcPr>
            <w:tcW w:w="952" w:type="dxa"/>
            <w:tcBorders>
              <w:left w:val="single" w:sz="12" w:space="0" w:color="auto"/>
            </w:tcBorders>
          </w:tcPr>
          <w:p w14:paraId="4181D25E"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339,454</w:t>
            </w:r>
          </w:p>
        </w:tc>
      </w:tr>
      <w:tr w:rsidR="00BE411C" w:rsidRPr="00785E1A" w14:paraId="7C3F192F" w14:textId="77777777" w:rsidTr="00C650FB">
        <w:trPr>
          <w:jc w:val="center"/>
        </w:trPr>
        <w:tc>
          <w:tcPr>
            <w:tcW w:w="1100" w:type="dxa"/>
            <w:tcBorders>
              <w:top w:val="single" w:sz="4" w:space="0" w:color="auto"/>
              <w:left w:val="single" w:sz="12" w:space="0" w:color="auto"/>
              <w:bottom w:val="single" w:sz="4" w:space="0" w:color="auto"/>
              <w:right w:val="single" w:sz="12" w:space="0" w:color="auto"/>
            </w:tcBorders>
          </w:tcPr>
          <w:p w14:paraId="65AD3044"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2009-</w:t>
            </w:r>
            <w:r w:rsidR="00BE411C" w:rsidRPr="00785E1A">
              <w:rPr>
                <w:rFonts w:ascii="Arial" w:hAnsi="Arial" w:cs="Arial"/>
                <w:color w:val="000000"/>
                <w:sz w:val="20"/>
              </w:rPr>
              <w:t>10</w:t>
            </w:r>
          </w:p>
        </w:tc>
        <w:tc>
          <w:tcPr>
            <w:tcW w:w="953" w:type="dxa"/>
            <w:tcBorders>
              <w:left w:val="single" w:sz="12" w:space="0" w:color="auto"/>
              <w:bottom w:val="single" w:sz="4" w:space="0" w:color="auto"/>
              <w:right w:val="single" w:sz="12" w:space="0" w:color="auto"/>
            </w:tcBorders>
          </w:tcPr>
          <w:p w14:paraId="4021864E"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156,465</w:t>
            </w:r>
          </w:p>
        </w:tc>
        <w:tc>
          <w:tcPr>
            <w:tcW w:w="854" w:type="dxa"/>
            <w:tcBorders>
              <w:left w:val="single" w:sz="12" w:space="0" w:color="auto"/>
              <w:bottom w:val="single" w:sz="4" w:space="0" w:color="auto"/>
              <w:right w:val="single" w:sz="12" w:space="0" w:color="auto"/>
            </w:tcBorders>
            <w:shd w:val="pct10" w:color="auto" w:fill="auto"/>
          </w:tcPr>
          <w:p w14:paraId="612A43D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48,369</w:t>
            </w:r>
          </w:p>
        </w:tc>
        <w:tc>
          <w:tcPr>
            <w:tcW w:w="854" w:type="dxa"/>
            <w:tcBorders>
              <w:left w:val="single" w:sz="12" w:space="0" w:color="auto"/>
              <w:bottom w:val="single" w:sz="4" w:space="0" w:color="auto"/>
              <w:right w:val="single" w:sz="12" w:space="0" w:color="auto"/>
            </w:tcBorders>
          </w:tcPr>
          <w:p w14:paraId="2D7A53D9"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21,885</w:t>
            </w:r>
          </w:p>
        </w:tc>
        <w:tc>
          <w:tcPr>
            <w:tcW w:w="828" w:type="dxa"/>
            <w:tcBorders>
              <w:left w:val="single" w:sz="12" w:space="0" w:color="auto"/>
              <w:bottom w:val="single" w:sz="4" w:space="0" w:color="auto"/>
              <w:right w:val="single" w:sz="12" w:space="0" w:color="auto"/>
            </w:tcBorders>
          </w:tcPr>
          <w:p w14:paraId="48EF6826"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12,160</w:t>
            </w:r>
          </w:p>
        </w:tc>
        <w:tc>
          <w:tcPr>
            <w:tcW w:w="854" w:type="dxa"/>
            <w:tcBorders>
              <w:left w:val="single" w:sz="12" w:space="0" w:color="auto"/>
              <w:bottom w:val="single" w:sz="4" w:space="0" w:color="auto"/>
              <w:right w:val="single" w:sz="12" w:space="0" w:color="auto"/>
            </w:tcBorders>
          </w:tcPr>
          <w:p w14:paraId="237B5C1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20,298</w:t>
            </w:r>
          </w:p>
        </w:tc>
        <w:tc>
          <w:tcPr>
            <w:tcW w:w="839" w:type="dxa"/>
            <w:tcBorders>
              <w:left w:val="single" w:sz="12" w:space="0" w:color="auto"/>
              <w:bottom w:val="single" w:sz="4" w:space="0" w:color="auto"/>
              <w:right w:val="single" w:sz="12" w:space="0" w:color="auto"/>
            </w:tcBorders>
          </w:tcPr>
          <w:p w14:paraId="4E898400"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9,895</w:t>
            </w:r>
          </w:p>
        </w:tc>
        <w:tc>
          <w:tcPr>
            <w:tcW w:w="828" w:type="dxa"/>
            <w:tcBorders>
              <w:left w:val="single" w:sz="12" w:space="0" w:color="auto"/>
              <w:bottom w:val="single" w:sz="4" w:space="0" w:color="auto"/>
              <w:right w:val="single" w:sz="12" w:space="0" w:color="auto"/>
            </w:tcBorders>
          </w:tcPr>
          <w:p w14:paraId="0C99C813"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10,780</w:t>
            </w:r>
          </w:p>
        </w:tc>
        <w:tc>
          <w:tcPr>
            <w:tcW w:w="727" w:type="dxa"/>
            <w:tcBorders>
              <w:left w:val="single" w:sz="12" w:space="0" w:color="auto"/>
              <w:bottom w:val="single" w:sz="4" w:space="0" w:color="auto"/>
              <w:right w:val="single" w:sz="12" w:space="0" w:color="auto"/>
            </w:tcBorders>
          </w:tcPr>
          <w:p w14:paraId="029D2CB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6,585</w:t>
            </w:r>
          </w:p>
        </w:tc>
        <w:tc>
          <w:tcPr>
            <w:tcW w:w="952" w:type="dxa"/>
            <w:tcBorders>
              <w:left w:val="single" w:sz="12" w:space="0" w:color="auto"/>
              <w:bottom w:val="single" w:sz="4" w:space="0" w:color="auto"/>
            </w:tcBorders>
          </w:tcPr>
          <w:p w14:paraId="62CA0C19"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286,437</w:t>
            </w:r>
          </w:p>
        </w:tc>
      </w:tr>
      <w:tr w:rsidR="005D4FF3" w:rsidRPr="00CB73D1" w14:paraId="31C66A88" w14:textId="77777777" w:rsidTr="00151F5D">
        <w:trPr>
          <w:jc w:val="center"/>
        </w:trPr>
        <w:tc>
          <w:tcPr>
            <w:tcW w:w="1100" w:type="dxa"/>
            <w:tcBorders>
              <w:top w:val="single" w:sz="4" w:space="0" w:color="auto"/>
              <w:left w:val="single" w:sz="12" w:space="0" w:color="auto"/>
              <w:bottom w:val="single" w:sz="4" w:space="0" w:color="auto"/>
              <w:right w:val="single" w:sz="12" w:space="0" w:color="auto"/>
            </w:tcBorders>
          </w:tcPr>
          <w:p w14:paraId="1BB62BD1"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2010-11</w:t>
            </w:r>
          </w:p>
        </w:tc>
        <w:tc>
          <w:tcPr>
            <w:tcW w:w="953" w:type="dxa"/>
            <w:tcBorders>
              <w:top w:val="single" w:sz="4" w:space="0" w:color="auto"/>
              <w:left w:val="single" w:sz="12" w:space="0" w:color="auto"/>
              <w:bottom w:val="single" w:sz="4" w:space="0" w:color="auto"/>
              <w:right w:val="single" w:sz="12" w:space="0" w:color="auto"/>
            </w:tcBorders>
          </w:tcPr>
          <w:p w14:paraId="36BBC1A0"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98,845</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5BFFE2A7"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55,718</w:t>
            </w:r>
          </w:p>
        </w:tc>
        <w:tc>
          <w:tcPr>
            <w:tcW w:w="854" w:type="dxa"/>
            <w:tcBorders>
              <w:top w:val="single" w:sz="4" w:space="0" w:color="auto"/>
              <w:left w:val="single" w:sz="12" w:space="0" w:color="auto"/>
              <w:bottom w:val="single" w:sz="4" w:space="0" w:color="auto"/>
              <w:right w:val="single" w:sz="12" w:space="0" w:color="auto"/>
            </w:tcBorders>
          </w:tcPr>
          <w:p w14:paraId="02A6FE1C"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21,655</w:t>
            </w:r>
          </w:p>
        </w:tc>
        <w:tc>
          <w:tcPr>
            <w:tcW w:w="828" w:type="dxa"/>
            <w:tcBorders>
              <w:top w:val="single" w:sz="4" w:space="0" w:color="auto"/>
              <w:left w:val="single" w:sz="12" w:space="0" w:color="auto"/>
              <w:bottom w:val="single" w:sz="4" w:space="0" w:color="auto"/>
              <w:right w:val="single" w:sz="12" w:space="0" w:color="auto"/>
            </w:tcBorders>
          </w:tcPr>
          <w:p w14:paraId="5B6F18B0"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10,976</w:t>
            </w:r>
          </w:p>
        </w:tc>
        <w:tc>
          <w:tcPr>
            <w:tcW w:w="854" w:type="dxa"/>
            <w:tcBorders>
              <w:top w:val="single" w:sz="4" w:space="0" w:color="auto"/>
              <w:left w:val="single" w:sz="12" w:space="0" w:color="auto"/>
              <w:bottom w:val="single" w:sz="4" w:space="0" w:color="auto"/>
              <w:right w:val="single" w:sz="12" w:space="0" w:color="auto"/>
            </w:tcBorders>
          </w:tcPr>
          <w:p w14:paraId="501311B3"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21,145</w:t>
            </w:r>
          </w:p>
        </w:tc>
        <w:tc>
          <w:tcPr>
            <w:tcW w:w="839" w:type="dxa"/>
            <w:tcBorders>
              <w:top w:val="single" w:sz="4" w:space="0" w:color="auto"/>
              <w:left w:val="single" w:sz="12" w:space="0" w:color="auto"/>
              <w:bottom w:val="single" w:sz="4" w:space="0" w:color="auto"/>
              <w:right w:val="single" w:sz="12" w:space="0" w:color="auto"/>
            </w:tcBorders>
          </w:tcPr>
          <w:p w14:paraId="069AD0E1"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10,689</w:t>
            </w:r>
          </w:p>
        </w:tc>
        <w:tc>
          <w:tcPr>
            <w:tcW w:w="828" w:type="dxa"/>
            <w:tcBorders>
              <w:top w:val="single" w:sz="4" w:space="0" w:color="auto"/>
              <w:left w:val="single" w:sz="12" w:space="0" w:color="auto"/>
              <w:bottom w:val="single" w:sz="4" w:space="0" w:color="auto"/>
              <w:right w:val="single" w:sz="12" w:space="0" w:color="auto"/>
            </w:tcBorders>
          </w:tcPr>
          <w:p w14:paraId="7C4BFAD6"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11,712</w:t>
            </w:r>
          </w:p>
        </w:tc>
        <w:tc>
          <w:tcPr>
            <w:tcW w:w="727" w:type="dxa"/>
            <w:tcBorders>
              <w:top w:val="single" w:sz="4" w:space="0" w:color="auto"/>
              <w:left w:val="single" w:sz="12" w:space="0" w:color="auto"/>
              <w:bottom w:val="single" w:sz="4" w:space="0" w:color="auto"/>
              <w:right w:val="single" w:sz="12" w:space="0" w:color="auto"/>
            </w:tcBorders>
          </w:tcPr>
          <w:p w14:paraId="09E2DF4D"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6,533</w:t>
            </w:r>
          </w:p>
        </w:tc>
        <w:tc>
          <w:tcPr>
            <w:tcW w:w="952" w:type="dxa"/>
            <w:tcBorders>
              <w:top w:val="single" w:sz="4" w:space="0" w:color="auto"/>
              <w:left w:val="single" w:sz="12" w:space="0" w:color="auto"/>
              <w:bottom w:val="single" w:sz="4" w:space="0" w:color="auto"/>
            </w:tcBorders>
          </w:tcPr>
          <w:p w14:paraId="5F9D54AD"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237,273</w:t>
            </w:r>
          </w:p>
        </w:tc>
      </w:tr>
      <w:tr w:rsidR="00151F5D" w:rsidRPr="003D5DFA" w14:paraId="10DC41E9" w14:textId="77777777" w:rsidTr="00492F82">
        <w:trPr>
          <w:jc w:val="center"/>
        </w:trPr>
        <w:tc>
          <w:tcPr>
            <w:tcW w:w="1100" w:type="dxa"/>
            <w:tcBorders>
              <w:top w:val="single" w:sz="4" w:space="0" w:color="auto"/>
              <w:left w:val="single" w:sz="12" w:space="0" w:color="auto"/>
              <w:bottom w:val="single" w:sz="4" w:space="0" w:color="auto"/>
              <w:right w:val="single" w:sz="12" w:space="0" w:color="auto"/>
            </w:tcBorders>
          </w:tcPr>
          <w:p w14:paraId="23F1BCA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2011-12</w:t>
            </w:r>
          </w:p>
        </w:tc>
        <w:tc>
          <w:tcPr>
            <w:tcW w:w="953" w:type="dxa"/>
            <w:tcBorders>
              <w:top w:val="single" w:sz="4" w:space="0" w:color="auto"/>
              <w:left w:val="single" w:sz="12" w:space="0" w:color="auto"/>
              <w:bottom w:val="single" w:sz="4" w:space="0" w:color="auto"/>
              <w:right w:val="single" w:sz="12" w:space="0" w:color="auto"/>
            </w:tcBorders>
          </w:tcPr>
          <w:p w14:paraId="0BDEEC99"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99,283</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02275738"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63,830</w:t>
            </w:r>
          </w:p>
        </w:tc>
        <w:tc>
          <w:tcPr>
            <w:tcW w:w="854" w:type="dxa"/>
            <w:tcBorders>
              <w:top w:val="single" w:sz="4" w:space="0" w:color="auto"/>
              <w:left w:val="single" w:sz="12" w:space="0" w:color="auto"/>
              <w:bottom w:val="single" w:sz="4" w:space="0" w:color="auto"/>
              <w:right w:val="single" w:sz="12" w:space="0" w:color="auto"/>
            </w:tcBorders>
          </w:tcPr>
          <w:p w14:paraId="3A49A43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24,823</w:t>
            </w:r>
          </w:p>
        </w:tc>
        <w:tc>
          <w:tcPr>
            <w:tcW w:w="828" w:type="dxa"/>
            <w:tcBorders>
              <w:top w:val="single" w:sz="4" w:space="0" w:color="auto"/>
              <w:left w:val="single" w:sz="12" w:space="0" w:color="auto"/>
              <w:bottom w:val="single" w:sz="4" w:space="0" w:color="auto"/>
              <w:right w:val="single" w:sz="12" w:space="0" w:color="auto"/>
            </w:tcBorders>
          </w:tcPr>
          <w:p w14:paraId="362D6D2F"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13,745</w:t>
            </w:r>
          </w:p>
        </w:tc>
        <w:tc>
          <w:tcPr>
            <w:tcW w:w="854" w:type="dxa"/>
            <w:tcBorders>
              <w:top w:val="single" w:sz="4" w:space="0" w:color="auto"/>
              <w:left w:val="single" w:sz="12" w:space="0" w:color="auto"/>
              <w:bottom w:val="single" w:sz="4" w:space="0" w:color="auto"/>
              <w:right w:val="single" w:sz="12" w:space="0" w:color="auto"/>
            </w:tcBorders>
          </w:tcPr>
          <w:p w14:paraId="07C26C1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19,056</w:t>
            </w:r>
          </w:p>
        </w:tc>
        <w:tc>
          <w:tcPr>
            <w:tcW w:w="839" w:type="dxa"/>
            <w:tcBorders>
              <w:top w:val="single" w:sz="4" w:space="0" w:color="auto"/>
              <w:left w:val="single" w:sz="12" w:space="0" w:color="auto"/>
              <w:bottom w:val="single" w:sz="4" w:space="0" w:color="auto"/>
              <w:right w:val="single" w:sz="12" w:space="0" w:color="auto"/>
            </w:tcBorders>
          </w:tcPr>
          <w:p w14:paraId="48B92A7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11,836</w:t>
            </w:r>
          </w:p>
        </w:tc>
        <w:tc>
          <w:tcPr>
            <w:tcW w:w="828" w:type="dxa"/>
            <w:tcBorders>
              <w:top w:val="single" w:sz="4" w:space="0" w:color="auto"/>
              <w:left w:val="single" w:sz="12" w:space="0" w:color="auto"/>
              <w:bottom w:val="single" w:sz="4" w:space="0" w:color="auto"/>
              <w:right w:val="single" w:sz="12" w:space="0" w:color="auto"/>
            </w:tcBorders>
          </w:tcPr>
          <w:p w14:paraId="029EB9A0"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12,419</w:t>
            </w:r>
          </w:p>
        </w:tc>
        <w:tc>
          <w:tcPr>
            <w:tcW w:w="727" w:type="dxa"/>
            <w:tcBorders>
              <w:top w:val="single" w:sz="4" w:space="0" w:color="auto"/>
              <w:left w:val="single" w:sz="12" w:space="0" w:color="auto"/>
              <w:bottom w:val="single" w:sz="4" w:space="0" w:color="auto"/>
              <w:right w:val="single" w:sz="12" w:space="0" w:color="auto"/>
            </w:tcBorders>
          </w:tcPr>
          <w:p w14:paraId="1E43F0EA"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7,970</w:t>
            </w:r>
          </w:p>
        </w:tc>
        <w:tc>
          <w:tcPr>
            <w:tcW w:w="952" w:type="dxa"/>
            <w:tcBorders>
              <w:top w:val="single" w:sz="4" w:space="0" w:color="auto"/>
              <w:left w:val="single" w:sz="12" w:space="0" w:color="auto"/>
              <w:bottom w:val="single" w:sz="4" w:space="0" w:color="auto"/>
            </w:tcBorders>
          </w:tcPr>
          <w:p w14:paraId="2F7E06EB"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252,962</w:t>
            </w:r>
          </w:p>
        </w:tc>
      </w:tr>
      <w:tr w:rsidR="00492F82" w:rsidRPr="003D5DFA" w14:paraId="37A93857" w14:textId="77777777" w:rsidTr="00B00042">
        <w:trPr>
          <w:jc w:val="center"/>
        </w:trPr>
        <w:tc>
          <w:tcPr>
            <w:tcW w:w="1100" w:type="dxa"/>
            <w:tcBorders>
              <w:top w:val="single" w:sz="4" w:space="0" w:color="auto"/>
              <w:left w:val="single" w:sz="12" w:space="0" w:color="auto"/>
              <w:bottom w:val="single" w:sz="4" w:space="0" w:color="auto"/>
              <w:right w:val="single" w:sz="12" w:space="0" w:color="auto"/>
            </w:tcBorders>
          </w:tcPr>
          <w:p w14:paraId="6CD947A2" w14:textId="77777777" w:rsidR="00492F82" w:rsidRPr="003D5DFA" w:rsidRDefault="00492F82" w:rsidP="005D1B82">
            <w:pPr>
              <w:jc w:val="center"/>
              <w:rPr>
                <w:rFonts w:ascii="Arial" w:hAnsi="Arial" w:cs="Arial"/>
                <w:color w:val="000000"/>
                <w:sz w:val="20"/>
              </w:rPr>
            </w:pPr>
            <w:r>
              <w:rPr>
                <w:rFonts w:ascii="Arial" w:hAnsi="Arial" w:cs="Arial"/>
                <w:color w:val="000000"/>
                <w:sz w:val="20"/>
              </w:rPr>
              <w:t>2012-13</w:t>
            </w:r>
          </w:p>
        </w:tc>
        <w:tc>
          <w:tcPr>
            <w:tcW w:w="953" w:type="dxa"/>
            <w:tcBorders>
              <w:top w:val="single" w:sz="4" w:space="0" w:color="auto"/>
              <w:left w:val="single" w:sz="12" w:space="0" w:color="auto"/>
              <w:bottom w:val="single" w:sz="4" w:space="0" w:color="auto"/>
              <w:right w:val="single" w:sz="12" w:space="0" w:color="auto"/>
            </w:tcBorders>
          </w:tcPr>
          <w:p w14:paraId="669DF056" w14:textId="77777777" w:rsidR="00492F82" w:rsidRPr="003D5DFA" w:rsidRDefault="00921BCD" w:rsidP="005D1B82">
            <w:pPr>
              <w:jc w:val="center"/>
              <w:rPr>
                <w:rFonts w:ascii="Arial" w:hAnsi="Arial" w:cs="Arial"/>
                <w:color w:val="000000"/>
                <w:sz w:val="20"/>
              </w:rPr>
            </w:pPr>
            <w:r>
              <w:rPr>
                <w:rFonts w:ascii="Arial" w:hAnsi="Arial" w:cs="Arial"/>
                <w:color w:val="000000"/>
                <w:sz w:val="20"/>
              </w:rPr>
              <w:t>104,817</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5419EF07" w14:textId="77777777" w:rsidR="00492F82" w:rsidRPr="003D5DFA" w:rsidRDefault="00921BCD" w:rsidP="005D1B82">
            <w:pPr>
              <w:jc w:val="center"/>
              <w:rPr>
                <w:rFonts w:ascii="Arial" w:hAnsi="Arial" w:cs="Arial"/>
                <w:color w:val="000000"/>
                <w:sz w:val="20"/>
              </w:rPr>
            </w:pPr>
            <w:r>
              <w:rPr>
                <w:rFonts w:ascii="Arial" w:hAnsi="Arial" w:cs="Arial"/>
                <w:color w:val="000000"/>
                <w:sz w:val="20"/>
              </w:rPr>
              <w:t>73,265</w:t>
            </w:r>
          </w:p>
        </w:tc>
        <w:tc>
          <w:tcPr>
            <w:tcW w:w="854" w:type="dxa"/>
            <w:tcBorders>
              <w:top w:val="single" w:sz="4" w:space="0" w:color="auto"/>
              <w:left w:val="single" w:sz="12" w:space="0" w:color="auto"/>
              <w:bottom w:val="single" w:sz="4" w:space="0" w:color="auto"/>
              <w:right w:val="single" w:sz="12" w:space="0" w:color="auto"/>
            </w:tcBorders>
          </w:tcPr>
          <w:p w14:paraId="01F3CCF1" w14:textId="77777777" w:rsidR="00492F82" w:rsidRPr="003D5DFA" w:rsidRDefault="00921BCD" w:rsidP="005D1B82">
            <w:pPr>
              <w:jc w:val="center"/>
              <w:rPr>
                <w:rFonts w:ascii="Arial" w:hAnsi="Arial" w:cs="Arial"/>
                <w:color w:val="000000"/>
                <w:sz w:val="20"/>
              </w:rPr>
            </w:pPr>
            <w:r>
              <w:rPr>
                <w:rFonts w:ascii="Arial" w:hAnsi="Arial" w:cs="Arial"/>
                <w:color w:val="000000"/>
                <w:sz w:val="20"/>
              </w:rPr>
              <w:t>24,763</w:t>
            </w:r>
          </w:p>
        </w:tc>
        <w:tc>
          <w:tcPr>
            <w:tcW w:w="828" w:type="dxa"/>
            <w:tcBorders>
              <w:top w:val="single" w:sz="4" w:space="0" w:color="auto"/>
              <w:left w:val="single" w:sz="12" w:space="0" w:color="auto"/>
              <w:bottom w:val="single" w:sz="4" w:space="0" w:color="auto"/>
              <w:right w:val="single" w:sz="12" w:space="0" w:color="auto"/>
            </w:tcBorders>
          </w:tcPr>
          <w:p w14:paraId="0109F486" w14:textId="77777777" w:rsidR="00492F82" w:rsidRPr="003D5DFA" w:rsidRDefault="00921BCD" w:rsidP="005D1B82">
            <w:pPr>
              <w:jc w:val="center"/>
              <w:rPr>
                <w:rFonts w:ascii="Arial" w:hAnsi="Arial" w:cs="Arial"/>
                <w:color w:val="000000"/>
                <w:sz w:val="20"/>
              </w:rPr>
            </w:pPr>
            <w:r>
              <w:rPr>
                <w:rFonts w:ascii="Arial" w:hAnsi="Arial" w:cs="Arial"/>
                <w:color w:val="000000"/>
                <w:sz w:val="20"/>
              </w:rPr>
              <w:t>15,201</w:t>
            </w:r>
          </w:p>
        </w:tc>
        <w:tc>
          <w:tcPr>
            <w:tcW w:w="854" w:type="dxa"/>
            <w:tcBorders>
              <w:top w:val="single" w:sz="4" w:space="0" w:color="auto"/>
              <w:left w:val="single" w:sz="12" w:space="0" w:color="auto"/>
              <w:bottom w:val="single" w:sz="4" w:space="0" w:color="auto"/>
              <w:right w:val="single" w:sz="12" w:space="0" w:color="auto"/>
            </w:tcBorders>
          </w:tcPr>
          <w:p w14:paraId="75F66A48" w14:textId="77777777" w:rsidR="00492F82" w:rsidRPr="003D5DFA" w:rsidRDefault="00921BCD" w:rsidP="005D1B82">
            <w:pPr>
              <w:jc w:val="center"/>
              <w:rPr>
                <w:rFonts w:ascii="Arial" w:hAnsi="Arial" w:cs="Arial"/>
                <w:color w:val="000000"/>
                <w:sz w:val="20"/>
              </w:rPr>
            </w:pPr>
            <w:r>
              <w:rPr>
                <w:rFonts w:ascii="Arial" w:hAnsi="Arial" w:cs="Arial"/>
                <w:color w:val="000000"/>
                <w:sz w:val="20"/>
              </w:rPr>
              <w:t>19,120</w:t>
            </w:r>
          </w:p>
        </w:tc>
        <w:tc>
          <w:tcPr>
            <w:tcW w:w="839" w:type="dxa"/>
            <w:tcBorders>
              <w:top w:val="single" w:sz="4" w:space="0" w:color="auto"/>
              <w:left w:val="single" w:sz="12" w:space="0" w:color="auto"/>
              <w:bottom w:val="single" w:sz="4" w:space="0" w:color="auto"/>
              <w:right w:val="single" w:sz="12" w:space="0" w:color="auto"/>
            </w:tcBorders>
          </w:tcPr>
          <w:p w14:paraId="09584670" w14:textId="77777777" w:rsidR="00492F82" w:rsidRPr="003D5DFA" w:rsidRDefault="00921BCD" w:rsidP="005D1B82">
            <w:pPr>
              <w:jc w:val="center"/>
              <w:rPr>
                <w:rFonts w:ascii="Arial" w:hAnsi="Arial" w:cs="Arial"/>
                <w:color w:val="000000"/>
                <w:sz w:val="20"/>
              </w:rPr>
            </w:pPr>
            <w:r>
              <w:rPr>
                <w:rFonts w:ascii="Arial" w:hAnsi="Arial" w:cs="Arial"/>
                <w:color w:val="000000"/>
                <w:sz w:val="20"/>
              </w:rPr>
              <w:t>12,311</w:t>
            </w:r>
          </w:p>
        </w:tc>
        <w:tc>
          <w:tcPr>
            <w:tcW w:w="828" w:type="dxa"/>
            <w:tcBorders>
              <w:top w:val="single" w:sz="4" w:space="0" w:color="auto"/>
              <w:left w:val="single" w:sz="12" w:space="0" w:color="auto"/>
              <w:bottom w:val="single" w:sz="4" w:space="0" w:color="auto"/>
              <w:right w:val="single" w:sz="12" w:space="0" w:color="auto"/>
            </w:tcBorders>
          </w:tcPr>
          <w:p w14:paraId="1A92E7EB" w14:textId="77777777" w:rsidR="00492F82" w:rsidRPr="003D5DFA" w:rsidRDefault="00921BCD" w:rsidP="005D1B82">
            <w:pPr>
              <w:jc w:val="center"/>
              <w:rPr>
                <w:rFonts w:ascii="Arial" w:hAnsi="Arial" w:cs="Arial"/>
                <w:color w:val="000000"/>
                <w:sz w:val="20"/>
              </w:rPr>
            </w:pPr>
            <w:r>
              <w:rPr>
                <w:rFonts w:ascii="Arial" w:hAnsi="Arial" w:cs="Arial"/>
                <w:color w:val="000000"/>
                <w:sz w:val="20"/>
              </w:rPr>
              <w:t>13,518</w:t>
            </w:r>
          </w:p>
        </w:tc>
        <w:tc>
          <w:tcPr>
            <w:tcW w:w="727" w:type="dxa"/>
            <w:tcBorders>
              <w:top w:val="single" w:sz="4" w:space="0" w:color="auto"/>
              <w:left w:val="single" w:sz="12" w:space="0" w:color="auto"/>
              <w:bottom w:val="single" w:sz="4" w:space="0" w:color="auto"/>
              <w:right w:val="single" w:sz="12" w:space="0" w:color="auto"/>
            </w:tcBorders>
          </w:tcPr>
          <w:p w14:paraId="10D7E2D0" w14:textId="77777777" w:rsidR="00492F82" w:rsidRPr="003D5DFA" w:rsidRDefault="00921BCD" w:rsidP="005D1B82">
            <w:pPr>
              <w:jc w:val="center"/>
              <w:rPr>
                <w:rFonts w:ascii="Arial" w:hAnsi="Arial" w:cs="Arial"/>
                <w:color w:val="000000"/>
                <w:sz w:val="20"/>
              </w:rPr>
            </w:pPr>
            <w:r>
              <w:rPr>
                <w:rFonts w:ascii="Arial" w:hAnsi="Arial" w:cs="Arial"/>
                <w:color w:val="000000"/>
                <w:sz w:val="20"/>
              </w:rPr>
              <w:t>9,985</w:t>
            </w:r>
          </w:p>
        </w:tc>
        <w:tc>
          <w:tcPr>
            <w:tcW w:w="952" w:type="dxa"/>
            <w:tcBorders>
              <w:top w:val="single" w:sz="4" w:space="0" w:color="auto"/>
              <w:left w:val="single" w:sz="12" w:space="0" w:color="auto"/>
              <w:bottom w:val="single" w:sz="4" w:space="0" w:color="auto"/>
            </w:tcBorders>
          </w:tcPr>
          <w:p w14:paraId="45250121" w14:textId="77777777" w:rsidR="00492F82" w:rsidRPr="003D5DFA" w:rsidRDefault="00921BCD" w:rsidP="005D1B82">
            <w:pPr>
              <w:jc w:val="center"/>
              <w:rPr>
                <w:rFonts w:ascii="Arial" w:hAnsi="Arial" w:cs="Arial"/>
                <w:color w:val="000000"/>
                <w:sz w:val="20"/>
              </w:rPr>
            </w:pPr>
            <w:r>
              <w:rPr>
                <w:rFonts w:ascii="Arial" w:hAnsi="Arial" w:cs="Arial"/>
                <w:color w:val="000000"/>
                <w:sz w:val="20"/>
              </w:rPr>
              <w:t>272,980</w:t>
            </w:r>
          </w:p>
        </w:tc>
      </w:tr>
      <w:tr w:rsidR="00B00042" w:rsidRPr="003D5DFA" w14:paraId="78F8B6AA" w14:textId="77777777" w:rsidTr="00C650FB">
        <w:trPr>
          <w:jc w:val="center"/>
        </w:trPr>
        <w:tc>
          <w:tcPr>
            <w:tcW w:w="1100" w:type="dxa"/>
            <w:tcBorders>
              <w:top w:val="single" w:sz="4" w:space="0" w:color="auto"/>
              <w:left w:val="single" w:sz="12" w:space="0" w:color="auto"/>
              <w:bottom w:val="single" w:sz="18" w:space="0" w:color="auto"/>
              <w:right w:val="single" w:sz="12" w:space="0" w:color="auto"/>
            </w:tcBorders>
          </w:tcPr>
          <w:p w14:paraId="71E323EA" w14:textId="77777777" w:rsidR="00B00042" w:rsidRDefault="00B00042" w:rsidP="005D1B82">
            <w:pPr>
              <w:jc w:val="center"/>
              <w:rPr>
                <w:rFonts w:ascii="Arial" w:hAnsi="Arial" w:cs="Arial"/>
                <w:color w:val="000000"/>
                <w:sz w:val="20"/>
              </w:rPr>
            </w:pPr>
            <w:r>
              <w:rPr>
                <w:rFonts w:ascii="Arial" w:hAnsi="Arial" w:cs="Arial"/>
                <w:color w:val="000000"/>
                <w:sz w:val="20"/>
              </w:rPr>
              <w:t>2013-14</w:t>
            </w:r>
          </w:p>
        </w:tc>
        <w:tc>
          <w:tcPr>
            <w:tcW w:w="953" w:type="dxa"/>
            <w:tcBorders>
              <w:top w:val="single" w:sz="4" w:space="0" w:color="auto"/>
              <w:left w:val="single" w:sz="12" w:space="0" w:color="auto"/>
              <w:bottom w:val="single" w:sz="18" w:space="0" w:color="auto"/>
              <w:right w:val="single" w:sz="12" w:space="0" w:color="auto"/>
            </w:tcBorders>
          </w:tcPr>
          <w:p w14:paraId="31E5BEB2" w14:textId="77777777" w:rsidR="00B00042" w:rsidRDefault="00B00042" w:rsidP="005D1B82">
            <w:pPr>
              <w:jc w:val="center"/>
              <w:rPr>
                <w:rFonts w:ascii="Arial" w:hAnsi="Arial" w:cs="Arial"/>
                <w:color w:val="000000"/>
                <w:sz w:val="20"/>
              </w:rPr>
            </w:pPr>
            <w:r>
              <w:rPr>
                <w:rFonts w:ascii="Arial" w:hAnsi="Arial" w:cs="Arial"/>
                <w:color w:val="000000"/>
                <w:sz w:val="20"/>
              </w:rPr>
              <w:t>125,994</w:t>
            </w:r>
          </w:p>
        </w:tc>
        <w:tc>
          <w:tcPr>
            <w:tcW w:w="854" w:type="dxa"/>
            <w:tcBorders>
              <w:top w:val="single" w:sz="4" w:space="0" w:color="auto"/>
              <w:left w:val="single" w:sz="12" w:space="0" w:color="auto"/>
              <w:bottom w:val="single" w:sz="18" w:space="0" w:color="auto"/>
              <w:right w:val="single" w:sz="12" w:space="0" w:color="auto"/>
            </w:tcBorders>
            <w:shd w:val="pct10" w:color="auto" w:fill="auto"/>
          </w:tcPr>
          <w:p w14:paraId="55D181B6" w14:textId="77777777" w:rsidR="00B00042" w:rsidRDefault="00B00042" w:rsidP="005D1B82">
            <w:pPr>
              <w:jc w:val="center"/>
              <w:rPr>
                <w:rFonts w:ascii="Arial" w:hAnsi="Arial" w:cs="Arial"/>
                <w:color w:val="000000"/>
                <w:sz w:val="20"/>
              </w:rPr>
            </w:pPr>
            <w:r>
              <w:rPr>
                <w:rFonts w:ascii="Arial" w:hAnsi="Arial" w:cs="Arial"/>
                <w:color w:val="000000"/>
                <w:sz w:val="20"/>
              </w:rPr>
              <w:t>82,056</w:t>
            </w:r>
          </w:p>
        </w:tc>
        <w:tc>
          <w:tcPr>
            <w:tcW w:w="854" w:type="dxa"/>
            <w:tcBorders>
              <w:top w:val="single" w:sz="4" w:space="0" w:color="auto"/>
              <w:left w:val="single" w:sz="12" w:space="0" w:color="auto"/>
              <w:bottom w:val="single" w:sz="18" w:space="0" w:color="auto"/>
              <w:right w:val="single" w:sz="12" w:space="0" w:color="auto"/>
            </w:tcBorders>
          </w:tcPr>
          <w:p w14:paraId="616A1528" w14:textId="77777777" w:rsidR="00B00042" w:rsidRDefault="00B00042" w:rsidP="005D1B82">
            <w:pPr>
              <w:jc w:val="center"/>
              <w:rPr>
                <w:rFonts w:ascii="Arial" w:hAnsi="Arial" w:cs="Arial"/>
                <w:color w:val="000000"/>
                <w:sz w:val="20"/>
              </w:rPr>
            </w:pPr>
            <w:r>
              <w:rPr>
                <w:rFonts w:ascii="Arial" w:hAnsi="Arial" w:cs="Arial"/>
                <w:color w:val="000000"/>
                <w:sz w:val="20"/>
              </w:rPr>
              <w:t>23,256</w:t>
            </w:r>
          </w:p>
        </w:tc>
        <w:tc>
          <w:tcPr>
            <w:tcW w:w="828" w:type="dxa"/>
            <w:tcBorders>
              <w:top w:val="single" w:sz="4" w:space="0" w:color="auto"/>
              <w:left w:val="single" w:sz="12" w:space="0" w:color="auto"/>
              <w:bottom w:val="single" w:sz="18" w:space="0" w:color="auto"/>
              <w:right w:val="single" w:sz="12" w:space="0" w:color="auto"/>
            </w:tcBorders>
          </w:tcPr>
          <w:p w14:paraId="3DBA8AE7" w14:textId="77777777" w:rsidR="00B00042" w:rsidRDefault="00B00042" w:rsidP="005D1B82">
            <w:pPr>
              <w:jc w:val="center"/>
              <w:rPr>
                <w:rFonts w:ascii="Arial" w:hAnsi="Arial" w:cs="Arial"/>
                <w:color w:val="000000"/>
                <w:sz w:val="20"/>
              </w:rPr>
            </w:pPr>
            <w:r>
              <w:rPr>
                <w:rFonts w:ascii="Arial" w:hAnsi="Arial" w:cs="Arial"/>
                <w:color w:val="000000"/>
                <w:sz w:val="20"/>
              </w:rPr>
              <w:t>16,801</w:t>
            </w:r>
          </w:p>
        </w:tc>
        <w:tc>
          <w:tcPr>
            <w:tcW w:w="854" w:type="dxa"/>
            <w:tcBorders>
              <w:top w:val="single" w:sz="4" w:space="0" w:color="auto"/>
              <w:left w:val="single" w:sz="12" w:space="0" w:color="auto"/>
              <w:bottom w:val="single" w:sz="18" w:space="0" w:color="auto"/>
              <w:right w:val="single" w:sz="12" w:space="0" w:color="auto"/>
            </w:tcBorders>
          </w:tcPr>
          <w:p w14:paraId="386FA4EC" w14:textId="77777777" w:rsidR="00B00042" w:rsidRDefault="00B00042" w:rsidP="005D1B82">
            <w:pPr>
              <w:jc w:val="center"/>
              <w:rPr>
                <w:rFonts w:ascii="Arial" w:hAnsi="Arial" w:cs="Arial"/>
                <w:color w:val="000000"/>
                <w:sz w:val="20"/>
              </w:rPr>
            </w:pPr>
            <w:r>
              <w:rPr>
                <w:rFonts w:ascii="Arial" w:hAnsi="Arial" w:cs="Arial"/>
                <w:color w:val="000000"/>
                <w:sz w:val="20"/>
              </w:rPr>
              <w:t>19,578</w:t>
            </w:r>
          </w:p>
        </w:tc>
        <w:tc>
          <w:tcPr>
            <w:tcW w:w="839" w:type="dxa"/>
            <w:tcBorders>
              <w:top w:val="single" w:sz="4" w:space="0" w:color="auto"/>
              <w:left w:val="single" w:sz="12" w:space="0" w:color="auto"/>
              <w:bottom w:val="single" w:sz="18" w:space="0" w:color="auto"/>
              <w:right w:val="single" w:sz="12" w:space="0" w:color="auto"/>
            </w:tcBorders>
          </w:tcPr>
          <w:p w14:paraId="2E16C5E1" w14:textId="77777777" w:rsidR="00B00042" w:rsidRDefault="00B00042" w:rsidP="005D1B82">
            <w:pPr>
              <w:jc w:val="center"/>
              <w:rPr>
                <w:rFonts w:ascii="Arial" w:hAnsi="Arial" w:cs="Arial"/>
                <w:color w:val="000000"/>
                <w:sz w:val="20"/>
              </w:rPr>
            </w:pPr>
            <w:r>
              <w:rPr>
                <w:rFonts w:ascii="Arial" w:hAnsi="Arial" w:cs="Arial"/>
                <w:color w:val="000000"/>
                <w:sz w:val="20"/>
              </w:rPr>
              <w:t>12,862</w:t>
            </w:r>
          </w:p>
        </w:tc>
        <w:tc>
          <w:tcPr>
            <w:tcW w:w="828" w:type="dxa"/>
            <w:tcBorders>
              <w:top w:val="single" w:sz="4" w:space="0" w:color="auto"/>
              <w:left w:val="single" w:sz="12" w:space="0" w:color="auto"/>
              <w:bottom w:val="single" w:sz="18" w:space="0" w:color="auto"/>
              <w:right w:val="single" w:sz="12" w:space="0" w:color="auto"/>
            </w:tcBorders>
          </w:tcPr>
          <w:p w14:paraId="3AB221E7" w14:textId="77777777" w:rsidR="00B00042" w:rsidRDefault="00B00042" w:rsidP="005D1B82">
            <w:pPr>
              <w:jc w:val="center"/>
              <w:rPr>
                <w:rFonts w:ascii="Arial" w:hAnsi="Arial" w:cs="Arial"/>
                <w:color w:val="000000"/>
                <w:sz w:val="20"/>
              </w:rPr>
            </w:pPr>
            <w:r>
              <w:rPr>
                <w:rFonts w:ascii="Arial" w:hAnsi="Arial" w:cs="Arial"/>
                <w:color w:val="000000"/>
                <w:sz w:val="20"/>
              </w:rPr>
              <w:t>10,600</w:t>
            </w:r>
          </w:p>
        </w:tc>
        <w:tc>
          <w:tcPr>
            <w:tcW w:w="727" w:type="dxa"/>
            <w:tcBorders>
              <w:top w:val="single" w:sz="4" w:space="0" w:color="auto"/>
              <w:left w:val="single" w:sz="12" w:space="0" w:color="auto"/>
              <w:bottom w:val="single" w:sz="18" w:space="0" w:color="auto"/>
              <w:right w:val="single" w:sz="12" w:space="0" w:color="auto"/>
            </w:tcBorders>
          </w:tcPr>
          <w:p w14:paraId="5ECB7A9A" w14:textId="77777777" w:rsidR="00B00042" w:rsidRDefault="00B00042" w:rsidP="005D1B82">
            <w:pPr>
              <w:jc w:val="center"/>
              <w:rPr>
                <w:rFonts w:ascii="Arial" w:hAnsi="Arial" w:cs="Arial"/>
                <w:color w:val="000000"/>
                <w:sz w:val="20"/>
              </w:rPr>
            </w:pPr>
            <w:r>
              <w:rPr>
                <w:rFonts w:ascii="Arial" w:hAnsi="Arial" w:cs="Arial"/>
                <w:color w:val="000000"/>
                <w:sz w:val="20"/>
              </w:rPr>
              <w:t>12,950</w:t>
            </w:r>
          </w:p>
        </w:tc>
        <w:tc>
          <w:tcPr>
            <w:tcW w:w="952" w:type="dxa"/>
            <w:tcBorders>
              <w:top w:val="single" w:sz="4" w:space="0" w:color="auto"/>
              <w:left w:val="single" w:sz="12" w:space="0" w:color="auto"/>
              <w:bottom w:val="single" w:sz="18" w:space="0" w:color="auto"/>
            </w:tcBorders>
          </w:tcPr>
          <w:p w14:paraId="3F2B3E10" w14:textId="77777777" w:rsidR="00B00042" w:rsidRDefault="00B00042" w:rsidP="005D1B82">
            <w:pPr>
              <w:jc w:val="center"/>
              <w:rPr>
                <w:rFonts w:ascii="Arial" w:hAnsi="Arial" w:cs="Arial"/>
                <w:color w:val="000000"/>
                <w:sz w:val="20"/>
              </w:rPr>
            </w:pPr>
            <w:r>
              <w:rPr>
                <w:rFonts w:ascii="Arial" w:hAnsi="Arial" w:cs="Arial"/>
                <w:color w:val="000000"/>
                <w:sz w:val="20"/>
              </w:rPr>
              <w:t>304,097</w:t>
            </w:r>
          </w:p>
        </w:tc>
      </w:tr>
    </w:tbl>
    <w:p w14:paraId="78848334" w14:textId="77777777" w:rsidR="00013EC4" w:rsidRDefault="00013EC4" w:rsidP="009855F0">
      <w:pPr>
        <w:pStyle w:val="Heading3"/>
        <w:spacing w:line="240" w:lineRule="auto"/>
        <w:rPr>
          <w:rFonts w:ascii="Arial" w:hAnsi="Arial" w:cs="Arial"/>
          <w:bCs/>
          <w:color w:val="000000"/>
          <w:sz w:val="20"/>
          <w:lang w:val="en-US"/>
        </w:rPr>
      </w:pPr>
    </w:p>
    <w:tbl>
      <w:tblPr>
        <w:tblW w:w="878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182"/>
        <w:gridCol w:w="956"/>
        <w:gridCol w:w="860"/>
        <w:gridCol w:w="860"/>
        <w:gridCol w:w="816"/>
        <w:gridCol w:w="860"/>
        <w:gridCol w:w="842"/>
        <w:gridCol w:w="729"/>
        <w:gridCol w:w="729"/>
        <w:gridCol w:w="955"/>
      </w:tblGrid>
      <w:tr w:rsidR="00A23E26" w:rsidRPr="00785E1A" w14:paraId="367FA720" w14:textId="77777777" w:rsidTr="00281D46">
        <w:trPr>
          <w:jc w:val="center"/>
        </w:trPr>
        <w:tc>
          <w:tcPr>
            <w:tcW w:w="8789" w:type="dxa"/>
            <w:gridSpan w:val="10"/>
            <w:tcBorders>
              <w:top w:val="single" w:sz="12" w:space="0" w:color="auto"/>
              <w:left w:val="single" w:sz="12" w:space="0" w:color="auto"/>
              <w:bottom w:val="single" w:sz="4" w:space="0" w:color="auto"/>
            </w:tcBorders>
            <w:shd w:val="pct10" w:color="auto" w:fill="auto"/>
          </w:tcPr>
          <w:p w14:paraId="0EAA4E04"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 xml:space="preserve">SUBSTANTIATED </w:t>
            </w:r>
            <w:r w:rsidR="00281D46" w:rsidRPr="00785E1A">
              <w:rPr>
                <w:rFonts w:ascii="Arial" w:hAnsi="Arial" w:cs="Arial"/>
                <w:b/>
                <w:color w:val="000000"/>
                <w:sz w:val="20"/>
              </w:rPr>
              <w:t>NOTIFICATIONS</w:t>
            </w:r>
            <w:r w:rsidR="001B4618" w:rsidRPr="00785E1A">
              <w:rPr>
                <w:rFonts w:ascii="Arial" w:hAnsi="Arial" w:cs="Arial"/>
                <w:b/>
                <w:color w:val="000000"/>
                <w:sz w:val="20"/>
              </w:rPr>
              <w:t>/REPORTS</w:t>
            </w:r>
          </w:p>
        </w:tc>
      </w:tr>
      <w:tr w:rsidR="00A23E26" w:rsidRPr="00785E1A" w14:paraId="4CC9F384" w14:textId="77777777" w:rsidTr="00782D20">
        <w:trPr>
          <w:jc w:val="center"/>
        </w:trPr>
        <w:tc>
          <w:tcPr>
            <w:tcW w:w="1182" w:type="dxa"/>
            <w:tcBorders>
              <w:top w:val="single" w:sz="12" w:space="0" w:color="auto"/>
              <w:left w:val="single" w:sz="12" w:space="0" w:color="auto"/>
              <w:bottom w:val="single" w:sz="12" w:space="0" w:color="auto"/>
              <w:right w:val="single" w:sz="12" w:space="0" w:color="auto"/>
            </w:tcBorders>
            <w:shd w:val="pct10" w:color="auto" w:fill="auto"/>
          </w:tcPr>
          <w:p w14:paraId="5A3B4EE4"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YEAR</w:t>
            </w:r>
          </w:p>
        </w:tc>
        <w:tc>
          <w:tcPr>
            <w:tcW w:w="956" w:type="dxa"/>
            <w:tcBorders>
              <w:top w:val="single" w:sz="12" w:space="0" w:color="auto"/>
              <w:left w:val="single" w:sz="12" w:space="0" w:color="auto"/>
              <w:bottom w:val="single" w:sz="12" w:space="0" w:color="auto"/>
              <w:right w:val="single" w:sz="12" w:space="0" w:color="auto"/>
            </w:tcBorders>
            <w:shd w:val="pct10" w:color="auto" w:fill="auto"/>
          </w:tcPr>
          <w:p w14:paraId="304E599F"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NSW</w:t>
            </w:r>
          </w:p>
        </w:tc>
        <w:tc>
          <w:tcPr>
            <w:tcW w:w="860" w:type="dxa"/>
            <w:tcBorders>
              <w:top w:val="single" w:sz="12" w:space="0" w:color="auto"/>
              <w:left w:val="single" w:sz="12" w:space="0" w:color="auto"/>
              <w:bottom w:val="single" w:sz="12" w:space="0" w:color="auto"/>
              <w:right w:val="single" w:sz="12" w:space="0" w:color="auto"/>
            </w:tcBorders>
            <w:shd w:val="pct10" w:color="auto" w:fill="auto"/>
          </w:tcPr>
          <w:p w14:paraId="48D0E59A"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VIC</w:t>
            </w:r>
          </w:p>
        </w:tc>
        <w:tc>
          <w:tcPr>
            <w:tcW w:w="860" w:type="dxa"/>
            <w:tcBorders>
              <w:top w:val="single" w:sz="12" w:space="0" w:color="auto"/>
              <w:left w:val="single" w:sz="12" w:space="0" w:color="auto"/>
              <w:bottom w:val="single" w:sz="12" w:space="0" w:color="auto"/>
              <w:right w:val="single" w:sz="12" w:space="0" w:color="auto"/>
            </w:tcBorders>
            <w:shd w:val="pct10" w:color="auto" w:fill="auto"/>
          </w:tcPr>
          <w:p w14:paraId="110531AB"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QLD</w:t>
            </w:r>
          </w:p>
        </w:tc>
        <w:tc>
          <w:tcPr>
            <w:tcW w:w="816" w:type="dxa"/>
            <w:tcBorders>
              <w:top w:val="single" w:sz="12" w:space="0" w:color="auto"/>
              <w:left w:val="single" w:sz="12" w:space="0" w:color="auto"/>
              <w:bottom w:val="single" w:sz="12" w:space="0" w:color="auto"/>
              <w:right w:val="single" w:sz="12" w:space="0" w:color="auto"/>
            </w:tcBorders>
            <w:shd w:val="pct10" w:color="auto" w:fill="auto"/>
          </w:tcPr>
          <w:p w14:paraId="0F4F361B"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WA</w:t>
            </w:r>
          </w:p>
        </w:tc>
        <w:tc>
          <w:tcPr>
            <w:tcW w:w="860" w:type="dxa"/>
            <w:tcBorders>
              <w:top w:val="single" w:sz="12" w:space="0" w:color="auto"/>
              <w:left w:val="single" w:sz="12" w:space="0" w:color="auto"/>
              <w:bottom w:val="single" w:sz="12" w:space="0" w:color="auto"/>
              <w:right w:val="single" w:sz="12" w:space="0" w:color="auto"/>
            </w:tcBorders>
            <w:shd w:val="pct10" w:color="auto" w:fill="auto"/>
          </w:tcPr>
          <w:p w14:paraId="6CDB5A23"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SA</w:t>
            </w:r>
          </w:p>
        </w:tc>
        <w:tc>
          <w:tcPr>
            <w:tcW w:w="842" w:type="dxa"/>
            <w:tcBorders>
              <w:top w:val="single" w:sz="12" w:space="0" w:color="auto"/>
              <w:left w:val="single" w:sz="12" w:space="0" w:color="auto"/>
              <w:bottom w:val="single" w:sz="12" w:space="0" w:color="auto"/>
              <w:right w:val="single" w:sz="12" w:space="0" w:color="auto"/>
            </w:tcBorders>
            <w:shd w:val="pct10" w:color="auto" w:fill="auto"/>
          </w:tcPr>
          <w:p w14:paraId="361DD0A0"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TAS</w:t>
            </w:r>
          </w:p>
        </w:tc>
        <w:tc>
          <w:tcPr>
            <w:tcW w:w="729" w:type="dxa"/>
            <w:tcBorders>
              <w:top w:val="single" w:sz="12" w:space="0" w:color="auto"/>
              <w:left w:val="single" w:sz="12" w:space="0" w:color="auto"/>
              <w:bottom w:val="single" w:sz="12" w:space="0" w:color="auto"/>
              <w:right w:val="single" w:sz="12" w:space="0" w:color="auto"/>
            </w:tcBorders>
            <w:shd w:val="pct10" w:color="auto" w:fill="auto"/>
          </w:tcPr>
          <w:p w14:paraId="30D950C9"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ACT</w:t>
            </w:r>
          </w:p>
        </w:tc>
        <w:tc>
          <w:tcPr>
            <w:tcW w:w="729" w:type="dxa"/>
            <w:tcBorders>
              <w:top w:val="single" w:sz="12" w:space="0" w:color="auto"/>
              <w:left w:val="single" w:sz="12" w:space="0" w:color="auto"/>
              <w:bottom w:val="single" w:sz="12" w:space="0" w:color="auto"/>
              <w:right w:val="single" w:sz="12" w:space="0" w:color="auto"/>
            </w:tcBorders>
            <w:shd w:val="pct10" w:color="auto" w:fill="auto"/>
          </w:tcPr>
          <w:p w14:paraId="1BFCED83"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NT</w:t>
            </w:r>
          </w:p>
        </w:tc>
        <w:tc>
          <w:tcPr>
            <w:tcW w:w="955" w:type="dxa"/>
            <w:tcBorders>
              <w:top w:val="single" w:sz="12" w:space="0" w:color="auto"/>
              <w:left w:val="single" w:sz="12" w:space="0" w:color="auto"/>
              <w:bottom w:val="single" w:sz="12" w:space="0" w:color="auto"/>
            </w:tcBorders>
            <w:shd w:val="pct10" w:color="auto" w:fill="auto"/>
          </w:tcPr>
          <w:p w14:paraId="513080CC"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TOTAL</w:t>
            </w:r>
          </w:p>
        </w:tc>
      </w:tr>
      <w:tr w:rsidR="00A23E26" w:rsidRPr="00785E1A" w14:paraId="0DFCBA42" w14:textId="77777777" w:rsidTr="00782D20">
        <w:trPr>
          <w:jc w:val="center"/>
        </w:trPr>
        <w:tc>
          <w:tcPr>
            <w:tcW w:w="1182" w:type="dxa"/>
            <w:tcBorders>
              <w:top w:val="single" w:sz="4" w:space="0" w:color="auto"/>
              <w:left w:val="single" w:sz="12" w:space="0" w:color="auto"/>
              <w:bottom w:val="single" w:sz="4" w:space="0" w:color="auto"/>
              <w:right w:val="single" w:sz="12" w:space="0" w:color="auto"/>
            </w:tcBorders>
          </w:tcPr>
          <w:p w14:paraId="7A8FEDE2"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2004-2005</w:t>
            </w:r>
          </w:p>
        </w:tc>
        <w:tc>
          <w:tcPr>
            <w:tcW w:w="956" w:type="dxa"/>
            <w:tcBorders>
              <w:left w:val="single" w:sz="12" w:space="0" w:color="auto"/>
              <w:right w:val="single" w:sz="12" w:space="0" w:color="auto"/>
            </w:tcBorders>
          </w:tcPr>
          <w:p w14:paraId="7EA5FC9F"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15,493</w:t>
            </w:r>
          </w:p>
        </w:tc>
        <w:tc>
          <w:tcPr>
            <w:tcW w:w="860" w:type="dxa"/>
            <w:tcBorders>
              <w:left w:val="single" w:sz="12" w:space="0" w:color="auto"/>
              <w:right w:val="single" w:sz="12" w:space="0" w:color="auto"/>
            </w:tcBorders>
            <w:shd w:val="pct10" w:color="auto" w:fill="auto"/>
          </w:tcPr>
          <w:p w14:paraId="40D953FA"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7,398</w:t>
            </w:r>
          </w:p>
        </w:tc>
        <w:tc>
          <w:tcPr>
            <w:tcW w:w="860" w:type="dxa"/>
            <w:tcBorders>
              <w:left w:val="single" w:sz="12" w:space="0" w:color="auto"/>
              <w:right w:val="single" w:sz="12" w:space="0" w:color="auto"/>
            </w:tcBorders>
          </w:tcPr>
          <w:p w14:paraId="6C776D2B"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17,307</w:t>
            </w:r>
          </w:p>
        </w:tc>
        <w:tc>
          <w:tcPr>
            <w:tcW w:w="816" w:type="dxa"/>
            <w:tcBorders>
              <w:left w:val="single" w:sz="12" w:space="0" w:color="auto"/>
              <w:right w:val="single" w:sz="12" w:space="0" w:color="auto"/>
            </w:tcBorders>
          </w:tcPr>
          <w:p w14:paraId="3CA3F22C"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1,104</w:t>
            </w:r>
          </w:p>
        </w:tc>
        <w:tc>
          <w:tcPr>
            <w:tcW w:w="860" w:type="dxa"/>
            <w:tcBorders>
              <w:left w:val="single" w:sz="12" w:space="0" w:color="auto"/>
              <w:right w:val="single" w:sz="12" w:space="0" w:color="auto"/>
            </w:tcBorders>
          </w:tcPr>
          <w:p w14:paraId="788E5D05"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2,384</w:t>
            </w:r>
          </w:p>
        </w:tc>
        <w:tc>
          <w:tcPr>
            <w:tcW w:w="842" w:type="dxa"/>
            <w:tcBorders>
              <w:left w:val="single" w:sz="12" w:space="0" w:color="auto"/>
              <w:right w:val="single" w:sz="12" w:space="0" w:color="auto"/>
            </w:tcBorders>
          </w:tcPr>
          <w:p w14:paraId="08937D42"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782</w:t>
            </w:r>
          </w:p>
        </w:tc>
        <w:tc>
          <w:tcPr>
            <w:tcW w:w="729" w:type="dxa"/>
            <w:tcBorders>
              <w:left w:val="single" w:sz="12" w:space="0" w:color="auto"/>
              <w:right w:val="single" w:sz="12" w:space="0" w:color="auto"/>
            </w:tcBorders>
          </w:tcPr>
          <w:p w14:paraId="1D390AF2"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1,213</w:t>
            </w:r>
          </w:p>
        </w:tc>
        <w:tc>
          <w:tcPr>
            <w:tcW w:w="729" w:type="dxa"/>
            <w:tcBorders>
              <w:left w:val="single" w:sz="12" w:space="0" w:color="auto"/>
              <w:right w:val="single" w:sz="12" w:space="0" w:color="auto"/>
            </w:tcBorders>
          </w:tcPr>
          <w:p w14:paraId="3065A1B5"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473</w:t>
            </w:r>
          </w:p>
        </w:tc>
        <w:tc>
          <w:tcPr>
            <w:tcW w:w="955" w:type="dxa"/>
            <w:tcBorders>
              <w:left w:val="single" w:sz="12" w:space="0" w:color="auto"/>
            </w:tcBorders>
          </w:tcPr>
          <w:p w14:paraId="45F974A5"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46,154</w:t>
            </w:r>
          </w:p>
        </w:tc>
      </w:tr>
      <w:tr w:rsidR="00A23E26" w:rsidRPr="00785E1A" w14:paraId="7A0A2576" w14:textId="77777777" w:rsidTr="00782D20">
        <w:trPr>
          <w:jc w:val="center"/>
        </w:trPr>
        <w:tc>
          <w:tcPr>
            <w:tcW w:w="1182" w:type="dxa"/>
            <w:tcBorders>
              <w:top w:val="single" w:sz="4" w:space="0" w:color="auto"/>
              <w:left w:val="single" w:sz="12" w:space="0" w:color="auto"/>
              <w:bottom w:val="single" w:sz="4" w:space="0" w:color="auto"/>
              <w:right w:val="single" w:sz="12" w:space="0" w:color="auto"/>
            </w:tcBorders>
          </w:tcPr>
          <w:p w14:paraId="33822110"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2005-2006</w:t>
            </w:r>
          </w:p>
        </w:tc>
        <w:tc>
          <w:tcPr>
            <w:tcW w:w="956" w:type="dxa"/>
            <w:tcBorders>
              <w:left w:val="single" w:sz="12" w:space="0" w:color="auto"/>
              <w:right w:val="single" w:sz="12" w:space="0" w:color="auto"/>
            </w:tcBorders>
          </w:tcPr>
          <w:p w14:paraId="223B274D"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29,809</w:t>
            </w:r>
          </w:p>
        </w:tc>
        <w:tc>
          <w:tcPr>
            <w:tcW w:w="860" w:type="dxa"/>
            <w:tcBorders>
              <w:left w:val="single" w:sz="12" w:space="0" w:color="auto"/>
              <w:right w:val="single" w:sz="12" w:space="0" w:color="auto"/>
            </w:tcBorders>
            <w:shd w:val="pct10" w:color="auto" w:fill="auto"/>
          </w:tcPr>
          <w:p w14:paraId="525F6932"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7,563</w:t>
            </w:r>
          </w:p>
        </w:tc>
        <w:tc>
          <w:tcPr>
            <w:tcW w:w="860" w:type="dxa"/>
            <w:tcBorders>
              <w:left w:val="single" w:sz="12" w:space="0" w:color="auto"/>
              <w:right w:val="single" w:sz="12" w:space="0" w:color="auto"/>
            </w:tcBorders>
          </w:tcPr>
          <w:p w14:paraId="31539428"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13,184</w:t>
            </w:r>
          </w:p>
        </w:tc>
        <w:tc>
          <w:tcPr>
            <w:tcW w:w="816" w:type="dxa"/>
            <w:tcBorders>
              <w:left w:val="single" w:sz="12" w:space="0" w:color="auto"/>
              <w:right w:val="single" w:sz="12" w:space="0" w:color="auto"/>
            </w:tcBorders>
          </w:tcPr>
          <w:p w14:paraId="6E679912"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960</w:t>
            </w:r>
          </w:p>
        </w:tc>
        <w:tc>
          <w:tcPr>
            <w:tcW w:w="860" w:type="dxa"/>
            <w:tcBorders>
              <w:left w:val="single" w:sz="12" w:space="0" w:color="auto"/>
              <w:right w:val="single" w:sz="12" w:space="0" w:color="auto"/>
            </w:tcBorders>
          </w:tcPr>
          <w:p w14:paraId="17683FE0"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1,855</w:t>
            </w:r>
          </w:p>
        </w:tc>
        <w:tc>
          <w:tcPr>
            <w:tcW w:w="842" w:type="dxa"/>
            <w:tcBorders>
              <w:left w:val="single" w:sz="12" w:space="0" w:color="auto"/>
              <w:right w:val="single" w:sz="12" w:space="0" w:color="auto"/>
            </w:tcBorders>
          </w:tcPr>
          <w:p w14:paraId="1567436D"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793</w:t>
            </w:r>
          </w:p>
        </w:tc>
        <w:tc>
          <w:tcPr>
            <w:tcW w:w="729" w:type="dxa"/>
            <w:tcBorders>
              <w:left w:val="single" w:sz="12" w:space="0" w:color="auto"/>
              <w:right w:val="single" w:sz="12" w:space="0" w:color="auto"/>
            </w:tcBorders>
          </w:tcPr>
          <w:p w14:paraId="35927847"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1,277</w:t>
            </w:r>
          </w:p>
        </w:tc>
        <w:tc>
          <w:tcPr>
            <w:tcW w:w="729" w:type="dxa"/>
            <w:tcBorders>
              <w:left w:val="single" w:sz="12" w:space="0" w:color="auto"/>
              <w:right w:val="single" w:sz="12" w:space="0" w:color="auto"/>
            </w:tcBorders>
          </w:tcPr>
          <w:p w14:paraId="4F1D00CD"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480</w:t>
            </w:r>
          </w:p>
        </w:tc>
        <w:tc>
          <w:tcPr>
            <w:tcW w:w="955" w:type="dxa"/>
            <w:tcBorders>
              <w:left w:val="single" w:sz="12" w:space="0" w:color="auto"/>
            </w:tcBorders>
          </w:tcPr>
          <w:p w14:paraId="26B49D7A"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55,921</w:t>
            </w:r>
          </w:p>
        </w:tc>
      </w:tr>
      <w:tr w:rsidR="00A23E26" w:rsidRPr="00785E1A" w14:paraId="2199FCBB" w14:textId="77777777" w:rsidTr="00782D20">
        <w:trPr>
          <w:jc w:val="center"/>
        </w:trPr>
        <w:tc>
          <w:tcPr>
            <w:tcW w:w="1182" w:type="dxa"/>
            <w:tcBorders>
              <w:top w:val="single" w:sz="4" w:space="0" w:color="auto"/>
              <w:left w:val="single" w:sz="12" w:space="0" w:color="auto"/>
              <w:bottom w:val="single" w:sz="4" w:space="0" w:color="auto"/>
              <w:right w:val="single" w:sz="12" w:space="0" w:color="auto"/>
            </w:tcBorders>
          </w:tcPr>
          <w:p w14:paraId="724C1F64"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2006-2007</w:t>
            </w:r>
          </w:p>
        </w:tc>
        <w:tc>
          <w:tcPr>
            <w:tcW w:w="956" w:type="dxa"/>
            <w:tcBorders>
              <w:left w:val="single" w:sz="12" w:space="0" w:color="auto"/>
              <w:right w:val="single" w:sz="12" w:space="0" w:color="auto"/>
            </w:tcBorders>
          </w:tcPr>
          <w:p w14:paraId="6D5D4586"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37,094</w:t>
            </w:r>
          </w:p>
        </w:tc>
        <w:tc>
          <w:tcPr>
            <w:tcW w:w="860" w:type="dxa"/>
            <w:tcBorders>
              <w:left w:val="single" w:sz="12" w:space="0" w:color="auto"/>
              <w:right w:val="single" w:sz="12" w:space="0" w:color="auto"/>
            </w:tcBorders>
            <w:shd w:val="pct10" w:color="auto" w:fill="auto"/>
          </w:tcPr>
          <w:p w14:paraId="2E410BCF"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6,828</w:t>
            </w:r>
          </w:p>
        </w:tc>
        <w:tc>
          <w:tcPr>
            <w:tcW w:w="860" w:type="dxa"/>
            <w:tcBorders>
              <w:left w:val="single" w:sz="12" w:space="0" w:color="auto"/>
              <w:right w:val="single" w:sz="12" w:space="0" w:color="auto"/>
            </w:tcBorders>
          </w:tcPr>
          <w:p w14:paraId="106ECDDB"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10,108</w:t>
            </w:r>
          </w:p>
        </w:tc>
        <w:tc>
          <w:tcPr>
            <w:tcW w:w="816" w:type="dxa"/>
            <w:tcBorders>
              <w:left w:val="single" w:sz="12" w:space="0" w:color="auto"/>
              <w:right w:val="single" w:sz="12" w:space="0" w:color="auto"/>
            </w:tcBorders>
          </w:tcPr>
          <w:p w14:paraId="05DC133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1,233</w:t>
            </w:r>
          </w:p>
        </w:tc>
        <w:tc>
          <w:tcPr>
            <w:tcW w:w="860" w:type="dxa"/>
            <w:tcBorders>
              <w:left w:val="single" w:sz="12" w:space="0" w:color="auto"/>
              <w:right w:val="single" w:sz="12" w:space="0" w:color="auto"/>
            </w:tcBorders>
          </w:tcPr>
          <w:p w14:paraId="66DAEC57"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2,242</w:t>
            </w:r>
          </w:p>
        </w:tc>
        <w:tc>
          <w:tcPr>
            <w:tcW w:w="842" w:type="dxa"/>
            <w:tcBorders>
              <w:left w:val="single" w:sz="12" w:space="0" w:color="auto"/>
              <w:right w:val="single" w:sz="12" w:space="0" w:color="auto"/>
            </w:tcBorders>
          </w:tcPr>
          <w:p w14:paraId="77A9B5FF"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1,252</w:t>
            </w:r>
          </w:p>
        </w:tc>
        <w:tc>
          <w:tcPr>
            <w:tcW w:w="729" w:type="dxa"/>
            <w:tcBorders>
              <w:left w:val="single" w:sz="12" w:space="0" w:color="auto"/>
              <w:right w:val="single" w:sz="12" w:space="0" w:color="auto"/>
            </w:tcBorders>
          </w:tcPr>
          <w:p w14:paraId="44B7E329"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852</w:t>
            </w:r>
          </w:p>
        </w:tc>
        <w:tc>
          <w:tcPr>
            <w:tcW w:w="729" w:type="dxa"/>
            <w:tcBorders>
              <w:left w:val="single" w:sz="12" w:space="0" w:color="auto"/>
              <w:right w:val="single" w:sz="12" w:space="0" w:color="auto"/>
            </w:tcBorders>
          </w:tcPr>
          <w:p w14:paraId="5D92688B"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621</w:t>
            </w:r>
          </w:p>
        </w:tc>
        <w:tc>
          <w:tcPr>
            <w:tcW w:w="955" w:type="dxa"/>
            <w:tcBorders>
              <w:left w:val="single" w:sz="12" w:space="0" w:color="auto"/>
            </w:tcBorders>
          </w:tcPr>
          <w:p w14:paraId="54C195BB"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60,230</w:t>
            </w:r>
          </w:p>
        </w:tc>
      </w:tr>
      <w:tr w:rsidR="00A23E26" w:rsidRPr="00785E1A" w14:paraId="7FAE9AD5" w14:textId="77777777" w:rsidTr="00E0794B">
        <w:trPr>
          <w:jc w:val="center"/>
        </w:trPr>
        <w:tc>
          <w:tcPr>
            <w:tcW w:w="1182" w:type="dxa"/>
            <w:tcBorders>
              <w:top w:val="single" w:sz="4" w:space="0" w:color="auto"/>
              <w:left w:val="single" w:sz="12" w:space="0" w:color="auto"/>
              <w:bottom w:val="single" w:sz="4" w:space="0" w:color="auto"/>
              <w:right w:val="single" w:sz="12" w:space="0" w:color="auto"/>
            </w:tcBorders>
          </w:tcPr>
          <w:p w14:paraId="2B814496"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2007-2008</w:t>
            </w:r>
          </w:p>
        </w:tc>
        <w:tc>
          <w:tcPr>
            <w:tcW w:w="956" w:type="dxa"/>
            <w:tcBorders>
              <w:left w:val="single" w:sz="12" w:space="0" w:color="auto"/>
              <w:right w:val="single" w:sz="12" w:space="0" w:color="auto"/>
            </w:tcBorders>
          </w:tcPr>
          <w:p w14:paraId="1931003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34,135</w:t>
            </w:r>
          </w:p>
        </w:tc>
        <w:tc>
          <w:tcPr>
            <w:tcW w:w="860" w:type="dxa"/>
            <w:tcBorders>
              <w:left w:val="single" w:sz="12" w:space="0" w:color="auto"/>
              <w:right w:val="single" w:sz="12" w:space="0" w:color="auto"/>
            </w:tcBorders>
            <w:shd w:val="pct10" w:color="auto" w:fill="auto"/>
          </w:tcPr>
          <w:p w14:paraId="07E30486"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6,365</w:t>
            </w:r>
          </w:p>
        </w:tc>
        <w:tc>
          <w:tcPr>
            <w:tcW w:w="860" w:type="dxa"/>
            <w:tcBorders>
              <w:left w:val="single" w:sz="12" w:space="0" w:color="auto"/>
              <w:right w:val="single" w:sz="12" w:space="0" w:color="auto"/>
            </w:tcBorders>
          </w:tcPr>
          <w:p w14:paraId="2B312C6C"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8,028</w:t>
            </w:r>
          </w:p>
        </w:tc>
        <w:tc>
          <w:tcPr>
            <w:tcW w:w="816" w:type="dxa"/>
            <w:tcBorders>
              <w:left w:val="single" w:sz="12" w:space="0" w:color="auto"/>
              <w:right w:val="single" w:sz="12" w:space="0" w:color="auto"/>
            </w:tcBorders>
          </w:tcPr>
          <w:p w14:paraId="1881F75D"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1,464</w:t>
            </w:r>
          </w:p>
        </w:tc>
        <w:tc>
          <w:tcPr>
            <w:tcW w:w="860" w:type="dxa"/>
            <w:tcBorders>
              <w:left w:val="single" w:sz="12" w:space="0" w:color="auto"/>
              <w:right w:val="single" w:sz="12" w:space="0" w:color="auto"/>
            </w:tcBorders>
          </w:tcPr>
          <w:p w14:paraId="4CFB733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2,331</w:t>
            </w:r>
          </w:p>
        </w:tc>
        <w:tc>
          <w:tcPr>
            <w:tcW w:w="842" w:type="dxa"/>
            <w:tcBorders>
              <w:left w:val="single" w:sz="12" w:space="0" w:color="auto"/>
              <w:right w:val="single" w:sz="12" w:space="0" w:color="auto"/>
            </w:tcBorders>
          </w:tcPr>
          <w:p w14:paraId="6580DDCC"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1,214</w:t>
            </w:r>
          </w:p>
        </w:tc>
        <w:tc>
          <w:tcPr>
            <w:tcW w:w="729" w:type="dxa"/>
            <w:tcBorders>
              <w:left w:val="single" w:sz="12" w:space="0" w:color="auto"/>
              <w:right w:val="single" w:sz="12" w:space="0" w:color="auto"/>
            </w:tcBorders>
          </w:tcPr>
          <w:p w14:paraId="1BC9D7D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827</w:t>
            </w:r>
          </w:p>
        </w:tc>
        <w:tc>
          <w:tcPr>
            <w:tcW w:w="729" w:type="dxa"/>
            <w:tcBorders>
              <w:left w:val="single" w:sz="12" w:space="0" w:color="auto"/>
              <w:right w:val="single" w:sz="12" w:space="0" w:color="auto"/>
            </w:tcBorders>
          </w:tcPr>
          <w:p w14:paraId="296B23AF"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756</w:t>
            </w:r>
          </w:p>
        </w:tc>
        <w:tc>
          <w:tcPr>
            <w:tcW w:w="955" w:type="dxa"/>
            <w:tcBorders>
              <w:left w:val="single" w:sz="12" w:space="0" w:color="auto"/>
            </w:tcBorders>
          </w:tcPr>
          <w:p w14:paraId="0E44C7B8"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55,120</w:t>
            </w:r>
          </w:p>
        </w:tc>
      </w:tr>
      <w:tr w:rsidR="00E0794B" w:rsidRPr="00785E1A" w14:paraId="67496E20" w14:textId="77777777" w:rsidTr="00E0794B">
        <w:trPr>
          <w:jc w:val="center"/>
        </w:trPr>
        <w:tc>
          <w:tcPr>
            <w:tcW w:w="1182" w:type="dxa"/>
            <w:tcBorders>
              <w:top w:val="single" w:sz="4" w:space="0" w:color="auto"/>
              <w:left w:val="single" w:sz="12" w:space="0" w:color="auto"/>
              <w:bottom w:val="single" w:sz="4" w:space="0" w:color="auto"/>
              <w:right w:val="single" w:sz="12" w:space="0" w:color="auto"/>
            </w:tcBorders>
          </w:tcPr>
          <w:p w14:paraId="6876D809" w14:textId="77777777" w:rsidR="00E0794B" w:rsidRPr="00785E1A" w:rsidRDefault="00E0794B" w:rsidP="00782D20">
            <w:pPr>
              <w:jc w:val="center"/>
              <w:rPr>
                <w:rFonts w:ascii="Arial" w:hAnsi="Arial" w:cs="Arial"/>
                <w:color w:val="000000"/>
                <w:sz w:val="20"/>
              </w:rPr>
            </w:pPr>
            <w:r w:rsidRPr="00785E1A">
              <w:rPr>
                <w:rFonts w:ascii="Arial" w:hAnsi="Arial" w:cs="Arial"/>
                <w:color w:val="000000"/>
                <w:sz w:val="20"/>
              </w:rPr>
              <w:t>2008-2009</w:t>
            </w:r>
          </w:p>
        </w:tc>
        <w:tc>
          <w:tcPr>
            <w:tcW w:w="956" w:type="dxa"/>
            <w:tcBorders>
              <w:left w:val="single" w:sz="12" w:space="0" w:color="auto"/>
              <w:right w:val="single" w:sz="12" w:space="0" w:color="auto"/>
            </w:tcBorders>
          </w:tcPr>
          <w:p w14:paraId="324AB872"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34,078</w:t>
            </w:r>
          </w:p>
        </w:tc>
        <w:tc>
          <w:tcPr>
            <w:tcW w:w="860" w:type="dxa"/>
            <w:tcBorders>
              <w:left w:val="single" w:sz="12" w:space="0" w:color="auto"/>
              <w:right w:val="single" w:sz="12" w:space="0" w:color="auto"/>
            </w:tcBorders>
            <w:shd w:val="pct10" w:color="auto" w:fill="auto"/>
          </w:tcPr>
          <w:p w14:paraId="7792CBD2"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6,344</w:t>
            </w:r>
          </w:p>
        </w:tc>
        <w:tc>
          <w:tcPr>
            <w:tcW w:w="860" w:type="dxa"/>
            <w:tcBorders>
              <w:left w:val="single" w:sz="12" w:space="0" w:color="auto"/>
              <w:right w:val="single" w:sz="12" w:space="0" w:color="auto"/>
            </w:tcBorders>
          </w:tcPr>
          <w:p w14:paraId="55A23265"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7,315</w:t>
            </w:r>
          </w:p>
        </w:tc>
        <w:tc>
          <w:tcPr>
            <w:tcW w:w="816" w:type="dxa"/>
            <w:tcBorders>
              <w:left w:val="single" w:sz="12" w:space="0" w:color="auto"/>
              <w:right w:val="single" w:sz="12" w:space="0" w:color="auto"/>
            </w:tcBorders>
          </w:tcPr>
          <w:p w14:paraId="4A743750"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1,523</w:t>
            </w:r>
          </w:p>
        </w:tc>
        <w:tc>
          <w:tcPr>
            <w:tcW w:w="860" w:type="dxa"/>
            <w:tcBorders>
              <w:left w:val="single" w:sz="12" w:space="0" w:color="auto"/>
              <w:right w:val="single" w:sz="12" w:space="0" w:color="auto"/>
            </w:tcBorders>
          </w:tcPr>
          <w:p w14:paraId="677AE41B"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2,419</w:t>
            </w:r>
          </w:p>
        </w:tc>
        <w:tc>
          <w:tcPr>
            <w:tcW w:w="842" w:type="dxa"/>
            <w:tcBorders>
              <w:left w:val="single" w:sz="12" w:space="0" w:color="auto"/>
              <w:right w:val="single" w:sz="12" w:space="0" w:color="auto"/>
            </w:tcBorders>
          </w:tcPr>
          <w:p w14:paraId="708DDD29"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1,188</w:t>
            </w:r>
          </w:p>
        </w:tc>
        <w:tc>
          <w:tcPr>
            <w:tcW w:w="729" w:type="dxa"/>
            <w:tcBorders>
              <w:left w:val="single" w:sz="12" w:space="0" w:color="auto"/>
              <w:right w:val="single" w:sz="12" w:space="0" w:color="auto"/>
            </w:tcBorders>
          </w:tcPr>
          <w:p w14:paraId="0D6A69AE"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896</w:t>
            </w:r>
          </w:p>
        </w:tc>
        <w:tc>
          <w:tcPr>
            <w:tcW w:w="729" w:type="dxa"/>
            <w:tcBorders>
              <w:left w:val="single" w:sz="12" w:space="0" w:color="auto"/>
              <w:right w:val="single" w:sz="12" w:space="0" w:color="auto"/>
            </w:tcBorders>
          </w:tcPr>
          <w:p w14:paraId="4664EE62"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858</w:t>
            </w:r>
          </w:p>
        </w:tc>
        <w:tc>
          <w:tcPr>
            <w:tcW w:w="955" w:type="dxa"/>
            <w:tcBorders>
              <w:left w:val="single" w:sz="12" w:space="0" w:color="auto"/>
            </w:tcBorders>
          </w:tcPr>
          <w:p w14:paraId="291A0BF5"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54,621</w:t>
            </w:r>
          </w:p>
        </w:tc>
      </w:tr>
      <w:tr w:rsidR="00E0794B" w:rsidRPr="00785E1A" w14:paraId="36A20EB9" w14:textId="77777777" w:rsidTr="00C650FB">
        <w:trPr>
          <w:jc w:val="center"/>
        </w:trPr>
        <w:tc>
          <w:tcPr>
            <w:tcW w:w="1182" w:type="dxa"/>
            <w:tcBorders>
              <w:top w:val="single" w:sz="4" w:space="0" w:color="auto"/>
              <w:left w:val="single" w:sz="12" w:space="0" w:color="auto"/>
              <w:bottom w:val="single" w:sz="4" w:space="0" w:color="auto"/>
              <w:right w:val="single" w:sz="12" w:space="0" w:color="auto"/>
            </w:tcBorders>
          </w:tcPr>
          <w:p w14:paraId="07129D57" w14:textId="77777777" w:rsidR="00E0794B" w:rsidRPr="00785E1A" w:rsidRDefault="00E0794B" w:rsidP="00782D20">
            <w:pPr>
              <w:jc w:val="center"/>
              <w:rPr>
                <w:rFonts w:ascii="Arial" w:hAnsi="Arial" w:cs="Arial"/>
                <w:color w:val="000000"/>
                <w:sz w:val="20"/>
              </w:rPr>
            </w:pPr>
            <w:r w:rsidRPr="00785E1A">
              <w:rPr>
                <w:rFonts w:ascii="Arial" w:hAnsi="Arial" w:cs="Arial"/>
                <w:color w:val="000000"/>
                <w:sz w:val="20"/>
              </w:rPr>
              <w:t>2009-2010</w:t>
            </w:r>
          </w:p>
        </w:tc>
        <w:tc>
          <w:tcPr>
            <w:tcW w:w="956" w:type="dxa"/>
            <w:tcBorders>
              <w:left w:val="single" w:sz="12" w:space="0" w:color="auto"/>
              <w:bottom w:val="single" w:sz="4" w:space="0" w:color="auto"/>
              <w:right w:val="single" w:sz="12" w:space="0" w:color="auto"/>
            </w:tcBorders>
          </w:tcPr>
          <w:p w14:paraId="702AD2AB"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26,248</w:t>
            </w:r>
          </w:p>
        </w:tc>
        <w:tc>
          <w:tcPr>
            <w:tcW w:w="860" w:type="dxa"/>
            <w:tcBorders>
              <w:left w:val="single" w:sz="12" w:space="0" w:color="auto"/>
              <w:bottom w:val="single" w:sz="4" w:space="0" w:color="auto"/>
              <w:right w:val="single" w:sz="12" w:space="0" w:color="auto"/>
            </w:tcBorders>
            <w:shd w:val="pct10" w:color="auto" w:fill="auto"/>
          </w:tcPr>
          <w:p w14:paraId="35E0CF93"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6,603</w:t>
            </w:r>
          </w:p>
        </w:tc>
        <w:tc>
          <w:tcPr>
            <w:tcW w:w="860" w:type="dxa"/>
            <w:tcBorders>
              <w:left w:val="single" w:sz="12" w:space="0" w:color="auto"/>
              <w:bottom w:val="single" w:sz="4" w:space="0" w:color="auto"/>
              <w:right w:val="single" w:sz="12" w:space="0" w:color="auto"/>
            </w:tcBorders>
          </w:tcPr>
          <w:p w14:paraId="0C881226"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6,922</w:t>
            </w:r>
          </w:p>
        </w:tc>
        <w:tc>
          <w:tcPr>
            <w:tcW w:w="816" w:type="dxa"/>
            <w:tcBorders>
              <w:left w:val="single" w:sz="12" w:space="0" w:color="auto"/>
              <w:bottom w:val="single" w:sz="4" w:space="0" w:color="auto"/>
              <w:right w:val="single" w:sz="12" w:space="0" w:color="auto"/>
            </w:tcBorders>
          </w:tcPr>
          <w:p w14:paraId="5B2CE3D1"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1,652</w:t>
            </w:r>
          </w:p>
        </w:tc>
        <w:tc>
          <w:tcPr>
            <w:tcW w:w="860" w:type="dxa"/>
            <w:tcBorders>
              <w:left w:val="single" w:sz="12" w:space="0" w:color="auto"/>
              <w:bottom w:val="single" w:sz="4" w:space="0" w:color="auto"/>
              <w:right w:val="single" w:sz="12" w:space="0" w:color="auto"/>
            </w:tcBorders>
          </w:tcPr>
          <w:p w14:paraId="642CA29D"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1,815</w:t>
            </w:r>
          </w:p>
        </w:tc>
        <w:tc>
          <w:tcPr>
            <w:tcW w:w="842" w:type="dxa"/>
            <w:tcBorders>
              <w:left w:val="single" w:sz="12" w:space="0" w:color="auto"/>
              <w:bottom w:val="single" w:sz="4" w:space="0" w:color="auto"/>
              <w:right w:val="single" w:sz="12" w:space="0" w:color="auto"/>
            </w:tcBorders>
          </w:tcPr>
          <w:p w14:paraId="1F674B23"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963</w:t>
            </w:r>
          </w:p>
        </w:tc>
        <w:tc>
          <w:tcPr>
            <w:tcW w:w="729" w:type="dxa"/>
            <w:tcBorders>
              <w:left w:val="single" w:sz="12" w:space="0" w:color="auto"/>
              <w:bottom w:val="single" w:sz="4" w:space="0" w:color="auto"/>
              <w:right w:val="single" w:sz="12" w:space="0" w:color="auto"/>
            </w:tcBorders>
          </w:tcPr>
          <w:p w14:paraId="58BA38FB"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741</w:t>
            </w:r>
          </w:p>
        </w:tc>
        <w:tc>
          <w:tcPr>
            <w:tcW w:w="729" w:type="dxa"/>
            <w:tcBorders>
              <w:left w:val="single" w:sz="12" w:space="0" w:color="auto"/>
              <w:bottom w:val="single" w:sz="4" w:space="0" w:color="auto"/>
              <w:right w:val="single" w:sz="12" w:space="0" w:color="auto"/>
            </w:tcBorders>
          </w:tcPr>
          <w:p w14:paraId="7B28E905"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1,243</w:t>
            </w:r>
          </w:p>
        </w:tc>
        <w:tc>
          <w:tcPr>
            <w:tcW w:w="955" w:type="dxa"/>
            <w:tcBorders>
              <w:left w:val="single" w:sz="12" w:space="0" w:color="auto"/>
              <w:bottom w:val="single" w:sz="4" w:space="0" w:color="auto"/>
            </w:tcBorders>
          </w:tcPr>
          <w:p w14:paraId="6B805DF9"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46,187</w:t>
            </w:r>
          </w:p>
        </w:tc>
      </w:tr>
      <w:tr w:rsidR="005D4FF3" w:rsidRPr="00CB73D1" w14:paraId="2D5A5BDB" w14:textId="77777777" w:rsidTr="00151F5D">
        <w:trPr>
          <w:jc w:val="center"/>
        </w:trPr>
        <w:tc>
          <w:tcPr>
            <w:tcW w:w="1182" w:type="dxa"/>
            <w:tcBorders>
              <w:top w:val="single" w:sz="4" w:space="0" w:color="auto"/>
              <w:left w:val="single" w:sz="12" w:space="0" w:color="auto"/>
              <w:bottom w:val="single" w:sz="4" w:space="0" w:color="auto"/>
              <w:right w:val="single" w:sz="12" w:space="0" w:color="auto"/>
            </w:tcBorders>
          </w:tcPr>
          <w:p w14:paraId="021B8D07" w14:textId="77777777" w:rsidR="005D4FF3" w:rsidRPr="00CB73D1" w:rsidRDefault="005D4FF3" w:rsidP="00782D20">
            <w:pPr>
              <w:jc w:val="center"/>
              <w:rPr>
                <w:rFonts w:ascii="Arial" w:hAnsi="Arial" w:cs="Arial"/>
                <w:color w:val="000000"/>
                <w:sz w:val="20"/>
              </w:rPr>
            </w:pPr>
            <w:r w:rsidRPr="00CB73D1">
              <w:rPr>
                <w:rFonts w:ascii="Arial" w:hAnsi="Arial" w:cs="Arial"/>
                <w:color w:val="000000"/>
                <w:sz w:val="20"/>
              </w:rPr>
              <w:t>2010-2011</w:t>
            </w:r>
          </w:p>
        </w:tc>
        <w:tc>
          <w:tcPr>
            <w:tcW w:w="956" w:type="dxa"/>
            <w:tcBorders>
              <w:top w:val="single" w:sz="4" w:space="0" w:color="auto"/>
              <w:left w:val="single" w:sz="12" w:space="0" w:color="auto"/>
              <w:bottom w:val="single" w:sz="4" w:space="0" w:color="auto"/>
              <w:right w:val="single" w:sz="12" w:space="0" w:color="auto"/>
            </w:tcBorders>
          </w:tcPr>
          <w:p w14:paraId="75FDF365"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18,596</w:t>
            </w:r>
          </w:p>
        </w:tc>
        <w:tc>
          <w:tcPr>
            <w:tcW w:w="860" w:type="dxa"/>
            <w:tcBorders>
              <w:top w:val="single" w:sz="4" w:space="0" w:color="auto"/>
              <w:left w:val="single" w:sz="12" w:space="0" w:color="auto"/>
              <w:bottom w:val="single" w:sz="4" w:space="0" w:color="auto"/>
              <w:right w:val="single" w:sz="12" w:space="0" w:color="auto"/>
            </w:tcBorders>
            <w:shd w:val="pct10" w:color="auto" w:fill="auto"/>
          </w:tcPr>
          <w:p w14:paraId="2A6F7031"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7,643</w:t>
            </w:r>
          </w:p>
        </w:tc>
        <w:tc>
          <w:tcPr>
            <w:tcW w:w="860" w:type="dxa"/>
            <w:tcBorders>
              <w:top w:val="single" w:sz="4" w:space="0" w:color="auto"/>
              <w:left w:val="single" w:sz="12" w:space="0" w:color="auto"/>
              <w:bottom w:val="single" w:sz="4" w:space="0" w:color="auto"/>
              <w:right w:val="single" w:sz="12" w:space="0" w:color="auto"/>
            </w:tcBorders>
          </w:tcPr>
          <w:p w14:paraId="102FD402"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6,598</w:t>
            </w:r>
          </w:p>
        </w:tc>
        <w:tc>
          <w:tcPr>
            <w:tcW w:w="816" w:type="dxa"/>
            <w:tcBorders>
              <w:top w:val="single" w:sz="4" w:space="0" w:color="auto"/>
              <w:left w:val="single" w:sz="12" w:space="0" w:color="auto"/>
              <w:bottom w:val="single" w:sz="4" w:space="0" w:color="auto"/>
              <w:right w:val="single" w:sz="12" w:space="0" w:color="auto"/>
            </w:tcBorders>
          </w:tcPr>
          <w:p w14:paraId="15E4F9CA"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1,907</w:t>
            </w:r>
          </w:p>
        </w:tc>
        <w:tc>
          <w:tcPr>
            <w:tcW w:w="860" w:type="dxa"/>
            <w:tcBorders>
              <w:top w:val="single" w:sz="4" w:space="0" w:color="auto"/>
              <w:left w:val="single" w:sz="12" w:space="0" w:color="auto"/>
              <w:bottom w:val="single" w:sz="4" w:space="0" w:color="auto"/>
              <w:right w:val="single" w:sz="12" w:space="0" w:color="auto"/>
            </w:tcBorders>
          </w:tcPr>
          <w:p w14:paraId="0C4F828B"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2,220</w:t>
            </w:r>
          </w:p>
        </w:tc>
        <w:tc>
          <w:tcPr>
            <w:tcW w:w="842" w:type="dxa"/>
            <w:tcBorders>
              <w:top w:val="single" w:sz="4" w:space="0" w:color="auto"/>
              <w:left w:val="single" w:sz="12" w:space="0" w:color="auto"/>
              <w:bottom w:val="single" w:sz="4" w:space="0" w:color="auto"/>
              <w:right w:val="single" w:sz="12" w:space="0" w:color="auto"/>
            </w:tcBorders>
          </w:tcPr>
          <w:p w14:paraId="614FBEE6"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1,225</w:t>
            </w:r>
          </w:p>
        </w:tc>
        <w:tc>
          <w:tcPr>
            <w:tcW w:w="729" w:type="dxa"/>
            <w:tcBorders>
              <w:top w:val="single" w:sz="4" w:space="0" w:color="auto"/>
              <w:left w:val="single" w:sz="12" w:space="0" w:color="auto"/>
              <w:bottom w:val="single" w:sz="4" w:space="0" w:color="auto"/>
              <w:right w:val="single" w:sz="12" w:space="0" w:color="auto"/>
            </w:tcBorders>
          </w:tcPr>
          <w:p w14:paraId="4B5B646E"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636</w:t>
            </w:r>
          </w:p>
        </w:tc>
        <w:tc>
          <w:tcPr>
            <w:tcW w:w="729" w:type="dxa"/>
            <w:tcBorders>
              <w:top w:val="single" w:sz="4" w:space="0" w:color="auto"/>
              <w:left w:val="single" w:sz="12" w:space="0" w:color="auto"/>
              <w:bottom w:val="single" w:sz="4" w:space="0" w:color="auto"/>
              <w:right w:val="single" w:sz="12" w:space="0" w:color="auto"/>
            </w:tcBorders>
          </w:tcPr>
          <w:p w14:paraId="0C28B8DD"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1,641</w:t>
            </w:r>
          </w:p>
        </w:tc>
        <w:tc>
          <w:tcPr>
            <w:tcW w:w="955" w:type="dxa"/>
            <w:tcBorders>
              <w:top w:val="single" w:sz="4" w:space="0" w:color="auto"/>
              <w:left w:val="single" w:sz="12" w:space="0" w:color="auto"/>
              <w:bottom w:val="single" w:sz="4" w:space="0" w:color="auto"/>
            </w:tcBorders>
          </w:tcPr>
          <w:p w14:paraId="1148B527"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40,466</w:t>
            </w:r>
          </w:p>
        </w:tc>
      </w:tr>
      <w:tr w:rsidR="00151F5D" w:rsidRPr="003D5DFA" w14:paraId="13E9BE88" w14:textId="77777777" w:rsidTr="00492F82">
        <w:trPr>
          <w:jc w:val="center"/>
        </w:trPr>
        <w:tc>
          <w:tcPr>
            <w:tcW w:w="1182" w:type="dxa"/>
            <w:tcBorders>
              <w:top w:val="single" w:sz="4" w:space="0" w:color="auto"/>
              <w:left w:val="single" w:sz="12" w:space="0" w:color="auto"/>
              <w:bottom w:val="single" w:sz="4" w:space="0" w:color="auto"/>
              <w:right w:val="single" w:sz="12" w:space="0" w:color="auto"/>
            </w:tcBorders>
          </w:tcPr>
          <w:p w14:paraId="7E82AD5B"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2011-2012</w:t>
            </w:r>
          </w:p>
        </w:tc>
        <w:tc>
          <w:tcPr>
            <w:tcW w:w="956" w:type="dxa"/>
            <w:tcBorders>
              <w:top w:val="single" w:sz="4" w:space="0" w:color="auto"/>
              <w:left w:val="single" w:sz="12" w:space="0" w:color="auto"/>
              <w:bottom w:val="single" w:sz="4" w:space="0" w:color="auto"/>
              <w:right w:val="single" w:sz="12" w:space="0" w:color="auto"/>
            </w:tcBorders>
          </w:tcPr>
          <w:p w14:paraId="7641833A"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23,175</w:t>
            </w:r>
          </w:p>
        </w:tc>
        <w:tc>
          <w:tcPr>
            <w:tcW w:w="860" w:type="dxa"/>
            <w:tcBorders>
              <w:top w:val="single" w:sz="4" w:space="0" w:color="auto"/>
              <w:left w:val="single" w:sz="12" w:space="0" w:color="auto"/>
              <w:bottom w:val="single" w:sz="4" w:space="0" w:color="auto"/>
              <w:right w:val="single" w:sz="12" w:space="0" w:color="auto"/>
            </w:tcBorders>
            <w:shd w:val="pct10" w:color="auto" w:fill="auto"/>
          </w:tcPr>
          <w:p w14:paraId="4A543BFC"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9,075</w:t>
            </w:r>
          </w:p>
        </w:tc>
        <w:tc>
          <w:tcPr>
            <w:tcW w:w="860" w:type="dxa"/>
            <w:tcBorders>
              <w:top w:val="single" w:sz="4" w:space="0" w:color="auto"/>
              <w:left w:val="single" w:sz="12" w:space="0" w:color="auto"/>
              <w:bottom w:val="single" w:sz="4" w:space="0" w:color="auto"/>
              <w:right w:val="single" w:sz="12" w:space="0" w:color="auto"/>
            </w:tcBorders>
          </w:tcPr>
          <w:p w14:paraId="1C8E0C63"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7,681</w:t>
            </w:r>
          </w:p>
        </w:tc>
        <w:tc>
          <w:tcPr>
            <w:tcW w:w="816" w:type="dxa"/>
            <w:tcBorders>
              <w:top w:val="single" w:sz="4" w:space="0" w:color="auto"/>
              <w:left w:val="single" w:sz="12" w:space="0" w:color="auto"/>
              <w:bottom w:val="single" w:sz="4" w:space="0" w:color="auto"/>
              <w:right w:val="single" w:sz="12" w:space="0" w:color="auto"/>
            </w:tcBorders>
          </w:tcPr>
          <w:p w14:paraId="107E03A4"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2,759</w:t>
            </w:r>
          </w:p>
        </w:tc>
        <w:tc>
          <w:tcPr>
            <w:tcW w:w="860" w:type="dxa"/>
            <w:tcBorders>
              <w:top w:val="single" w:sz="4" w:space="0" w:color="auto"/>
              <w:left w:val="single" w:sz="12" w:space="0" w:color="auto"/>
              <w:bottom w:val="single" w:sz="4" w:space="0" w:color="auto"/>
              <w:right w:val="single" w:sz="12" w:space="0" w:color="auto"/>
            </w:tcBorders>
          </w:tcPr>
          <w:p w14:paraId="4D5E5D9B"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2,139</w:t>
            </w:r>
          </w:p>
        </w:tc>
        <w:tc>
          <w:tcPr>
            <w:tcW w:w="842" w:type="dxa"/>
            <w:tcBorders>
              <w:top w:val="single" w:sz="4" w:space="0" w:color="auto"/>
              <w:left w:val="single" w:sz="12" w:space="0" w:color="auto"/>
              <w:bottom w:val="single" w:sz="4" w:space="0" w:color="auto"/>
              <w:right w:val="single" w:sz="12" w:space="0" w:color="auto"/>
            </w:tcBorders>
          </w:tcPr>
          <w:p w14:paraId="3839D189"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1,025</w:t>
            </w:r>
          </w:p>
        </w:tc>
        <w:tc>
          <w:tcPr>
            <w:tcW w:w="729" w:type="dxa"/>
            <w:tcBorders>
              <w:top w:val="single" w:sz="4" w:space="0" w:color="auto"/>
              <w:left w:val="single" w:sz="12" w:space="0" w:color="auto"/>
              <w:bottom w:val="single" w:sz="4" w:space="0" w:color="auto"/>
              <w:right w:val="single" w:sz="12" w:space="0" w:color="auto"/>
            </w:tcBorders>
          </w:tcPr>
          <w:p w14:paraId="1D284086"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861</w:t>
            </w:r>
          </w:p>
        </w:tc>
        <w:tc>
          <w:tcPr>
            <w:tcW w:w="729" w:type="dxa"/>
            <w:tcBorders>
              <w:top w:val="single" w:sz="4" w:space="0" w:color="auto"/>
              <w:left w:val="single" w:sz="12" w:space="0" w:color="auto"/>
              <w:bottom w:val="single" w:sz="4" w:space="0" w:color="auto"/>
              <w:right w:val="single" w:sz="12" w:space="0" w:color="auto"/>
            </w:tcBorders>
          </w:tcPr>
          <w:p w14:paraId="2C4020A9"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1,705</w:t>
            </w:r>
          </w:p>
        </w:tc>
        <w:tc>
          <w:tcPr>
            <w:tcW w:w="955" w:type="dxa"/>
            <w:tcBorders>
              <w:top w:val="single" w:sz="4" w:space="0" w:color="auto"/>
              <w:left w:val="single" w:sz="12" w:space="0" w:color="auto"/>
              <w:bottom w:val="single" w:sz="4" w:space="0" w:color="auto"/>
            </w:tcBorders>
          </w:tcPr>
          <w:p w14:paraId="3331ADEA"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48,420</w:t>
            </w:r>
          </w:p>
        </w:tc>
      </w:tr>
      <w:tr w:rsidR="00492F82" w:rsidRPr="003D5DFA" w14:paraId="7EFE5F2F" w14:textId="77777777" w:rsidTr="00B00042">
        <w:trPr>
          <w:jc w:val="center"/>
        </w:trPr>
        <w:tc>
          <w:tcPr>
            <w:tcW w:w="1182" w:type="dxa"/>
            <w:tcBorders>
              <w:top w:val="single" w:sz="4" w:space="0" w:color="auto"/>
              <w:left w:val="single" w:sz="12" w:space="0" w:color="auto"/>
              <w:bottom w:val="single" w:sz="4" w:space="0" w:color="auto"/>
              <w:right w:val="single" w:sz="12" w:space="0" w:color="auto"/>
            </w:tcBorders>
          </w:tcPr>
          <w:p w14:paraId="093F16B1" w14:textId="77777777" w:rsidR="00492F82" w:rsidRPr="003D5DFA" w:rsidRDefault="00492F82" w:rsidP="00782D20">
            <w:pPr>
              <w:jc w:val="center"/>
              <w:rPr>
                <w:rFonts w:ascii="Arial" w:hAnsi="Arial" w:cs="Arial"/>
                <w:color w:val="000000"/>
                <w:sz w:val="20"/>
              </w:rPr>
            </w:pPr>
            <w:r>
              <w:rPr>
                <w:rFonts w:ascii="Arial" w:hAnsi="Arial" w:cs="Arial"/>
                <w:color w:val="000000"/>
                <w:sz w:val="20"/>
              </w:rPr>
              <w:t>2012-2013</w:t>
            </w:r>
          </w:p>
        </w:tc>
        <w:tc>
          <w:tcPr>
            <w:tcW w:w="956" w:type="dxa"/>
            <w:tcBorders>
              <w:top w:val="single" w:sz="4" w:space="0" w:color="auto"/>
              <w:left w:val="single" w:sz="12" w:space="0" w:color="auto"/>
              <w:bottom w:val="single" w:sz="4" w:space="0" w:color="auto"/>
              <w:right w:val="single" w:sz="12" w:space="0" w:color="auto"/>
            </w:tcBorders>
          </w:tcPr>
          <w:p w14:paraId="54562904" w14:textId="77777777" w:rsidR="00492F82" w:rsidRPr="003D5DFA" w:rsidRDefault="00921BCD" w:rsidP="00782D20">
            <w:pPr>
              <w:jc w:val="center"/>
              <w:rPr>
                <w:rFonts w:ascii="Arial" w:hAnsi="Arial" w:cs="Arial"/>
                <w:color w:val="000000"/>
                <w:sz w:val="20"/>
              </w:rPr>
            </w:pPr>
            <w:r>
              <w:rPr>
                <w:rFonts w:ascii="Arial" w:hAnsi="Arial" w:cs="Arial"/>
                <w:color w:val="000000"/>
                <w:sz w:val="20"/>
              </w:rPr>
              <w:t>16,236</w:t>
            </w:r>
          </w:p>
        </w:tc>
        <w:tc>
          <w:tcPr>
            <w:tcW w:w="860" w:type="dxa"/>
            <w:tcBorders>
              <w:top w:val="single" w:sz="4" w:space="0" w:color="auto"/>
              <w:left w:val="single" w:sz="12" w:space="0" w:color="auto"/>
              <w:bottom w:val="single" w:sz="4" w:space="0" w:color="auto"/>
              <w:right w:val="single" w:sz="12" w:space="0" w:color="auto"/>
            </w:tcBorders>
            <w:shd w:val="pct10" w:color="auto" w:fill="auto"/>
          </w:tcPr>
          <w:p w14:paraId="08705872" w14:textId="77777777" w:rsidR="00492F82" w:rsidRPr="003D5DFA" w:rsidRDefault="00921BCD" w:rsidP="00782D20">
            <w:pPr>
              <w:jc w:val="center"/>
              <w:rPr>
                <w:rFonts w:ascii="Arial" w:hAnsi="Arial" w:cs="Arial"/>
                <w:color w:val="000000"/>
                <w:sz w:val="20"/>
              </w:rPr>
            </w:pPr>
            <w:r>
              <w:rPr>
                <w:rFonts w:ascii="Arial" w:hAnsi="Arial" w:cs="Arial"/>
                <w:color w:val="000000"/>
                <w:sz w:val="20"/>
              </w:rPr>
              <w:t>10,048</w:t>
            </w:r>
          </w:p>
        </w:tc>
        <w:tc>
          <w:tcPr>
            <w:tcW w:w="860" w:type="dxa"/>
            <w:tcBorders>
              <w:top w:val="single" w:sz="4" w:space="0" w:color="auto"/>
              <w:left w:val="single" w:sz="12" w:space="0" w:color="auto"/>
              <w:bottom w:val="single" w:sz="4" w:space="0" w:color="auto"/>
              <w:right w:val="single" w:sz="12" w:space="0" w:color="auto"/>
            </w:tcBorders>
          </w:tcPr>
          <w:p w14:paraId="58FDC6A8" w14:textId="77777777" w:rsidR="00492F82" w:rsidRPr="003D5DFA" w:rsidRDefault="00921BCD" w:rsidP="00782D20">
            <w:pPr>
              <w:jc w:val="center"/>
              <w:rPr>
                <w:rFonts w:ascii="Arial" w:hAnsi="Arial" w:cs="Arial"/>
                <w:color w:val="000000"/>
                <w:sz w:val="20"/>
              </w:rPr>
            </w:pPr>
            <w:r>
              <w:rPr>
                <w:rFonts w:ascii="Arial" w:hAnsi="Arial" w:cs="Arial"/>
                <w:color w:val="000000"/>
                <w:sz w:val="20"/>
              </w:rPr>
              <w:t>7,149</w:t>
            </w:r>
          </w:p>
        </w:tc>
        <w:tc>
          <w:tcPr>
            <w:tcW w:w="816" w:type="dxa"/>
            <w:tcBorders>
              <w:top w:val="single" w:sz="4" w:space="0" w:color="auto"/>
              <w:left w:val="single" w:sz="12" w:space="0" w:color="auto"/>
              <w:bottom w:val="single" w:sz="4" w:space="0" w:color="auto"/>
              <w:right w:val="single" w:sz="12" w:space="0" w:color="auto"/>
            </w:tcBorders>
          </w:tcPr>
          <w:p w14:paraId="1ABB128B" w14:textId="77777777" w:rsidR="00492F82" w:rsidRPr="003D5DFA" w:rsidRDefault="00921BCD" w:rsidP="00782D20">
            <w:pPr>
              <w:jc w:val="center"/>
              <w:rPr>
                <w:rFonts w:ascii="Arial" w:hAnsi="Arial" w:cs="Arial"/>
                <w:color w:val="000000"/>
                <w:sz w:val="20"/>
              </w:rPr>
            </w:pPr>
            <w:r>
              <w:rPr>
                <w:rFonts w:ascii="Arial" w:hAnsi="Arial" w:cs="Arial"/>
                <w:color w:val="000000"/>
                <w:sz w:val="20"/>
              </w:rPr>
              <w:t>2,686</w:t>
            </w:r>
          </w:p>
        </w:tc>
        <w:tc>
          <w:tcPr>
            <w:tcW w:w="860" w:type="dxa"/>
            <w:tcBorders>
              <w:top w:val="single" w:sz="4" w:space="0" w:color="auto"/>
              <w:left w:val="single" w:sz="12" w:space="0" w:color="auto"/>
              <w:bottom w:val="single" w:sz="4" w:space="0" w:color="auto"/>
              <w:right w:val="single" w:sz="12" w:space="0" w:color="auto"/>
            </w:tcBorders>
          </w:tcPr>
          <w:p w14:paraId="15C32D79" w14:textId="77777777" w:rsidR="00492F82" w:rsidRPr="003D5DFA" w:rsidRDefault="00921BCD" w:rsidP="00782D20">
            <w:pPr>
              <w:jc w:val="center"/>
              <w:rPr>
                <w:rFonts w:ascii="Arial" w:hAnsi="Arial" w:cs="Arial"/>
                <w:color w:val="000000"/>
                <w:sz w:val="20"/>
              </w:rPr>
            </w:pPr>
            <w:r>
              <w:rPr>
                <w:rFonts w:ascii="Arial" w:hAnsi="Arial" w:cs="Arial"/>
                <w:color w:val="000000"/>
                <w:sz w:val="20"/>
              </w:rPr>
              <w:t>1,836</w:t>
            </w:r>
          </w:p>
        </w:tc>
        <w:tc>
          <w:tcPr>
            <w:tcW w:w="842" w:type="dxa"/>
            <w:tcBorders>
              <w:top w:val="single" w:sz="4" w:space="0" w:color="auto"/>
              <w:left w:val="single" w:sz="12" w:space="0" w:color="auto"/>
              <w:bottom w:val="single" w:sz="4" w:space="0" w:color="auto"/>
              <w:right w:val="single" w:sz="12" w:space="0" w:color="auto"/>
            </w:tcBorders>
          </w:tcPr>
          <w:p w14:paraId="7BB43FAA" w14:textId="77777777" w:rsidR="00492F82" w:rsidRPr="003D5DFA" w:rsidRDefault="00921BCD" w:rsidP="00782D20">
            <w:pPr>
              <w:jc w:val="center"/>
              <w:rPr>
                <w:rFonts w:ascii="Arial" w:hAnsi="Arial" w:cs="Arial"/>
                <w:color w:val="000000"/>
                <w:sz w:val="20"/>
              </w:rPr>
            </w:pPr>
            <w:r>
              <w:rPr>
                <w:rFonts w:ascii="Arial" w:hAnsi="Arial" w:cs="Arial"/>
                <w:color w:val="000000"/>
                <w:sz w:val="20"/>
              </w:rPr>
              <w:t>918</w:t>
            </w:r>
          </w:p>
        </w:tc>
        <w:tc>
          <w:tcPr>
            <w:tcW w:w="729" w:type="dxa"/>
            <w:tcBorders>
              <w:top w:val="single" w:sz="4" w:space="0" w:color="auto"/>
              <w:left w:val="single" w:sz="12" w:space="0" w:color="auto"/>
              <w:bottom w:val="single" w:sz="4" w:space="0" w:color="auto"/>
              <w:right w:val="single" w:sz="12" w:space="0" w:color="auto"/>
            </w:tcBorders>
          </w:tcPr>
          <w:p w14:paraId="4CFB4C40" w14:textId="77777777" w:rsidR="00492F82" w:rsidRPr="003D5DFA" w:rsidRDefault="00921BCD" w:rsidP="00782D20">
            <w:pPr>
              <w:jc w:val="center"/>
              <w:rPr>
                <w:rFonts w:ascii="Arial" w:hAnsi="Arial" w:cs="Arial"/>
                <w:color w:val="000000"/>
                <w:sz w:val="20"/>
              </w:rPr>
            </w:pPr>
            <w:r>
              <w:rPr>
                <w:rFonts w:ascii="Arial" w:hAnsi="Arial" w:cs="Arial"/>
                <w:color w:val="000000"/>
                <w:sz w:val="20"/>
              </w:rPr>
              <w:t>494</w:t>
            </w:r>
          </w:p>
        </w:tc>
        <w:tc>
          <w:tcPr>
            <w:tcW w:w="729" w:type="dxa"/>
            <w:tcBorders>
              <w:top w:val="single" w:sz="4" w:space="0" w:color="auto"/>
              <w:left w:val="single" w:sz="12" w:space="0" w:color="auto"/>
              <w:bottom w:val="single" w:sz="4" w:space="0" w:color="auto"/>
              <w:right w:val="single" w:sz="12" w:space="0" w:color="auto"/>
            </w:tcBorders>
          </w:tcPr>
          <w:p w14:paraId="5FA917E1" w14:textId="77777777" w:rsidR="00492F82" w:rsidRPr="003D5DFA" w:rsidRDefault="00921BCD" w:rsidP="00782D20">
            <w:pPr>
              <w:jc w:val="center"/>
              <w:rPr>
                <w:rFonts w:ascii="Arial" w:hAnsi="Arial" w:cs="Arial"/>
                <w:color w:val="000000"/>
                <w:sz w:val="20"/>
              </w:rPr>
            </w:pPr>
            <w:r>
              <w:rPr>
                <w:rFonts w:ascii="Arial" w:hAnsi="Arial" w:cs="Arial"/>
                <w:color w:val="000000"/>
                <w:sz w:val="20"/>
              </w:rPr>
              <w:t>1,204</w:t>
            </w:r>
          </w:p>
        </w:tc>
        <w:tc>
          <w:tcPr>
            <w:tcW w:w="955" w:type="dxa"/>
            <w:tcBorders>
              <w:top w:val="single" w:sz="4" w:space="0" w:color="auto"/>
              <w:left w:val="single" w:sz="12" w:space="0" w:color="auto"/>
              <w:bottom w:val="single" w:sz="4" w:space="0" w:color="auto"/>
            </w:tcBorders>
          </w:tcPr>
          <w:p w14:paraId="7505EA67" w14:textId="77777777" w:rsidR="00492F82" w:rsidRPr="003D5DFA" w:rsidRDefault="00921BCD" w:rsidP="00782D20">
            <w:pPr>
              <w:jc w:val="center"/>
              <w:rPr>
                <w:rFonts w:ascii="Arial" w:hAnsi="Arial" w:cs="Arial"/>
                <w:color w:val="000000"/>
                <w:sz w:val="20"/>
              </w:rPr>
            </w:pPr>
            <w:r>
              <w:rPr>
                <w:rFonts w:ascii="Arial" w:hAnsi="Arial" w:cs="Arial"/>
                <w:color w:val="000000"/>
                <w:sz w:val="20"/>
              </w:rPr>
              <w:t>40,571</w:t>
            </w:r>
          </w:p>
        </w:tc>
      </w:tr>
      <w:tr w:rsidR="00B00042" w:rsidRPr="003D5DFA" w14:paraId="56A68390" w14:textId="77777777" w:rsidTr="00C650FB">
        <w:trPr>
          <w:jc w:val="center"/>
        </w:trPr>
        <w:tc>
          <w:tcPr>
            <w:tcW w:w="1182" w:type="dxa"/>
            <w:tcBorders>
              <w:top w:val="single" w:sz="4" w:space="0" w:color="auto"/>
              <w:left w:val="single" w:sz="12" w:space="0" w:color="auto"/>
              <w:bottom w:val="single" w:sz="18" w:space="0" w:color="auto"/>
              <w:right w:val="single" w:sz="12" w:space="0" w:color="auto"/>
            </w:tcBorders>
          </w:tcPr>
          <w:p w14:paraId="7F969252" w14:textId="77777777" w:rsidR="00B00042" w:rsidRDefault="00B00042" w:rsidP="00782D20">
            <w:pPr>
              <w:jc w:val="center"/>
              <w:rPr>
                <w:rFonts w:ascii="Arial" w:hAnsi="Arial" w:cs="Arial"/>
                <w:color w:val="000000"/>
                <w:sz w:val="20"/>
              </w:rPr>
            </w:pPr>
            <w:r>
              <w:rPr>
                <w:rFonts w:ascii="Arial" w:hAnsi="Arial" w:cs="Arial"/>
                <w:color w:val="000000"/>
                <w:sz w:val="20"/>
              </w:rPr>
              <w:t>2013-2014</w:t>
            </w:r>
          </w:p>
        </w:tc>
        <w:tc>
          <w:tcPr>
            <w:tcW w:w="956" w:type="dxa"/>
            <w:tcBorders>
              <w:top w:val="single" w:sz="4" w:space="0" w:color="auto"/>
              <w:left w:val="single" w:sz="12" w:space="0" w:color="auto"/>
              <w:bottom w:val="single" w:sz="18" w:space="0" w:color="auto"/>
              <w:right w:val="single" w:sz="12" w:space="0" w:color="auto"/>
            </w:tcBorders>
          </w:tcPr>
          <w:p w14:paraId="4E78448E" w14:textId="77777777" w:rsidR="00B00042" w:rsidRDefault="00B00042" w:rsidP="00782D20">
            <w:pPr>
              <w:jc w:val="center"/>
              <w:rPr>
                <w:rFonts w:ascii="Arial" w:hAnsi="Arial" w:cs="Arial"/>
                <w:color w:val="000000"/>
                <w:sz w:val="20"/>
              </w:rPr>
            </w:pPr>
            <w:r>
              <w:rPr>
                <w:rFonts w:ascii="Arial" w:hAnsi="Arial" w:cs="Arial"/>
                <w:color w:val="000000"/>
                <w:sz w:val="20"/>
              </w:rPr>
              <w:t>15,074</w:t>
            </w:r>
          </w:p>
        </w:tc>
        <w:tc>
          <w:tcPr>
            <w:tcW w:w="860" w:type="dxa"/>
            <w:tcBorders>
              <w:top w:val="single" w:sz="4" w:space="0" w:color="auto"/>
              <w:left w:val="single" w:sz="12" w:space="0" w:color="auto"/>
              <w:bottom w:val="single" w:sz="18" w:space="0" w:color="auto"/>
              <w:right w:val="single" w:sz="12" w:space="0" w:color="auto"/>
            </w:tcBorders>
            <w:shd w:val="pct10" w:color="auto" w:fill="auto"/>
          </w:tcPr>
          <w:p w14:paraId="76EAE3A9" w14:textId="77777777" w:rsidR="00B00042" w:rsidRDefault="00B00042" w:rsidP="00782D20">
            <w:pPr>
              <w:jc w:val="center"/>
              <w:rPr>
                <w:rFonts w:ascii="Arial" w:hAnsi="Arial" w:cs="Arial"/>
                <w:color w:val="000000"/>
                <w:sz w:val="20"/>
              </w:rPr>
            </w:pPr>
            <w:r>
              <w:rPr>
                <w:rFonts w:ascii="Arial" w:hAnsi="Arial" w:cs="Arial"/>
                <w:color w:val="000000"/>
                <w:sz w:val="20"/>
              </w:rPr>
              <w:t>11,395</w:t>
            </w:r>
          </w:p>
        </w:tc>
        <w:tc>
          <w:tcPr>
            <w:tcW w:w="860" w:type="dxa"/>
            <w:tcBorders>
              <w:top w:val="single" w:sz="4" w:space="0" w:color="auto"/>
              <w:left w:val="single" w:sz="12" w:space="0" w:color="auto"/>
              <w:bottom w:val="single" w:sz="18" w:space="0" w:color="auto"/>
              <w:right w:val="single" w:sz="12" w:space="0" w:color="auto"/>
            </w:tcBorders>
          </w:tcPr>
          <w:p w14:paraId="2C2CAFB3" w14:textId="77777777" w:rsidR="00B00042" w:rsidRDefault="00B00042" w:rsidP="00782D20">
            <w:pPr>
              <w:jc w:val="center"/>
              <w:rPr>
                <w:rFonts w:ascii="Arial" w:hAnsi="Arial" w:cs="Arial"/>
                <w:color w:val="000000"/>
                <w:sz w:val="20"/>
              </w:rPr>
            </w:pPr>
            <w:r>
              <w:rPr>
                <w:rFonts w:ascii="Arial" w:hAnsi="Arial" w:cs="Arial"/>
                <w:color w:val="000000"/>
                <w:sz w:val="20"/>
              </w:rPr>
              <w:t>6,685</w:t>
            </w:r>
          </w:p>
        </w:tc>
        <w:tc>
          <w:tcPr>
            <w:tcW w:w="816" w:type="dxa"/>
            <w:tcBorders>
              <w:top w:val="single" w:sz="4" w:space="0" w:color="auto"/>
              <w:left w:val="single" w:sz="12" w:space="0" w:color="auto"/>
              <w:bottom w:val="single" w:sz="18" w:space="0" w:color="auto"/>
              <w:right w:val="single" w:sz="12" w:space="0" w:color="auto"/>
            </w:tcBorders>
          </w:tcPr>
          <w:p w14:paraId="495D2FAE" w14:textId="77777777" w:rsidR="00B00042" w:rsidRDefault="00B00042" w:rsidP="00782D20">
            <w:pPr>
              <w:jc w:val="center"/>
              <w:rPr>
                <w:rFonts w:ascii="Arial" w:hAnsi="Arial" w:cs="Arial"/>
                <w:color w:val="000000"/>
                <w:sz w:val="20"/>
              </w:rPr>
            </w:pPr>
            <w:r>
              <w:rPr>
                <w:rFonts w:ascii="Arial" w:hAnsi="Arial" w:cs="Arial"/>
                <w:color w:val="000000"/>
                <w:sz w:val="20"/>
              </w:rPr>
              <w:t>3,053</w:t>
            </w:r>
          </w:p>
        </w:tc>
        <w:tc>
          <w:tcPr>
            <w:tcW w:w="860" w:type="dxa"/>
            <w:tcBorders>
              <w:top w:val="single" w:sz="4" w:space="0" w:color="auto"/>
              <w:left w:val="single" w:sz="12" w:space="0" w:color="auto"/>
              <w:bottom w:val="single" w:sz="18" w:space="0" w:color="auto"/>
              <w:right w:val="single" w:sz="12" w:space="0" w:color="auto"/>
            </w:tcBorders>
          </w:tcPr>
          <w:p w14:paraId="16FB1542" w14:textId="77777777" w:rsidR="00B00042" w:rsidRDefault="00B00042" w:rsidP="00782D20">
            <w:pPr>
              <w:jc w:val="center"/>
              <w:rPr>
                <w:rFonts w:ascii="Arial" w:hAnsi="Arial" w:cs="Arial"/>
                <w:color w:val="000000"/>
                <w:sz w:val="20"/>
              </w:rPr>
            </w:pPr>
            <w:r>
              <w:rPr>
                <w:rFonts w:ascii="Arial" w:hAnsi="Arial" w:cs="Arial"/>
                <w:color w:val="000000"/>
                <w:sz w:val="20"/>
              </w:rPr>
              <w:t>2,190</w:t>
            </w:r>
          </w:p>
        </w:tc>
        <w:tc>
          <w:tcPr>
            <w:tcW w:w="842" w:type="dxa"/>
            <w:tcBorders>
              <w:top w:val="single" w:sz="4" w:space="0" w:color="auto"/>
              <w:left w:val="single" w:sz="12" w:space="0" w:color="auto"/>
              <w:bottom w:val="single" w:sz="18" w:space="0" w:color="auto"/>
              <w:right w:val="single" w:sz="12" w:space="0" w:color="auto"/>
            </w:tcBorders>
          </w:tcPr>
          <w:p w14:paraId="396B3FCC" w14:textId="77777777" w:rsidR="00B00042" w:rsidRDefault="00B00042" w:rsidP="00782D20">
            <w:pPr>
              <w:jc w:val="center"/>
              <w:rPr>
                <w:rFonts w:ascii="Arial" w:hAnsi="Arial" w:cs="Arial"/>
                <w:color w:val="000000"/>
                <w:sz w:val="20"/>
              </w:rPr>
            </w:pPr>
            <w:r>
              <w:rPr>
                <w:rFonts w:ascii="Arial" w:hAnsi="Arial" w:cs="Arial"/>
                <w:color w:val="000000"/>
                <w:sz w:val="20"/>
              </w:rPr>
              <w:t>712</w:t>
            </w:r>
          </w:p>
        </w:tc>
        <w:tc>
          <w:tcPr>
            <w:tcW w:w="729" w:type="dxa"/>
            <w:tcBorders>
              <w:top w:val="single" w:sz="4" w:space="0" w:color="auto"/>
              <w:left w:val="single" w:sz="12" w:space="0" w:color="auto"/>
              <w:bottom w:val="single" w:sz="18" w:space="0" w:color="auto"/>
              <w:right w:val="single" w:sz="12" w:space="0" w:color="auto"/>
            </w:tcBorders>
          </w:tcPr>
          <w:p w14:paraId="627B3F23" w14:textId="77777777" w:rsidR="00B00042" w:rsidRDefault="00B00042" w:rsidP="00782D20">
            <w:pPr>
              <w:jc w:val="center"/>
              <w:rPr>
                <w:rFonts w:ascii="Arial" w:hAnsi="Arial" w:cs="Arial"/>
                <w:color w:val="000000"/>
                <w:sz w:val="20"/>
              </w:rPr>
            </w:pPr>
            <w:r>
              <w:rPr>
                <w:rFonts w:ascii="Arial" w:hAnsi="Arial" w:cs="Arial"/>
                <w:color w:val="000000"/>
                <w:sz w:val="20"/>
              </w:rPr>
              <w:t>341</w:t>
            </w:r>
          </w:p>
        </w:tc>
        <w:tc>
          <w:tcPr>
            <w:tcW w:w="729" w:type="dxa"/>
            <w:tcBorders>
              <w:top w:val="single" w:sz="4" w:space="0" w:color="auto"/>
              <w:left w:val="single" w:sz="12" w:space="0" w:color="auto"/>
              <w:bottom w:val="single" w:sz="18" w:space="0" w:color="auto"/>
              <w:right w:val="single" w:sz="12" w:space="0" w:color="auto"/>
            </w:tcBorders>
          </w:tcPr>
          <w:p w14:paraId="2D320D3D" w14:textId="77777777" w:rsidR="00B00042" w:rsidRDefault="00B00042" w:rsidP="00782D20">
            <w:pPr>
              <w:jc w:val="center"/>
              <w:rPr>
                <w:rFonts w:ascii="Arial" w:hAnsi="Arial" w:cs="Arial"/>
                <w:color w:val="000000"/>
                <w:sz w:val="20"/>
              </w:rPr>
            </w:pPr>
            <w:r>
              <w:rPr>
                <w:rFonts w:ascii="Arial" w:hAnsi="Arial" w:cs="Arial"/>
                <w:color w:val="000000"/>
                <w:sz w:val="20"/>
              </w:rPr>
              <w:t>1,394</w:t>
            </w:r>
          </w:p>
        </w:tc>
        <w:tc>
          <w:tcPr>
            <w:tcW w:w="955" w:type="dxa"/>
            <w:tcBorders>
              <w:top w:val="single" w:sz="4" w:space="0" w:color="auto"/>
              <w:left w:val="single" w:sz="12" w:space="0" w:color="auto"/>
              <w:bottom w:val="single" w:sz="18" w:space="0" w:color="auto"/>
            </w:tcBorders>
          </w:tcPr>
          <w:p w14:paraId="7432A9BC" w14:textId="77777777" w:rsidR="00B00042" w:rsidRDefault="00B00042" w:rsidP="00782D20">
            <w:pPr>
              <w:jc w:val="center"/>
              <w:rPr>
                <w:rFonts w:ascii="Arial" w:hAnsi="Arial" w:cs="Arial"/>
                <w:color w:val="000000"/>
                <w:sz w:val="20"/>
              </w:rPr>
            </w:pPr>
            <w:r>
              <w:rPr>
                <w:rFonts w:ascii="Arial" w:hAnsi="Arial" w:cs="Arial"/>
                <w:color w:val="000000"/>
                <w:sz w:val="20"/>
              </w:rPr>
              <w:t>40,844</w:t>
            </w:r>
          </w:p>
        </w:tc>
      </w:tr>
    </w:tbl>
    <w:p w14:paraId="1B6EAA87" w14:textId="77777777" w:rsidR="00390E49" w:rsidRDefault="00390E49" w:rsidP="00390E49">
      <w:pPr>
        <w:jc w:val="both"/>
        <w:rPr>
          <w:rFonts w:ascii="Arial" w:hAnsi="Arial" w:cs="Arial"/>
          <w:bCs/>
          <w:color w:val="000000"/>
          <w:sz w:val="20"/>
        </w:rPr>
      </w:pPr>
      <w:bookmarkStart w:id="853" w:name="_Toc30607531"/>
      <w:bookmarkStart w:id="854" w:name="_Toc30607660"/>
      <w:bookmarkStart w:id="855" w:name="_Toc30607985"/>
      <w:bookmarkStart w:id="856" w:name="_Toc30608818"/>
      <w:bookmarkStart w:id="857" w:name="_Toc30610032"/>
      <w:bookmarkStart w:id="858" w:name="_Toc30610276"/>
      <w:bookmarkStart w:id="859" w:name="_Toc30638430"/>
      <w:bookmarkStart w:id="860" w:name="_Toc30644243"/>
      <w:bookmarkStart w:id="861" w:name="_Toc30644650"/>
      <w:bookmarkStart w:id="862" w:name="_Toc30645200"/>
      <w:bookmarkStart w:id="863" w:name="_Toc30646412"/>
      <w:bookmarkStart w:id="864" w:name="_Toc30646707"/>
      <w:bookmarkStart w:id="865" w:name="_Toc30646818"/>
      <w:bookmarkStart w:id="866" w:name="_Toc30648180"/>
      <w:bookmarkStart w:id="867" w:name="_Toc30649078"/>
      <w:bookmarkStart w:id="868" w:name="_Toc30649154"/>
      <w:bookmarkStart w:id="869" w:name="_Toc30649415"/>
      <w:bookmarkStart w:id="870" w:name="_Toc30649740"/>
      <w:bookmarkStart w:id="871" w:name="_Toc30651680"/>
      <w:bookmarkStart w:id="872" w:name="_Toc30652670"/>
      <w:bookmarkStart w:id="873" w:name="_Toc30652766"/>
      <w:bookmarkStart w:id="874" w:name="_Toc30654111"/>
      <w:bookmarkStart w:id="875" w:name="_Toc30654462"/>
      <w:bookmarkStart w:id="876" w:name="_Toc30655081"/>
      <w:bookmarkStart w:id="877" w:name="_Toc30655338"/>
      <w:bookmarkStart w:id="878" w:name="_Toc30657016"/>
      <w:bookmarkStart w:id="879" w:name="_Toc30661765"/>
      <w:bookmarkStart w:id="880" w:name="_Toc30666453"/>
      <w:bookmarkStart w:id="881" w:name="_Toc30666683"/>
      <w:bookmarkStart w:id="882" w:name="_Toc30667858"/>
      <w:bookmarkStart w:id="883" w:name="_Toc30669236"/>
      <w:bookmarkStart w:id="884" w:name="_Toc30671452"/>
      <w:bookmarkStart w:id="885" w:name="_Toc30673979"/>
      <w:bookmarkStart w:id="886" w:name="_Toc30691201"/>
      <w:bookmarkStart w:id="887" w:name="_Toc30691574"/>
      <w:bookmarkStart w:id="888" w:name="_Toc30691954"/>
      <w:bookmarkStart w:id="889" w:name="_Toc30692713"/>
      <w:bookmarkStart w:id="890" w:name="_Toc30693092"/>
      <w:bookmarkStart w:id="891" w:name="_Toc30693470"/>
      <w:bookmarkStart w:id="892" w:name="_Toc30693848"/>
      <w:bookmarkStart w:id="893" w:name="_Toc30694229"/>
      <w:bookmarkStart w:id="894" w:name="_Toc30698818"/>
      <w:bookmarkStart w:id="895" w:name="_Toc30699196"/>
      <w:bookmarkStart w:id="896" w:name="_Toc30699581"/>
      <w:bookmarkStart w:id="897" w:name="_Toc30700736"/>
      <w:bookmarkStart w:id="898" w:name="_Toc30701123"/>
      <w:bookmarkStart w:id="899" w:name="_Toc30743732"/>
      <w:bookmarkStart w:id="900" w:name="_Toc30754555"/>
      <w:bookmarkStart w:id="901" w:name="_Toc30756995"/>
      <w:bookmarkStart w:id="902" w:name="_Toc30757544"/>
      <w:bookmarkStart w:id="903" w:name="_Toc30757944"/>
      <w:bookmarkStart w:id="904" w:name="_Toc30762705"/>
      <w:bookmarkStart w:id="905" w:name="_Toc30767359"/>
      <w:bookmarkStart w:id="906" w:name="_Toc34823374"/>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4D12054D" w14:textId="08205551" w:rsidR="00023781" w:rsidRPr="00785E1A" w:rsidRDefault="00B00042" w:rsidP="00390E49">
      <w:pPr>
        <w:jc w:val="both"/>
        <w:rPr>
          <w:rFonts w:ascii="Arial" w:hAnsi="Arial" w:cs="Arial"/>
          <w:color w:val="000000"/>
          <w:sz w:val="20"/>
        </w:rPr>
      </w:pPr>
      <w:r>
        <w:rPr>
          <w:rFonts w:ascii="Arial" w:hAnsi="Arial" w:cs="Arial"/>
          <w:bCs/>
          <w:color w:val="000000"/>
          <w:sz w:val="20"/>
        </w:rPr>
        <w:t>I</w:t>
      </w:r>
      <w:r w:rsidR="004B4DC2">
        <w:rPr>
          <w:rFonts w:ascii="Arial" w:hAnsi="Arial" w:cs="Arial"/>
          <w:bCs/>
          <w:color w:val="000000"/>
          <w:sz w:val="20"/>
        </w:rPr>
        <w:t xml:space="preserve">n 2012-2013 the number of substantiated reports </w:t>
      </w:r>
      <w:r>
        <w:rPr>
          <w:rFonts w:ascii="Arial" w:hAnsi="Arial" w:cs="Arial"/>
          <w:bCs/>
          <w:color w:val="000000"/>
          <w:sz w:val="20"/>
        </w:rPr>
        <w:t xml:space="preserve">in Victoria </w:t>
      </w:r>
      <w:r w:rsidR="004B4DC2">
        <w:rPr>
          <w:rFonts w:ascii="Arial" w:hAnsi="Arial" w:cs="Arial"/>
          <w:bCs/>
          <w:color w:val="000000"/>
          <w:sz w:val="20"/>
        </w:rPr>
        <w:t>increased by 11%</w:t>
      </w:r>
      <w:r>
        <w:rPr>
          <w:rFonts w:ascii="Arial" w:hAnsi="Arial" w:cs="Arial"/>
          <w:bCs/>
          <w:color w:val="000000"/>
          <w:sz w:val="20"/>
        </w:rPr>
        <w:t xml:space="preserve"> in 2012-2013 and by </w:t>
      </w:r>
      <w:r w:rsidR="001F6EA3">
        <w:rPr>
          <w:rFonts w:ascii="Arial" w:hAnsi="Arial" w:cs="Arial"/>
          <w:bCs/>
          <w:color w:val="000000"/>
          <w:sz w:val="20"/>
        </w:rPr>
        <w:t>13</w:t>
      </w:r>
      <w:r>
        <w:rPr>
          <w:rFonts w:ascii="Arial" w:hAnsi="Arial" w:cs="Arial"/>
          <w:bCs/>
          <w:color w:val="000000"/>
          <w:sz w:val="20"/>
        </w:rPr>
        <w:t>% in 2013-2014</w:t>
      </w:r>
      <w:r w:rsidR="004B4DC2">
        <w:rPr>
          <w:rFonts w:ascii="Arial" w:hAnsi="Arial" w:cs="Arial"/>
          <w:bCs/>
          <w:color w:val="000000"/>
          <w:sz w:val="20"/>
        </w:rPr>
        <w:t>.  The decreases in NSW [30%], ACT [43%] and NT [29%] were particularly marked</w:t>
      </w:r>
      <w:r>
        <w:rPr>
          <w:rFonts w:ascii="Arial" w:hAnsi="Arial" w:cs="Arial"/>
          <w:bCs/>
          <w:color w:val="000000"/>
          <w:sz w:val="20"/>
        </w:rPr>
        <w:t xml:space="preserve"> in 2012-2013</w:t>
      </w:r>
      <w:r w:rsidR="004B4DC2">
        <w:rPr>
          <w:rFonts w:ascii="Arial" w:hAnsi="Arial" w:cs="Arial"/>
          <w:bCs/>
          <w:color w:val="000000"/>
          <w:sz w:val="20"/>
        </w:rPr>
        <w:t>.  Is this proof positive of Professor Scott’s “crisis” theory?</w:t>
      </w:r>
    </w:p>
    <w:p w14:paraId="47623A95" w14:textId="77777777" w:rsidR="004B4DC2" w:rsidRPr="004B4DC2" w:rsidRDefault="004B4DC2" w:rsidP="004B4DC2">
      <w:pPr>
        <w:pStyle w:val="Heading3"/>
        <w:spacing w:line="240" w:lineRule="auto"/>
        <w:rPr>
          <w:rFonts w:ascii="Arial" w:hAnsi="Arial" w:cs="Arial"/>
          <w:bCs/>
          <w:color w:val="000000"/>
          <w:sz w:val="20"/>
          <w:lang w:val="en-AU"/>
        </w:rPr>
      </w:pPr>
    </w:p>
    <w:p w14:paraId="1E6E3747" w14:textId="77777777" w:rsidR="00693223" w:rsidRPr="00785E1A" w:rsidRDefault="00693223" w:rsidP="00166488">
      <w:pPr>
        <w:pStyle w:val="Heading2"/>
        <w:keepNext/>
        <w:keepLines/>
        <w:tabs>
          <w:tab w:val="left" w:pos="567"/>
        </w:tabs>
        <w:spacing w:line="240" w:lineRule="auto"/>
        <w:rPr>
          <w:rFonts w:ascii="Arial" w:hAnsi="Arial" w:cs="Arial"/>
          <w:b/>
          <w:bCs/>
          <w:color w:val="000000"/>
        </w:rPr>
      </w:pPr>
      <w:bookmarkStart w:id="907" w:name="_4.7_Representation_of"/>
      <w:bookmarkStart w:id="908" w:name="B47"/>
      <w:bookmarkEnd w:id="907"/>
      <w:bookmarkEnd w:id="908"/>
      <w:r w:rsidRPr="00785E1A">
        <w:rPr>
          <w:rFonts w:ascii="Arial" w:hAnsi="Arial" w:cs="Arial"/>
          <w:b/>
          <w:bCs/>
          <w:color w:val="000000"/>
        </w:rPr>
        <w:lastRenderedPageBreak/>
        <w:t>4.7</w:t>
      </w:r>
      <w:r w:rsidRPr="00785E1A">
        <w:rPr>
          <w:rFonts w:ascii="Arial" w:hAnsi="Arial" w:cs="Arial"/>
          <w:b/>
          <w:bCs/>
          <w:color w:val="000000"/>
        </w:rPr>
        <w:tab/>
        <w:t>Representation of children in the Family Division of the Court</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054B6DC5" w14:textId="77777777" w:rsidR="006A5D64" w:rsidRPr="00785E1A" w:rsidRDefault="006A5D64" w:rsidP="00166488">
      <w:pPr>
        <w:keepNext/>
        <w:keepLines/>
        <w:rPr>
          <w:rFonts w:ascii="Arial" w:hAnsi="Arial" w:cs="Arial"/>
          <w:color w:val="000000"/>
        </w:rPr>
      </w:pPr>
    </w:p>
    <w:p w14:paraId="39BEE347"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b/>
          <w:bCs/>
          <w:color w:val="000000"/>
          <w:sz w:val="20"/>
        </w:rPr>
      </w:pPr>
      <w:r w:rsidRPr="00785E1A">
        <w:rPr>
          <w:rFonts w:ascii="Arial" w:hAnsi="Arial" w:cs="Arial"/>
          <w:b/>
          <w:bCs/>
          <w:color w:val="000000"/>
          <w:sz w:val="20"/>
        </w:rPr>
        <w:t>"Lawyers, I suppose, were children once."</w:t>
      </w:r>
    </w:p>
    <w:p w14:paraId="6B21E3EC"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color w:val="000000"/>
          <w:sz w:val="20"/>
        </w:rPr>
      </w:pPr>
      <w:r w:rsidRPr="00785E1A">
        <w:rPr>
          <w:rFonts w:ascii="Arial" w:hAnsi="Arial" w:cs="Arial"/>
          <w:color w:val="000000"/>
          <w:sz w:val="20"/>
        </w:rPr>
        <w:t xml:space="preserve">Inscription upon the statue of a child in the </w:t>
      </w:r>
      <w:smartTag w:uri="urn:schemas-microsoft-com:office:smarttags" w:element="PlaceName">
        <w:r w:rsidRPr="00785E1A">
          <w:rPr>
            <w:rFonts w:ascii="Arial" w:hAnsi="Arial" w:cs="Arial"/>
            <w:color w:val="000000"/>
            <w:sz w:val="20"/>
          </w:rPr>
          <w:t>Inner</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Temple</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Garden</w:t>
        </w:r>
      </w:smartTag>
      <w:r w:rsidRPr="00785E1A">
        <w:rPr>
          <w:rFonts w:ascii="Arial" w:hAnsi="Arial" w:cs="Arial"/>
          <w:color w:val="000000"/>
          <w:sz w:val="20"/>
        </w:rPr>
        <w:t xml:space="preserve"> in </w:t>
      </w:r>
      <w:smartTag w:uri="urn:schemas-microsoft-com:office:smarttags" w:element="place">
        <w:smartTag w:uri="urn:schemas-microsoft-com:office:smarttags" w:element="City">
          <w:r w:rsidRPr="00785E1A">
            <w:rPr>
              <w:rFonts w:ascii="Arial" w:hAnsi="Arial" w:cs="Arial"/>
              <w:color w:val="000000"/>
              <w:sz w:val="20"/>
            </w:rPr>
            <w:t>London</w:t>
          </w:r>
        </w:smartTag>
      </w:smartTag>
    </w:p>
    <w:p w14:paraId="0E31B95E" w14:textId="77777777" w:rsidR="006A5D64" w:rsidRPr="00785E1A" w:rsidRDefault="006A5D64" w:rsidP="001F6EA3">
      <w:pPr>
        <w:jc w:val="both"/>
        <w:rPr>
          <w:rFonts w:ascii="Arial" w:hAnsi="Arial" w:cs="Arial"/>
          <w:color w:val="000000"/>
        </w:rPr>
      </w:pPr>
    </w:p>
    <w:p w14:paraId="24A0FC87" w14:textId="77777777" w:rsidR="00693223" w:rsidRPr="00CB73D1" w:rsidRDefault="00693223" w:rsidP="001F6EA3">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CB73D1">
        <w:rPr>
          <w:rFonts w:ascii="Arial" w:hAnsi="Arial" w:cs="Arial"/>
          <w:color w:val="000000"/>
          <w:sz w:val="20"/>
        </w:rPr>
        <w:t>See also</w:t>
      </w:r>
      <w:r w:rsidRPr="00CB73D1">
        <w:rPr>
          <w:rFonts w:ascii="Arial" w:hAnsi="Arial" w:cs="Arial"/>
          <w:b/>
          <w:bCs/>
          <w:color w:val="000000"/>
          <w:sz w:val="20"/>
        </w:rPr>
        <w:t xml:space="preserve"> 6.</w:t>
      </w:r>
      <w:r w:rsidR="00ED4D32" w:rsidRPr="00CB73D1">
        <w:rPr>
          <w:rFonts w:ascii="Arial" w:hAnsi="Arial" w:cs="Arial"/>
          <w:b/>
          <w:bCs/>
          <w:color w:val="000000"/>
          <w:sz w:val="20"/>
        </w:rPr>
        <w:t>10</w:t>
      </w:r>
      <w:r w:rsidRPr="00CB73D1">
        <w:rPr>
          <w:rFonts w:ascii="Arial" w:hAnsi="Arial" w:cs="Arial"/>
          <w:b/>
          <w:bCs/>
          <w:color w:val="000000"/>
          <w:sz w:val="20"/>
        </w:rPr>
        <w:t xml:space="preserve"> Representation of children in intervention order proceedings</w:t>
      </w:r>
      <w:r w:rsidRPr="00CB73D1">
        <w:rPr>
          <w:rFonts w:ascii="Arial" w:hAnsi="Arial" w:cs="Arial"/>
          <w:color w:val="000000"/>
          <w:sz w:val="20"/>
        </w:rPr>
        <w:t>.</w:t>
      </w:r>
    </w:p>
    <w:p w14:paraId="4F04956B" w14:textId="77777777" w:rsidR="00693223" w:rsidRPr="00785E1A" w:rsidRDefault="00693223" w:rsidP="001F6EA3">
      <w:pPr>
        <w:jc w:val="both"/>
        <w:rPr>
          <w:rFonts w:ascii="Arial" w:hAnsi="Arial" w:cs="Arial"/>
          <w:color w:val="000000"/>
        </w:rPr>
      </w:pPr>
    </w:p>
    <w:p w14:paraId="7DE5038F" w14:textId="77777777" w:rsidR="007D2F69" w:rsidRPr="003D5DFA" w:rsidRDefault="00F32A61" w:rsidP="001F6EA3">
      <w:pPr>
        <w:pStyle w:val="Heading3"/>
        <w:keepNext/>
        <w:keepLines/>
        <w:widowControl/>
        <w:spacing w:after="120" w:line="240" w:lineRule="auto"/>
        <w:rPr>
          <w:rFonts w:ascii="Arial" w:hAnsi="Arial" w:cs="Arial"/>
          <w:b/>
          <w:bCs/>
          <w:color w:val="000000"/>
          <w:sz w:val="20"/>
        </w:rPr>
      </w:pPr>
      <w:bookmarkStart w:id="909" w:name="_4.7.1_Obligation_to"/>
      <w:bookmarkStart w:id="910" w:name="B471"/>
      <w:bookmarkEnd w:id="909"/>
      <w:bookmarkEnd w:id="910"/>
      <w:r w:rsidRPr="00785E1A">
        <w:rPr>
          <w:rFonts w:ascii="Arial" w:hAnsi="Arial" w:cs="Arial"/>
          <w:b/>
          <w:bCs/>
          <w:color w:val="000000"/>
          <w:sz w:val="20"/>
        </w:rPr>
        <w:t>4.7.1</w:t>
      </w:r>
      <w:r w:rsidRPr="00785E1A">
        <w:rPr>
          <w:rFonts w:ascii="Arial" w:hAnsi="Arial" w:cs="Arial"/>
          <w:b/>
          <w:bCs/>
          <w:color w:val="000000"/>
          <w:sz w:val="20"/>
        </w:rPr>
        <w:tab/>
        <w:t>Obligation to afford child a fair hearing</w:t>
      </w:r>
    </w:p>
    <w:p w14:paraId="55C66F0C" w14:textId="77777777" w:rsidR="003E0D54" w:rsidRPr="00785E1A" w:rsidRDefault="00507E47" w:rsidP="00F32A61">
      <w:pPr>
        <w:spacing w:before="120"/>
        <w:jc w:val="both"/>
        <w:rPr>
          <w:rFonts w:ascii="Arial" w:hAnsi="Arial" w:cs="Arial"/>
          <w:color w:val="000000"/>
          <w:sz w:val="20"/>
        </w:rPr>
      </w:pPr>
      <w:r w:rsidRPr="00785E1A">
        <w:rPr>
          <w:rFonts w:ascii="Arial" w:hAnsi="Arial" w:cs="Arial"/>
          <w:bCs/>
          <w:color w:val="000000"/>
          <w:sz w:val="20"/>
        </w:rPr>
        <w:t xml:space="preserve">In </w:t>
      </w:r>
      <w:r w:rsidRPr="00785E1A">
        <w:rPr>
          <w:rFonts w:ascii="Arial" w:hAnsi="Arial" w:cs="Arial"/>
          <w:bCs/>
          <w:i/>
          <w:color w:val="000000"/>
          <w:sz w:val="20"/>
        </w:rPr>
        <w:t>DOHS v Sanding</w:t>
      </w:r>
      <w:r w:rsidR="003E0D54" w:rsidRPr="00785E1A">
        <w:rPr>
          <w:rFonts w:ascii="Arial" w:hAnsi="Arial" w:cs="Arial"/>
          <w:bCs/>
          <w:color w:val="000000"/>
          <w:sz w:val="20"/>
        </w:rPr>
        <w:t xml:space="preserve"> [2011] VSC 42 </w:t>
      </w:r>
      <w:r w:rsidRPr="00785E1A">
        <w:rPr>
          <w:rFonts w:ascii="Arial" w:hAnsi="Arial" w:cs="Arial"/>
          <w:bCs/>
          <w:color w:val="000000"/>
          <w:sz w:val="20"/>
        </w:rPr>
        <w:t xml:space="preserve">Bell J </w:t>
      </w:r>
      <w:r w:rsidR="00F32A61" w:rsidRPr="00785E1A">
        <w:rPr>
          <w:rFonts w:ascii="Arial" w:hAnsi="Arial" w:cs="Arial"/>
          <w:color w:val="000000"/>
          <w:sz w:val="20"/>
        </w:rPr>
        <w:t>stressed the importance of affording a child a</w:t>
      </w:r>
      <w:r w:rsidR="00F917A7" w:rsidRPr="00785E1A">
        <w:rPr>
          <w:rFonts w:ascii="Arial" w:hAnsi="Arial" w:cs="Arial"/>
          <w:color w:val="000000"/>
          <w:sz w:val="20"/>
        </w:rPr>
        <w:t xml:space="preserve"> fair hearing in a protection proceeding</w:t>
      </w:r>
      <w:r w:rsidR="003E0D54" w:rsidRPr="00785E1A">
        <w:rPr>
          <w:rFonts w:ascii="Arial" w:hAnsi="Arial" w:cs="Arial"/>
          <w:color w:val="000000"/>
          <w:sz w:val="20"/>
        </w:rPr>
        <w:t xml:space="preserve"> and of a child being heard in matters affecting him or her.</w:t>
      </w:r>
    </w:p>
    <w:p w14:paraId="389F00FE" w14:textId="77777777" w:rsidR="003E0D54" w:rsidRPr="00785E1A" w:rsidRDefault="003E0D54" w:rsidP="003E0D54">
      <w:pPr>
        <w:jc w:val="both"/>
        <w:rPr>
          <w:rFonts w:ascii="Arial" w:hAnsi="Arial" w:cs="Arial"/>
          <w:color w:val="000000"/>
          <w:sz w:val="20"/>
        </w:rPr>
      </w:pPr>
    </w:p>
    <w:p w14:paraId="46F5DDC0" w14:textId="77777777" w:rsidR="003E0D54" w:rsidRPr="00785E1A" w:rsidRDefault="003E0D54" w:rsidP="003E0D54">
      <w:pPr>
        <w:jc w:val="both"/>
        <w:rPr>
          <w:rFonts w:ascii="Arial" w:hAnsi="Arial" w:cs="Arial"/>
          <w:color w:val="000000"/>
          <w:sz w:val="20"/>
        </w:rPr>
      </w:pPr>
      <w:r w:rsidRPr="00785E1A">
        <w:rPr>
          <w:rFonts w:ascii="Arial" w:hAnsi="Arial" w:cs="Arial"/>
          <w:color w:val="000000"/>
          <w:sz w:val="20"/>
        </w:rPr>
        <w:t>At [209] his Honour said:</w:t>
      </w:r>
    </w:p>
    <w:p w14:paraId="6148E18B" w14:textId="77777777" w:rsidR="003E0D54" w:rsidRPr="00785E1A" w:rsidRDefault="003E0D54"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“It is unquestionably important for the voice of a child to be heard in matters affecting them.  As I have said, children bear rights personally, and are entitled to respect of their individual human dignity.  The views of children should therefore be obtained and given proper consideration.  The </w:t>
      </w:r>
      <w:r w:rsidRPr="00785E1A">
        <w:rPr>
          <w:rFonts w:ascii="Arial" w:hAnsi="Arial" w:cs="Arial"/>
          <w:bCs/>
          <w:i/>
          <w:color w:val="000000"/>
          <w:sz w:val="20"/>
        </w:rPr>
        <w:t xml:space="preserve">Children, Youth and Families Act </w:t>
      </w:r>
      <w:r w:rsidRPr="00785E1A">
        <w:rPr>
          <w:rFonts w:ascii="Arial" w:hAnsi="Arial" w:cs="Arial"/>
          <w:bCs/>
          <w:color w:val="000000"/>
          <w:sz w:val="20"/>
        </w:rPr>
        <w:t xml:space="preserve">contains specific mandatory provisions giving effect to those principles, </w:t>
      </w:r>
      <w:r w:rsidRPr="009D495F">
        <w:rPr>
          <w:rFonts w:ascii="Arial" w:hAnsi="Arial" w:cs="Arial"/>
          <w:bCs/>
          <w:color w:val="000000"/>
          <w:sz w:val="20"/>
        </w:rPr>
        <w:t>reflecting fundamental values which are expressed in art.12 of the</w:t>
      </w:r>
      <w:r w:rsidRPr="009D495F">
        <w:rPr>
          <w:rFonts w:ascii="Arial" w:hAnsi="Arial" w:cs="Arial"/>
          <w:bCs/>
          <w:i/>
          <w:color w:val="000000"/>
          <w:sz w:val="20"/>
        </w:rPr>
        <w:t xml:space="preserve"> Convention o</w:t>
      </w:r>
      <w:r w:rsidR="00C916DD" w:rsidRPr="009D495F">
        <w:rPr>
          <w:rFonts w:ascii="Arial" w:hAnsi="Arial" w:cs="Arial"/>
          <w:bCs/>
          <w:i/>
          <w:color w:val="000000"/>
          <w:sz w:val="20"/>
        </w:rPr>
        <w:t>n</w:t>
      </w:r>
      <w:r w:rsidRPr="00785E1A">
        <w:rPr>
          <w:rFonts w:ascii="Arial" w:hAnsi="Arial" w:cs="Arial"/>
          <w:bCs/>
          <w:i/>
          <w:color w:val="000000"/>
          <w:sz w:val="20"/>
        </w:rPr>
        <w:t xml:space="preserve"> the Rights of the Child</w:t>
      </w:r>
      <w:r w:rsidRPr="00785E1A">
        <w:rPr>
          <w:rFonts w:ascii="Arial" w:hAnsi="Arial" w:cs="Arial"/>
          <w:bCs/>
          <w:color w:val="000000"/>
          <w:sz w:val="20"/>
        </w:rPr>
        <w:t>:</w:t>
      </w:r>
    </w:p>
    <w:p w14:paraId="440186AF" w14:textId="77777777" w:rsidR="003E0D54" w:rsidRPr="00785E1A" w:rsidRDefault="003E0D54" w:rsidP="00FB1EE3">
      <w:pPr>
        <w:numPr>
          <w:ilvl w:val="0"/>
          <w:numId w:val="37"/>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14:paraId="0998C4B7" w14:textId="77777777" w:rsidR="003E0D54" w:rsidRPr="00785E1A" w:rsidRDefault="003E0D54" w:rsidP="00FB1EE3">
      <w:pPr>
        <w:numPr>
          <w:ilvl w:val="0"/>
          <w:numId w:val="37"/>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For this purpose, the child shall in particular be provided the opportunity to be heard in any judicial and administrative proceedings affecting the child, either directly or through a representative or any appropriate body, in a manner consistent with the procedural rules of national law.”</w:t>
      </w:r>
    </w:p>
    <w:p w14:paraId="44BF4B7D" w14:textId="77777777" w:rsidR="003E0D54" w:rsidRPr="00785E1A" w:rsidRDefault="003E0D54" w:rsidP="003C545B">
      <w:pPr>
        <w:jc w:val="both"/>
        <w:rPr>
          <w:rFonts w:ascii="Arial" w:hAnsi="Arial" w:cs="Arial"/>
          <w:color w:val="000000"/>
          <w:sz w:val="20"/>
        </w:rPr>
      </w:pPr>
    </w:p>
    <w:p w14:paraId="79BFDE49"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 xml:space="preserve">It does not necessarily follow from this that a child will invariably be denied a fair hearing if not legally represented or if not present in Court.  The underlying facts in </w:t>
      </w:r>
      <w:r w:rsidRPr="00785E1A">
        <w:rPr>
          <w:rFonts w:ascii="Arial" w:hAnsi="Arial" w:cs="Arial"/>
          <w:i/>
          <w:color w:val="000000"/>
          <w:sz w:val="20"/>
        </w:rPr>
        <w:t>Sanding</w:t>
      </w:r>
      <w:r w:rsidRPr="00785E1A">
        <w:rPr>
          <w:rFonts w:ascii="Arial" w:hAnsi="Arial" w:cs="Arial"/>
          <w:color w:val="000000"/>
          <w:sz w:val="20"/>
        </w:rPr>
        <w:t xml:space="preserve"> provide a </w:t>
      </w:r>
      <w:r w:rsidRPr="003D5DFA">
        <w:rPr>
          <w:rFonts w:ascii="Arial" w:hAnsi="Arial" w:cs="Arial"/>
          <w:color w:val="000000"/>
          <w:sz w:val="20"/>
        </w:rPr>
        <w:t xml:space="preserve">graphic illustration of this where children aged 9 &amp; 7 </w:t>
      </w:r>
      <w:r w:rsidR="0061568F" w:rsidRPr="003D5DFA">
        <w:rPr>
          <w:rFonts w:ascii="Arial" w:hAnsi="Arial" w:cs="Arial"/>
          <w:color w:val="000000"/>
          <w:sz w:val="20"/>
        </w:rPr>
        <w:t xml:space="preserve">– who would under the legislation then in force have been regarded as mature enough to give instructions – </w:t>
      </w:r>
      <w:r w:rsidRPr="003D5DFA">
        <w:rPr>
          <w:rFonts w:ascii="Arial" w:hAnsi="Arial" w:cs="Arial"/>
          <w:color w:val="000000"/>
          <w:sz w:val="20"/>
        </w:rPr>
        <w:t>were</w:t>
      </w:r>
      <w:r w:rsidR="0061568F" w:rsidRPr="003D5DFA">
        <w:rPr>
          <w:rFonts w:ascii="Arial" w:hAnsi="Arial" w:cs="Arial"/>
          <w:color w:val="000000"/>
          <w:sz w:val="20"/>
        </w:rPr>
        <w:t xml:space="preserve"> </w:t>
      </w:r>
      <w:r w:rsidRPr="003D5DFA">
        <w:rPr>
          <w:rFonts w:ascii="Arial" w:hAnsi="Arial" w:cs="Arial"/>
          <w:color w:val="000000"/>
          <w:sz w:val="20"/>
        </w:rPr>
        <w:t>neither represented nor present in the impugned proceedings yet the proceeding was held to be fair to the</w:t>
      </w:r>
      <w:r w:rsidR="00B64827" w:rsidRPr="003D5DFA">
        <w:rPr>
          <w:rFonts w:ascii="Arial" w:hAnsi="Arial" w:cs="Arial"/>
          <w:color w:val="000000"/>
          <w:sz w:val="20"/>
        </w:rPr>
        <w:t>m</w:t>
      </w:r>
      <w:r w:rsidRPr="003D5DFA">
        <w:rPr>
          <w:rFonts w:ascii="Arial" w:hAnsi="Arial" w:cs="Arial"/>
          <w:color w:val="000000"/>
          <w:sz w:val="20"/>
        </w:rPr>
        <w:t>.  At</w:t>
      </w:r>
      <w:r w:rsidR="00164C09">
        <w:rPr>
          <w:rFonts w:ascii="Arial" w:hAnsi="Arial" w:cs="Arial"/>
          <w:color w:val="000000"/>
          <w:sz w:val="20"/>
        </w:rPr>
        <w:t> </w:t>
      </w:r>
      <w:r w:rsidRPr="00785E1A">
        <w:rPr>
          <w:rFonts w:ascii="Arial" w:hAnsi="Arial" w:cs="Arial"/>
          <w:color w:val="000000"/>
          <w:sz w:val="20"/>
        </w:rPr>
        <w:t>[211] Bell J said:</w:t>
      </w:r>
    </w:p>
    <w:p w14:paraId="50BF9B97"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“[W]hat will be required to afford a fair hearing to a child in a protection proceeding will depend on the capacity of the child, the nature of the proceeding, the issues at stake and the circumstances of the case.  No particular means of affording a fair hearing are stipulated.  As a child may not be mature enough to participate in the proceeding, or may be harmed by that participation, a fair hearing may not require the physical presence of a child in court.  It may be possible to obtain the views of the child by other means.”</w:t>
      </w:r>
    </w:p>
    <w:p w14:paraId="61C0E079" w14:textId="77777777" w:rsidR="003E0D54" w:rsidRPr="00785E1A" w:rsidRDefault="003E0D54" w:rsidP="003C545B">
      <w:pPr>
        <w:jc w:val="both"/>
        <w:rPr>
          <w:rFonts w:ascii="Arial" w:hAnsi="Arial" w:cs="Arial"/>
          <w:color w:val="000000"/>
          <w:sz w:val="20"/>
        </w:rPr>
      </w:pPr>
    </w:p>
    <w:p w14:paraId="3F705C05"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At [212] his Honour said that the children’s “right to a fair hearing would ordinarily have required the magistrate to hear and consider what they had to say.  But these were not ordinary circumstances.”  At [214] his Honour explained why:</w:t>
      </w:r>
    </w:p>
    <w:p w14:paraId="54871264"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“In making the revocation and interim accommodation orders, the magistrate knew the court was acting consistently with the wishes of these children.  In that practical sense, their views were heard and considered, as required by their right to a fair hearing.  Delay would have been contrary to their best interests as children.  </w:t>
      </w:r>
      <w:r w:rsidR="00B75A27" w:rsidRPr="00785E1A">
        <w:rPr>
          <w:rFonts w:ascii="Arial" w:hAnsi="Arial" w:cs="Arial"/>
          <w:bCs/>
          <w:color w:val="000000"/>
          <w:sz w:val="20"/>
        </w:rPr>
        <w:t>Therefore his Honour did not act incompatibly with that right by revoking the custody to Secretary orders and returning them to their grandmother on an interim basis without hearing from them personally at the hearing.”</w:t>
      </w:r>
    </w:p>
    <w:p w14:paraId="5CD979B7" w14:textId="77777777" w:rsidR="00047FBE" w:rsidRPr="00D00CAA" w:rsidRDefault="00047FBE" w:rsidP="00047FBE">
      <w:pPr>
        <w:jc w:val="both"/>
        <w:rPr>
          <w:rFonts w:ascii="Arial" w:hAnsi="Arial" w:cs="Arial"/>
          <w:color w:val="000000"/>
          <w:sz w:val="20"/>
        </w:rPr>
      </w:pPr>
      <w:bookmarkStart w:id="911" w:name="_Toc30654112"/>
      <w:bookmarkStart w:id="912" w:name="_Toc30654463"/>
      <w:bookmarkStart w:id="913" w:name="_Toc30655082"/>
      <w:bookmarkStart w:id="914" w:name="_Toc30655339"/>
      <w:bookmarkStart w:id="915" w:name="_Toc30657017"/>
      <w:bookmarkStart w:id="916" w:name="_Toc30661766"/>
      <w:bookmarkStart w:id="917" w:name="_Toc30666454"/>
      <w:bookmarkStart w:id="918" w:name="_Toc30666684"/>
      <w:bookmarkStart w:id="919" w:name="_Toc30667859"/>
      <w:bookmarkStart w:id="920" w:name="_Toc30669237"/>
      <w:bookmarkStart w:id="921" w:name="_Toc30671453"/>
      <w:bookmarkStart w:id="922" w:name="_Toc30673980"/>
      <w:bookmarkStart w:id="923" w:name="_Toc30691202"/>
      <w:bookmarkStart w:id="924" w:name="_Toc30691575"/>
      <w:bookmarkStart w:id="925" w:name="_Toc30691955"/>
      <w:bookmarkStart w:id="926" w:name="_Toc30692714"/>
      <w:bookmarkStart w:id="927" w:name="_Toc30693093"/>
      <w:bookmarkStart w:id="928" w:name="_Toc30693471"/>
      <w:bookmarkStart w:id="929" w:name="_Toc30693849"/>
      <w:bookmarkStart w:id="930" w:name="_Toc30694230"/>
      <w:bookmarkStart w:id="931" w:name="_Toc30698819"/>
      <w:bookmarkStart w:id="932" w:name="_Toc30699197"/>
      <w:bookmarkStart w:id="933" w:name="_Toc30699582"/>
      <w:bookmarkStart w:id="934" w:name="_Toc30700737"/>
      <w:bookmarkStart w:id="935" w:name="_Toc30701124"/>
      <w:bookmarkStart w:id="936" w:name="_Toc30743733"/>
      <w:bookmarkStart w:id="937" w:name="_Toc30754556"/>
      <w:bookmarkStart w:id="938" w:name="_Toc30756996"/>
      <w:bookmarkStart w:id="939" w:name="_Toc30757545"/>
      <w:bookmarkStart w:id="940" w:name="_Toc30757945"/>
      <w:bookmarkStart w:id="941" w:name="_Toc30762706"/>
      <w:bookmarkStart w:id="942" w:name="_Toc30767360"/>
      <w:bookmarkStart w:id="943" w:name="_Toc34823375"/>
    </w:p>
    <w:p w14:paraId="1E1F5732" w14:textId="77777777" w:rsidR="00047FBE" w:rsidRPr="003D5DFA" w:rsidRDefault="00047FBE" w:rsidP="00047FBE">
      <w:pPr>
        <w:pStyle w:val="Heading3"/>
        <w:keepNext/>
        <w:keepLines/>
        <w:spacing w:after="120" w:line="240" w:lineRule="auto"/>
        <w:rPr>
          <w:rFonts w:ascii="Arial" w:hAnsi="Arial" w:cs="Arial"/>
          <w:b/>
          <w:bCs/>
          <w:color w:val="000000"/>
          <w:sz w:val="20"/>
        </w:rPr>
      </w:pPr>
      <w:bookmarkStart w:id="944" w:name="_4.7.2_Models_of"/>
      <w:bookmarkStart w:id="945" w:name="B472"/>
      <w:bookmarkEnd w:id="944"/>
      <w:bookmarkEnd w:id="945"/>
      <w:r w:rsidRPr="003D5DFA">
        <w:rPr>
          <w:rFonts w:ascii="Arial" w:hAnsi="Arial" w:cs="Arial"/>
          <w:b/>
          <w:bCs/>
          <w:color w:val="000000"/>
          <w:sz w:val="20"/>
        </w:rPr>
        <w:t>4.7.2</w:t>
      </w:r>
      <w:r w:rsidRPr="003D5DFA">
        <w:rPr>
          <w:rFonts w:ascii="Arial" w:hAnsi="Arial" w:cs="Arial"/>
          <w:b/>
          <w:bCs/>
          <w:color w:val="000000"/>
          <w:sz w:val="20"/>
        </w:rPr>
        <w:tab/>
        <w:t>Models of child representation</w:t>
      </w:r>
    </w:p>
    <w:p w14:paraId="3360DA5A" w14:textId="77777777" w:rsidR="00047FBE" w:rsidRDefault="00047FBE" w:rsidP="00047FBE">
      <w:pPr>
        <w:jc w:val="both"/>
        <w:rPr>
          <w:rFonts w:ascii="Arial" w:hAnsi="Arial" w:cs="Arial"/>
          <w:sz w:val="20"/>
        </w:rPr>
      </w:pPr>
      <w:r>
        <w:rPr>
          <w:rFonts w:ascii="Arial" w:hAnsi="Arial" w:cs="Arial"/>
          <w:sz w:val="20"/>
        </w:rPr>
        <w:t xml:space="preserve">In </w:t>
      </w:r>
      <w:r>
        <w:rPr>
          <w:rFonts w:ascii="Arial" w:hAnsi="Arial" w:cs="Arial"/>
          <w:i/>
          <w:iCs/>
          <w:sz w:val="20"/>
        </w:rPr>
        <w:t>BE v LH &amp; MH</w:t>
      </w:r>
      <w:r>
        <w:rPr>
          <w:rFonts w:ascii="Arial" w:hAnsi="Arial" w:cs="Arial"/>
          <w:sz w:val="20"/>
        </w:rPr>
        <w:t xml:space="preserve"> [Children's Court of Victoria, unreported, 04/06/2000] the primary issue for determination was whether or not LH who was aged 6 years 5 months and MH who was aged </w:t>
      </w:r>
      <w:r>
        <w:rPr>
          <w:rFonts w:ascii="Arial" w:hAnsi="Arial" w:cs="Arial"/>
          <w:sz w:val="20"/>
        </w:rPr>
        <w:lastRenderedPageBreak/>
        <w:t xml:space="preserve">5 years 2 months should be represented by a legal practitioner in the contested hearing of a protection application under the CYPA.  Mr Power, Magistrate, held that they should not.  In the course of his judgment (at pp.5-6) Mr Power referred to </w:t>
      </w:r>
      <w:r w:rsidR="008E0B61">
        <w:rPr>
          <w:rFonts w:ascii="Arial" w:hAnsi="Arial" w:cs="Arial"/>
          <w:sz w:val="20"/>
        </w:rPr>
        <w:t>six</w:t>
      </w:r>
      <w:r>
        <w:rPr>
          <w:rFonts w:ascii="Arial" w:hAnsi="Arial" w:cs="Arial"/>
          <w:sz w:val="20"/>
        </w:rPr>
        <w:t xml:space="preserve"> possible models of child representation-</w:t>
      </w:r>
    </w:p>
    <w:p w14:paraId="25A58996" w14:textId="77777777" w:rsidR="00047FBE" w:rsidRDefault="00047FBE" w:rsidP="005B6ACF">
      <w:pPr>
        <w:spacing w:before="120"/>
        <w:ind w:left="567" w:right="567"/>
        <w:jc w:val="both"/>
        <w:rPr>
          <w:rFonts w:ascii="Arial" w:hAnsi="Arial" w:cs="Arial"/>
          <w:bCs/>
          <w:sz w:val="20"/>
        </w:rPr>
      </w:pPr>
      <w:r>
        <w:rPr>
          <w:rFonts w:ascii="Arial" w:hAnsi="Arial" w:cs="Arial"/>
          <w:bCs/>
          <w:sz w:val="20"/>
        </w:rPr>
        <w:t>"There are 6 models of child representation which can be distilled from various jurisdictions and from various writings, including an Issues Paper No.18 entitled “</w:t>
      </w:r>
      <w:r>
        <w:rPr>
          <w:rFonts w:ascii="Arial" w:hAnsi="Arial" w:cs="Arial"/>
          <w:bCs/>
          <w:i/>
          <w:sz w:val="20"/>
        </w:rPr>
        <w:t>Speaking for ourselves: children and the legal process</w:t>
      </w:r>
      <w:r>
        <w:rPr>
          <w:rFonts w:ascii="Arial" w:hAnsi="Arial" w:cs="Arial"/>
          <w:bCs/>
          <w:sz w:val="20"/>
        </w:rPr>
        <w:t>” which the Australian Law Reform Commission put out prior to the completion of its 1997 report-</w:t>
      </w:r>
    </w:p>
    <w:p w14:paraId="5A9BFFA1" w14:textId="77777777" w:rsidR="00047FBE" w:rsidRDefault="00047FBE" w:rsidP="00047FBE">
      <w:pPr>
        <w:numPr>
          <w:ilvl w:val="0"/>
          <w:numId w:val="7"/>
        </w:numPr>
        <w:ind w:right="567"/>
        <w:jc w:val="both"/>
        <w:rPr>
          <w:rFonts w:ascii="Arial" w:hAnsi="Arial" w:cs="Arial"/>
          <w:bCs/>
          <w:sz w:val="20"/>
        </w:rPr>
      </w:pPr>
      <w:r>
        <w:rPr>
          <w:rFonts w:ascii="Arial" w:hAnsi="Arial" w:cs="Arial"/>
          <w:bCs/>
          <w:sz w:val="20"/>
        </w:rPr>
        <w:t xml:space="preserve">The first is </w:t>
      </w:r>
      <w:r>
        <w:rPr>
          <w:rFonts w:ascii="Arial" w:hAnsi="Arial" w:cs="Arial"/>
          <w:b/>
          <w:sz w:val="20"/>
        </w:rPr>
        <w:t>‘the non-representation model’</w:t>
      </w:r>
      <w:r>
        <w:rPr>
          <w:rFonts w:ascii="Arial" w:hAnsi="Arial" w:cs="Arial"/>
          <w:bCs/>
          <w:sz w:val="20"/>
        </w:rPr>
        <w:t xml:space="preserve">: in </w:t>
      </w:r>
      <w:smartTag w:uri="urn:schemas-microsoft-com:office:smarttags" w:element="State">
        <w:smartTag w:uri="urn:schemas-microsoft-com:office:smarttags" w:element="place">
          <w:r>
            <w:rPr>
              <w:rFonts w:ascii="Arial" w:hAnsi="Arial" w:cs="Arial"/>
              <w:bCs/>
              <w:sz w:val="20"/>
            </w:rPr>
            <w:t>Queensland</w:t>
          </w:r>
        </w:smartTag>
      </w:smartTag>
      <w:r>
        <w:rPr>
          <w:rFonts w:ascii="Arial" w:hAnsi="Arial" w:cs="Arial"/>
          <w:bCs/>
          <w:sz w:val="20"/>
        </w:rPr>
        <w:t xml:space="preserve"> child protection matters children are rarely represented at all. {ALRC Report #84, [13.30] p.252}</w:t>
      </w:r>
    </w:p>
    <w:p w14:paraId="2DAAAFE9" w14:textId="77777777" w:rsidR="00047FBE" w:rsidRDefault="00047FBE" w:rsidP="00047FBE">
      <w:pPr>
        <w:numPr>
          <w:ilvl w:val="0"/>
          <w:numId w:val="7"/>
        </w:numPr>
        <w:ind w:right="567"/>
        <w:jc w:val="both"/>
        <w:rPr>
          <w:rFonts w:ascii="Arial" w:hAnsi="Arial" w:cs="Arial"/>
          <w:bCs/>
          <w:sz w:val="20"/>
        </w:rPr>
      </w:pPr>
      <w:r>
        <w:rPr>
          <w:rFonts w:ascii="Arial" w:hAnsi="Arial" w:cs="Arial"/>
          <w:bCs/>
          <w:sz w:val="20"/>
        </w:rPr>
        <w:t xml:space="preserve">The second is </w:t>
      </w:r>
      <w:r>
        <w:rPr>
          <w:rFonts w:ascii="Arial" w:hAnsi="Arial" w:cs="Arial"/>
          <w:b/>
          <w:sz w:val="20"/>
        </w:rPr>
        <w:t>‘the traditional model’</w:t>
      </w:r>
      <w:r>
        <w:rPr>
          <w:rFonts w:ascii="Arial" w:hAnsi="Arial" w:cs="Arial"/>
          <w:bCs/>
          <w:sz w:val="20"/>
        </w:rPr>
        <w:t>: the advocate whose role is to argue a case strictly upon the child’s instructions. {ALRC Issues Paper #18, [3.12] p.18}</w:t>
      </w:r>
    </w:p>
    <w:p w14:paraId="082B511E" w14:textId="77777777" w:rsidR="00047FBE" w:rsidRDefault="00047FBE" w:rsidP="00047FBE">
      <w:pPr>
        <w:numPr>
          <w:ilvl w:val="0"/>
          <w:numId w:val="7"/>
        </w:numPr>
        <w:ind w:right="567"/>
        <w:jc w:val="both"/>
        <w:rPr>
          <w:rFonts w:ascii="Arial" w:hAnsi="Arial" w:cs="Arial"/>
          <w:bCs/>
          <w:sz w:val="20"/>
        </w:rPr>
      </w:pPr>
      <w:r>
        <w:rPr>
          <w:rFonts w:ascii="Arial" w:hAnsi="Arial" w:cs="Arial"/>
          <w:bCs/>
          <w:sz w:val="20"/>
        </w:rPr>
        <w:t xml:space="preserve">The third is </w:t>
      </w:r>
      <w:r>
        <w:rPr>
          <w:rFonts w:ascii="Arial" w:hAnsi="Arial" w:cs="Arial"/>
          <w:b/>
          <w:sz w:val="20"/>
        </w:rPr>
        <w:t xml:space="preserve">‘the best </w:t>
      </w:r>
      <w:proofErr w:type="gramStart"/>
      <w:r>
        <w:rPr>
          <w:rFonts w:ascii="Arial" w:hAnsi="Arial" w:cs="Arial"/>
          <w:b/>
          <w:sz w:val="20"/>
        </w:rPr>
        <w:t>interests</w:t>
      </w:r>
      <w:proofErr w:type="gramEnd"/>
      <w:r>
        <w:rPr>
          <w:rFonts w:ascii="Arial" w:hAnsi="Arial" w:cs="Arial"/>
          <w:b/>
          <w:sz w:val="20"/>
        </w:rPr>
        <w:t xml:space="preserve"> model’</w:t>
      </w:r>
      <w:r>
        <w:rPr>
          <w:rFonts w:ascii="Arial" w:hAnsi="Arial" w:cs="Arial"/>
          <w:bCs/>
          <w:sz w:val="20"/>
        </w:rPr>
        <w:t>: the advocate who presents and argues his or her own professional view as to the child’s best interests, even if this is inconsistent with the child’s expressed wishes on the issue. {ALRC Issues Paper #18, p.19}</w:t>
      </w:r>
    </w:p>
    <w:p w14:paraId="00D3ACB7" w14:textId="77777777" w:rsidR="00047FBE" w:rsidRDefault="00047FBE" w:rsidP="00047FBE">
      <w:pPr>
        <w:numPr>
          <w:ilvl w:val="0"/>
          <w:numId w:val="7"/>
        </w:numPr>
        <w:ind w:right="567"/>
        <w:jc w:val="both"/>
        <w:rPr>
          <w:rFonts w:ascii="Arial" w:hAnsi="Arial" w:cs="Arial"/>
          <w:bCs/>
          <w:sz w:val="20"/>
        </w:rPr>
      </w:pPr>
      <w:r>
        <w:rPr>
          <w:rFonts w:ascii="Arial" w:hAnsi="Arial" w:cs="Arial"/>
          <w:bCs/>
          <w:sz w:val="20"/>
        </w:rPr>
        <w:t xml:space="preserve">The fourth is </w:t>
      </w:r>
      <w:r>
        <w:rPr>
          <w:rFonts w:ascii="Arial" w:hAnsi="Arial" w:cs="Arial"/>
          <w:b/>
          <w:sz w:val="20"/>
        </w:rPr>
        <w:t>‘the counsel assisting model’</w:t>
      </w:r>
      <w:r>
        <w:rPr>
          <w:rFonts w:ascii="Arial" w:hAnsi="Arial" w:cs="Arial"/>
          <w:bCs/>
          <w:sz w:val="20"/>
        </w:rPr>
        <w:t>: the advocate as objective investigator assisting decision-makers to reach a fully informed assessment of the child’s needs and how those needs can best be met. {ALRC Issues Paper #18, p.19}</w:t>
      </w:r>
    </w:p>
    <w:p w14:paraId="5395A087" w14:textId="77777777" w:rsidR="00047FBE" w:rsidRDefault="00047FBE" w:rsidP="00047FBE">
      <w:pPr>
        <w:numPr>
          <w:ilvl w:val="0"/>
          <w:numId w:val="7"/>
        </w:numPr>
        <w:ind w:right="567"/>
        <w:jc w:val="both"/>
        <w:rPr>
          <w:rFonts w:ascii="Arial" w:hAnsi="Arial" w:cs="Arial"/>
          <w:bCs/>
          <w:sz w:val="20"/>
        </w:rPr>
      </w:pPr>
      <w:r>
        <w:rPr>
          <w:rFonts w:ascii="Arial" w:hAnsi="Arial" w:cs="Arial"/>
          <w:bCs/>
          <w:sz w:val="20"/>
        </w:rPr>
        <w:t xml:space="preserve">The fifth is </w:t>
      </w:r>
      <w:r>
        <w:rPr>
          <w:rFonts w:ascii="Arial" w:hAnsi="Arial" w:cs="Arial"/>
          <w:b/>
          <w:sz w:val="20"/>
        </w:rPr>
        <w:t>‘the comforter model’</w:t>
      </w:r>
      <w:r>
        <w:rPr>
          <w:rFonts w:ascii="Arial" w:hAnsi="Arial" w:cs="Arial"/>
          <w:bCs/>
          <w:sz w:val="20"/>
        </w:rPr>
        <w:t>: the advocate as professional companion for the child, explaining the process to the child and answering questions. {ALRC Issues Paper #18, p.19}</w:t>
      </w:r>
    </w:p>
    <w:p w14:paraId="2E3C2FCA" w14:textId="77777777" w:rsidR="00047FBE" w:rsidRDefault="00047FBE" w:rsidP="00047FBE">
      <w:pPr>
        <w:numPr>
          <w:ilvl w:val="0"/>
          <w:numId w:val="7"/>
        </w:numPr>
        <w:ind w:right="567"/>
        <w:jc w:val="both"/>
        <w:rPr>
          <w:rFonts w:ascii="Arial" w:hAnsi="Arial" w:cs="Arial"/>
          <w:bCs/>
          <w:sz w:val="20"/>
        </w:rPr>
      </w:pPr>
      <w:r>
        <w:rPr>
          <w:rFonts w:ascii="Arial" w:hAnsi="Arial" w:cs="Arial"/>
          <w:bCs/>
          <w:sz w:val="20"/>
        </w:rPr>
        <w:t xml:space="preserve">The sixth is </w:t>
      </w:r>
      <w:r>
        <w:rPr>
          <w:rFonts w:ascii="Arial" w:hAnsi="Arial" w:cs="Arial"/>
          <w:b/>
          <w:sz w:val="20"/>
        </w:rPr>
        <w:t>‘the Tasmanian model’</w:t>
      </w:r>
      <w:r>
        <w:rPr>
          <w:rFonts w:ascii="Arial" w:hAnsi="Arial" w:cs="Arial"/>
          <w:bCs/>
          <w:sz w:val="20"/>
        </w:rPr>
        <w:t>, a hybrid model: An example is to be found in the</w:t>
      </w:r>
      <w:r>
        <w:rPr>
          <w:rFonts w:ascii="Arial" w:hAnsi="Arial" w:cs="Arial"/>
          <w:bCs/>
          <w:i/>
          <w:sz w:val="20"/>
        </w:rPr>
        <w:t xml:space="preserve"> Children, Young Persons and their Families Bill</w:t>
      </w:r>
      <w:r>
        <w:rPr>
          <w:rFonts w:ascii="Arial" w:hAnsi="Arial" w:cs="Arial"/>
          <w:bCs/>
          <w:sz w:val="20"/>
        </w:rPr>
        <w:t xml:space="preserve"> 1997 (Tas.) which provides that all children the subject of a care and protection application should be represented unless the child has made an informed decision not to be represented.  The representative is to take instructions from the child and act on those instructions unless the representative considers the child unable or unwilling to give instructions.  In those cases, the representative will represent the child’s best interests, which are to be assessed by a social scientist. {ALRC Report #84, [13.31] pp.252-3}"</w:t>
      </w:r>
    </w:p>
    <w:p w14:paraId="56022808" w14:textId="77777777" w:rsidR="00047FBE" w:rsidRDefault="00047FBE" w:rsidP="00047FBE">
      <w:pPr>
        <w:jc w:val="both"/>
        <w:rPr>
          <w:rFonts w:ascii="Arial" w:hAnsi="Arial" w:cs="Arial"/>
          <w:sz w:val="20"/>
        </w:rPr>
      </w:pPr>
    </w:p>
    <w:p w14:paraId="2BC697F8" w14:textId="77777777" w:rsidR="00047FBE" w:rsidRDefault="00047FBE" w:rsidP="00047FBE">
      <w:pPr>
        <w:jc w:val="both"/>
        <w:rPr>
          <w:rFonts w:ascii="Arial" w:hAnsi="Arial" w:cs="Arial"/>
          <w:sz w:val="20"/>
        </w:rPr>
      </w:pPr>
      <w:r>
        <w:rPr>
          <w:rFonts w:ascii="Arial" w:hAnsi="Arial" w:cs="Arial"/>
          <w:sz w:val="20"/>
        </w:rPr>
        <w:t>A clinical psychologist from the Children's Court Clinic had seen LH &amp; MH for 1½ hours to assess their capacity to give instructions to a lawyer and to ascertain their wishes.  On the basis of her evidence Mr Power found (at p.7) that "neither LH nor MH is mature enough to give instructions in these legal proceedings.  That is not because of any delay in their cognitive development but is primarily because of their emotional immaturity."  Since the CYPA has adopted model 2, the traditional model, and since LH &amp; MH were not mature enough to give instructions, there was no basis for them to be legally represented.</w:t>
      </w:r>
    </w:p>
    <w:p w14:paraId="7CC0CF7F" w14:textId="77777777" w:rsidR="001F4FF5" w:rsidRPr="00D00CAA" w:rsidRDefault="001F4FF5" w:rsidP="00247CE5">
      <w:pPr>
        <w:jc w:val="both"/>
        <w:rPr>
          <w:rFonts w:ascii="Arial" w:hAnsi="Arial" w:cs="Arial"/>
          <w:color w:val="000000"/>
          <w:sz w:val="20"/>
        </w:rPr>
      </w:pPr>
    </w:p>
    <w:p w14:paraId="0BE52324" w14:textId="77777777" w:rsidR="00693223" w:rsidRPr="003D5DFA" w:rsidRDefault="00693223">
      <w:pPr>
        <w:pStyle w:val="Heading3"/>
        <w:spacing w:after="120" w:line="240" w:lineRule="auto"/>
        <w:rPr>
          <w:rFonts w:ascii="Arial" w:hAnsi="Arial" w:cs="Arial"/>
          <w:b/>
          <w:bCs/>
          <w:color w:val="000000"/>
          <w:sz w:val="20"/>
        </w:rPr>
      </w:pPr>
      <w:bookmarkStart w:id="946" w:name="_4.7.3_Child_usually"/>
      <w:bookmarkStart w:id="947" w:name="B473"/>
      <w:bookmarkEnd w:id="946"/>
      <w:bookmarkEnd w:id="947"/>
      <w:r w:rsidRPr="003D5DFA">
        <w:rPr>
          <w:rFonts w:ascii="Arial" w:hAnsi="Arial" w:cs="Arial"/>
          <w:b/>
          <w:bCs/>
          <w:color w:val="000000"/>
          <w:sz w:val="20"/>
        </w:rPr>
        <w:t>4.7.</w:t>
      </w:r>
      <w:r w:rsidR="00047FBE" w:rsidRPr="003D5DFA">
        <w:rPr>
          <w:rFonts w:ascii="Arial" w:hAnsi="Arial" w:cs="Arial"/>
          <w:b/>
          <w:bCs/>
          <w:color w:val="000000"/>
          <w:sz w:val="20"/>
        </w:rPr>
        <w:t>3</w:t>
      </w:r>
      <w:r w:rsidRPr="003D5DFA">
        <w:rPr>
          <w:rFonts w:ascii="Arial" w:hAnsi="Arial" w:cs="Arial"/>
          <w:b/>
          <w:bCs/>
          <w:color w:val="000000"/>
          <w:sz w:val="20"/>
        </w:rPr>
        <w:tab/>
        <w:t xml:space="preserve">Child usually represented if </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r w:rsidR="00EB6CF1" w:rsidRPr="003D5DFA">
        <w:rPr>
          <w:rFonts w:ascii="Arial" w:hAnsi="Arial" w:cs="Arial"/>
          <w:b/>
          <w:bCs/>
          <w:color w:val="000000"/>
          <w:sz w:val="20"/>
        </w:rPr>
        <w:t>aged 10 years or more</w:t>
      </w:r>
    </w:p>
    <w:p w14:paraId="7081D40C" w14:textId="77777777" w:rsidR="000A7139" w:rsidRPr="003D5DFA" w:rsidRDefault="00E76E28" w:rsidP="000A7139">
      <w:pPr>
        <w:jc w:val="both"/>
        <w:rPr>
          <w:rFonts w:ascii="Arial" w:hAnsi="Arial" w:cs="Arial"/>
          <w:color w:val="000000"/>
          <w:sz w:val="20"/>
        </w:rPr>
      </w:pPr>
      <w:r w:rsidRPr="003D5DFA">
        <w:rPr>
          <w:rFonts w:ascii="Arial" w:hAnsi="Arial" w:cs="Arial"/>
          <w:color w:val="000000"/>
          <w:sz w:val="20"/>
        </w:rPr>
        <w:t>T</w:t>
      </w:r>
      <w:r w:rsidR="000A7139" w:rsidRPr="003D5DFA">
        <w:rPr>
          <w:rFonts w:ascii="Arial" w:hAnsi="Arial" w:cs="Arial"/>
          <w:color w:val="000000"/>
          <w:sz w:val="20"/>
        </w:rPr>
        <w:t xml:space="preserve">here was no </w:t>
      </w:r>
      <w:r w:rsidR="00E43D86" w:rsidRPr="003D5DFA">
        <w:rPr>
          <w:rFonts w:ascii="Arial" w:hAnsi="Arial" w:cs="Arial"/>
          <w:color w:val="000000"/>
          <w:sz w:val="20"/>
        </w:rPr>
        <w:t xml:space="preserve">authority </w:t>
      </w:r>
      <w:r w:rsidR="00E65E57" w:rsidRPr="003D5DFA">
        <w:rPr>
          <w:rFonts w:ascii="Arial" w:hAnsi="Arial" w:cs="Arial"/>
          <w:color w:val="000000"/>
          <w:sz w:val="20"/>
        </w:rPr>
        <w:t>at common law for a child</w:t>
      </w:r>
      <w:r w:rsidR="00E43D86" w:rsidRPr="003D5DFA">
        <w:rPr>
          <w:rFonts w:ascii="Arial" w:hAnsi="Arial" w:cs="Arial"/>
          <w:color w:val="000000"/>
          <w:sz w:val="20"/>
        </w:rPr>
        <w:t xml:space="preserve"> to be legally represented </w:t>
      </w:r>
      <w:r w:rsidR="00E65E57" w:rsidRPr="003D5DFA">
        <w:rPr>
          <w:rFonts w:ascii="Arial" w:hAnsi="Arial" w:cs="Arial"/>
          <w:color w:val="000000"/>
          <w:sz w:val="20"/>
        </w:rPr>
        <w:t xml:space="preserve">in non-criminal proceedings in the absence of a parental appointment of a solicitor or a court appointment of a guardian ad litem.  In </w:t>
      </w:r>
      <w:r w:rsidR="00E65E57" w:rsidRPr="003D5DFA">
        <w:rPr>
          <w:rFonts w:ascii="Arial" w:hAnsi="Arial" w:cs="Arial"/>
          <w:i/>
          <w:color w:val="000000"/>
          <w:sz w:val="20"/>
        </w:rPr>
        <w:t xml:space="preserve">J v </w:t>
      </w:r>
      <w:proofErr w:type="spellStart"/>
      <w:r w:rsidR="00E65E57" w:rsidRPr="003D5DFA">
        <w:rPr>
          <w:rFonts w:ascii="Arial" w:hAnsi="Arial" w:cs="Arial"/>
          <w:i/>
          <w:color w:val="000000"/>
          <w:sz w:val="20"/>
        </w:rPr>
        <w:t>Lieschke</w:t>
      </w:r>
      <w:proofErr w:type="spellEnd"/>
      <w:r w:rsidR="00E65E57" w:rsidRPr="003D5DFA">
        <w:rPr>
          <w:rFonts w:ascii="Arial" w:hAnsi="Arial" w:cs="Arial"/>
          <w:color w:val="000000"/>
          <w:sz w:val="20"/>
        </w:rPr>
        <w:t xml:space="preserve"> (1987) 162 CLR 447 at 456 Brennan J </w:t>
      </w:r>
      <w:r w:rsidRPr="003D5DFA">
        <w:rPr>
          <w:rFonts w:ascii="Arial" w:hAnsi="Arial" w:cs="Arial"/>
          <w:color w:val="000000"/>
          <w:sz w:val="20"/>
        </w:rPr>
        <w:t>explaine</w:t>
      </w:r>
      <w:r w:rsidR="00E65E57" w:rsidRPr="003D5DFA">
        <w:rPr>
          <w:rFonts w:ascii="Arial" w:hAnsi="Arial" w:cs="Arial"/>
          <w:color w:val="000000"/>
          <w:sz w:val="20"/>
        </w:rPr>
        <w:t>d:</w:t>
      </w:r>
    </w:p>
    <w:p w14:paraId="3FB0C480" w14:textId="77777777" w:rsidR="00E65E57" w:rsidRPr="003D5DFA" w:rsidRDefault="00E65E57" w:rsidP="00C50555">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w:t>
      </w:r>
      <w:r w:rsidR="00E76E28" w:rsidRPr="003D5DFA">
        <w:rPr>
          <w:rFonts w:ascii="Arial" w:hAnsi="Arial" w:cs="Arial"/>
          <w:bCs/>
          <w:color w:val="000000"/>
          <w:sz w:val="20"/>
        </w:rPr>
        <w:t>Although it is often undesirable for the appointment of a solicitor for a child to be left solely to the parents or other guardians – especially when the fitness of the parents or guardians to exercise their custodial authority is in issue – it is difficult to perceive the source of legal authority for a solicitor to represent a child in non-criminal proceedings when no order has been made by a court of competent jurisdiction appointing some other person to give the necessary instructions.”</w:t>
      </w:r>
    </w:p>
    <w:p w14:paraId="7B6F2AF4" w14:textId="77777777" w:rsidR="000A7139" w:rsidRPr="003D5DFA" w:rsidRDefault="000A7139" w:rsidP="000A7139">
      <w:pPr>
        <w:jc w:val="both"/>
        <w:rPr>
          <w:rFonts w:ascii="Arial" w:hAnsi="Arial" w:cs="Arial"/>
          <w:color w:val="000000"/>
          <w:sz w:val="20"/>
        </w:rPr>
      </w:pPr>
    </w:p>
    <w:p w14:paraId="72CFC547" w14:textId="77777777" w:rsidR="003E2B31" w:rsidRPr="003D5DFA" w:rsidRDefault="00E76E28">
      <w:pPr>
        <w:jc w:val="both"/>
        <w:rPr>
          <w:rFonts w:ascii="Arial" w:hAnsi="Arial" w:cs="Arial"/>
          <w:color w:val="000000"/>
          <w:sz w:val="20"/>
        </w:rPr>
      </w:pPr>
      <w:r w:rsidRPr="003D5DFA">
        <w:rPr>
          <w:rFonts w:ascii="Arial" w:hAnsi="Arial" w:cs="Arial"/>
          <w:color w:val="000000"/>
          <w:sz w:val="20"/>
        </w:rPr>
        <w:t xml:space="preserve">Both the CYFA and its predecessor </w:t>
      </w:r>
      <w:r w:rsidR="00592495" w:rsidRPr="003D5DFA">
        <w:rPr>
          <w:rFonts w:ascii="Arial" w:hAnsi="Arial" w:cs="Arial"/>
          <w:color w:val="000000"/>
          <w:sz w:val="20"/>
        </w:rPr>
        <w:t xml:space="preserve">CYPA </w:t>
      </w:r>
      <w:r w:rsidRPr="003D5DFA">
        <w:rPr>
          <w:rFonts w:ascii="Arial" w:hAnsi="Arial" w:cs="Arial"/>
          <w:color w:val="000000"/>
          <w:sz w:val="20"/>
        </w:rPr>
        <w:t xml:space="preserve">change the common law position.  </w:t>
      </w:r>
      <w:r w:rsidR="00693223" w:rsidRPr="003D5DFA">
        <w:rPr>
          <w:rFonts w:ascii="Arial" w:hAnsi="Arial" w:cs="Arial"/>
          <w:color w:val="000000"/>
          <w:sz w:val="20"/>
        </w:rPr>
        <w:t>S</w:t>
      </w:r>
      <w:r w:rsidR="008A2308">
        <w:rPr>
          <w:rFonts w:ascii="Arial" w:hAnsi="Arial" w:cs="Arial"/>
          <w:color w:val="000000"/>
          <w:sz w:val="20"/>
        </w:rPr>
        <w:t xml:space="preserve">ection </w:t>
      </w:r>
      <w:r w:rsidR="001D3F93" w:rsidRPr="003D5DFA">
        <w:rPr>
          <w:rFonts w:ascii="Arial" w:hAnsi="Arial" w:cs="Arial"/>
          <w:color w:val="000000"/>
          <w:sz w:val="20"/>
        </w:rPr>
        <w:t>5</w:t>
      </w:r>
      <w:r w:rsidR="00693223" w:rsidRPr="003D5DFA">
        <w:rPr>
          <w:rFonts w:ascii="Arial" w:hAnsi="Arial" w:cs="Arial"/>
          <w:color w:val="000000"/>
          <w:sz w:val="20"/>
        </w:rPr>
        <w:t>2</w:t>
      </w:r>
      <w:r w:rsidR="001D3F93" w:rsidRPr="003D5DFA">
        <w:rPr>
          <w:rFonts w:ascii="Arial" w:hAnsi="Arial" w:cs="Arial"/>
          <w:color w:val="000000"/>
          <w:sz w:val="20"/>
        </w:rPr>
        <w:t>5</w:t>
      </w:r>
      <w:r w:rsidR="00693223" w:rsidRPr="003D5DFA">
        <w:rPr>
          <w:rFonts w:ascii="Arial" w:hAnsi="Arial" w:cs="Arial"/>
          <w:color w:val="000000"/>
          <w:sz w:val="20"/>
        </w:rPr>
        <w:t>(1) of the CY</w:t>
      </w:r>
      <w:r w:rsidR="001D3F93" w:rsidRPr="003D5DFA">
        <w:rPr>
          <w:rFonts w:ascii="Arial" w:hAnsi="Arial" w:cs="Arial"/>
          <w:color w:val="000000"/>
          <w:sz w:val="20"/>
        </w:rPr>
        <w:t>F</w:t>
      </w:r>
      <w:r w:rsidR="00693223" w:rsidRPr="003D5DFA">
        <w:rPr>
          <w:rFonts w:ascii="Arial" w:hAnsi="Arial" w:cs="Arial"/>
          <w:color w:val="000000"/>
          <w:sz w:val="20"/>
        </w:rPr>
        <w:t>A provides that, subject to s.</w:t>
      </w:r>
      <w:r w:rsidR="001D3F93" w:rsidRPr="003D5DFA">
        <w:rPr>
          <w:rFonts w:ascii="Arial" w:hAnsi="Arial" w:cs="Arial"/>
          <w:color w:val="000000"/>
          <w:sz w:val="20"/>
        </w:rPr>
        <w:t>524</w:t>
      </w:r>
      <w:r w:rsidR="00693223" w:rsidRPr="003D5DFA">
        <w:rPr>
          <w:rFonts w:ascii="Arial" w:hAnsi="Arial" w:cs="Arial"/>
          <w:color w:val="000000"/>
          <w:sz w:val="20"/>
        </w:rPr>
        <w:t xml:space="preserve">, a child </w:t>
      </w:r>
      <w:r w:rsidR="003E2B31" w:rsidRPr="003D5DFA">
        <w:rPr>
          <w:rFonts w:ascii="Arial" w:hAnsi="Arial" w:cs="Arial"/>
          <w:color w:val="000000"/>
          <w:sz w:val="20"/>
        </w:rPr>
        <w:t>aged 10 years or more must be legally represented in the following proceedings in the Family Division-</w:t>
      </w:r>
    </w:p>
    <w:p w14:paraId="27D031B3" w14:textId="77777777" w:rsidR="00693223" w:rsidRPr="003D5DFA" w:rsidRDefault="00693223" w:rsidP="001F6EA3">
      <w:pPr>
        <w:ind w:left="363" w:hanging="363"/>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application for IAO;</w:t>
      </w:r>
    </w:p>
    <w:p w14:paraId="790F7212"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protection application;</w:t>
      </w:r>
    </w:p>
    <w:p w14:paraId="609818C5"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(c)</w:t>
      </w:r>
      <w:r w:rsidRPr="003D5DFA">
        <w:rPr>
          <w:rFonts w:ascii="Arial" w:hAnsi="Arial" w:cs="Arial"/>
          <w:color w:val="000000"/>
          <w:sz w:val="20"/>
        </w:rPr>
        <w:tab/>
        <w:t>irreconcilable difference application;</w:t>
      </w:r>
    </w:p>
    <w:p w14:paraId="45FB1DB3" w14:textId="77777777" w:rsidR="001D3F93" w:rsidRPr="003D5DFA" w:rsidRDefault="00693223">
      <w:pPr>
        <w:ind w:left="363" w:hanging="363"/>
        <w:jc w:val="both"/>
        <w:rPr>
          <w:rFonts w:ascii="Arial" w:hAnsi="Arial" w:cs="Arial"/>
          <w:color w:val="000000"/>
          <w:sz w:val="20"/>
        </w:rPr>
      </w:pPr>
      <w:r w:rsidRPr="003D5DFA">
        <w:rPr>
          <w:rFonts w:ascii="Arial" w:hAnsi="Arial" w:cs="Arial"/>
          <w:color w:val="000000"/>
          <w:sz w:val="20"/>
        </w:rPr>
        <w:lastRenderedPageBreak/>
        <w:t>(d)</w:t>
      </w:r>
      <w:r w:rsidRPr="003D5DFA">
        <w:rPr>
          <w:rFonts w:ascii="Arial" w:hAnsi="Arial" w:cs="Arial"/>
          <w:color w:val="000000"/>
          <w:sz w:val="20"/>
        </w:rPr>
        <w:tab/>
        <w:t xml:space="preserve">application for a </w:t>
      </w:r>
      <w:r w:rsidR="001D3F93" w:rsidRPr="003D5DFA">
        <w:rPr>
          <w:rFonts w:ascii="Arial" w:hAnsi="Arial" w:cs="Arial"/>
          <w:color w:val="000000"/>
          <w:sz w:val="20"/>
        </w:rPr>
        <w:t>temporary assessment order (unless the Court grants leave for the application to proceed ex parte);</w:t>
      </w:r>
    </w:p>
    <w:p w14:paraId="4DAF3797" w14:textId="77777777" w:rsidR="001D3F93" w:rsidRDefault="001D3F93">
      <w:pPr>
        <w:ind w:left="363" w:hanging="363"/>
        <w:jc w:val="both"/>
        <w:rPr>
          <w:rFonts w:ascii="Arial" w:hAnsi="Arial" w:cs="Arial"/>
          <w:color w:val="000000"/>
          <w:sz w:val="20"/>
        </w:rPr>
      </w:pPr>
      <w:r w:rsidRPr="003D5DFA">
        <w:rPr>
          <w:rFonts w:ascii="Arial" w:hAnsi="Arial" w:cs="Arial"/>
          <w:color w:val="000000"/>
          <w:sz w:val="20"/>
        </w:rPr>
        <w:t>(e)</w:t>
      </w:r>
      <w:r w:rsidRPr="003D5DFA">
        <w:rPr>
          <w:rFonts w:ascii="Arial" w:hAnsi="Arial" w:cs="Arial"/>
          <w:color w:val="000000"/>
          <w:sz w:val="20"/>
        </w:rPr>
        <w:tab/>
        <w:t>application for a therapeutic treatment order or therapeutic treatment (placement) order;</w:t>
      </w:r>
    </w:p>
    <w:p w14:paraId="55F47458" w14:textId="77777777" w:rsidR="00DC0A3F" w:rsidRDefault="00DC0A3F">
      <w:pPr>
        <w:ind w:left="363" w:hanging="363"/>
        <w:jc w:val="both"/>
        <w:rPr>
          <w:rFonts w:ascii="Arial" w:hAnsi="Arial" w:cs="Arial"/>
          <w:color w:val="000000"/>
          <w:sz w:val="20"/>
        </w:rPr>
      </w:pPr>
      <w:r>
        <w:rPr>
          <w:rFonts w:ascii="Arial" w:hAnsi="Arial" w:cs="Arial"/>
          <w:color w:val="000000"/>
          <w:sz w:val="20"/>
        </w:rPr>
        <w:t>(ea)</w:t>
      </w:r>
      <w:r>
        <w:rPr>
          <w:rFonts w:ascii="Arial" w:hAnsi="Arial" w:cs="Arial"/>
          <w:color w:val="000000"/>
          <w:sz w:val="20"/>
        </w:rPr>
        <w:tab/>
        <w:t>application for a care by Secretary order;</w:t>
      </w:r>
    </w:p>
    <w:p w14:paraId="1E2041AB" w14:textId="77777777" w:rsidR="00DC0A3F" w:rsidRPr="003D5DFA" w:rsidRDefault="00DC0A3F">
      <w:pPr>
        <w:ind w:left="363" w:hanging="363"/>
        <w:jc w:val="both"/>
        <w:rPr>
          <w:rFonts w:ascii="Arial" w:hAnsi="Arial" w:cs="Arial"/>
          <w:color w:val="000000"/>
          <w:sz w:val="20"/>
        </w:rPr>
      </w:pPr>
      <w:r>
        <w:rPr>
          <w:rFonts w:ascii="Arial" w:hAnsi="Arial" w:cs="Arial"/>
          <w:color w:val="000000"/>
          <w:sz w:val="20"/>
        </w:rPr>
        <w:t>(eb)</w:t>
      </w:r>
      <w:r>
        <w:rPr>
          <w:rFonts w:ascii="Arial" w:hAnsi="Arial" w:cs="Arial"/>
          <w:color w:val="000000"/>
          <w:sz w:val="20"/>
        </w:rPr>
        <w:tab/>
        <w:t>application for a long-term care order;</w:t>
      </w:r>
    </w:p>
    <w:p w14:paraId="5683ED99" w14:textId="77777777" w:rsidR="00693223" w:rsidRPr="003D5DFA" w:rsidRDefault="001D3F93">
      <w:pPr>
        <w:ind w:left="363" w:hanging="363"/>
        <w:jc w:val="both"/>
        <w:rPr>
          <w:rFonts w:ascii="Arial" w:hAnsi="Arial" w:cs="Arial"/>
          <w:color w:val="000000"/>
          <w:sz w:val="20"/>
        </w:rPr>
      </w:pPr>
      <w:r w:rsidRPr="003D5DFA">
        <w:rPr>
          <w:rFonts w:ascii="Arial" w:hAnsi="Arial" w:cs="Arial"/>
          <w:color w:val="000000"/>
          <w:sz w:val="20"/>
        </w:rPr>
        <w:t>(f)</w:t>
      </w:r>
      <w:r w:rsidRPr="003D5DFA">
        <w:rPr>
          <w:rFonts w:ascii="Arial" w:hAnsi="Arial" w:cs="Arial"/>
          <w:color w:val="000000"/>
          <w:sz w:val="20"/>
        </w:rPr>
        <w:tab/>
        <w:t xml:space="preserve">application for a </w:t>
      </w:r>
      <w:r w:rsidR="00693223" w:rsidRPr="003D5DFA">
        <w:rPr>
          <w:rFonts w:ascii="Arial" w:hAnsi="Arial" w:cs="Arial"/>
          <w:color w:val="000000"/>
          <w:sz w:val="20"/>
        </w:rPr>
        <w:t>permanent care order;</w:t>
      </w:r>
    </w:p>
    <w:p w14:paraId="1E3EF46E"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g</w:t>
      </w:r>
      <w:r w:rsidRPr="003D5DFA">
        <w:rPr>
          <w:rFonts w:ascii="Arial" w:hAnsi="Arial" w:cs="Arial"/>
          <w:color w:val="000000"/>
          <w:sz w:val="20"/>
        </w:rPr>
        <w:t>)</w:t>
      </w:r>
      <w:r w:rsidRPr="003D5DFA">
        <w:rPr>
          <w:rFonts w:ascii="Arial" w:hAnsi="Arial" w:cs="Arial"/>
          <w:color w:val="000000"/>
          <w:sz w:val="20"/>
        </w:rPr>
        <w:tab/>
        <w:t>application for variation of an IAO;</w:t>
      </w:r>
    </w:p>
    <w:p w14:paraId="7033DE60"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h</w:t>
      </w:r>
      <w:r w:rsidRPr="003D5DFA">
        <w:rPr>
          <w:rFonts w:ascii="Arial" w:hAnsi="Arial" w:cs="Arial"/>
          <w:color w:val="000000"/>
          <w:sz w:val="20"/>
        </w:rPr>
        <w:t>)</w:t>
      </w:r>
      <w:r w:rsidRPr="003D5DFA">
        <w:rPr>
          <w:rFonts w:ascii="Arial" w:hAnsi="Arial" w:cs="Arial"/>
          <w:color w:val="000000"/>
          <w:sz w:val="20"/>
        </w:rPr>
        <w:tab/>
        <w:t xml:space="preserve">application for variation or revocation of a </w:t>
      </w:r>
      <w:r w:rsidR="001D3F93" w:rsidRPr="003D5DFA">
        <w:rPr>
          <w:rFonts w:ascii="Arial" w:hAnsi="Arial" w:cs="Arial"/>
          <w:color w:val="000000"/>
          <w:sz w:val="20"/>
        </w:rPr>
        <w:t xml:space="preserve">temporary assessment order, a therapeutic treatment order or therapeutic treatment (placement) order, a </w:t>
      </w:r>
      <w:r w:rsidR="00EB1C61">
        <w:rPr>
          <w:rFonts w:ascii="Arial" w:hAnsi="Arial" w:cs="Arial"/>
          <w:color w:val="000000"/>
          <w:sz w:val="20"/>
        </w:rPr>
        <w:t>family preservation</w:t>
      </w:r>
      <w:r w:rsidRPr="003D5DFA">
        <w:rPr>
          <w:rFonts w:ascii="Arial" w:hAnsi="Arial" w:cs="Arial"/>
          <w:color w:val="000000"/>
          <w:sz w:val="20"/>
        </w:rPr>
        <w:t xml:space="preserve"> order, a </w:t>
      </w:r>
      <w:r w:rsidR="00EB1C61">
        <w:rPr>
          <w:rFonts w:ascii="Arial" w:hAnsi="Arial" w:cs="Arial"/>
          <w:color w:val="000000"/>
          <w:sz w:val="20"/>
        </w:rPr>
        <w:t>family reunification order</w:t>
      </w:r>
      <w:r w:rsidRPr="003D5DFA">
        <w:rPr>
          <w:rFonts w:ascii="Arial" w:hAnsi="Arial" w:cs="Arial"/>
          <w:color w:val="000000"/>
          <w:sz w:val="20"/>
        </w:rPr>
        <w:t xml:space="preserve"> or a permanent care order;</w:t>
      </w:r>
    </w:p>
    <w:p w14:paraId="10E6EE7B"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i</w:t>
      </w:r>
      <w:r w:rsidRPr="003D5DFA">
        <w:rPr>
          <w:rFonts w:ascii="Arial" w:hAnsi="Arial" w:cs="Arial"/>
          <w:color w:val="000000"/>
          <w:sz w:val="20"/>
        </w:rPr>
        <w:t>)</w:t>
      </w:r>
      <w:r w:rsidRPr="003D5DFA">
        <w:rPr>
          <w:rFonts w:ascii="Arial" w:hAnsi="Arial" w:cs="Arial"/>
          <w:color w:val="000000"/>
          <w:sz w:val="20"/>
        </w:rPr>
        <w:tab/>
        <w:t>application in respect of breach of a</w:t>
      </w:r>
      <w:r w:rsidR="00EB1C61">
        <w:rPr>
          <w:rFonts w:ascii="Arial" w:hAnsi="Arial" w:cs="Arial"/>
          <w:color w:val="000000"/>
          <w:sz w:val="20"/>
        </w:rPr>
        <w:t xml:space="preserve">n IAO or </w:t>
      </w:r>
      <w:r w:rsidR="001D3F93" w:rsidRPr="003D5DFA">
        <w:rPr>
          <w:rFonts w:ascii="Arial" w:hAnsi="Arial" w:cs="Arial"/>
          <w:color w:val="000000"/>
          <w:sz w:val="20"/>
        </w:rPr>
        <w:t>a</w:t>
      </w:r>
      <w:r w:rsidR="00EB1C61">
        <w:rPr>
          <w:rFonts w:ascii="Arial" w:hAnsi="Arial" w:cs="Arial"/>
          <w:color w:val="000000"/>
          <w:sz w:val="20"/>
        </w:rPr>
        <w:t xml:space="preserve"> family preservation</w:t>
      </w:r>
      <w:r w:rsidRPr="003D5DFA">
        <w:rPr>
          <w:rFonts w:ascii="Arial" w:hAnsi="Arial" w:cs="Arial"/>
          <w:color w:val="000000"/>
          <w:sz w:val="20"/>
        </w:rPr>
        <w:t xml:space="preserve"> </w:t>
      </w:r>
      <w:r w:rsidR="001D3F93" w:rsidRPr="003D5DFA">
        <w:rPr>
          <w:rFonts w:ascii="Arial" w:hAnsi="Arial" w:cs="Arial"/>
          <w:color w:val="000000"/>
          <w:sz w:val="20"/>
        </w:rPr>
        <w:t>order</w:t>
      </w:r>
      <w:r w:rsidRPr="003D5DFA">
        <w:rPr>
          <w:rFonts w:ascii="Arial" w:hAnsi="Arial" w:cs="Arial"/>
          <w:color w:val="000000"/>
          <w:sz w:val="20"/>
        </w:rPr>
        <w:t>;</w:t>
      </w:r>
    </w:p>
    <w:p w14:paraId="0657A3DA"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j</w:t>
      </w:r>
      <w:r w:rsidRPr="003D5DFA">
        <w:rPr>
          <w:rFonts w:ascii="Arial" w:hAnsi="Arial" w:cs="Arial"/>
          <w:color w:val="000000"/>
          <w:sz w:val="20"/>
        </w:rPr>
        <w:t>)</w:t>
      </w:r>
      <w:r w:rsidRPr="003D5DFA">
        <w:rPr>
          <w:rFonts w:ascii="Arial" w:hAnsi="Arial" w:cs="Arial"/>
          <w:color w:val="000000"/>
          <w:sz w:val="20"/>
        </w:rPr>
        <w:tab/>
        <w:t xml:space="preserve">application for extension of a </w:t>
      </w:r>
      <w:r w:rsidR="00EB1C61">
        <w:rPr>
          <w:rFonts w:ascii="Arial" w:hAnsi="Arial" w:cs="Arial"/>
          <w:color w:val="000000"/>
          <w:sz w:val="20"/>
        </w:rPr>
        <w:t>family preservation</w:t>
      </w:r>
      <w:r w:rsidR="001D3F93" w:rsidRPr="003D5DFA">
        <w:rPr>
          <w:rFonts w:ascii="Arial" w:hAnsi="Arial" w:cs="Arial"/>
          <w:color w:val="000000"/>
          <w:sz w:val="20"/>
        </w:rPr>
        <w:t xml:space="preserve"> order, a </w:t>
      </w:r>
      <w:r w:rsidR="00EB1C61">
        <w:rPr>
          <w:rFonts w:ascii="Arial" w:hAnsi="Arial" w:cs="Arial"/>
          <w:color w:val="000000"/>
          <w:sz w:val="20"/>
        </w:rPr>
        <w:t xml:space="preserve">family reunification order or a care by </w:t>
      </w:r>
      <w:r w:rsidRPr="003D5DFA">
        <w:rPr>
          <w:rFonts w:ascii="Arial" w:hAnsi="Arial" w:cs="Arial"/>
          <w:color w:val="000000"/>
          <w:sz w:val="20"/>
        </w:rPr>
        <w:t>Secretary order;</w:t>
      </w:r>
    </w:p>
    <w:p w14:paraId="6B359A64"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k</w:t>
      </w:r>
      <w:r w:rsidRPr="003D5DFA">
        <w:rPr>
          <w:rFonts w:ascii="Arial" w:hAnsi="Arial" w:cs="Arial"/>
          <w:color w:val="000000"/>
          <w:sz w:val="20"/>
        </w:rPr>
        <w:t>)</w:t>
      </w:r>
      <w:r w:rsidRPr="003D5DFA">
        <w:rPr>
          <w:rFonts w:ascii="Arial" w:hAnsi="Arial" w:cs="Arial"/>
          <w:color w:val="000000"/>
          <w:sz w:val="20"/>
        </w:rPr>
        <w:tab/>
        <w:t xml:space="preserve">application for revocation of a </w:t>
      </w:r>
      <w:r w:rsidR="00EB1C61">
        <w:rPr>
          <w:rFonts w:ascii="Arial" w:hAnsi="Arial" w:cs="Arial"/>
          <w:color w:val="000000"/>
          <w:sz w:val="20"/>
        </w:rPr>
        <w:t>care by Secretary order or a long-term care order</w:t>
      </w:r>
      <w:r w:rsidRPr="003D5DFA">
        <w:rPr>
          <w:rFonts w:ascii="Arial" w:hAnsi="Arial" w:cs="Arial"/>
          <w:color w:val="000000"/>
          <w:sz w:val="20"/>
        </w:rPr>
        <w:t>;</w:t>
      </w:r>
    </w:p>
    <w:p w14:paraId="0270D103"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l</w:t>
      </w:r>
      <w:r w:rsidRPr="003D5DFA">
        <w:rPr>
          <w:rFonts w:ascii="Arial" w:hAnsi="Arial" w:cs="Arial"/>
          <w:color w:val="000000"/>
          <w:sz w:val="20"/>
        </w:rPr>
        <w:t>)</w:t>
      </w:r>
      <w:r w:rsidRPr="003D5DFA">
        <w:rPr>
          <w:rFonts w:ascii="Arial" w:hAnsi="Arial" w:cs="Arial"/>
          <w:color w:val="000000"/>
          <w:sz w:val="20"/>
        </w:rPr>
        <w:tab/>
        <w:t xml:space="preserve">application for an order regarding the exercise of any right, power or duty vested in a person </w:t>
      </w:r>
      <w:r w:rsidR="00EB1C61">
        <w:rPr>
          <w:rFonts w:ascii="Arial" w:hAnsi="Arial" w:cs="Arial"/>
          <w:color w:val="000000"/>
          <w:sz w:val="20"/>
        </w:rPr>
        <w:t>with</w:t>
      </w:r>
      <w:r w:rsidRPr="003D5DFA">
        <w:rPr>
          <w:rFonts w:ascii="Arial" w:hAnsi="Arial" w:cs="Arial"/>
          <w:color w:val="000000"/>
          <w:sz w:val="20"/>
        </w:rPr>
        <w:t xml:space="preserve"> joint </w:t>
      </w:r>
      <w:r w:rsidR="00EB1C61">
        <w:rPr>
          <w:rFonts w:ascii="Arial" w:hAnsi="Arial" w:cs="Arial"/>
          <w:color w:val="000000"/>
          <w:sz w:val="20"/>
        </w:rPr>
        <w:t>parental responsibility for</w:t>
      </w:r>
      <w:r w:rsidRPr="003D5DFA">
        <w:rPr>
          <w:rFonts w:ascii="Arial" w:hAnsi="Arial" w:cs="Arial"/>
          <w:color w:val="000000"/>
          <w:sz w:val="20"/>
        </w:rPr>
        <w:t xml:space="preserve"> a child;</w:t>
      </w:r>
    </w:p>
    <w:p w14:paraId="3D0F1C1C"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m</w:t>
      </w:r>
      <w:r w:rsidRPr="003D5DFA">
        <w:rPr>
          <w:rFonts w:ascii="Arial" w:hAnsi="Arial" w:cs="Arial"/>
          <w:color w:val="000000"/>
          <w:sz w:val="20"/>
        </w:rPr>
        <w:t>)</w:t>
      </w:r>
      <w:r w:rsidRPr="003D5DFA">
        <w:rPr>
          <w:rFonts w:ascii="Arial" w:hAnsi="Arial" w:cs="Arial"/>
          <w:color w:val="000000"/>
          <w:sz w:val="20"/>
        </w:rPr>
        <w:tab/>
        <w:t>application for an order transferring a child</w:t>
      </w:r>
      <w:r w:rsidR="001D3F93" w:rsidRPr="003D5DFA">
        <w:rPr>
          <w:rFonts w:ascii="Arial" w:hAnsi="Arial" w:cs="Arial"/>
          <w:color w:val="000000"/>
          <w:sz w:val="20"/>
        </w:rPr>
        <w:t xml:space="preserve"> protection order </w:t>
      </w:r>
      <w:r w:rsidRPr="003D5DFA">
        <w:rPr>
          <w:rFonts w:ascii="Arial" w:hAnsi="Arial" w:cs="Arial"/>
          <w:color w:val="000000"/>
          <w:sz w:val="20"/>
        </w:rPr>
        <w:t xml:space="preserve">within the meaning of Schedule </w:t>
      </w:r>
      <w:r w:rsidR="001D3F93" w:rsidRPr="003D5DFA">
        <w:rPr>
          <w:rFonts w:ascii="Arial" w:hAnsi="Arial" w:cs="Arial"/>
          <w:color w:val="000000"/>
          <w:sz w:val="20"/>
        </w:rPr>
        <w:t>1</w:t>
      </w:r>
      <w:r w:rsidRPr="003D5DFA">
        <w:rPr>
          <w:rFonts w:ascii="Arial" w:hAnsi="Arial" w:cs="Arial"/>
          <w:color w:val="000000"/>
          <w:sz w:val="20"/>
        </w:rPr>
        <w:t xml:space="preserve"> to a participating State;</w:t>
      </w:r>
    </w:p>
    <w:p w14:paraId="07B6249C" w14:textId="77777777" w:rsidR="009B633C" w:rsidRPr="003D5DFA" w:rsidRDefault="009B633C" w:rsidP="009B633C">
      <w:pPr>
        <w:ind w:left="363" w:hanging="363"/>
        <w:jc w:val="both"/>
        <w:rPr>
          <w:rFonts w:ascii="Arial" w:hAnsi="Arial" w:cs="Arial"/>
          <w:color w:val="000000"/>
          <w:sz w:val="20"/>
        </w:rPr>
      </w:pPr>
      <w:r w:rsidRPr="003D5DFA">
        <w:rPr>
          <w:rFonts w:ascii="Arial" w:hAnsi="Arial" w:cs="Arial"/>
          <w:color w:val="000000"/>
          <w:sz w:val="20"/>
        </w:rPr>
        <w:t>(n)</w:t>
      </w:r>
      <w:r w:rsidRPr="003D5DFA">
        <w:rPr>
          <w:rFonts w:ascii="Arial" w:hAnsi="Arial" w:cs="Arial"/>
          <w:color w:val="000000"/>
          <w:sz w:val="20"/>
        </w:rPr>
        <w:tab/>
        <w:t>application for an order transferring a child protection proceeding within the meaning of Schedule 1 to the Children’s Court in a participating State;</w:t>
      </w:r>
    </w:p>
    <w:p w14:paraId="71A73542" w14:textId="77777777" w:rsidR="00693223" w:rsidRPr="003D5DFA" w:rsidRDefault="00693223" w:rsidP="009B633C">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o</w:t>
      </w:r>
      <w:r w:rsidRPr="003D5DFA">
        <w:rPr>
          <w:rFonts w:ascii="Arial" w:hAnsi="Arial" w:cs="Arial"/>
          <w:color w:val="000000"/>
          <w:sz w:val="20"/>
        </w:rPr>
        <w:t>)</w:t>
      </w:r>
      <w:r w:rsidRPr="003D5DFA">
        <w:rPr>
          <w:rFonts w:ascii="Arial" w:hAnsi="Arial" w:cs="Arial"/>
          <w:color w:val="000000"/>
          <w:sz w:val="20"/>
        </w:rPr>
        <w:tab/>
        <w:t>application for the revocation of the registration of a document fil</w:t>
      </w:r>
      <w:r w:rsidR="009B633C" w:rsidRPr="003D5DFA">
        <w:rPr>
          <w:rFonts w:ascii="Arial" w:hAnsi="Arial" w:cs="Arial"/>
          <w:color w:val="000000"/>
          <w:sz w:val="20"/>
        </w:rPr>
        <w:t>ed under clause 19 of Schedule 1</w:t>
      </w:r>
      <w:r w:rsidRPr="003D5DFA">
        <w:rPr>
          <w:rFonts w:ascii="Arial" w:hAnsi="Arial" w:cs="Arial"/>
          <w:color w:val="000000"/>
          <w:sz w:val="20"/>
        </w:rPr>
        <w:t>.</w:t>
      </w:r>
    </w:p>
    <w:p w14:paraId="36B314D8" w14:textId="77777777" w:rsidR="00693223" w:rsidRPr="003D5DFA" w:rsidRDefault="003E2B31">
      <w:pPr>
        <w:jc w:val="both"/>
        <w:rPr>
          <w:rFonts w:ascii="Arial" w:hAnsi="Arial" w:cs="Arial"/>
          <w:color w:val="000000"/>
          <w:sz w:val="20"/>
        </w:rPr>
      </w:pPr>
      <w:r w:rsidRPr="003D5DFA">
        <w:rPr>
          <w:rFonts w:ascii="Arial" w:hAnsi="Arial" w:cs="Arial"/>
          <w:color w:val="000000"/>
          <w:sz w:val="20"/>
        </w:rPr>
        <w:t>This list includes nearly all of the proceedings in the Family Division.</w:t>
      </w:r>
    </w:p>
    <w:p w14:paraId="0F3383A7" w14:textId="77777777" w:rsidR="003E2B31" w:rsidRPr="003D5DFA" w:rsidRDefault="003E2B31">
      <w:pPr>
        <w:jc w:val="both"/>
        <w:rPr>
          <w:rFonts w:ascii="Arial" w:hAnsi="Arial" w:cs="Arial"/>
          <w:color w:val="000000"/>
          <w:sz w:val="20"/>
        </w:rPr>
      </w:pPr>
    </w:p>
    <w:p w14:paraId="464E67B2" w14:textId="77777777" w:rsidR="000B6A6D" w:rsidRPr="003D5DFA" w:rsidRDefault="00693223">
      <w:pPr>
        <w:jc w:val="both"/>
        <w:rPr>
          <w:rFonts w:ascii="Arial" w:hAnsi="Arial" w:cs="Arial"/>
          <w:color w:val="000000"/>
          <w:sz w:val="20"/>
        </w:rPr>
      </w:pPr>
      <w:r w:rsidRPr="003D5DFA">
        <w:rPr>
          <w:rFonts w:ascii="Arial" w:hAnsi="Arial" w:cs="Arial"/>
          <w:color w:val="000000"/>
          <w:sz w:val="20"/>
        </w:rPr>
        <w:t xml:space="preserve">Section </w:t>
      </w:r>
      <w:r w:rsidR="000A7107" w:rsidRPr="003D5DFA">
        <w:rPr>
          <w:rFonts w:ascii="Arial" w:hAnsi="Arial" w:cs="Arial"/>
          <w:color w:val="000000"/>
          <w:sz w:val="20"/>
        </w:rPr>
        <w:t>524</w:t>
      </w:r>
      <w:r w:rsidRPr="003D5DFA">
        <w:rPr>
          <w:rFonts w:ascii="Arial" w:hAnsi="Arial" w:cs="Arial"/>
          <w:color w:val="000000"/>
          <w:sz w:val="20"/>
        </w:rPr>
        <w:t>(</w:t>
      </w:r>
      <w:r w:rsidR="000A7107" w:rsidRPr="003D5DFA">
        <w:rPr>
          <w:rFonts w:ascii="Arial" w:hAnsi="Arial" w:cs="Arial"/>
          <w:color w:val="000000"/>
          <w:sz w:val="20"/>
        </w:rPr>
        <w:t>8</w:t>
      </w:r>
      <w:r w:rsidRPr="003D5DFA">
        <w:rPr>
          <w:rFonts w:ascii="Arial" w:hAnsi="Arial" w:cs="Arial"/>
          <w:color w:val="000000"/>
          <w:sz w:val="20"/>
        </w:rPr>
        <w:t xml:space="preserve">) prohibits a parent from representing a child </w:t>
      </w:r>
      <w:r w:rsidR="000B6A6D" w:rsidRPr="003D5DFA">
        <w:rPr>
          <w:rFonts w:ascii="Arial" w:hAnsi="Arial" w:cs="Arial"/>
          <w:color w:val="000000"/>
          <w:sz w:val="20"/>
        </w:rPr>
        <w:t xml:space="preserve">in the Family Division </w:t>
      </w:r>
      <w:r w:rsidRPr="003D5DFA">
        <w:rPr>
          <w:rFonts w:ascii="Arial" w:hAnsi="Arial" w:cs="Arial"/>
          <w:color w:val="000000"/>
          <w:sz w:val="20"/>
        </w:rPr>
        <w:t>but permits the Court to grant leave to a non-lawyer, other than a parent, to represent the child</w:t>
      </w:r>
      <w:r w:rsidR="000B6A6D" w:rsidRPr="003D5DFA">
        <w:rPr>
          <w:rFonts w:ascii="Arial" w:hAnsi="Arial" w:cs="Arial"/>
          <w:color w:val="000000"/>
          <w:sz w:val="20"/>
        </w:rPr>
        <w:t xml:space="preserve"> except in cases where legal representation is obtained pursuant to s.524(4).</w:t>
      </w:r>
    </w:p>
    <w:p w14:paraId="48ED0330" w14:textId="77777777" w:rsidR="004C0B7B" w:rsidRPr="003D5DFA" w:rsidRDefault="004C0B7B" w:rsidP="004C0B7B">
      <w:pPr>
        <w:jc w:val="both"/>
        <w:rPr>
          <w:rFonts w:ascii="Arial" w:hAnsi="Arial" w:cs="Arial"/>
          <w:color w:val="000000"/>
          <w:sz w:val="20"/>
        </w:rPr>
      </w:pPr>
    </w:p>
    <w:p w14:paraId="47A01504" w14:textId="77777777" w:rsidR="004C0B7B" w:rsidRPr="003D5DFA" w:rsidRDefault="004C0B7B" w:rsidP="004C0B7B">
      <w:pPr>
        <w:jc w:val="both"/>
        <w:rPr>
          <w:rFonts w:ascii="Arial" w:hAnsi="Arial" w:cs="Arial"/>
          <w:color w:val="000000"/>
          <w:sz w:val="20"/>
        </w:rPr>
      </w:pPr>
      <w:r w:rsidRPr="003D5DFA">
        <w:rPr>
          <w:rFonts w:ascii="Arial" w:hAnsi="Arial" w:cs="Arial"/>
          <w:color w:val="000000"/>
          <w:sz w:val="20"/>
        </w:rPr>
        <w:t xml:space="preserve">Section 524(1)(a) empowers – but does not require – the Court to adjourn the hearing of any proceeding in the Family Division of the Court at any stage to enable a child aged 10 years or more to obtain legal representation.  </w:t>
      </w:r>
      <w:r w:rsidR="00EB1C61">
        <w:rPr>
          <w:rFonts w:ascii="Arial" w:hAnsi="Arial" w:cs="Arial"/>
          <w:color w:val="000000"/>
          <w:sz w:val="20"/>
        </w:rPr>
        <w:t xml:space="preserve">However, the writer considers this must be read subject to the mandatory representation provisions in s.525(1).  </w:t>
      </w:r>
      <w:r w:rsidRPr="003D5DFA">
        <w:rPr>
          <w:rFonts w:ascii="Arial" w:hAnsi="Arial" w:cs="Arial"/>
          <w:color w:val="000000"/>
          <w:sz w:val="20"/>
        </w:rPr>
        <w:t>Section 524(4A) permits the Court to resume a hearing adjourned to enable a child to obtain legal representation whether or not the child has obtained legal representation.</w:t>
      </w:r>
    </w:p>
    <w:p w14:paraId="6353065B" w14:textId="77777777" w:rsidR="004C0B7B" w:rsidRPr="003D5DFA" w:rsidRDefault="004C0B7B" w:rsidP="004C0B7B">
      <w:pPr>
        <w:jc w:val="both"/>
        <w:rPr>
          <w:rFonts w:ascii="Arial" w:hAnsi="Arial" w:cs="Arial"/>
          <w:color w:val="000000"/>
          <w:sz w:val="20"/>
        </w:rPr>
      </w:pPr>
    </w:p>
    <w:p w14:paraId="0327AAFA" w14:textId="77777777" w:rsidR="00693223" w:rsidRPr="003D5DFA" w:rsidRDefault="008A2308">
      <w:pPr>
        <w:jc w:val="both"/>
        <w:rPr>
          <w:rFonts w:ascii="Arial" w:hAnsi="Arial" w:cs="Arial"/>
          <w:color w:val="000000"/>
          <w:sz w:val="20"/>
        </w:rPr>
      </w:pPr>
      <w:r>
        <w:rPr>
          <w:rFonts w:ascii="Arial" w:hAnsi="Arial" w:cs="Arial"/>
          <w:color w:val="000000"/>
          <w:sz w:val="20"/>
        </w:rPr>
        <w:t xml:space="preserve">Section </w:t>
      </w:r>
      <w:r w:rsidR="00785536" w:rsidRPr="003D5DFA">
        <w:rPr>
          <w:rFonts w:ascii="Arial" w:hAnsi="Arial" w:cs="Arial"/>
          <w:color w:val="000000"/>
          <w:sz w:val="20"/>
        </w:rPr>
        <w:t>524(</w:t>
      </w:r>
      <w:r w:rsidR="00A97263" w:rsidRPr="003D5DFA">
        <w:rPr>
          <w:rFonts w:ascii="Arial" w:hAnsi="Arial" w:cs="Arial"/>
          <w:color w:val="000000"/>
          <w:sz w:val="20"/>
        </w:rPr>
        <w:t xml:space="preserve">1A) of the CYFA </w:t>
      </w:r>
      <w:r w:rsidR="00785536" w:rsidRPr="003D5DFA">
        <w:rPr>
          <w:rFonts w:ascii="Arial" w:hAnsi="Arial" w:cs="Arial"/>
          <w:color w:val="000000"/>
          <w:sz w:val="20"/>
        </w:rPr>
        <w:t>provide</w:t>
      </w:r>
      <w:r w:rsidR="00A97263" w:rsidRPr="003D5DFA">
        <w:rPr>
          <w:rFonts w:ascii="Arial" w:hAnsi="Arial" w:cs="Arial"/>
          <w:color w:val="000000"/>
          <w:sz w:val="20"/>
        </w:rPr>
        <w:t>s</w:t>
      </w:r>
      <w:r w:rsidR="00785536" w:rsidRPr="003D5DFA">
        <w:rPr>
          <w:rFonts w:ascii="Arial" w:hAnsi="Arial" w:cs="Arial"/>
          <w:color w:val="000000"/>
          <w:sz w:val="20"/>
        </w:rPr>
        <w:t xml:space="preserve"> that i</w:t>
      </w:r>
      <w:r w:rsidR="00693223" w:rsidRPr="003D5DFA">
        <w:rPr>
          <w:rFonts w:ascii="Arial" w:hAnsi="Arial" w:cs="Arial"/>
          <w:color w:val="000000"/>
          <w:sz w:val="20"/>
        </w:rPr>
        <w:t xml:space="preserve">f a child </w:t>
      </w:r>
      <w:r w:rsidR="00785536" w:rsidRPr="003D5DFA">
        <w:rPr>
          <w:rFonts w:ascii="Arial" w:hAnsi="Arial" w:cs="Arial"/>
          <w:color w:val="000000"/>
          <w:sz w:val="20"/>
        </w:rPr>
        <w:t xml:space="preserve">aged 10 years or more is not </w:t>
      </w:r>
      <w:r w:rsidR="00693223" w:rsidRPr="003D5DFA">
        <w:rPr>
          <w:rFonts w:ascii="Arial" w:hAnsi="Arial" w:cs="Arial"/>
          <w:color w:val="000000"/>
          <w:sz w:val="20"/>
        </w:rPr>
        <w:t>legally represented in any of the above</w:t>
      </w:r>
      <w:r w:rsidR="00785536" w:rsidRPr="003D5DFA">
        <w:rPr>
          <w:rFonts w:ascii="Arial" w:hAnsi="Arial" w:cs="Arial"/>
          <w:color w:val="000000"/>
          <w:sz w:val="20"/>
        </w:rPr>
        <w:t>-listed</w:t>
      </w:r>
      <w:r w:rsidR="00693223" w:rsidRPr="003D5DFA">
        <w:rPr>
          <w:rFonts w:ascii="Arial" w:hAnsi="Arial" w:cs="Arial"/>
          <w:color w:val="000000"/>
          <w:sz w:val="20"/>
        </w:rPr>
        <w:t xml:space="preserve"> proceedings, </w:t>
      </w:r>
      <w:r w:rsidR="00785536" w:rsidRPr="003D5DFA">
        <w:rPr>
          <w:rFonts w:ascii="Arial" w:hAnsi="Arial" w:cs="Arial"/>
          <w:color w:val="000000"/>
          <w:sz w:val="20"/>
        </w:rPr>
        <w:t xml:space="preserve">the Court must </w:t>
      </w:r>
      <w:r w:rsidR="00693223" w:rsidRPr="003D5DFA">
        <w:rPr>
          <w:rFonts w:ascii="Arial" w:hAnsi="Arial" w:cs="Arial"/>
          <w:color w:val="000000"/>
          <w:sz w:val="20"/>
        </w:rPr>
        <w:t>adjourn the hearing to enable the child to obtain legal representation.  However, that obligation does not apply to:</w:t>
      </w:r>
    </w:p>
    <w:p w14:paraId="23D6EB19" w14:textId="77777777" w:rsidR="00693223" w:rsidRPr="003D5DFA" w:rsidRDefault="00693223" w:rsidP="00142D55">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cases falling within s</w:t>
      </w:r>
      <w:r w:rsidR="00803503" w:rsidRPr="003D5DFA">
        <w:rPr>
          <w:rFonts w:ascii="Arial" w:hAnsi="Arial" w:cs="Arial"/>
          <w:color w:val="000000"/>
          <w:sz w:val="20"/>
        </w:rPr>
        <w:t>.216</w:t>
      </w:r>
      <w:r w:rsidRPr="003D5DFA">
        <w:rPr>
          <w:rFonts w:ascii="Arial" w:hAnsi="Arial" w:cs="Arial"/>
          <w:color w:val="000000"/>
          <w:sz w:val="20"/>
        </w:rPr>
        <w:t>, i.e. where, upon an application for extension of a custody or guardianship to Secretary order, the Court is satisfied that the child has agreed on the terms of the order and that the making of the order is in the best interests of the child;</w:t>
      </w:r>
    </w:p>
    <w:p w14:paraId="0705F35B" w14:textId="77777777" w:rsidR="00693223" w:rsidRPr="003D5DFA" w:rsidRDefault="00693223" w:rsidP="00142D55">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where the Court has granted leave </w:t>
      </w:r>
      <w:r w:rsidR="00785536" w:rsidRPr="003D5DFA">
        <w:rPr>
          <w:rFonts w:ascii="Arial" w:hAnsi="Arial" w:cs="Arial"/>
          <w:color w:val="000000"/>
          <w:sz w:val="20"/>
        </w:rPr>
        <w:t xml:space="preserve">under s.524(8) </w:t>
      </w:r>
      <w:r w:rsidRPr="003D5DFA">
        <w:rPr>
          <w:rFonts w:ascii="Arial" w:hAnsi="Arial" w:cs="Arial"/>
          <w:color w:val="000000"/>
          <w:sz w:val="20"/>
        </w:rPr>
        <w:t>for the child to</w:t>
      </w:r>
      <w:r w:rsidR="00785536" w:rsidRPr="003D5DFA">
        <w:rPr>
          <w:rFonts w:ascii="Arial" w:hAnsi="Arial" w:cs="Arial"/>
          <w:color w:val="000000"/>
          <w:sz w:val="20"/>
        </w:rPr>
        <w:t xml:space="preserve"> be represented by a non-lawyer; and</w:t>
      </w:r>
    </w:p>
    <w:p w14:paraId="0A55A94D" w14:textId="77777777" w:rsidR="00785536" w:rsidRPr="003D5DFA" w:rsidRDefault="00785536" w:rsidP="00142D55">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t>
      </w:r>
      <w:r w:rsidR="00A97263" w:rsidRPr="003D5DFA">
        <w:rPr>
          <w:rFonts w:ascii="Arial" w:hAnsi="Arial" w:cs="Arial"/>
          <w:color w:val="000000"/>
          <w:sz w:val="20"/>
        </w:rPr>
        <w:t>where the Court has determined pursuant to s.524(1B) that a child aged 10 years or more is not mature enough to give instructions to a legal practitioner, considering-</w:t>
      </w:r>
    </w:p>
    <w:p w14:paraId="134CAE24" w14:textId="77777777" w:rsidR="00693223" w:rsidRPr="003D5DFA" w:rsidRDefault="00A97263" w:rsidP="00FB1EE3">
      <w:pPr>
        <w:numPr>
          <w:ilvl w:val="0"/>
          <w:numId w:val="45"/>
        </w:numPr>
        <w:jc w:val="both"/>
        <w:rPr>
          <w:rFonts w:ascii="Arial" w:hAnsi="Arial" w:cs="Arial"/>
          <w:color w:val="000000"/>
          <w:sz w:val="20"/>
        </w:rPr>
      </w:pPr>
      <w:r w:rsidRPr="003D5DFA">
        <w:rPr>
          <w:rFonts w:ascii="Arial" w:hAnsi="Arial" w:cs="Arial"/>
          <w:color w:val="000000"/>
          <w:sz w:val="20"/>
        </w:rPr>
        <w:t>the child’s ability to form and communicate the child’s own views; and</w:t>
      </w:r>
    </w:p>
    <w:p w14:paraId="7FC15345" w14:textId="77777777" w:rsidR="00A97263" w:rsidRPr="003D5DFA" w:rsidRDefault="00A97263" w:rsidP="00FB1EE3">
      <w:pPr>
        <w:numPr>
          <w:ilvl w:val="0"/>
          <w:numId w:val="45"/>
        </w:numPr>
        <w:jc w:val="both"/>
        <w:rPr>
          <w:rFonts w:ascii="Arial" w:hAnsi="Arial" w:cs="Arial"/>
          <w:color w:val="000000"/>
          <w:sz w:val="20"/>
        </w:rPr>
      </w:pPr>
      <w:r w:rsidRPr="003D5DFA">
        <w:rPr>
          <w:rFonts w:ascii="Arial" w:hAnsi="Arial" w:cs="Arial"/>
          <w:color w:val="000000"/>
          <w:sz w:val="20"/>
        </w:rPr>
        <w:t xml:space="preserve">the child’s </w:t>
      </w:r>
      <w:r w:rsidR="00A27D51" w:rsidRPr="003D5DFA">
        <w:rPr>
          <w:rFonts w:ascii="Arial" w:hAnsi="Arial" w:cs="Arial"/>
          <w:color w:val="000000"/>
          <w:sz w:val="20"/>
        </w:rPr>
        <w:t>ability to give instructions in relation to the primary issues in dispute; and</w:t>
      </w:r>
    </w:p>
    <w:p w14:paraId="36A4871C" w14:textId="77777777" w:rsidR="00A27D51" w:rsidRPr="003D5DFA" w:rsidRDefault="00A27D51" w:rsidP="00FB1EE3">
      <w:pPr>
        <w:numPr>
          <w:ilvl w:val="0"/>
          <w:numId w:val="45"/>
        </w:numPr>
        <w:jc w:val="both"/>
        <w:rPr>
          <w:rFonts w:ascii="Arial" w:hAnsi="Arial" w:cs="Arial"/>
          <w:color w:val="000000"/>
          <w:sz w:val="20"/>
        </w:rPr>
      </w:pPr>
      <w:r w:rsidRPr="003D5DFA">
        <w:rPr>
          <w:rFonts w:ascii="Arial" w:hAnsi="Arial" w:cs="Arial"/>
          <w:color w:val="000000"/>
          <w:sz w:val="20"/>
        </w:rPr>
        <w:t>any other matter the Court considers relevant.</w:t>
      </w:r>
    </w:p>
    <w:p w14:paraId="60E01F8D" w14:textId="77777777" w:rsidR="002A22E3" w:rsidRPr="003D5DFA" w:rsidRDefault="002A22E3" w:rsidP="00A27D51">
      <w:pPr>
        <w:jc w:val="both"/>
        <w:rPr>
          <w:rFonts w:ascii="Arial" w:hAnsi="Arial" w:cs="Arial"/>
          <w:color w:val="000000"/>
          <w:sz w:val="20"/>
        </w:rPr>
      </w:pPr>
    </w:p>
    <w:p w14:paraId="11275106" w14:textId="77777777" w:rsidR="00592495" w:rsidRPr="003D5DFA" w:rsidRDefault="00592495">
      <w:pPr>
        <w:jc w:val="both"/>
        <w:rPr>
          <w:rFonts w:ascii="Arial" w:hAnsi="Arial" w:cs="Arial"/>
          <w:color w:val="000000"/>
          <w:sz w:val="20"/>
        </w:rPr>
      </w:pPr>
      <w:r w:rsidRPr="003D5DFA">
        <w:rPr>
          <w:rFonts w:ascii="Arial" w:hAnsi="Arial" w:cs="Arial"/>
          <w:color w:val="000000"/>
          <w:sz w:val="20"/>
        </w:rPr>
        <w:t xml:space="preserve">A representative for a child – other than a legal representative appointed under s.524(4) [as to which see section 4.7.4 below] – is required by ss.524(9) &amp; 524(10) to act in accordance with any instructions given or wishes expressed by the child so far as it is practicable to do so having regard to the maturity of the child.  </w:t>
      </w:r>
      <w:r w:rsidR="00FB23AB" w:rsidRPr="003D5DFA">
        <w:rPr>
          <w:rFonts w:ascii="Arial" w:hAnsi="Arial" w:cs="Arial"/>
          <w:color w:val="000000"/>
          <w:sz w:val="20"/>
        </w:rPr>
        <w:t xml:space="preserve">The CYFA has thus adopted model 2 – </w:t>
      </w:r>
      <w:r w:rsidR="00745D3D" w:rsidRPr="003D5DFA">
        <w:rPr>
          <w:rFonts w:ascii="Arial" w:hAnsi="Arial" w:cs="Arial"/>
          <w:color w:val="000000"/>
          <w:sz w:val="20"/>
        </w:rPr>
        <w:t>‘</w:t>
      </w:r>
      <w:r w:rsidR="00FB23AB" w:rsidRPr="003D5DFA">
        <w:rPr>
          <w:rFonts w:ascii="Arial" w:hAnsi="Arial" w:cs="Arial"/>
          <w:b/>
          <w:color w:val="000000"/>
          <w:sz w:val="20"/>
        </w:rPr>
        <w:t>the traditional model</w:t>
      </w:r>
      <w:r w:rsidR="00745D3D" w:rsidRPr="003D5DFA">
        <w:rPr>
          <w:rFonts w:ascii="Arial" w:hAnsi="Arial" w:cs="Arial"/>
          <w:color w:val="000000"/>
          <w:sz w:val="20"/>
        </w:rPr>
        <w:t>’</w:t>
      </w:r>
      <w:r w:rsidR="00FB23AB" w:rsidRPr="003D5DFA">
        <w:rPr>
          <w:rFonts w:ascii="Arial" w:hAnsi="Arial" w:cs="Arial"/>
          <w:color w:val="000000"/>
          <w:sz w:val="20"/>
        </w:rPr>
        <w:t xml:space="preserve"> – </w:t>
      </w:r>
      <w:r w:rsidR="0031041A" w:rsidRPr="003D5DFA">
        <w:rPr>
          <w:rFonts w:ascii="Arial" w:hAnsi="Arial" w:cs="Arial"/>
          <w:color w:val="000000"/>
          <w:sz w:val="20"/>
        </w:rPr>
        <w:t xml:space="preserve">as its primary model </w:t>
      </w:r>
      <w:r w:rsidR="00FB23AB" w:rsidRPr="003D5DFA">
        <w:rPr>
          <w:rFonts w:ascii="Arial" w:hAnsi="Arial" w:cs="Arial"/>
          <w:color w:val="000000"/>
          <w:sz w:val="20"/>
        </w:rPr>
        <w:t>of child representation</w:t>
      </w:r>
      <w:r w:rsidR="0031041A" w:rsidRPr="003D5DFA">
        <w:rPr>
          <w:rFonts w:ascii="Arial" w:hAnsi="Arial" w:cs="Arial"/>
          <w:color w:val="000000"/>
          <w:sz w:val="20"/>
        </w:rPr>
        <w:t>,</w:t>
      </w:r>
      <w:r w:rsidR="00FB23AB" w:rsidRPr="003D5DFA">
        <w:rPr>
          <w:rFonts w:ascii="Arial" w:hAnsi="Arial" w:cs="Arial"/>
          <w:color w:val="000000"/>
          <w:sz w:val="20"/>
        </w:rPr>
        <w:t xml:space="preserve"> requiring the child’s advocate to argue a case strictly upon the child’s instructions whether or not he or she believes that those instructions are in the best interests of the child.</w:t>
      </w:r>
    </w:p>
    <w:p w14:paraId="2C5BFCC4" w14:textId="77777777" w:rsidR="00592495" w:rsidRPr="003D5DFA" w:rsidRDefault="00592495">
      <w:pPr>
        <w:jc w:val="both"/>
        <w:rPr>
          <w:rFonts w:ascii="Arial" w:hAnsi="Arial" w:cs="Arial"/>
          <w:color w:val="000000"/>
          <w:sz w:val="20"/>
        </w:rPr>
      </w:pPr>
    </w:p>
    <w:p w14:paraId="5FFCBDC6" w14:textId="77777777" w:rsidR="00693223" w:rsidRPr="003D5DFA" w:rsidRDefault="00693223" w:rsidP="008119AB">
      <w:pPr>
        <w:pStyle w:val="Heading3"/>
        <w:keepNext/>
        <w:spacing w:after="120" w:line="240" w:lineRule="auto"/>
        <w:rPr>
          <w:rFonts w:ascii="Arial" w:hAnsi="Arial" w:cs="Arial"/>
          <w:b/>
          <w:bCs/>
          <w:color w:val="000000"/>
          <w:sz w:val="20"/>
        </w:rPr>
      </w:pPr>
      <w:bookmarkStart w:id="948" w:name="_4.7.4_Representation_of"/>
      <w:bookmarkStart w:id="949" w:name="B474"/>
      <w:bookmarkStart w:id="950" w:name="_Toc30654113"/>
      <w:bookmarkStart w:id="951" w:name="_Toc30654464"/>
      <w:bookmarkStart w:id="952" w:name="_Toc30655083"/>
      <w:bookmarkStart w:id="953" w:name="_Toc30655340"/>
      <w:bookmarkStart w:id="954" w:name="_Toc30657018"/>
      <w:bookmarkStart w:id="955" w:name="_Toc30661767"/>
      <w:bookmarkStart w:id="956" w:name="_Toc30666455"/>
      <w:bookmarkStart w:id="957" w:name="_Toc30666685"/>
      <w:bookmarkStart w:id="958" w:name="_Toc30667860"/>
      <w:bookmarkStart w:id="959" w:name="_Toc30669238"/>
      <w:bookmarkStart w:id="960" w:name="_Toc30671454"/>
      <w:bookmarkStart w:id="961" w:name="_Toc30673981"/>
      <w:bookmarkStart w:id="962" w:name="_Toc30691203"/>
      <w:bookmarkStart w:id="963" w:name="_Toc30691576"/>
      <w:bookmarkStart w:id="964" w:name="_Toc30691956"/>
      <w:bookmarkStart w:id="965" w:name="_Toc30692715"/>
      <w:bookmarkStart w:id="966" w:name="_Toc30693094"/>
      <w:bookmarkStart w:id="967" w:name="_Toc30693472"/>
      <w:bookmarkStart w:id="968" w:name="_Toc30693850"/>
      <w:bookmarkStart w:id="969" w:name="_Toc30694231"/>
      <w:bookmarkStart w:id="970" w:name="_Toc30698820"/>
      <w:bookmarkStart w:id="971" w:name="_Toc30699198"/>
      <w:bookmarkStart w:id="972" w:name="_Toc30699583"/>
      <w:bookmarkStart w:id="973" w:name="_Toc30700738"/>
      <w:bookmarkStart w:id="974" w:name="_Toc30701125"/>
      <w:bookmarkStart w:id="975" w:name="_Toc30743734"/>
      <w:bookmarkStart w:id="976" w:name="_Toc30754557"/>
      <w:bookmarkStart w:id="977" w:name="_Toc30756997"/>
      <w:bookmarkStart w:id="978" w:name="_Toc30757546"/>
      <w:bookmarkStart w:id="979" w:name="_Toc30757946"/>
      <w:bookmarkStart w:id="980" w:name="_Toc30762707"/>
      <w:bookmarkStart w:id="981" w:name="_Toc30767361"/>
      <w:bookmarkStart w:id="982" w:name="_Toc34823376"/>
      <w:bookmarkEnd w:id="948"/>
      <w:bookmarkEnd w:id="949"/>
      <w:r w:rsidRPr="003D5DFA">
        <w:rPr>
          <w:rFonts w:ascii="Arial" w:hAnsi="Arial" w:cs="Arial"/>
          <w:b/>
          <w:bCs/>
          <w:color w:val="000000"/>
          <w:sz w:val="20"/>
        </w:rPr>
        <w:lastRenderedPageBreak/>
        <w:t>4.7.</w:t>
      </w:r>
      <w:r w:rsidR="00592495" w:rsidRPr="003D5DFA">
        <w:rPr>
          <w:rFonts w:ascii="Arial" w:hAnsi="Arial" w:cs="Arial"/>
          <w:b/>
          <w:bCs/>
          <w:color w:val="000000"/>
          <w:sz w:val="20"/>
        </w:rPr>
        <w:t>4</w:t>
      </w:r>
      <w:r w:rsidRPr="003D5DFA">
        <w:rPr>
          <w:rFonts w:ascii="Arial" w:hAnsi="Arial" w:cs="Arial"/>
          <w:b/>
          <w:bCs/>
          <w:color w:val="000000"/>
          <w:sz w:val="20"/>
        </w:rPr>
        <w:tab/>
      </w:r>
      <w:r w:rsidR="0063057F" w:rsidRPr="003D5DFA">
        <w:rPr>
          <w:rFonts w:ascii="Arial" w:hAnsi="Arial" w:cs="Arial"/>
          <w:b/>
          <w:bCs/>
          <w:color w:val="000000"/>
          <w:sz w:val="20"/>
        </w:rPr>
        <w:t xml:space="preserve">Representation of </w:t>
      </w:r>
      <w:r w:rsidR="001D3F93" w:rsidRPr="003D5DFA">
        <w:rPr>
          <w:rFonts w:ascii="Arial" w:hAnsi="Arial" w:cs="Arial"/>
          <w:b/>
          <w:bCs/>
          <w:color w:val="000000"/>
          <w:sz w:val="20"/>
        </w:rPr>
        <w:t>c</w:t>
      </w:r>
      <w:r w:rsidRPr="003D5DFA">
        <w:rPr>
          <w:rFonts w:ascii="Arial" w:hAnsi="Arial" w:cs="Arial"/>
          <w:b/>
          <w:bCs/>
          <w:color w:val="000000"/>
          <w:sz w:val="20"/>
        </w:rPr>
        <w:t xml:space="preserve">hild </w:t>
      </w:r>
      <w:r w:rsidR="0063057F" w:rsidRPr="003D5DFA">
        <w:rPr>
          <w:rFonts w:ascii="Arial" w:hAnsi="Arial" w:cs="Arial"/>
          <w:b/>
          <w:bCs/>
          <w:color w:val="000000"/>
          <w:sz w:val="20"/>
        </w:rPr>
        <w:t xml:space="preserve">under 10 or </w:t>
      </w:r>
      <w:r w:rsidR="001D3F93" w:rsidRPr="003D5DFA">
        <w:rPr>
          <w:rFonts w:ascii="Arial" w:hAnsi="Arial" w:cs="Arial"/>
          <w:b/>
          <w:bCs/>
          <w:color w:val="000000"/>
          <w:sz w:val="20"/>
        </w:rPr>
        <w:t>not mature enough to give instructions</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14:paraId="7E093536" w14:textId="77777777" w:rsidR="00FF5112" w:rsidRPr="003D5DFA" w:rsidRDefault="00FF5112" w:rsidP="008A2308">
      <w:pPr>
        <w:keepNext/>
        <w:keepLines/>
        <w:jc w:val="both"/>
        <w:rPr>
          <w:rFonts w:ascii="Arial" w:hAnsi="Arial" w:cs="Arial"/>
          <w:color w:val="000000"/>
          <w:sz w:val="20"/>
        </w:rPr>
      </w:pPr>
      <w:r w:rsidRPr="003D5DFA">
        <w:rPr>
          <w:rFonts w:ascii="Arial" w:hAnsi="Arial" w:cs="Arial"/>
          <w:color w:val="000000"/>
          <w:sz w:val="20"/>
        </w:rPr>
        <w:t>Prior to 27/03/2013 ss.524(1)(a) &amp; 524(2) of the CYFA had required the Court to adjourn the hearing of any of the Family Division proceedings listed in s.525(1) to enable a child who, in the opinion of the Court, was “mature enough to give instructions” to obtain legal representation.  There was no “cut-off” age specified.  The legislation referred to maturity rather than chronological age: see</w:t>
      </w:r>
      <w:r w:rsidRPr="003D5DFA">
        <w:rPr>
          <w:rFonts w:ascii="Arial" w:hAnsi="Arial" w:cs="Arial"/>
          <w:i/>
          <w:color w:val="000000"/>
          <w:sz w:val="20"/>
        </w:rPr>
        <w:t xml:space="preserve"> A &amp; B v Children’s Court of Victoria</w:t>
      </w:r>
      <w:r w:rsidRPr="003D5DFA">
        <w:rPr>
          <w:rFonts w:ascii="Arial" w:hAnsi="Arial" w:cs="Arial"/>
          <w:color w:val="000000"/>
          <w:sz w:val="20"/>
        </w:rPr>
        <w:t xml:space="preserve"> [2012] VSC 589, especially at [88]-[89] &amp; [100]-[101].  On general advice from the Children's Court Clinic, the cut-off point below which a child was normally regarded by the Court as not mature enough to give instructions was the child's 7</w:t>
      </w:r>
      <w:r w:rsidRPr="003D5DFA">
        <w:rPr>
          <w:rFonts w:ascii="Arial" w:hAnsi="Arial" w:cs="Arial"/>
          <w:color w:val="000000"/>
          <w:sz w:val="20"/>
          <w:vertAlign w:val="superscript"/>
        </w:rPr>
        <w:t>th</w:t>
      </w:r>
      <w:r w:rsidRPr="003D5DFA">
        <w:rPr>
          <w:rFonts w:ascii="Arial" w:hAnsi="Arial" w:cs="Arial"/>
          <w:color w:val="000000"/>
          <w:sz w:val="20"/>
        </w:rPr>
        <w:t xml:space="preserve"> birthday.  Notwithstanding-</w:t>
      </w:r>
    </w:p>
    <w:p w14:paraId="424B421E" w14:textId="77777777" w:rsidR="00664DAE" w:rsidRPr="003D5DFA" w:rsidRDefault="00664DAE" w:rsidP="00FF5112">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the objectives of the CYFA and its predecessor “to enhance the rights of children, young people and their families in their relationships with the court system" [</w:t>
      </w:r>
      <w:r w:rsidR="006F767D" w:rsidRPr="003D5DFA">
        <w:rPr>
          <w:rFonts w:ascii="Arial" w:hAnsi="Arial" w:cs="Arial"/>
          <w:color w:val="000000"/>
          <w:sz w:val="20"/>
        </w:rPr>
        <w:t xml:space="preserve">see e.g. </w:t>
      </w:r>
      <w:r w:rsidRPr="003D5DFA">
        <w:rPr>
          <w:rFonts w:ascii="Arial" w:hAnsi="Arial" w:cs="Arial"/>
          <w:color w:val="000000"/>
          <w:sz w:val="20"/>
        </w:rPr>
        <w:t xml:space="preserve">CYPA Second </w:t>
      </w:r>
      <w:smartTag w:uri="urn:schemas-microsoft-com:office:smarttags" w:element="place">
        <w:smartTag w:uri="urn:schemas-microsoft-com:office:smarttags" w:element="City">
          <w:r w:rsidRPr="003D5DFA">
            <w:rPr>
              <w:rFonts w:ascii="Arial" w:hAnsi="Arial" w:cs="Arial"/>
              <w:color w:val="000000"/>
              <w:sz w:val="20"/>
            </w:rPr>
            <w:t>Reading</w:t>
          </w:r>
        </w:smartTag>
      </w:smartTag>
      <w:r w:rsidRPr="003D5DFA">
        <w:rPr>
          <w:rFonts w:ascii="Arial" w:hAnsi="Arial" w:cs="Arial"/>
          <w:color w:val="000000"/>
          <w:sz w:val="20"/>
        </w:rPr>
        <w:t xml:space="preserve"> Speech, 08/12/1988, p.1150],</w:t>
      </w:r>
    </w:p>
    <w:p w14:paraId="5C344925" w14:textId="77777777" w:rsidR="00FF5112" w:rsidRPr="003D5DFA" w:rsidRDefault="00FF5112" w:rsidP="00FF5112">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art.12 of the </w:t>
      </w:r>
      <w:r w:rsidRPr="003D5DFA">
        <w:rPr>
          <w:rFonts w:ascii="Arial" w:hAnsi="Arial" w:cs="Arial"/>
          <w:i/>
          <w:color w:val="000000"/>
          <w:sz w:val="20"/>
        </w:rPr>
        <w:t>Convention on the Rights of the Child</w:t>
      </w:r>
      <w:r w:rsidRPr="003D5DFA">
        <w:rPr>
          <w:rFonts w:ascii="Arial" w:hAnsi="Arial" w:cs="Arial"/>
          <w:color w:val="000000"/>
          <w:sz w:val="20"/>
        </w:rPr>
        <w:t>,</w:t>
      </w:r>
    </w:p>
    <w:p w14:paraId="5CE6FEE2" w14:textId="77777777" w:rsidR="00FF5112" w:rsidRPr="003D5DFA" w:rsidRDefault="00FF5112" w:rsidP="00FF5112">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the recommendations by the Victorian </w:t>
      </w:r>
      <w:r w:rsidR="00664DAE" w:rsidRPr="003D5DFA">
        <w:rPr>
          <w:rFonts w:ascii="Arial" w:hAnsi="Arial" w:cs="Arial"/>
          <w:color w:val="000000"/>
          <w:sz w:val="20"/>
        </w:rPr>
        <w:t>Law Reform Commission in June 2010; and</w:t>
      </w:r>
    </w:p>
    <w:p w14:paraId="24CD1A44" w14:textId="77777777" w:rsidR="00664DAE" w:rsidRPr="003D5DFA" w:rsidRDefault="00664DAE" w:rsidP="00FF5112">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the recommendations by the “Cummins Inquiry” in January 2012-</w:t>
      </w:r>
    </w:p>
    <w:p w14:paraId="6B756756" w14:textId="77777777" w:rsidR="00FF5112" w:rsidRPr="003D5DFA" w:rsidRDefault="00FF5112" w:rsidP="005B6ACF">
      <w:pPr>
        <w:jc w:val="both"/>
        <w:rPr>
          <w:rFonts w:ascii="Arial" w:hAnsi="Arial" w:cs="Arial"/>
          <w:color w:val="000000"/>
          <w:sz w:val="20"/>
        </w:rPr>
      </w:pPr>
      <w:r w:rsidRPr="003D5DFA">
        <w:rPr>
          <w:rFonts w:ascii="Arial" w:hAnsi="Arial" w:cs="Arial"/>
          <w:color w:val="000000"/>
          <w:sz w:val="20"/>
        </w:rPr>
        <w:t xml:space="preserve">the amendments made to ss.524 &amp; 525 as and from 27/03/2013 have resulted in children aged </w:t>
      </w:r>
      <w:r w:rsidR="005B6ACF" w:rsidRPr="003D5DFA">
        <w:rPr>
          <w:rFonts w:ascii="Arial" w:hAnsi="Arial" w:cs="Arial"/>
          <w:color w:val="000000"/>
          <w:sz w:val="20"/>
        </w:rPr>
        <w:t>under 10</w:t>
      </w:r>
      <w:r w:rsidRPr="003D5DFA">
        <w:rPr>
          <w:rFonts w:ascii="Arial" w:hAnsi="Arial" w:cs="Arial"/>
          <w:color w:val="000000"/>
          <w:sz w:val="20"/>
        </w:rPr>
        <w:t xml:space="preserve"> not being entitled to legal representation in any Family Division proceedings in the absence of exceptional circumstances.</w:t>
      </w:r>
      <w:r w:rsidR="005B6ACF" w:rsidRPr="003D5DFA">
        <w:rPr>
          <w:rFonts w:ascii="Arial" w:hAnsi="Arial" w:cs="Arial"/>
          <w:color w:val="000000"/>
          <w:sz w:val="20"/>
        </w:rPr>
        <w:t xml:space="preserve">  This is a substantial reduction of the </w:t>
      </w:r>
      <w:r w:rsidR="00FA5C6A" w:rsidRPr="003D5DFA">
        <w:rPr>
          <w:rFonts w:ascii="Arial" w:hAnsi="Arial" w:cs="Arial"/>
          <w:color w:val="000000"/>
          <w:sz w:val="20"/>
        </w:rPr>
        <w:t xml:space="preserve">previous statutory </w:t>
      </w:r>
      <w:r w:rsidR="005B6ACF" w:rsidRPr="003D5DFA">
        <w:rPr>
          <w:rFonts w:ascii="Arial" w:hAnsi="Arial" w:cs="Arial"/>
          <w:color w:val="000000"/>
          <w:sz w:val="20"/>
        </w:rPr>
        <w:t>rights of children aged 7, 8 &amp; 9.</w:t>
      </w:r>
    </w:p>
    <w:p w14:paraId="120A36C5" w14:textId="77777777" w:rsidR="00FF5112" w:rsidRPr="003D5DFA" w:rsidRDefault="00FF5112" w:rsidP="005B6ACF">
      <w:pPr>
        <w:jc w:val="both"/>
        <w:rPr>
          <w:rFonts w:ascii="Arial" w:hAnsi="Arial" w:cs="Arial"/>
          <w:color w:val="000000"/>
          <w:sz w:val="20"/>
        </w:rPr>
      </w:pPr>
    </w:p>
    <w:p w14:paraId="2CE3E607" w14:textId="77777777" w:rsidR="00142D55" w:rsidRPr="003D5DFA" w:rsidRDefault="008A2308" w:rsidP="005B6ACF">
      <w:pPr>
        <w:jc w:val="both"/>
        <w:rPr>
          <w:rFonts w:ascii="Arial" w:hAnsi="Arial" w:cs="Arial"/>
          <w:color w:val="000000"/>
          <w:sz w:val="20"/>
        </w:rPr>
      </w:pPr>
      <w:r>
        <w:rPr>
          <w:rFonts w:ascii="Arial" w:hAnsi="Arial" w:cs="Arial"/>
          <w:color w:val="000000"/>
          <w:sz w:val="20"/>
        </w:rPr>
        <w:t>Since 27/03/2013</w:t>
      </w:r>
      <w:r w:rsidR="00C72E5B" w:rsidRPr="003D5DFA">
        <w:rPr>
          <w:rFonts w:ascii="Arial" w:hAnsi="Arial" w:cs="Arial"/>
          <w:color w:val="000000"/>
          <w:sz w:val="20"/>
        </w:rPr>
        <w:t xml:space="preserve"> </w:t>
      </w:r>
      <w:r w:rsidR="005B6ACF" w:rsidRPr="003D5DFA">
        <w:rPr>
          <w:rFonts w:ascii="Arial" w:hAnsi="Arial" w:cs="Arial"/>
          <w:color w:val="000000"/>
          <w:sz w:val="20"/>
        </w:rPr>
        <w:t>s.524(4)</w:t>
      </w:r>
      <w:r w:rsidR="00C72E5B" w:rsidRPr="003D5DFA">
        <w:rPr>
          <w:rFonts w:ascii="Arial" w:hAnsi="Arial" w:cs="Arial"/>
          <w:color w:val="000000"/>
          <w:sz w:val="20"/>
        </w:rPr>
        <w:t xml:space="preserve"> applies i</w:t>
      </w:r>
      <w:r w:rsidR="00604B4D" w:rsidRPr="003D5DFA">
        <w:rPr>
          <w:rFonts w:ascii="Arial" w:hAnsi="Arial" w:cs="Arial"/>
          <w:color w:val="000000"/>
          <w:sz w:val="20"/>
        </w:rPr>
        <w:t>n exceptional circumstances</w:t>
      </w:r>
      <w:r w:rsidR="00142D55" w:rsidRPr="003D5DFA">
        <w:rPr>
          <w:rFonts w:ascii="Arial" w:hAnsi="Arial" w:cs="Arial"/>
          <w:color w:val="000000"/>
          <w:sz w:val="20"/>
        </w:rPr>
        <w:t xml:space="preserve"> </w:t>
      </w:r>
      <w:r w:rsidR="001D5F56" w:rsidRPr="003D5DFA">
        <w:rPr>
          <w:rFonts w:ascii="Arial" w:hAnsi="Arial" w:cs="Arial"/>
          <w:color w:val="000000"/>
          <w:sz w:val="20"/>
        </w:rPr>
        <w:t>if</w:t>
      </w:r>
      <w:r w:rsidR="00142D55" w:rsidRPr="003D5DFA">
        <w:rPr>
          <w:rFonts w:ascii="Arial" w:hAnsi="Arial" w:cs="Arial"/>
          <w:color w:val="000000"/>
          <w:sz w:val="20"/>
        </w:rPr>
        <w:t xml:space="preserve"> the Court determines that it is in the best interests of a child-</w:t>
      </w:r>
    </w:p>
    <w:p w14:paraId="3DFC78CE" w14:textId="77777777" w:rsidR="00142D55" w:rsidRPr="003D5DFA" w:rsidRDefault="00142D55" w:rsidP="00142D55">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aged under 10 years; or</w:t>
      </w:r>
    </w:p>
    <w:p w14:paraId="19B33DA5" w14:textId="77777777" w:rsidR="00142D55" w:rsidRPr="003D5DFA" w:rsidRDefault="007C192E" w:rsidP="00142D55">
      <w:pPr>
        <w:numPr>
          <w:ilvl w:val="0"/>
          <w:numId w:val="9"/>
        </w:numPr>
        <w:tabs>
          <w:tab w:val="clear" w:pos="420"/>
        </w:tabs>
        <w:ind w:left="357" w:hanging="357"/>
        <w:jc w:val="both"/>
        <w:rPr>
          <w:rFonts w:ascii="Arial" w:hAnsi="Arial" w:cs="Arial"/>
          <w:color w:val="000000"/>
          <w:sz w:val="20"/>
        </w:rPr>
      </w:pPr>
      <w:r w:rsidRPr="003D5DFA">
        <w:rPr>
          <w:rFonts w:ascii="Arial" w:hAnsi="Arial" w:cs="Arial"/>
          <w:color w:val="000000"/>
          <w:sz w:val="20"/>
        </w:rPr>
        <w:t>aged 10 years or more whom the Court determines under s.524(1B) is not mature enough to give instructions-</w:t>
      </w:r>
    </w:p>
    <w:p w14:paraId="0C50AF5F" w14:textId="77777777" w:rsidR="006F767D" w:rsidRPr="003D5DFA" w:rsidRDefault="007C192E" w:rsidP="006F767D">
      <w:pPr>
        <w:jc w:val="both"/>
        <w:rPr>
          <w:rFonts w:ascii="Arial" w:hAnsi="Arial" w:cs="Arial"/>
          <w:color w:val="000000"/>
          <w:sz w:val="20"/>
        </w:rPr>
      </w:pPr>
      <w:r w:rsidRPr="003D5DFA">
        <w:rPr>
          <w:rFonts w:ascii="Arial" w:hAnsi="Arial" w:cs="Arial"/>
          <w:color w:val="000000"/>
          <w:sz w:val="20"/>
        </w:rPr>
        <w:t xml:space="preserve">to be legally represented in a proceeding in the Family Division.  </w:t>
      </w:r>
      <w:r w:rsidR="00A56679" w:rsidRPr="003D5DFA">
        <w:rPr>
          <w:rFonts w:ascii="Arial" w:hAnsi="Arial" w:cs="Arial"/>
          <w:color w:val="000000"/>
          <w:sz w:val="20"/>
        </w:rPr>
        <w:t xml:space="preserve">In those circumstances s.524(4) empowers – but does not require – the Court </w:t>
      </w:r>
      <w:r w:rsidRPr="003D5DFA">
        <w:rPr>
          <w:rFonts w:ascii="Arial" w:hAnsi="Arial" w:cs="Arial"/>
          <w:color w:val="000000"/>
          <w:sz w:val="20"/>
        </w:rPr>
        <w:t>to adjourn the hearing o</w:t>
      </w:r>
      <w:r w:rsidR="00962EF5" w:rsidRPr="003D5DFA">
        <w:rPr>
          <w:rFonts w:ascii="Arial" w:hAnsi="Arial" w:cs="Arial"/>
          <w:color w:val="000000"/>
          <w:sz w:val="20"/>
        </w:rPr>
        <w:t xml:space="preserve">f the proceeding to enable </w:t>
      </w:r>
      <w:r w:rsidRPr="003D5DFA">
        <w:rPr>
          <w:rFonts w:ascii="Arial" w:hAnsi="Arial" w:cs="Arial"/>
          <w:color w:val="000000"/>
          <w:sz w:val="20"/>
        </w:rPr>
        <w:t xml:space="preserve">legal </w:t>
      </w:r>
      <w:r w:rsidR="00962EF5" w:rsidRPr="003D5DFA">
        <w:rPr>
          <w:rFonts w:ascii="Arial" w:hAnsi="Arial" w:cs="Arial"/>
          <w:color w:val="000000"/>
          <w:sz w:val="20"/>
        </w:rPr>
        <w:t>representation to be obtained for the child.</w:t>
      </w:r>
      <w:r w:rsidR="00433AB4">
        <w:rPr>
          <w:rFonts w:ascii="Arial" w:hAnsi="Arial" w:cs="Arial"/>
          <w:color w:val="000000"/>
          <w:sz w:val="20"/>
        </w:rPr>
        <w:t xml:space="preserve">  </w:t>
      </w:r>
      <w:r w:rsidR="006F767D" w:rsidRPr="003D5DFA">
        <w:rPr>
          <w:rFonts w:ascii="Arial" w:hAnsi="Arial" w:cs="Arial"/>
          <w:color w:val="000000"/>
          <w:sz w:val="20"/>
        </w:rPr>
        <w:t>In the writer’s view, ss.524(1)(a), 524(1A)</w:t>
      </w:r>
      <w:r w:rsidR="008D2AC4">
        <w:rPr>
          <w:rFonts w:ascii="Arial" w:hAnsi="Arial" w:cs="Arial"/>
          <w:color w:val="000000"/>
          <w:sz w:val="20"/>
        </w:rPr>
        <w:t>, 524(1B)</w:t>
      </w:r>
      <w:r w:rsidR="006F767D" w:rsidRPr="003D5DFA">
        <w:rPr>
          <w:rFonts w:ascii="Arial" w:hAnsi="Arial" w:cs="Arial"/>
          <w:color w:val="000000"/>
          <w:sz w:val="20"/>
        </w:rPr>
        <w:t xml:space="preserve"> &amp; 524(</w:t>
      </w:r>
      <w:r w:rsidR="008D2AC4">
        <w:rPr>
          <w:rFonts w:ascii="Arial" w:hAnsi="Arial" w:cs="Arial"/>
          <w:color w:val="000000"/>
          <w:sz w:val="20"/>
        </w:rPr>
        <w:t>4</w:t>
      </w:r>
      <w:r w:rsidR="006F767D" w:rsidRPr="003D5DFA">
        <w:rPr>
          <w:rFonts w:ascii="Arial" w:hAnsi="Arial" w:cs="Arial"/>
          <w:color w:val="000000"/>
          <w:sz w:val="20"/>
        </w:rPr>
        <w:t>) – when read in combination – now provide a non</w:t>
      </w:r>
      <w:r w:rsidR="008D2AC4">
        <w:rPr>
          <w:rFonts w:ascii="Arial" w:hAnsi="Arial" w:cs="Arial"/>
          <w:color w:val="000000"/>
          <w:sz w:val="20"/>
        </w:rPr>
        <w:noBreakHyphen/>
      </w:r>
      <w:r w:rsidR="006F767D" w:rsidRPr="003D5DFA">
        <w:rPr>
          <w:rFonts w:ascii="Arial" w:hAnsi="Arial" w:cs="Arial"/>
          <w:color w:val="000000"/>
          <w:sz w:val="20"/>
        </w:rPr>
        <w:t>rebuttable statutory presumption that a child under 10 years of age does not have the capacity to give instructions to a legal practitioner.</w:t>
      </w:r>
    </w:p>
    <w:p w14:paraId="0E648D7B" w14:textId="77777777" w:rsidR="006F767D" w:rsidRPr="003D5DFA" w:rsidRDefault="006F767D" w:rsidP="0031041A">
      <w:pPr>
        <w:jc w:val="both"/>
        <w:rPr>
          <w:rFonts w:ascii="Arial" w:hAnsi="Arial" w:cs="Arial"/>
          <w:color w:val="000000"/>
          <w:sz w:val="20"/>
        </w:rPr>
      </w:pPr>
    </w:p>
    <w:p w14:paraId="4294637A" w14:textId="77777777" w:rsidR="0031041A" w:rsidRPr="003D5DFA" w:rsidRDefault="0031041A" w:rsidP="0031041A">
      <w:pPr>
        <w:jc w:val="both"/>
        <w:rPr>
          <w:rFonts w:ascii="Arial" w:hAnsi="Arial" w:cs="Arial"/>
          <w:color w:val="000000"/>
          <w:sz w:val="20"/>
        </w:rPr>
      </w:pPr>
      <w:r w:rsidRPr="003D5DFA">
        <w:rPr>
          <w:rFonts w:ascii="Arial" w:hAnsi="Arial" w:cs="Arial"/>
          <w:color w:val="000000"/>
          <w:sz w:val="20"/>
        </w:rPr>
        <w:t>A</w:t>
      </w:r>
      <w:r w:rsidR="00433AB4">
        <w:rPr>
          <w:rFonts w:ascii="Arial" w:hAnsi="Arial" w:cs="Arial"/>
          <w:color w:val="000000"/>
          <w:sz w:val="20"/>
        </w:rPr>
        <w:t>n Independent Children’s Lawyer</w:t>
      </w:r>
      <w:r w:rsidRPr="003D5DFA">
        <w:rPr>
          <w:rFonts w:ascii="Arial" w:hAnsi="Arial" w:cs="Arial"/>
          <w:color w:val="000000"/>
          <w:sz w:val="20"/>
        </w:rPr>
        <w:t xml:space="preserve"> </w:t>
      </w:r>
      <w:r w:rsidR="002D1FF3">
        <w:rPr>
          <w:rFonts w:ascii="Arial" w:hAnsi="Arial" w:cs="Arial"/>
          <w:color w:val="000000"/>
          <w:sz w:val="20"/>
        </w:rPr>
        <w:t xml:space="preserve">[ICL] </w:t>
      </w:r>
      <w:r w:rsidRPr="003D5DFA">
        <w:rPr>
          <w:rFonts w:ascii="Arial" w:hAnsi="Arial" w:cs="Arial"/>
          <w:color w:val="000000"/>
          <w:sz w:val="20"/>
        </w:rPr>
        <w:t>appointed under s.524(4) is required by s.524(11)-</w:t>
      </w:r>
    </w:p>
    <w:p w14:paraId="51B91736" w14:textId="77777777" w:rsidR="0031041A" w:rsidRPr="003D5DFA" w:rsidRDefault="0031041A" w:rsidP="00272DD6">
      <w:pPr>
        <w:ind w:left="357" w:hanging="357"/>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act in accordance with what he or she believes to be in the best interests of the child; and</w:t>
      </w:r>
    </w:p>
    <w:p w14:paraId="44BC4EEE" w14:textId="77777777" w:rsidR="0031041A" w:rsidRPr="003D5DFA" w:rsidRDefault="0031041A" w:rsidP="0031041A">
      <w:pPr>
        <w:ind w:left="357" w:hanging="357"/>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communicate to the Court, to the extent to which it is practicable to do so, the instructions given or wishes expressed by the child.</w:t>
      </w:r>
    </w:p>
    <w:p w14:paraId="072CD1E9" w14:textId="77777777" w:rsidR="0031041A" w:rsidRPr="003D5DFA" w:rsidRDefault="0031041A" w:rsidP="00433AB4">
      <w:pPr>
        <w:spacing w:after="60"/>
        <w:jc w:val="both"/>
        <w:rPr>
          <w:rFonts w:ascii="Arial" w:hAnsi="Arial" w:cs="Arial"/>
          <w:color w:val="000000"/>
          <w:sz w:val="20"/>
        </w:rPr>
      </w:pPr>
      <w:r w:rsidRPr="003D5DFA">
        <w:rPr>
          <w:rFonts w:ascii="Arial" w:hAnsi="Arial" w:cs="Arial"/>
          <w:color w:val="000000"/>
          <w:sz w:val="20"/>
        </w:rPr>
        <w:t xml:space="preserve">The CYFA has thus adopted model 3 – </w:t>
      </w:r>
      <w:r w:rsidR="00745D3D" w:rsidRPr="003D5DFA">
        <w:rPr>
          <w:rFonts w:ascii="Arial" w:hAnsi="Arial" w:cs="Arial"/>
          <w:color w:val="000000"/>
          <w:sz w:val="20"/>
        </w:rPr>
        <w:t>‘</w:t>
      </w:r>
      <w:r w:rsidRPr="003D5DFA">
        <w:rPr>
          <w:rFonts w:ascii="Arial" w:hAnsi="Arial" w:cs="Arial"/>
          <w:b/>
          <w:color w:val="000000"/>
          <w:sz w:val="20"/>
        </w:rPr>
        <w:t xml:space="preserve">the best </w:t>
      </w:r>
      <w:proofErr w:type="gramStart"/>
      <w:r w:rsidRPr="003D5DFA">
        <w:rPr>
          <w:rFonts w:ascii="Arial" w:hAnsi="Arial" w:cs="Arial"/>
          <w:b/>
          <w:color w:val="000000"/>
          <w:sz w:val="20"/>
        </w:rPr>
        <w:t>interests</w:t>
      </w:r>
      <w:proofErr w:type="gramEnd"/>
      <w:r w:rsidRPr="003D5DFA">
        <w:rPr>
          <w:rFonts w:ascii="Arial" w:hAnsi="Arial" w:cs="Arial"/>
          <w:b/>
          <w:color w:val="000000"/>
          <w:sz w:val="20"/>
        </w:rPr>
        <w:t xml:space="preserve"> model</w:t>
      </w:r>
      <w:r w:rsidR="00745D3D" w:rsidRPr="003D5DFA">
        <w:rPr>
          <w:rFonts w:ascii="Arial" w:hAnsi="Arial" w:cs="Arial"/>
          <w:color w:val="000000"/>
          <w:sz w:val="20"/>
        </w:rPr>
        <w:t>’</w:t>
      </w:r>
      <w:r w:rsidRPr="003D5DFA">
        <w:rPr>
          <w:rFonts w:ascii="Arial" w:hAnsi="Arial" w:cs="Arial"/>
          <w:color w:val="000000"/>
          <w:sz w:val="20"/>
        </w:rPr>
        <w:t xml:space="preserve"> – as its model of child representation in those limited cases where a </w:t>
      </w:r>
      <w:r w:rsidR="00491485" w:rsidRPr="003D5DFA">
        <w:rPr>
          <w:rFonts w:ascii="Arial" w:hAnsi="Arial" w:cs="Arial"/>
          <w:color w:val="000000"/>
          <w:sz w:val="20"/>
        </w:rPr>
        <w:t xml:space="preserve">legal </w:t>
      </w:r>
      <w:r w:rsidRPr="003D5DFA">
        <w:rPr>
          <w:rFonts w:ascii="Arial" w:hAnsi="Arial" w:cs="Arial"/>
          <w:color w:val="000000"/>
          <w:sz w:val="20"/>
        </w:rPr>
        <w:t>representative has been appointed under s.524(4).</w:t>
      </w:r>
      <w:r w:rsidR="00433AB4">
        <w:rPr>
          <w:rFonts w:ascii="Arial" w:hAnsi="Arial" w:cs="Arial"/>
          <w:color w:val="000000"/>
          <w:sz w:val="20"/>
        </w:rPr>
        <w:t xml:space="preserve">  </w:t>
      </w:r>
      <w:r w:rsidR="002B2C97">
        <w:rPr>
          <w:rFonts w:ascii="Arial" w:hAnsi="Arial" w:cs="Arial"/>
          <w:color w:val="000000"/>
          <w:sz w:val="20"/>
        </w:rPr>
        <w:t xml:space="preserve">The Court’s computer system indicates that the numbers of </w:t>
      </w:r>
      <w:r w:rsidR="00433AB4">
        <w:rPr>
          <w:rFonts w:ascii="Arial" w:hAnsi="Arial" w:cs="Arial"/>
          <w:color w:val="000000"/>
          <w:sz w:val="20"/>
        </w:rPr>
        <w:t>ICLs appointed are as follows</w:t>
      </w:r>
      <w:r w:rsidR="002B2C97">
        <w:rPr>
          <w:rFonts w:ascii="Arial" w:hAnsi="Arial" w:cs="Arial"/>
          <w:color w:val="000000"/>
          <w:sz w:val="20"/>
        </w:rPr>
        <w:t>.  However, these should be regarded as minimum figures since they do not include any cases for which the ICL order was included on minutes in free-text as an “other order”.</w:t>
      </w:r>
    </w:p>
    <w:tbl>
      <w:tblPr>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39"/>
        <w:gridCol w:w="1039"/>
        <w:gridCol w:w="1040"/>
        <w:gridCol w:w="1040"/>
        <w:gridCol w:w="1040"/>
        <w:gridCol w:w="1040"/>
        <w:gridCol w:w="1040"/>
        <w:gridCol w:w="891"/>
      </w:tblGrid>
      <w:tr w:rsidR="00433AB4" w:rsidRPr="006E60F5" w14:paraId="60882F1A" w14:textId="77777777" w:rsidTr="006E60F5">
        <w:tc>
          <w:tcPr>
            <w:tcW w:w="1066" w:type="dxa"/>
            <w:tcBorders>
              <w:bottom w:val="single" w:sz="12" w:space="0" w:color="auto"/>
              <w:right w:val="single" w:sz="4" w:space="0" w:color="auto"/>
            </w:tcBorders>
            <w:shd w:val="clear" w:color="auto" w:fill="auto"/>
          </w:tcPr>
          <w:p w14:paraId="5D7D9C21"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2014/15</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DB7894"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2015/16</w:t>
            </w:r>
          </w:p>
        </w:tc>
        <w:tc>
          <w:tcPr>
            <w:tcW w:w="1066" w:type="dxa"/>
            <w:tcBorders>
              <w:left w:val="single" w:sz="4" w:space="0" w:color="auto"/>
              <w:bottom w:val="single" w:sz="12" w:space="0" w:color="auto"/>
              <w:right w:val="single" w:sz="4" w:space="0" w:color="auto"/>
            </w:tcBorders>
            <w:shd w:val="clear" w:color="auto" w:fill="auto"/>
          </w:tcPr>
          <w:p w14:paraId="1CAD906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2016/17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4989493C"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2017/18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2CB54C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2018/19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D7FD877"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2019/20</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A03155"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2020/21</w:t>
            </w:r>
          </w:p>
        </w:tc>
        <w:tc>
          <w:tcPr>
            <w:tcW w:w="1066" w:type="dxa"/>
            <w:tcBorders>
              <w:left w:val="single" w:sz="4" w:space="0" w:color="auto"/>
              <w:bottom w:val="single" w:sz="12" w:space="0" w:color="auto"/>
            </w:tcBorders>
            <w:shd w:val="clear" w:color="auto" w:fill="auto"/>
          </w:tcPr>
          <w:p w14:paraId="58917D7E" w14:textId="77777777" w:rsidR="00433AB4" w:rsidRPr="006E60F5" w:rsidRDefault="00433AB4" w:rsidP="006E60F5">
            <w:pPr>
              <w:jc w:val="center"/>
              <w:rPr>
                <w:rFonts w:ascii="Arial" w:hAnsi="Arial" w:cs="Arial"/>
                <w:b/>
                <w:color w:val="000000"/>
                <w:sz w:val="20"/>
              </w:rPr>
            </w:pPr>
          </w:p>
        </w:tc>
      </w:tr>
      <w:tr w:rsidR="00433AB4" w:rsidRPr="006E60F5" w14:paraId="49F56777" w14:textId="77777777" w:rsidTr="006E60F5">
        <w:tc>
          <w:tcPr>
            <w:tcW w:w="1066" w:type="dxa"/>
            <w:tcBorders>
              <w:top w:val="single" w:sz="12" w:space="0" w:color="auto"/>
              <w:bottom w:val="single" w:sz="12" w:space="0" w:color="auto"/>
              <w:right w:val="single" w:sz="4" w:space="0" w:color="auto"/>
            </w:tcBorders>
            <w:shd w:val="clear" w:color="auto" w:fill="auto"/>
          </w:tcPr>
          <w:p w14:paraId="6383DA99"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147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54661DD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261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93770D"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291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704B2588"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418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0DEBBD5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383</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27CB2126"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349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C37C48"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403</w:t>
            </w:r>
          </w:p>
        </w:tc>
        <w:tc>
          <w:tcPr>
            <w:tcW w:w="1066" w:type="dxa"/>
            <w:tcBorders>
              <w:top w:val="single" w:sz="12" w:space="0" w:color="auto"/>
              <w:left w:val="single" w:sz="4" w:space="0" w:color="auto"/>
              <w:bottom w:val="single" w:sz="12" w:space="0" w:color="auto"/>
            </w:tcBorders>
            <w:shd w:val="clear" w:color="auto" w:fill="auto"/>
          </w:tcPr>
          <w:p w14:paraId="0483A8F5" w14:textId="77777777" w:rsidR="00433AB4" w:rsidRPr="006E60F5" w:rsidRDefault="00433AB4" w:rsidP="006E60F5">
            <w:pPr>
              <w:jc w:val="center"/>
              <w:rPr>
                <w:rFonts w:ascii="Arial" w:hAnsi="Arial" w:cs="Arial"/>
                <w:b/>
                <w:color w:val="000000"/>
                <w:sz w:val="20"/>
              </w:rPr>
            </w:pPr>
          </w:p>
        </w:tc>
      </w:tr>
    </w:tbl>
    <w:p w14:paraId="668F1D5D" w14:textId="77777777" w:rsidR="0031041A" w:rsidRDefault="0031041A" w:rsidP="0031041A">
      <w:pPr>
        <w:jc w:val="both"/>
        <w:rPr>
          <w:rFonts w:ascii="Arial" w:hAnsi="Arial" w:cs="Arial"/>
          <w:color w:val="000000"/>
          <w:sz w:val="20"/>
        </w:rPr>
      </w:pPr>
    </w:p>
    <w:p w14:paraId="1B667086" w14:textId="77777777" w:rsidR="002D1FF3" w:rsidRDefault="002B2C97" w:rsidP="00C50555">
      <w:pPr>
        <w:jc w:val="both"/>
        <w:rPr>
          <w:rFonts w:ascii="Arial" w:hAnsi="Arial" w:cs="Arial"/>
          <w:color w:val="000000"/>
          <w:sz w:val="20"/>
          <w:szCs w:val="20"/>
        </w:rPr>
      </w:pPr>
      <w:r>
        <w:rPr>
          <w:rFonts w:ascii="Arial" w:hAnsi="Arial" w:cs="Arial"/>
          <w:color w:val="000000"/>
          <w:sz w:val="20"/>
        </w:rPr>
        <w:t xml:space="preserve">It is the writer’s view that the role of an ICL appointed to represent a child under s.524(4) CYFA is broader than that of a </w:t>
      </w:r>
      <w:proofErr w:type="gramStart"/>
      <w:r>
        <w:rPr>
          <w:rFonts w:ascii="Arial" w:hAnsi="Arial" w:cs="Arial"/>
          <w:color w:val="000000"/>
          <w:sz w:val="20"/>
        </w:rPr>
        <w:t xml:space="preserve">traditional </w:t>
      </w:r>
      <w:r w:rsidRPr="00777477">
        <w:rPr>
          <w:rFonts w:ascii="Arial" w:hAnsi="Arial" w:cs="Arial"/>
          <w:i/>
          <w:iCs/>
          <w:color w:val="000000"/>
          <w:sz w:val="20"/>
        </w:rPr>
        <w:t>amicus curiae</w:t>
      </w:r>
      <w:proofErr w:type="gramEnd"/>
      <w:r>
        <w:rPr>
          <w:rFonts w:ascii="Arial" w:hAnsi="Arial" w:cs="Arial"/>
          <w:color w:val="000000"/>
          <w:sz w:val="20"/>
        </w:rPr>
        <w:t xml:space="preserve"> (literally ‘a friend of the court’) at common law.  </w:t>
      </w:r>
      <w:r w:rsidR="002D1FF3" w:rsidRPr="00C50555">
        <w:rPr>
          <w:rFonts w:ascii="Arial" w:hAnsi="Arial" w:cs="Arial"/>
          <w:color w:val="000000"/>
          <w:sz w:val="20"/>
          <w:szCs w:val="20"/>
        </w:rPr>
        <w:t>In</w:t>
      </w:r>
      <w:r>
        <w:rPr>
          <w:rFonts w:ascii="Arial" w:hAnsi="Arial" w:cs="Arial"/>
          <w:color w:val="000000"/>
          <w:sz w:val="20"/>
          <w:szCs w:val="20"/>
        </w:rPr>
        <w:t xml:space="preserve"> relation to the latter, in</w:t>
      </w:r>
      <w:r w:rsidR="002D1FF3" w:rsidRPr="00C50555">
        <w:rPr>
          <w:rFonts w:ascii="Arial" w:hAnsi="Arial" w:cs="Arial"/>
          <w:color w:val="000000"/>
          <w:sz w:val="20"/>
          <w:szCs w:val="20"/>
        </w:rPr>
        <w:t xml:space="preserve"> </w:t>
      </w:r>
      <w:r w:rsidR="002D1FF3" w:rsidRPr="00C50555">
        <w:rPr>
          <w:rFonts w:ascii="Arial" w:hAnsi="Arial" w:cs="Arial"/>
          <w:i/>
          <w:iCs/>
          <w:color w:val="000000"/>
          <w:sz w:val="20"/>
          <w:szCs w:val="20"/>
        </w:rPr>
        <w:t>JL v Mental Health Tribunal</w:t>
      </w:r>
      <w:r w:rsidR="002D1FF3" w:rsidRPr="00C50555">
        <w:rPr>
          <w:rFonts w:ascii="Arial" w:hAnsi="Arial" w:cs="Arial"/>
          <w:color w:val="000000"/>
          <w:sz w:val="20"/>
          <w:szCs w:val="20"/>
        </w:rPr>
        <w:t xml:space="preserve"> [2021] VSC 868 the </w:t>
      </w:r>
      <w:r w:rsidR="0075505A">
        <w:rPr>
          <w:rFonts w:ascii="Arial" w:hAnsi="Arial" w:cs="Arial"/>
          <w:color w:val="000000"/>
          <w:sz w:val="20"/>
          <w:szCs w:val="20"/>
        </w:rPr>
        <w:t>Court</w:t>
      </w:r>
      <w:r w:rsidR="002D1FF3" w:rsidRPr="00C50555">
        <w:rPr>
          <w:rFonts w:ascii="Arial" w:hAnsi="Arial" w:cs="Arial"/>
          <w:color w:val="000000"/>
          <w:sz w:val="20"/>
          <w:szCs w:val="20"/>
        </w:rPr>
        <w:t xml:space="preserve"> had </w:t>
      </w:r>
      <w:r w:rsidR="00C50555" w:rsidRPr="00C50555">
        <w:rPr>
          <w:rFonts w:ascii="Arial" w:hAnsi="Arial" w:cs="Arial"/>
          <w:color w:val="000000"/>
          <w:sz w:val="20"/>
          <w:szCs w:val="20"/>
        </w:rPr>
        <w:t xml:space="preserve">given leave to the Secretary of the Department of Health to appear as amicus curiae to ensure that there was a contradictor.  </w:t>
      </w:r>
      <w:r w:rsidR="0060302A">
        <w:rPr>
          <w:rFonts w:ascii="Arial" w:hAnsi="Arial" w:cs="Arial"/>
          <w:color w:val="000000"/>
          <w:sz w:val="20"/>
          <w:szCs w:val="20"/>
        </w:rPr>
        <w:t xml:space="preserve">The patient </w:t>
      </w:r>
      <w:r w:rsidR="00C50555" w:rsidRPr="00C50555">
        <w:rPr>
          <w:rFonts w:ascii="Arial" w:hAnsi="Arial" w:cs="Arial"/>
          <w:color w:val="000000"/>
          <w:sz w:val="20"/>
          <w:szCs w:val="20"/>
        </w:rPr>
        <w:t xml:space="preserve">JL </w:t>
      </w:r>
      <w:r w:rsidR="0060302A">
        <w:rPr>
          <w:rFonts w:ascii="Arial" w:hAnsi="Arial" w:cs="Arial"/>
          <w:color w:val="000000"/>
          <w:sz w:val="20"/>
          <w:szCs w:val="20"/>
        </w:rPr>
        <w:t xml:space="preserve">– whose compulsory treatment order </w:t>
      </w:r>
      <w:proofErr w:type="spellStart"/>
      <w:r w:rsidR="0060302A">
        <w:rPr>
          <w:rFonts w:ascii="Arial" w:hAnsi="Arial" w:cs="Arial"/>
          <w:color w:val="000000"/>
          <w:sz w:val="20"/>
          <w:szCs w:val="20"/>
        </w:rPr>
        <w:t>Ginnane</w:t>
      </w:r>
      <w:proofErr w:type="spellEnd"/>
      <w:r w:rsidR="0060302A">
        <w:rPr>
          <w:rFonts w:ascii="Arial" w:hAnsi="Arial" w:cs="Arial"/>
          <w:color w:val="000000"/>
          <w:sz w:val="20"/>
          <w:szCs w:val="20"/>
        </w:rPr>
        <w:t xml:space="preserve"> J held to be invalid – had </w:t>
      </w:r>
      <w:r w:rsidR="00C50555" w:rsidRPr="00C50555">
        <w:rPr>
          <w:rFonts w:ascii="Arial" w:hAnsi="Arial" w:cs="Arial"/>
          <w:color w:val="000000"/>
          <w:sz w:val="20"/>
          <w:szCs w:val="20"/>
        </w:rPr>
        <w:t xml:space="preserve">challenged the participation of the Secretary and submitted that the Secretary had acted in a manner inconsistent with the role of an amicus curiae.  </w:t>
      </w:r>
      <w:r w:rsidR="0060302A">
        <w:rPr>
          <w:rFonts w:ascii="Arial" w:hAnsi="Arial" w:cs="Arial"/>
          <w:color w:val="000000"/>
          <w:sz w:val="20"/>
          <w:szCs w:val="20"/>
        </w:rPr>
        <w:t>His Honour</w:t>
      </w:r>
      <w:r w:rsidR="00C50555" w:rsidRPr="00C50555">
        <w:rPr>
          <w:rFonts w:ascii="Arial" w:hAnsi="Arial" w:cs="Arial"/>
          <w:color w:val="000000"/>
          <w:sz w:val="20"/>
          <w:szCs w:val="20"/>
        </w:rPr>
        <w:t xml:space="preserve"> rejected JL’s assertion, holding</w:t>
      </w:r>
      <w:r w:rsidR="0063060A">
        <w:rPr>
          <w:rFonts w:ascii="Arial" w:hAnsi="Arial" w:cs="Arial"/>
          <w:color w:val="000000"/>
          <w:sz w:val="20"/>
          <w:szCs w:val="20"/>
        </w:rPr>
        <w:t xml:space="preserve"> at [32]</w:t>
      </w:r>
      <w:r w:rsidR="00C50555" w:rsidRPr="00C50555">
        <w:rPr>
          <w:rFonts w:ascii="Arial" w:hAnsi="Arial" w:cs="Arial"/>
          <w:color w:val="000000"/>
          <w:sz w:val="20"/>
          <w:szCs w:val="20"/>
        </w:rPr>
        <w:t xml:space="preserve">: “I do not consider that </w:t>
      </w:r>
      <w:r w:rsidR="00C50555" w:rsidRPr="00C50555">
        <w:rPr>
          <w:rFonts w:ascii="Arial" w:eastAsia="Book Antiqua" w:hAnsi="Arial" w:cs="Arial"/>
          <w:sz w:val="20"/>
          <w:szCs w:val="20"/>
        </w:rPr>
        <w:t>the Secretary’s submissions exceeded the role</w:t>
      </w:r>
      <w:r w:rsidR="00C50555" w:rsidRPr="00C50555">
        <w:rPr>
          <w:rFonts w:ascii="Arial" w:hAnsi="Arial" w:cs="Arial"/>
          <w:sz w:val="20"/>
          <w:szCs w:val="20"/>
        </w:rPr>
        <w:t xml:space="preserve"> of providing assistance to the Court</w:t>
      </w:r>
      <w:r w:rsidR="00C50555">
        <w:rPr>
          <w:rFonts w:ascii="Arial" w:hAnsi="Arial" w:cs="Arial"/>
          <w:color w:val="000000"/>
          <w:sz w:val="20"/>
          <w:szCs w:val="20"/>
        </w:rPr>
        <w:t>.”  At</w:t>
      </w:r>
      <w:r w:rsidR="00120454">
        <w:rPr>
          <w:rFonts w:ascii="Arial" w:hAnsi="Arial" w:cs="Arial"/>
          <w:color w:val="000000"/>
          <w:sz w:val="20"/>
          <w:szCs w:val="20"/>
        </w:rPr>
        <w:t> </w:t>
      </w:r>
      <w:r w:rsidR="00C50555">
        <w:rPr>
          <w:rFonts w:ascii="Arial" w:hAnsi="Arial" w:cs="Arial"/>
          <w:color w:val="000000"/>
          <w:sz w:val="20"/>
          <w:szCs w:val="20"/>
        </w:rPr>
        <w:t>[</w:t>
      </w:r>
      <w:proofErr w:type="gramStart"/>
      <w:r w:rsidR="00120454">
        <w:rPr>
          <w:rFonts w:ascii="Arial" w:hAnsi="Arial" w:cs="Arial"/>
          <w:color w:val="000000"/>
          <w:sz w:val="20"/>
          <w:szCs w:val="20"/>
        </w:rPr>
        <w:t>28</w:t>
      </w:r>
      <w:r w:rsidR="00C50555">
        <w:rPr>
          <w:rFonts w:ascii="Arial" w:hAnsi="Arial" w:cs="Arial"/>
          <w:color w:val="000000"/>
          <w:sz w:val="20"/>
          <w:szCs w:val="20"/>
        </w:rPr>
        <w:t>]</w:t>
      </w:r>
      <w:r w:rsidR="00120454">
        <w:rPr>
          <w:rFonts w:ascii="Arial" w:hAnsi="Arial" w:cs="Arial"/>
          <w:color w:val="000000"/>
          <w:sz w:val="20"/>
          <w:szCs w:val="20"/>
        </w:rPr>
        <w:noBreakHyphen/>
      </w:r>
      <w:proofErr w:type="gramEnd"/>
      <w:r w:rsidR="00C50555">
        <w:rPr>
          <w:rFonts w:ascii="Arial" w:hAnsi="Arial" w:cs="Arial"/>
          <w:color w:val="000000"/>
          <w:sz w:val="20"/>
          <w:szCs w:val="20"/>
        </w:rPr>
        <w:t>[</w:t>
      </w:r>
      <w:r w:rsidR="00120454">
        <w:rPr>
          <w:rFonts w:ascii="Arial" w:hAnsi="Arial" w:cs="Arial"/>
          <w:color w:val="000000"/>
          <w:sz w:val="20"/>
          <w:szCs w:val="20"/>
        </w:rPr>
        <w:t>3</w:t>
      </w:r>
      <w:r w:rsidR="0063060A">
        <w:rPr>
          <w:rFonts w:ascii="Arial" w:hAnsi="Arial" w:cs="Arial"/>
          <w:color w:val="000000"/>
          <w:sz w:val="20"/>
          <w:szCs w:val="20"/>
        </w:rPr>
        <w:t>1</w:t>
      </w:r>
      <w:r w:rsidR="00C50555">
        <w:rPr>
          <w:rFonts w:ascii="Arial" w:hAnsi="Arial" w:cs="Arial"/>
          <w:color w:val="000000"/>
          <w:sz w:val="20"/>
          <w:szCs w:val="20"/>
        </w:rPr>
        <w:t>] his Honour said:</w:t>
      </w:r>
    </w:p>
    <w:p w14:paraId="43F78232" w14:textId="77777777" w:rsidR="00120454" w:rsidRDefault="00120454" w:rsidP="00120454">
      <w:pPr>
        <w:spacing w:before="60"/>
        <w:ind w:left="567" w:right="567"/>
        <w:jc w:val="both"/>
        <w:rPr>
          <w:rFonts w:ascii="Arial" w:hAnsi="Arial" w:cs="Arial"/>
          <w:sz w:val="20"/>
          <w:szCs w:val="20"/>
        </w:rPr>
      </w:pPr>
      <w:r>
        <w:rPr>
          <w:rFonts w:ascii="Arial" w:hAnsi="Arial" w:cs="Arial"/>
          <w:color w:val="000000"/>
          <w:sz w:val="20"/>
          <w:szCs w:val="20"/>
        </w:rPr>
        <w:t xml:space="preserve">[28] </w:t>
      </w:r>
      <w:r w:rsidR="00C50555">
        <w:rPr>
          <w:rFonts w:ascii="Arial" w:hAnsi="Arial" w:cs="Arial"/>
          <w:color w:val="000000"/>
          <w:sz w:val="20"/>
          <w:szCs w:val="20"/>
        </w:rPr>
        <w:t>“[T]</w:t>
      </w:r>
      <w:r w:rsidR="00C50555" w:rsidRPr="00C50555">
        <w:rPr>
          <w:rFonts w:ascii="Arial" w:hAnsi="Arial" w:cs="Arial"/>
          <w:sz w:val="20"/>
          <w:szCs w:val="20"/>
        </w:rPr>
        <w:t xml:space="preserve">he Court has a discretion whether to allow a person to appear as amicus curiae. The functions of an amicus curiae are more constrained than those of either contradictors or interveners. As Wilcox J stated in </w:t>
      </w:r>
      <w:proofErr w:type="spellStart"/>
      <w:r w:rsidR="00C50555" w:rsidRPr="00C50555">
        <w:rPr>
          <w:rFonts w:ascii="Arial" w:eastAsia="Book Antiqua" w:hAnsi="Arial" w:cs="Arial"/>
          <w:i/>
          <w:sz w:val="20"/>
          <w:szCs w:val="20"/>
        </w:rPr>
        <w:t>Bropho</w:t>
      </w:r>
      <w:proofErr w:type="spellEnd"/>
      <w:r w:rsidR="00C50555" w:rsidRPr="00C50555">
        <w:rPr>
          <w:rFonts w:ascii="Arial" w:eastAsia="Book Antiqua" w:hAnsi="Arial" w:cs="Arial"/>
          <w:i/>
          <w:sz w:val="20"/>
          <w:szCs w:val="20"/>
        </w:rPr>
        <w:t xml:space="preserve"> v Tickner</w:t>
      </w:r>
      <w:r w:rsidR="00C50555">
        <w:rPr>
          <w:rFonts w:ascii="Arial" w:eastAsia="Book Antiqua" w:hAnsi="Arial" w:cs="Arial"/>
          <w:sz w:val="20"/>
          <w:szCs w:val="20"/>
        </w:rPr>
        <w:t xml:space="preserve"> (1993) 40 FCR 165, 172-3</w:t>
      </w:r>
      <w:r w:rsidR="00C50555" w:rsidRPr="00C50555">
        <w:rPr>
          <w:rFonts w:ascii="Arial" w:eastAsia="Book Antiqua" w:hAnsi="Arial" w:cs="Arial"/>
          <w:sz w:val="20"/>
          <w:szCs w:val="20"/>
        </w:rPr>
        <w:t xml:space="preserve"> the amicus curiae’s </w:t>
      </w:r>
      <w:r w:rsidR="00C50555" w:rsidRPr="00C50555">
        <w:rPr>
          <w:rFonts w:ascii="Arial" w:hAnsi="Arial" w:cs="Arial"/>
          <w:sz w:val="20"/>
          <w:szCs w:val="20"/>
        </w:rPr>
        <w:t>role is usually</w:t>
      </w:r>
      <w:r>
        <w:rPr>
          <w:rFonts w:ascii="Arial" w:hAnsi="Arial" w:cs="Arial"/>
          <w:sz w:val="20"/>
          <w:szCs w:val="20"/>
        </w:rPr>
        <w:t xml:space="preserve"> ‘</w:t>
      </w:r>
      <w:r w:rsidR="00C50555" w:rsidRPr="00C50555">
        <w:rPr>
          <w:rFonts w:ascii="Arial" w:hAnsi="Arial" w:cs="Arial"/>
          <w:sz w:val="20"/>
          <w:szCs w:val="20"/>
        </w:rPr>
        <w:t>confined to assisting the court in its task of resolving the issues tendered by the parties by drawing attention to some aspect of the case which might otherwise be overlooked.</w:t>
      </w:r>
      <w:r>
        <w:rPr>
          <w:rFonts w:ascii="Arial" w:hAnsi="Arial" w:cs="Arial"/>
          <w:sz w:val="20"/>
          <w:szCs w:val="20"/>
        </w:rPr>
        <w:t>’</w:t>
      </w:r>
    </w:p>
    <w:p w14:paraId="094A96E1" w14:textId="77777777" w:rsidR="00C50555" w:rsidRPr="00120454" w:rsidRDefault="00120454" w:rsidP="00120454">
      <w:pPr>
        <w:spacing w:before="60"/>
        <w:ind w:left="567" w:right="567"/>
        <w:jc w:val="both"/>
        <w:rPr>
          <w:rFonts w:ascii="Arial" w:hAnsi="Arial" w:cs="Arial"/>
          <w:sz w:val="20"/>
          <w:szCs w:val="20"/>
        </w:rPr>
      </w:pPr>
      <w:r>
        <w:rPr>
          <w:rFonts w:ascii="Arial" w:hAnsi="Arial" w:cs="Arial"/>
          <w:sz w:val="20"/>
          <w:szCs w:val="20"/>
        </w:rPr>
        <w:lastRenderedPageBreak/>
        <w:t xml:space="preserve">[29] </w:t>
      </w:r>
      <w:r w:rsidR="00C50555" w:rsidRPr="00120454">
        <w:rPr>
          <w:rFonts w:ascii="Arial" w:hAnsi="Arial" w:cs="Arial"/>
          <w:sz w:val="20"/>
          <w:szCs w:val="20"/>
        </w:rPr>
        <w:t xml:space="preserve">The principal role of an amicus curiae is to provide assistance to the Court as Brennan CJ explained in </w:t>
      </w:r>
      <w:r w:rsidR="00C50555" w:rsidRPr="00120454">
        <w:rPr>
          <w:rFonts w:ascii="Arial" w:eastAsia="Book Antiqua" w:hAnsi="Arial" w:cs="Arial"/>
          <w:i/>
          <w:sz w:val="20"/>
          <w:szCs w:val="20"/>
        </w:rPr>
        <w:t>Levy v The State of Victoria</w:t>
      </w:r>
      <w:r w:rsidRPr="00120454">
        <w:rPr>
          <w:rFonts w:ascii="Arial" w:eastAsia="Book Antiqua" w:hAnsi="Arial" w:cs="Arial"/>
          <w:i/>
          <w:sz w:val="20"/>
          <w:szCs w:val="20"/>
        </w:rPr>
        <w:t xml:space="preserve"> </w:t>
      </w:r>
      <w:r w:rsidRPr="00120454">
        <w:rPr>
          <w:rFonts w:ascii="Arial" w:hAnsi="Arial" w:cs="Arial"/>
          <w:sz w:val="20"/>
          <w:szCs w:val="20"/>
        </w:rPr>
        <w:t>(1997) 189 CLR 579, 604</w:t>
      </w:r>
      <w:r>
        <w:rPr>
          <w:rFonts w:ascii="Arial" w:hAnsi="Arial" w:cs="Arial"/>
          <w:sz w:val="20"/>
          <w:szCs w:val="20"/>
        </w:rPr>
        <w:noBreakHyphen/>
      </w:r>
      <w:r w:rsidRPr="00120454">
        <w:rPr>
          <w:rFonts w:ascii="Arial" w:hAnsi="Arial" w:cs="Arial"/>
          <w:sz w:val="20"/>
          <w:szCs w:val="20"/>
        </w:rPr>
        <w:t>5</w:t>
      </w:r>
      <w:r>
        <w:rPr>
          <w:rFonts w:ascii="Arial" w:hAnsi="Arial" w:cs="Arial"/>
          <w:sz w:val="20"/>
          <w:szCs w:val="20"/>
        </w:rPr>
        <w:t xml:space="preserve"> (citations omitted)</w:t>
      </w:r>
      <w:r w:rsidR="00C50555" w:rsidRPr="00120454">
        <w:rPr>
          <w:rFonts w:ascii="Arial" w:hAnsi="Arial" w:cs="Arial"/>
          <w:sz w:val="20"/>
          <w:szCs w:val="20"/>
        </w:rPr>
        <w:t>:</w:t>
      </w:r>
    </w:p>
    <w:p w14:paraId="0D8AD9A2" w14:textId="77777777" w:rsidR="00C50555" w:rsidRPr="00120454" w:rsidRDefault="00120454" w:rsidP="00033D59">
      <w:pPr>
        <w:ind w:left="964" w:right="964"/>
        <w:jc w:val="both"/>
        <w:rPr>
          <w:rFonts w:ascii="Arial" w:hAnsi="Arial" w:cs="Arial"/>
          <w:sz w:val="18"/>
          <w:szCs w:val="18"/>
        </w:rPr>
      </w:pPr>
      <w:r w:rsidRPr="00120454">
        <w:rPr>
          <w:rFonts w:ascii="Arial" w:hAnsi="Arial" w:cs="Arial"/>
          <w:sz w:val="18"/>
          <w:szCs w:val="18"/>
        </w:rPr>
        <w:t>‘</w:t>
      </w:r>
      <w:r w:rsidR="00C50555" w:rsidRPr="00120454">
        <w:rPr>
          <w:rFonts w:ascii="Arial" w:hAnsi="Arial" w:cs="Arial"/>
          <w:sz w:val="18"/>
          <w:szCs w:val="18"/>
        </w:rPr>
        <w:t xml:space="preserve">The hearing of an amicus curiae is entirely in the Court's discretion. That discretion is exercised on a different basis from that which governs the allowance of intervention. The footing on which an </w:t>
      </w:r>
      <w:proofErr w:type="gramStart"/>
      <w:r w:rsidR="00C50555" w:rsidRPr="00120454">
        <w:rPr>
          <w:rFonts w:ascii="Arial" w:hAnsi="Arial" w:cs="Arial"/>
          <w:sz w:val="18"/>
          <w:szCs w:val="18"/>
        </w:rPr>
        <w:t>amicus curiae</w:t>
      </w:r>
      <w:proofErr w:type="gramEnd"/>
      <w:r w:rsidR="00C50555" w:rsidRPr="00120454">
        <w:rPr>
          <w:rFonts w:ascii="Arial" w:hAnsi="Arial" w:cs="Arial"/>
          <w:sz w:val="18"/>
          <w:szCs w:val="18"/>
        </w:rPr>
        <w:t xml:space="preserve"> is heard is that that person is willing to offer the Court a submission on law or relevant fact which will assist the Court in a way in which the Court would not otherwise have been assisted. In </w:t>
      </w:r>
      <w:r w:rsidR="00C50555" w:rsidRPr="00120454">
        <w:rPr>
          <w:rFonts w:ascii="Arial" w:eastAsia="Book Antiqua" w:hAnsi="Arial" w:cs="Arial"/>
          <w:i/>
          <w:sz w:val="18"/>
          <w:szCs w:val="18"/>
        </w:rPr>
        <w:t>Kruger v The Commonwealth</w:t>
      </w:r>
      <w:r w:rsidR="00C50555" w:rsidRPr="00120454">
        <w:rPr>
          <w:rFonts w:ascii="Arial" w:hAnsi="Arial" w:cs="Arial"/>
          <w:sz w:val="18"/>
          <w:szCs w:val="18"/>
        </w:rPr>
        <w:t>, speaking for the Court, I</w:t>
      </w:r>
      <w:r w:rsidR="0060302A">
        <w:rPr>
          <w:rFonts w:ascii="Arial" w:hAnsi="Arial" w:cs="Arial"/>
          <w:sz w:val="18"/>
          <w:szCs w:val="18"/>
        </w:rPr>
        <w:t> </w:t>
      </w:r>
      <w:r w:rsidR="00C50555" w:rsidRPr="00120454">
        <w:rPr>
          <w:rFonts w:ascii="Arial" w:hAnsi="Arial" w:cs="Arial"/>
          <w:sz w:val="18"/>
          <w:szCs w:val="18"/>
        </w:rPr>
        <w:t xml:space="preserve">said in refusing counsel's application to appear for a person as amicus curiae: </w:t>
      </w:r>
    </w:p>
    <w:p w14:paraId="22CBCF8E" w14:textId="77777777" w:rsidR="00C50555" w:rsidRPr="00120454" w:rsidRDefault="00C50555" w:rsidP="00033D59">
      <w:pPr>
        <w:spacing w:before="60"/>
        <w:ind w:left="1418" w:right="1418"/>
        <w:jc w:val="both"/>
        <w:rPr>
          <w:rFonts w:ascii="Arial" w:hAnsi="Arial" w:cs="Arial"/>
          <w:sz w:val="16"/>
          <w:szCs w:val="16"/>
        </w:rPr>
      </w:pPr>
      <w:r w:rsidRPr="00120454">
        <w:rPr>
          <w:rFonts w:ascii="Arial" w:hAnsi="Arial" w:cs="Arial"/>
          <w:sz w:val="16"/>
          <w:szCs w:val="16"/>
        </w:rPr>
        <w:t>As to his application to be heard as amicus curiae, he fails to show that the parties whose cause he would support are unable or unwilling adequately to protect their own interests or to assist the Court in arriving at the correct determination of the case. The Court must be cautious in considering applications to be heard by persons who would be amicus curiae lest the efficient operation of the Court be prejudiced. Where the Court has parties before it who are willing and able to provide adequate assistance to the Court it is inappropriate to grant the application.</w:t>
      </w:r>
    </w:p>
    <w:p w14:paraId="7FE63ACC" w14:textId="77777777" w:rsidR="00C50555" w:rsidRPr="00120454" w:rsidRDefault="00C50555" w:rsidP="00033D59">
      <w:pPr>
        <w:spacing w:before="60"/>
        <w:ind w:left="964" w:right="964"/>
        <w:jc w:val="both"/>
        <w:rPr>
          <w:rFonts w:ascii="Arial" w:hAnsi="Arial" w:cs="Arial"/>
          <w:sz w:val="18"/>
          <w:szCs w:val="18"/>
        </w:rPr>
      </w:pPr>
      <w:r w:rsidRPr="00120454">
        <w:rPr>
          <w:rFonts w:ascii="Arial" w:hAnsi="Arial" w:cs="Arial"/>
          <w:sz w:val="18"/>
          <w:szCs w:val="18"/>
        </w:rPr>
        <w:t>It is not possible to identify in advance the situations in which the Court will be assisted by submissions that will not or may not be presented by one of the parties nor to identify the requisite capacities of an amicus who is willing to offer assistance. All that can be said is that an amicus will be heard when the Court is of the opinion that it will be significantly assisted thereby, provided that any cost to the parties or any delay consequent on agreeing to hear the amicus is not disproportionate to the assistance that is expected.</w:t>
      </w:r>
      <w:r w:rsidR="00120454">
        <w:rPr>
          <w:rFonts w:ascii="Arial" w:hAnsi="Arial" w:cs="Arial"/>
          <w:sz w:val="18"/>
          <w:szCs w:val="18"/>
        </w:rPr>
        <w:t>’</w:t>
      </w:r>
    </w:p>
    <w:p w14:paraId="3E6A9780" w14:textId="77777777" w:rsidR="00C50555" w:rsidRPr="00C50555" w:rsidRDefault="00120454" w:rsidP="00120454">
      <w:pPr>
        <w:spacing w:before="60"/>
        <w:ind w:left="567" w:right="567"/>
        <w:jc w:val="both"/>
        <w:rPr>
          <w:rFonts w:ascii="Arial" w:hAnsi="Arial" w:cs="Arial"/>
          <w:sz w:val="20"/>
          <w:szCs w:val="20"/>
        </w:rPr>
      </w:pPr>
      <w:r>
        <w:rPr>
          <w:rFonts w:ascii="Arial" w:hAnsi="Arial" w:cs="Arial"/>
          <w:sz w:val="20"/>
          <w:szCs w:val="20"/>
        </w:rPr>
        <w:t xml:space="preserve">[30] </w:t>
      </w:r>
      <w:r w:rsidR="00C50555" w:rsidRPr="00C50555">
        <w:rPr>
          <w:rFonts w:ascii="Arial" w:hAnsi="Arial" w:cs="Arial"/>
          <w:sz w:val="20"/>
          <w:szCs w:val="20"/>
        </w:rPr>
        <w:t xml:space="preserve">In assisting the Court, an </w:t>
      </w:r>
      <w:proofErr w:type="gramStart"/>
      <w:r w:rsidR="00C50555" w:rsidRPr="00C50555">
        <w:rPr>
          <w:rFonts w:ascii="Arial" w:hAnsi="Arial" w:cs="Arial"/>
          <w:sz w:val="20"/>
          <w:szCs w:val="20"/>
        </w:rPr>
        <w:t>amicus curiae</w:t>
      </w:r>
      <w:proofErr w:type="gramEnd"/>
      <w:r w:rsidR="00C50555" w:rsidRPr="00C50555">
        <w:rPr>
          <w:rFonts w:ascii="Arial" w:hAnsi="Arial" w:cs="Arial"/>
          <w:sz w:val="20"/>
          <w:szCs w:val="20"/>
        </w:rPr>
        <w:t xml:space="preserve"> may offer different constructions of the law to those advanced by some or all of the parties. In doing so, the amicus is acting within their proper role, if, as in this case, they are providing assistance to the Court. JL noted that the Secretary submitted that the proceeding should be dismissed, but that was the logical outcome of the interpretation of the Act which the Secretary advanced to assist the Court.</w:t>
      </w:r>
    </w:p>
    <w:p w14:paraId="1A42D8DA" w14:textId="77777777" w:rsidR="00C50555" w:rsidRPr="00C50555" w:rsidRDefault="00120454" w:rsidP="00033D59">
      <w:pPr>
        <w:spacing w:before="60"/>
        <w:ind w:left="567" w:right="567"/>
        <w:jc w:val="both"/>
        <w:rPr>
          <w:rFonts w:ascii="Arial" w:hAnsi="Arial" w:cs="Arial"/>
          <w:sz w:val="20"/>
          <w:szCs w:val="20"/>
        </w:rPr>
      </w:pPr>
      <w:r>
        <w:rPr>
          <w:rFonts w:ascii="Arial" w:hAnsi="Arial" w:cs="Arial"/>
          <w:sz w:val="20"/>
          <w:szCs w:val="20"/>
        </w:rPr>
        <w:t xml:space="preserve">[31] </w:t>
      </w:r>
      <w:r w:rsidR="00C50555" w:rsidRPr="00C50555">
        <w:rPr>
          <w:rFonts w:ascii="Arial" w:hAnsi="Arial" w:cs="Arial"/>
          <w:sz w:val="20"/>
          <w:szCs w:val="20"/>
        </w:rPr>
        <w:t xml:space="preserve">The Secretary did not seek to tender evidence, but made submissions related to the construction and application of the law and the interpretation and operation of the Act. These were important issues to be properly resolved that otherwise would only </w:t>
      </w:r>
      <w:r w:rsidR="00C50555" w:rsidRPr="00C50555">
        <w:rPr>
          <w:rFonts w:ascii="Arial" w:eastAsia="Book Antiqua" w:hAnsi="Arial" w:cs="Arial"/>
          <w:sz w:val="20"/>
          <w:szCs w:val="20"/>
        </w:rPr>
        <w:t>have been addressed by JL. The Secretary’s submissions assisted the Court.</w:t>
      </w:r>
      <w:r w:rsidR="0063060A">
        <w:rPr>
          <w:rFonts w:ascii="Arial" w:eastAsia="Book Antiqua" w:hAnsi="Arial" w:cs="Arial"/>
          <w:sz w:val="20"/>
          <w:szCs w:val="20"/>
        </w:rPr>
        <w:t>”</w:t>
      </w:r>
    </w:p>
    <w:p w14:paraId="1185E463" w14:textId="77777777" w:rsidR="002D1FF3" w:rsidRDefault="002D1FF3" w:rsidP="0031041A">
      <w:pPr>
        <w:jc w:val="both"/>
        <w:rPr>
          <w:rFonts w:ascii="Arial" w:hAnsi="Arial" w:cs="Arial"/>
          <w:color w:val="000000"/>
          <w:sz w:val="20"/>
        </w:rPr>
      </w:pPr>
    </w:p>
    <w:p w14:paraId="58975E7D" w14:textId="77777777" w:rsidR="0063060A" w:rsidRDefault="00777477" w:rsidP="0031041A">
      <w:pPr>
        <w:jc w:val="both"/>
        <w:rPr>
          <w:rFonts w:ascii="Arial" w:hAnsi="Arial" w:cs="Arial"/>
          <w:color w:val="000000"/>
          <w:sz w:val="20"/>
        </w:rPr>
      </w:pPr>
      <w:r>
        <w:rPr>
          <w:rFonts w:ascii="Arial" w:hAnsi="Arial" w:cs="Arial"/>
          <w:color w:val="000000"/>
          <w:sz w:val="20"/>
        </w:rPr>
        <w:t xml:space="preserve">While the ICL’s principal role remains to provide assistance to the Court, in doing so the ICL’s statutory duty under s.524(11) requires the ICL to act in what he or she believes to be the best interests of the child and to communicate to the Court, as far as practicable, any instructions or wishes of the child.  </w:t>
      </w:r>
      <w:r w:rsidR="0075505A">
        <w:rPr>
          <w:rFonts w:ascii="Arial" w:hAnsi="Arial" w:cs="Arial"/>
          <w:color w:val="000000"/>
          <w:sz w:val="20"/>
        </w:rPr>
        <w:t xml:space="preserve">Accordingly the writer believes that an ICL’s role is broader than that of a </w:t>
      </w:r>
      <w:proofErr w:type="gramStart"/>
      <w:r w:rsidR="0075505A">
        <w:rPr>
          <w:rFonts w:ascii="Arial" w:hAnsi="Arial" w:cs="Arial"/>
          <w:color w:val="000000"/>
          <w:sz w:val="20"/>
        </w:rPr>
        <w:t xml:space="preserve">common law </w:t>
      </w:r>
      <w:r w:rsidR="0075505A" w:rsidRPr="0075505A">
        <w:rPr>
          <w:rFonts w:ascii="Arial" w:hAnsi="Arial" w:cs="Arial"/>
          <w:i/>
          <w:iCs/>
          <w:color w:val="000000"/>
          <w:sz w:val="20"/>
        </w:rPr>
        <w:t>amicus curiae</w:t>
      </w:r>
      <w:proofErr w:type="gramEnd"/>
      <w:r w:rsidR="0075505A">
        <w:rPr>
          <w:rFonts w:ascii="Arial" w:hAnsi="Arial" w:cs="Arial"/>
          <w:color w:val="000000"/>
          <w:sz w:val="20"/>
        </w:rPr>
        <w:t xml:space="preserve"> and hence i</w:t>
      </w:r>
      <w:r>
        <w:rPr>
          <w:rFonts w:ascii="Arial" w:hAnsi="Arial" w:cs="Arial"/>
          <w:color w:val="000000"/>
          <w:sz w:val="20"/>
        </w:rPr>
        <w:t xml:space="preserve">t is entirely appropriate for an ICL to </w:t>
      </w:r>
      <w:r w:rsidR="004818DD">
        <w:rPr>
          <w:rFonts w:ascii="Arial" w:hAnsi="Arial" w:cs="Arial"/>
          <w:color w:val="000000"/>
          <w:sz w:val="20"/>
        </w:rPr>
        <w:t xml:space="preserve">engage in fact finding – for example by interviewing the child </w:t>
      </w:r>
      <w:r w:rsidR="0075505A">
        <w:rPr>
          <w:rFonts w:ascii="Arial" w:hAnsi="Arial" w:cs="Arial"/>
          <w:color w:val="000000"/>
          <w:sz w:val="20"/>
        </w:rPr>
        <w:t xml:space="preserve">and/or relevant adults </w:t>
      </w:r>
      <w:r w:rsidR="004818DD">
        <w:rPr>
          <w:rFonts w:ascii="Arial" w:hAnsi="Arial" w:cs="Arial"/>
          <w:color w:val="000000"/>
          <w:sz w:val="20"/>
        </w:rPr>
        <w:t>and/or by visiting the child at the child</w:t>
      </w:r>
      <w:r w:rsidR="00033D59">
        <w:rPr>
          <w:rFonts w:ascii="Arial" w:hAnsi="Arial" w:cs="Arial"/>
          <w:color w:val="000000"/>
          <w:sz w:val="20"/>
        </w:rPr>
        <w:t>’s</w:t>
      </w:r>
      <w:r w:rsidR="004818DD">
        <w:rPr>
          <w:rFonts w:ascii="Arial" w:hAnsi="Arial" w:cs="Arial"/>
          <w:color w:val="000000"/>
          <w:sz w:val="20"/>
        </w:rPr>
        <w:t xml:space="preserve"> resid</w:t>
      </w:r>
      <w:r w:rsidR="00033D59">
        <w:rPr>
          <w:rFonts w:ascii="Arial" w:hAnsi="Arial" w:cs="Arial"/>
          <w:color w:val="000000"/>
          <w:sz w:val="20"/>
        </w:rPr>
        <w:t>ence</w:t>
      </w:r>
      <w:r w:rsidR="004818DD">
        <w:rPr>
          <w:rFonts w:ascii="Arial" w:hAnsi="Arial" w:cs="Arial"/>
          <w:color w:val="000000"/>
          <w:sz w:val="20"/>
        </w:rPr>
        <w:t xml:space="preserve"> – if the ICL believes on reasonable grounds that </w:t>
      </w:r>
      <w:r w:rsidR="0060302A">
        <w:rPr>
          <w:rFonts w:ascii="Arial" w:hAnsi="Arial" w:cs="Arial"/>
          <w:color w:val="000000"/>
          <w:sz w:val="20"/>
        </w:rPr>
        <w:t>to do so is in the best interests of</w:t>
      </w:r>
      <w:r w:rsidR="00033D59">
        <w:rPr>
          <w:rFonts w:ascii="Arial" w:hAnsi="Arial" w:cs="Arial"/>
          <w:color w:val="000000"/>
          <w:sz w:val="20"/>
        </w:rPr>
        <w:t xml:space="preserve"> the child.</w:t>
      </w:r>
    </w:p>
    <w:p w14:paraId="4210C7EA" w14:textId="77777777" w:rsidR="0063060A" w:rsidRPr="003D5DFA" w:rsidRDefault="0063060A" w:rsidP="0031041A">
      <w:pPr>
        <w:jc w:val="both"/>
        <w:rPr>
          <w:rFonts w:ascii="Arial" w:hAnsi="Arial" w:cs="Arial"/>
          <w:color w:val="000000"/>
          <w:sz w:val="20"/>
        </w:rPr>
      </w:pPr>
    </w:p>
    <w:p w14:paraId="18D22212" w14:textId="77777777" w:rsidR="007D2F69" w:rsidRPr="003D5DFA" w:rsidRDefault="00B20158" w:rsidP="007D2F69">
      <w:pPr>
        <w:pStyle w:val="Heading3"/>
        <w:keepNext/>
        <w:keepLines/>
        <w:spacing w:after="120" w:line="240" w:lineRule="auto"/>
        <w:rPr>
          <w:rFonts w:ascii="Arial" w:hAnsi="Arial" w:cs="Arial"/>
          <w:b/>
          <w:bCs/>
          <w:color w:val="000000"/>
          <w:sz w:val="20"/>
        </w:rPr>
      </w:pPr>
      <w:bookmarkStart w:id="983" w:name="_4.7.5_Representing_more"/>
      <w:bookmarkStart w:id="984" w:name="B475"/>
      <w:bookmarkStart w:id="985" w:name="_Toc30649079"/>
      <w:bookmarkStart w:id="986" w:name="_Toc30649155"/>
      <w:bookmarkStart w:id="987" w:name="_Toc30649416"/>
      <w:bookmarkStart w:id="988" w:name="_Toc30649741"/>
      <w:bookmarkStart w:id="989" w:name="_Toc30651681"/>
      <w:bookmarkStart w:id="990" w:name="_Toc30652671"/>
      <w:bookmarkStart w:id="991" w:name="_Toc30652767"/>
      <w:bookmarkStart w:id="992" w:name="_Toc30654114"/>
      <w:bookmarkStart w:id="993" w:name="_Toc30654465"/>
      <w:bookmarkStart w:id="994" w:name="_Toc30655084"/>
      <w:bookmarkStart w:id="995" w:name="_Toc30655341"/>
      <w:bookmarkStart w:id="996" w:name="_Toc30657019"/>
      <w:bookmarkStart w:id="997" w:name="_Toc30661768"/>
      <w:bookmarkStart w:id="998" w:name="_Toc30666456"/>
      <w:bookmarkStart w:id="999" w:name="_Toc30666686"/>
      <w:bookmarkStart w:id="1000" w:name="_Toc30667861"/>
      <w:bookmarkStart w:id="1001" w:name="_Toc30669239"/>
      <w:bookmarkStart w:id="1002" w:name="_Toc30671455"/>
      <w:bookmarkStart w:id="1003" w:name="_Toc30673982"/>
      <w:bookmarkStart w:id="1004" w:name="_Toc30691204"/>
      <w:bookmarkStart w:id="1005" w:name="_Toc30691577"/>
      <w:bookmarkStart w:id="1006" w:name="_Toc30691957"/>
      <w:bookmarkStart w:id="1007" w:name="_Toc30692716"/>
      <w:bookmarkStart w:id="1008" w:name="_Toc30693095"/>
      <w:bookmarkStart w:id="1009" w:name="_Toc30693473"/>
      <w:bookmarkStart w:id="1010" w:name="_Toc30693851"/>
      <w:bookmarkStart w:id="1011" w:name="_Toc30694232"/>
      <w:bookmarkStart w:id="1012" w:name="_Toc30698821"/>
      <w:bookmarkStart w:id="1013" w:name="_Toc30699199"/>
      <w:bookmarkStart w:id="1014" w:name="_Toc30699584"/>
      <w:bookmarkStart w:id="1015" w:name="_Toc30700739"/>
      <w:bookmarkStart w:id="1016" w:name="_Toc30701126"/>
      <w:bookmarkStart w:id="1017" w:name="_Toc30743735"/>
      <w:bookmarkStart w:id="1018" w:name="_Toc30754558"/>
      <w:bookmarkStart w:id="1019" w:name="_Toc30756998"/>
      <w:bookmarkStart w:id="1020" w:name="_Toc30757547"/>
      <w:bookmarkStart w:id="1021" w:name="_Toc30757947"/>
      <w:bookmarkStart w:id="1022" w:name="_Toc30762708"/>
      <w:bookmarkStart w:id="1023" w:name="_Toc30767362"/>
      <w:bookmarkStart w:id="1024" w:name="_Toc34823377"/>
      <w:bookmarkEnd w:id="983"/>
      <w:bookmarkEnd w:id="984"/>
      <w:r w:rsidRPr="003D5DFA">
        <w:rPr>
          <w:rFonts w:ascii="Arial" w:hAnsi="Arial" w:cs="Arial"/>
          <w:b/>
          <w:bCs/>
          <w:color w:val="000000"/>
          <w:sz w:val="20"/>
        </w:rPr>
        <w:t>4.7.</w:t>
      </w:r>
      <w:r w:rsidR="0031041A" w:rsidRPr="003D5DFA">
        <w:rPr>
          <w:rFonts w:ascii="Arial" w:hAnsi="Arial" w:cs="Arial"/>
          <w:b/>
          <w:bCs/>
          <w:color w:val="000000"/>
          <w:sz w:val="20"/>
        </w:rPr>
        <w:t>5</w:t>
      </w:r>
      <w:r w:rsidRPr="003D5DFA">
        <w:rPr>
          <w:rFonts w:ascii="Arial" w:hAnsi="Arial" w:cs="Arial"/>
          <w:b/>
          <w:bCs/>
          <w:color w:val="000000"/>
          <w:sz w:val="20"/>
        </w:rPr>
        <w:tab/>
        <w:t>Representing more than one child in a proceeding</w:t>
      </w:r>
    </w:p>
    <w:p w14:paraId="5071B9A5" w14:textId="77777777" w:rsidR="00B20158" w:rsidRPr="003D5DFA" w:rsidRDefault="00B20158" w:rsidP="00B20158">
      <w:pPr>
        <w:spacing w:before="120"/>
        <w:jc w:val="both"/>
        <w:rPr>
          <w:rFonts w:ascii="Arial" w:hAnsi="Arial" w:cs="Arial"/>
          <w:color w:val="000000"/>
          <w:sz w:val="20"/>
        </w:rPr>
      </w:pPr>
      <w:r w:rsidRPr="003D5DFA">
        <w:rPr>
          <w:rFonts w:ascii="Arial" w:hAnsi="Arial" w:cs="Arial"/>
          <w:color w:val="000000"/>
          <w:sz w:val="20"/>
        </w:rPr>
        <w:t>Section 524(5) of the CYFA permits more than one child in the same proceeding to be represented by the same legal practitioner with the leave of the Court.  Section 524(6) permits the Court to grant leave only if satisfied that no conflict of interest will arise.</w:t>
      </w:r>
    </w:p>
    <w:p w14:paraId="35EBD61E" w14:textId="77777777" w:rsidR="00B20158" w:rsidRPr="003D5DFA" w:rsidRDefault="00B20158" w:rsidP="00B20158">
      <w:pPr>
        <w:jc w:val="both"/>
        <w:rPr>
          <w:rFonts w:ascii="Arial" w:hAnsi="Arial" w:cs="Arial"/>
          <w:color w:val="000000"/>
          <w:sz w:val="20"/>
        </w:rPr>
      </w:pPr>
    </w:p>
    <w:p w14:paraId="33821B4F" w14:textId="77777777" w:rsidR="00B20158" w:rsidRPr="003D5DFA" w:rsidRDefault="00B20158" w:rsidP="00B20158">
      <w:pPr>
        <w:jc w:val="both"/>
        <w:rPr>
          <w:rFonts w:ascii="Arial" w:hAnsi="Arial" w:cs="Arial"/>
          <w:color w:val="000000"/>
          <w:sz w:val="20"/>
        </w:rPr>
      </w:pPr>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the presiding magistrate had refused to grant leave to two sisters aged 11 and 9 to be represented by the same legal practitioner.  The same legal representative had represented the girls over the preceding five months on five or six occasions.  Garde J held that the magistrate had made a jurisdictional error by refusing leave for the children to be represented by the same legal practitioner without assessing whether a conflict of interest existed pursuant to s.524(6).  At [130] Garde J said:</w:t>
      </w:r>
    </w:p>
    <w:p w14:paraId="215E7A72"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 xml:space="preserve">“A conflict of interest does not exist simply by virtue of clients ‘having different </w:t>
      </w:r>
      <w:proofErr w:type="gramStart"/>
      <w:r w:rsidRPr="003D5DFA">
        <w:rPr>
          <w:rFonts w:ascii="Arial" w:hAnsi="Arial" w:cs="Arial"/>
          <w:bCs/>
          <w:color w:val="000000"/>
          <w:sz w:val="20"/>
        </w:rPr>
        <w:t>issues’</w:t>
      </w:r>
      <w:proofErr w:type="gramEnd"/>
      <w:r w:rsidRPr="003D5DFA">
        <w:rPr>
          <w:rFonts w:ascii="Arial" w:hAnsi="Arial" w:cs="Arial"/>
          <w:bCs/>
          <w:color w:val="000000"/>
          <w:sz w:val="20"/>
        </w:rPr>
        <w:t>.  A lawyer will not have a conflict of interest in acting for two clients in the same proceeding unless the interests of each client genuinely come into conflict or can reasonably be anticipated to come into conflict, so that the independent judgment of the solicitor in relation to one client is compromised by an obligation in relation to a second client.”</w:t>
      </w:r>
    </w:p>
    <w:p w14:paraId="408C2B99" w14:textId="77777777" w:rsidR="00B20158" w:rsidRPr="003D5DFA" w:rsidRDefault="00B20158" w:rsidP="00B20158">
      <w:pPr>
        <w:jc w:val="both"/>
        <w:rPr>
          <w:rFonts w:ascii="Arial" w:hAnsi="Arial" w:cs="Arial"/>
          <w:color w:val="000000"/>
          <w:sz w:val="20"/>
        </w:rPr>
      </w:pPr>
    </w:p>
    <w:p w14:paraId="5C7171A9" w14:textId="77777777" w:rsidR="00B20158" w:rsidRPr="003D5DFA" w:rsidRDefault="00B20158" w:rsidP="0060302A">
      <w:pPr>
        <w:jc w:val="both"/>
        <w:rPr>
          <w:rFonts w:ascii="Arial" w:hAnsi="Arial" w:cs="Arial"/>
          <w:color w:val="000000"/>
          <w:sz w:val="20"/>
        </w:rPr>
      </w:pPr>
      <w:r w:rsidRPr="003D5DFA">
        <w:rPr>
          <w:rFonts w:ascii="Arial" w:hAnsi="Arial" w:cs="Arial"/>
          <w:color w:val="000000"/>
          <w:sz w:val="20"/>
        </w:rPr>
        <w:t xml:space="preserve">In enunciating this test, his Honour referred to the cases of </w:t>
      </w:r>
      <w:r w:rsidRPr="003D5DFA">
        <w:rPr>
          <w:rFonts w:ascii="Arial" w:hAnsi="Arial" w:cs="Arial"/>
          <w:i/>
          <w:color w:val="000000"/>
          <w:sz w:val="20"/>
        </w:rPr>
        <w:t>Bolkiah v KPMG</w:t>
      </w:r>
      <w:r w:rsidRPr="003D5DFA">
        <w:rPr>
          <w:rFonts w:ascii="Arial" w:hAnsi="Arial" w:cs="Arial"/>
          <w:color w:val="000000"/>
          <w:sz w:val="20"/>
        </w:rPr>
        <w:t xml:space="preserve"> [1999] 2 AC 222; </w:t>
      </w:r>
      <w:r w:rsidRPr="003D5DFA">
        <w:rPr>
          <w:rFonts w:ascii="Arial" w:hAnsi="Arial" w:cs="Arial"/>
          <w:i/>
          <w:color w:val="000000"/>
          <w:sz w:val="20"/>
        </w:rPr>
        <w:t>Giannarelli v Wraith</w:t>
      </w:r>
      <w:r w:rsidRPr="003D5DFA">
        <w:rPr>
          <w:rFonts w:ascii="Arial" w:hAnsi="Arial" w:cs="Arial"/>
          <w:color w:val="000000"/>
          <w:sz w:val="20"/>
        </w:rPr>
        <w:t xml:space="preserve"> (1988) 165 CLR 543 at [555]-[556] and </w:t>
      </w:r>
      <w:r w:rsidRPr="003D5DFA">
        <w:rPr>
          <w:rFonts w:ascii="Arial" w:hAnsi="Arial" w:cs="Arial"/>
          <w:i/>
          <w:color w:val="000000"/>
          <w:sz w:val="20"/>
        </w:rPr>
        <w:t>McVeigh v Linen House Pty Ltd</w:t>
      </w:r>
      <w:r w:rsidRPr="003D5DFA">
        <w:rPr>
          <w:rFonts w:ascii="Arial" w:hAnsi="Arial" w:cs="Arial"/>
          <w:color w:val="000000"/>
          <w:sz w:val="20"/>
        </w:rPr>
        <w:t xml:space="preserve"> [1999] 3 VR 394, 398 per Batt JA.  His Honour also noted that:</w:t>
      </w:r>
    </w:p>
    <w:p w14:paraId="07223B83"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“I</w:t>
      </w:r>
      <w:r w:rsidRPr="003D5DFA">
        <w:rPr>
          <w:rFonts w:ascii="Arial" w:hAnsi="Arial" w:cs="Arial"/>
          <w:color w:val="000000"/>
          <w:sz w:val="20"/>
        </w:rPr>
        <w:t xml:space="preserve">n </w:t>
      </w:r>
      <w:proofErr w:type="spellStart"/>
      <w:r w:rsidRPr="003D5DFA">
        <w:rPr>
          <w:rFonts w:ascii="Arial" w:hAnsi="Arial" w:cs="Arial"/>
          <w:i/>
          <w:color w:val="000000"/>
          <w:sz w:val="20"/>
        </w:rPr>
        <w:t>Kallinicos</w:t>
      </w:r>
      <w:proofErr w:type="spellEnd"/>
      <w:r w:rsidRPr="003D5DFA">
        <w:rPr>
          <w:rFonts w:ascii="Arial" w:hAnsi="Arial" w:cs="Arial"/>
          <w:i/>
          <w:color w:val="000000"/>
          <w:sz w:val="20"/>
        </w:rPr>
        <w:t xml:space="preserve"> v Hunt</w:t>
      </w:r>
      <w:r w:rsidRPr="003D5DFA">
        <w:rPr>
          <w:rFonts w:ascii="Arial" w:hAnsi="Arial" w:cs="Arial"/>
          <w:color w:val="000000"/>
          <w:sz w:val="20"/>
        </w:rPr>
        <w:t xml:space="preserve"> [2005] NSWSC 1181 at [76], the test for conflict of interest (to ground the Court’s inherent jurisdiction to restrain solicitors from acting in a particular case) was ‘whether a fair-minded, reasonably informed member of the public </w:t>
      </w:r>
      <w:r w:rsidRPr="003D5DFA">
        <w:rPr>
          <w:rFonts w:ascii="Arial" w:hAnsi="Arial" w:cs="Arial"/>
          <w:bCs/>
          <w:color w:val="000000"/>
          <w:sz w:val="20"/>
        </w:rPr>
        <w:t>would conclude that the proper administration of justice requires that a legal practitioner should be prevented from acting, in the interests of the integrity of the judicial process and the due administration of justice, including the appearance of justice’.”</w:t>
      </w:r>
    </w:p>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14:paraId="4751BF45" w14:textId="77777777" w:rsidR="00693223" w:rsidRPr="003D5DFA" w:rsidRDefault="00693223">
      <w:pPr>
        <w:jc w:val="both"/>
        <w:rPr>
          <w:rFonts w:ascii="Arial" w:hAnsi="Arial" w:cs="Arial"/>
          <w:color w:val="000000"/>
          <w:sz w:val="20"/>
        </w:rPr>
      </w:pPr>
    </w:p>
    <w:p w14:paraId="26239A20" w14:textId="77777777" w:rsidR="00693223" w:rsidRPr="003D5DFA" w:rsidRDefault="00693223" w:rsidP="00E76E28">
      <w:pPr>
        <w:pStyle w:val="Heading3"/>
        <w:keepNext/>
        <w:spacing w:line="240" w:lineRule="auto"/>
        <w:rPr>
          <w:rFonts w:ascii="Arial" w:hAnsi="Arial" w:cs="Arial"/>
          <w:b/>
          <w:bCs/>
          <w:color w:val="000000"/>
          <w:sz w:val="20"/>
        </w:rPr>
      </w:pPr>
      <w:bookmarkStart w:id="1025" w:name="_4.7.6_Child_representation"/>
      <w:bookmarkStart w:id="1026" w:name="B476"/>
      <w:bookmarkStart w:id="1027" w:name="_Toc30649080"/>
      <w:bookmarkStart w:id="1028" w:name="_Toc30649156"/>
      <w:bookmarkStart w:id="1029" w:name="_Toc30649417"/>
      <w:bookmarkStart w:id="1030" w:name="_Toc30649742"/>
      <w:bookmarkStart w:id="1031" w:name="_Toc30651682"/>
      <w:bookmarkStart w:id="1032" w:name="_Toc30652672"/>
      <w:bookmarkStart w:id="1033" w:name="_Toc30652768"/>
      <w:bookmarkStart w:id="1034" w:name="_Toc30654115"/>
      <w:bookmarkStart w:id="1035" w:name="_Toc30654466"/>
      <w:bookmarkStart w:id="1036" w:name="_Toc30655085"/>
      <w:bookmarkStart w:id="1037" w:name="_Toc30655342"/>
      <w:bookmarkStart w:id="1038" w:name="_Toc30657020"/>
      <w:bookmarkStart w:id="1039" w:name="_Toc30661769"/>
      <w:bookmarkStart w:id="1040" w:name="_Toc30666457"/>
      <w:bookmarkStart w:id="1041" w:name="_Toc30666687"/>
      <w:bookmarkStart w:id="1042" w:name="_Toc30667862"/>
      <w:bookmarkStart w:id="1043" w:name="_Toc30669240"/>
      <w:bookmarkStart w:id="1044" w:name="_Toc30671456"/>
      <w:bookmarkStart w:id="1045" w:name="_Toc30673983"/>
      <w:bookmarkStart w:id="1046" w:name="_Toc30691205"/>
      <w:bookmarkStart w:id="1047" w:name="_Toc30691578"/>
      <w:bookmarkStart w:id="1048" w:name="_Toc30691958"/>
      <w:bookmarkStart w:id="1049" w:name="_Toc30692717"/>
      <w:bookmarkStart w:id="1050" w:name="_Toc30693096"/>
      <w:bookmarkStart w:id="1051" w:name="_Toc30693474"/>
      <w:bookmarkStart w:id="1052" w:name="_Toc30693852"/>
      <w:bookmarkStart w:id="1053" w:name="_Toc30694233"/>
      <w:bookmarkStart w:id="1054" w:name="_Toc30698822"/>
      <w:bookmarkStart w:id="1055" w:name="_Toc30699200"/>
      <w:bookmarkStart w:id="1056" w:name="_Toc30699585"/>
      <w:bookmarkStart w:id="1057" w:name="_Toc30700740"/>
      <w:bookmarkStart w:id="1058" w:name="_Toc30701127"/>
      <w:bookmarkStart w:id="1059" w:name="_Toc30743736"/>
      <w:bookmarkStart w:id="1060" w:name="_Toc30754559"/>
      <w:bookmarkStart w:id="1061" w:name="_Toc30756999"/>
      <w:bookmarkStart w:id="1062" w:name="_Toc30757548"/>
      <w:bookmarkStart w:id="1063" w:name="_Toc30757948"/>
      <w:bookmarkStart w:id="1064" w:name="_Toc30762709"/>
      <w:bookmarkStart w:id="1065" w:name="_Toc30767363"/>
      <w:bookmarkStart w:id="1066" w:name="_Toc34823378"/>
      <w:bookmarkEnd w:id="1025"/>
      <w:bookmarkEnd w:id="1026"/>
      <w:r w:rsidRPr="003D5DFA">
        <w:rPr>
          <w:rFonts w:ascii="Arial" w:hAnsi="Arial" w:cs="Arial"/>
          <w:b/>
          <w:bCs/>
          <w:color w:val="000000"/>
          <w:sz w:val="20"/>
        </w:rPr>
        <w:t>4.7.</w:t>
      </w:r>
      <w:r w:rsidR="0094744E" w:rsidRPr="003D5DFA">
        <w:rPr>
          <w:rFonts w:ascii="Arial" w:hAnsi="Arial" w:cs="Arial"/>
          <w:b/>
          <w:bCs/>
          <w:color w:val="000000"/>
          <w:sz w:val="20"/>
        </w:rPr>
        <w:t>6</w:t>
      </w:r>
      <w:r w:rsidRPr="003D5DFA">
        <w:rPr>
          <w:rFonts w:ascii="Arial" w:hAnsi="Arial" w:cs="Arial"/>
          <w:b/>
          <w:bCs/>
          <w:color w:val="000000"/>
          <w:sz w:val="20"/>
        </w:rPr>
        <w:tab/>
        <w:t>Child representation in Children's Court and Family Court compared</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3EDC9238" w14:textId="77777777" w:rsidR="008C267B" w:rsidRPr="003D5DFA" w:rsidRDefault="000B6A6D" w:rsidP="0060302A">
      <w:pPr>
        <w:spacing w:before="120"/>
        <w:jc w:val="both"/>
        <w:rPr>
          <w:rFonts w:ascii="Arial" w:hAnsi="Arial" w:cs="Arial"/>
          <w:color w:val="000000"/>
          <w:sz w:val="20"/>
        </w:rPr>
      </w:pPr>
      <w:r w:rsidRPr="003D5DFA">
        <w:rPr>
          <w:rFonts w:ascii="Arial" w:hAnsi="Arial" w:cs="Arial"/>
          <w:color w:val="000000"/>
          <w:sz w:val="20"/>
        </w:rPr>
        <w:t>S</w:t>
      </w:r>
      <w:r w:rsidR="00890D42" w:rsidRPr="003D5DFA">
        <w:rPr>
          <w:rFonts w:ascii="Arial" w:hAnsi="Arial" w:cs="Arial"/>
          <w:color w:val="000000"/>
          <w:sz w:val="20"/>
        </w:rPr>
        <w:t xml:space="preserve">ave for those limited cases where a legal representative for a child has been appointed under s.524(4) of the CYFA, the Victorian legislature has </w:t>
      </w:r>
      <w:r w:rsidRPr="003D5DFA">
        <w:rPr>
          <w:rFonts w:ascii="Arial" w:hAnsi="Arial" w:cs="Arial"/>
          <w:color w:val="000000"/>
          <w:sz w:val="20"/>
        </w:rPr>
        <w:t>adopted model 2</w:t>
      </w:r>
      <w:r w:rsidR="00890D42" w:rsidRPr="003D5DFA">
        <w:rPr>
          <w:rFonts w:ascii="Arial" w:hAnsi="Arial" w:cs="Arial"/>
          <w:color w:val="000000"/>
          <w:sz w:val="20"/>
        </w:rPr>
        <w:t xml:space="preserve"> – </w:t>
      </w:r>
      <w:r w:rsidRPr="003D5DFA">
        <w:rPr>
          <w:rFonts w:ascii="Arial" w:hAnsi="Arial" w:cs="Arial"/>
          <w:color w:val="000000"/>
          <w:sz w:val="20"/>
        </w:rPr>
        <w:t>'</w:t>
      </w:r>
      <w:r w:rsidRPr="003D5DFA">
        <w:rPr>
          <w:rFonts w:ascii="Arial" w:hAnsi="Arial" w:cs="Arial"/>
          <w:b/>
          <w:bCs/>
          <w:color w:val="000000"/>
          <w:sz w:val="20"/>
        </w:rPr>
        <w:t>the</w:t>
      </w:r>
      <w:r w:rsidR="00890D42" w:rsidRPr="003D5DFA">
        <w:rPr>
          <w:rFonts w:ascii="Arial" w:hAnsi="Arial" w:cs="Arial"/>
          <w:b/>
          <w:bCs/>
          <w:color w:val="000000"/>
          <w:sz w:val="20"/>
        </w:rPr>
        <w:t xml:space="preserve"> </w:t>
      </w:r>
      <w:r w:rsidRPr="003D5DFA">
        <w:rPr>
          <w:rFonts w:ascii="Arial" w:hAnsi="Arial" w:cs="Arial"/>
          <w:b/>
          <w:bCs/>
          <w:color w:val="000000"/>
          <w:sz w:val="20"/>
        </w:rPr>
        <w:t>traditional model'</w:t>
      </w:r>
      <w:r w:rsidR="008C267B" w:rsidRPr="003D5DFA">
        <w:rPr>
          <w:rFonts w:ascii="Arial" w:hAnsi="Arial" w:cs="Arial"/>
          <w:bCs/>
          <w:color w:val="000000"/>
          <w:sz w:val="20"/>
        </w:rPr>
        <w:t xml:space="preserve"> </w:t>
      </w:r>
      <w:r w:rsidR="00890D42" w:rsidRPr="003D5DFA">
        <w:rPr>
          <w:rFonts w:ascii="Arial" w:hAnsi="Arial" w:cs="Arial"/>
          <w:color w:val="000000"/>
          <w:sz w:val="20"/>
        </w:rPr>
        <w:t xml:space="preserve">– </w:t>
      </w:r>
      <w:r w:rsidR="008C267B" w:rsidRPr="003D5DFA">
        <w:rPr>
          <w:rFonts w:ascii="Arial" w:hAnsi="Arial" w:cs="Arial"/>
          <w:bCs/>
          <w:color w:val="000000"/>
          <w:sz w:val="20"/>
        </w:rPr>
        <w:t xml:space="preserve">for child representation, a model </w:t>
      </w:r>
      <w:r w:rsidR="008C267B" w:rsidRPr="003D5DFA">
        <w:rPr>
          <w:rFonts w:ascii="Arial" w:hAnsi="Arial" w:cs="Arial"/>
          <w:color w:val="000000"/>
          <w:sz w:val="20"/>
        </w:rPr>
        <w:t xml:space="preserve">which requires the advocate to argue a case strictly upon the child's instructions </w:t>
      </w:r>
      <w:r w:rsidR="008C267B" w:rsidRPr="003D5DFA">
        <w:rPr>
          <w:rFonts w:ascii="Arial" w:hAnsi="Arial" w:cs="Arial"/>
          <w:bCs/>
          <w:color w:val="000000"/>
          <w:sz w:val="20"/>
        </w:rPr>
        <w:t>{ALRC Issues Paper #18, [3.12] p.18}.</w:t>
      </w:r>
    </w:p>
    <w:p w14:paraId="2EE24AF5" w14:textId="77777777" w:rsidR="008C267B" w:rsidRPr="003D5DFA" w:rsidRDefault="008C267B" w:rsidP="000B6A6D">
      <w:pPr>
        <w:jc w:val="both"/>
        <w:rPr>
          <w:rFonts w:ascii="Arial" w:hAnsi="Arial" w:cs="Arial"/>
          <w:color w:val="000000"/>
          <w:sz w:val="20"/>
        </w:rPr>
      </w:pPr>
    </w:p>
    <w:p w14:paraId="3A625FF6" w14:textId="77777777" w:rsidR="000B6A6D" w:rsidRPr="003D5DFA" w:rsidRDefault="000B6A6D" w:rsidP="000B6A6D">
      <w:pPr>
        <w:jc w:val="both"/>
        <w:rPr>
          <w:rFonts w:ascii="Arial" w:hAnsi="Arial" w:cs="Arial"/>
          <w:color w:val="000000"/>
          <w:sz w:val="20"/>
        </w:rPr>
      </w:pPr>
      <w:r w:rsidRPr="003D5DFA">
        <w:rPr>
          <w:rFonts w:ascii="Arial" w:hAnsi="Arial" w:cs="Arial"/>
          <w:color w:val="000000"/>
          <w:sz w:val="20"/>
        </w:rPr>
        <w:t xml:space="preserve">This is the converse of the situation in the Family Court of Australia </w:t>
      </w:r>
      <w:r w:rsidR="00176C77" w:rsidRPr="003D5DFA">
        <w:rPr>
          <w:rFonts w:ascii="Arial" w:hAnsi="Arial" w:cs="Arial"/>
          <w:color w:val="000000"/>
          <w:sz w:val="20"/>
        </w:rPr>
        <w:t xml:space="preserve">and the Federal Magistrates’ Court </w:t>
      </w:r>
      <w:r w:rsidRPr="003D5DFA">
        <w:rPr>
          <w:rFonts w:ascii="Arial" w:hAnsi="Arial" w:cs="Arial"/>
          <w:color w:val="000000"/>
          <w:sz w:val="20"/>
        </w:rPr>
        <w:t>where ‘separate’ child representation under s</w:t>
      </w:r>
      <w:r w:rsidR="008C267B" w:rsidRPr="003D5DFA">
        <w:rPr>
          <w:rFonts w:ascii="Arial" w:hAnsi="Arial" w:cs="Arial"/>
          <w:color w:val="000000"/>
          <w:sz w:val="20"/>
        </w:rPr>
        <w:t>s</w:t>
      </w:r>
      <w:r w:rsidRPr="003D5DFA">
        <w:rPr>
          <w:rFonts w:ascii="Arial" w:hAnsi="Arial" w:cs="Arial"/>
          <w:color w:val="000000"/>
          <w:sz w:val="20"/>
        </w:rPr>
        <w:t>.68L</w:t>
      </w:r>
      <w:r w:rsidR="008C267B" w:rsidRPr="003D5DFA">
        <w:rPr>
          <w:rFonts w:ascii="Arial" w:hAnsi="Arial" w:cs="Arial"/>
          <w:color w:val="000000"/>
          <w:sz w:val="20"/>
        </w:rPr>
        <w:t xml:space="preserve"> &amp; 68LA of the FLA</w:t>
      </w:r>
      <w:r w:rsidRPr="003D5DFA">
        <w:rPr>
          <w:rFonts w:ascii="Arial" w:hAnsi="Arial" w:cs="Arial"/>
          <w:color w:val="000000"/>
          <w:sz w:val="20"/>
        </w:rPr>
        <w:t xml:space="preserve"> is based on model 3, </w:t>
      </w:r>
      <w:r w:rsidRPr="003D5DFA">
        <w:rPr>
          <w:rFonts w:ascii="Arial" w:hAnsi="Arial" w:cs="Arial"/>
          <w:b/>
          <w:bCs/>
          <w:color w:val="000000"/>
          <w:sz w:val="20"/>
        </w:rPr>
        <w:t>'the best interests model'</w:t>
      </w:r>
      <w:r w:rsidR="008C267B" w:rsidRPr="003D5DFA">
        <w:rPr>
          <w:rFonts w:ascii="Arial" w:hAnsi="Arial" w:cs="Arial"/>
          <w:color w:val="000000"/>
          <w:sz w:val="20"/>
        </w:rPr>
        <w:t xml:space="preserve">, </w:t>
      </w:r>
      <w:r w:rsidR="008C267B" w:rsidRPr="003D5DFA">
        <w:rPr>
          <w:rFonts w:ascii="Arial" w:hAnsi="Arial" w:cs="Arial"/>
          <w:bCs/>
          <w:color w:val="000000"/>
          <w:sz w:val="20"/>
        </w:rPr>
        <w:t xml:space="preserve">a model which requires the advocate to present and argue his or her own professional view as to the child's best interests, even if this is inconsistent with the child's expressed wishes on the issue {ALRC Issues Paper #18, p.19}.  </w:t>
      </w:r>
      <w:r w:rsidRPr="003D5DFA">
        <w:rPr>
          <w:rFonts w:ascii="Arial" w:hAnsi="Arial" w:cs="Arial"/>
          <w:color w:val="000000"/>
          <w:sz w:val="20"/>
        </w:rPr>
        <w:t xml:space="preserve">In that model the separate representative "is not bound to make submissions to the court about the instructions of a child as to its wishes or otherwise.  She or he…should act in an independent and unfettered way in the best interests of the child."  See </w:t>
      </w:r>
      <w:r w:rsidRPr="003D5DFA">
        <w:rPr>
          <w:rFonts w:ascii="Arial" w:hAnsi="Arial" w:cs="Arial"/>
          <w:i/>
          <w:iCs/>
          <w:color w:val="000000"/>
          <w:sz w:val="20"/>
        </w:rPr>
        <w:t>Bennett</w:t>
      </w:r>
      <w:r w:rsidRPr="003D5DFA">
        <w:rPr>
          <w:rFonts w:ascii="Arial" w:hAnsi="Arial" w:cs="Arial"/>
          <w:color w:val="000000"/>
          <w:sz w:val="20"/>
        </w:rPr>
        <w:t xml:space="preserve"> (1991) FLC-92-191.  See also </w:t>
      </w:r>
      <w:r w:rsidRPr="003D5DFA">
        <w:rPr>
          <w:rFonts w:ascii="Arial" w:hAnsi="Arial" w:cs="Arial"/>
          <w:i/>
          <w:iCs/>
          <w:color w:val="000000"/>
          <w:sz w:val="20"/>
        </w:rPr>
        <w:t>Re K</w:t>
      </w:r>
      <w:r w:rsidRPr="003D5DFA">
        <w:rPr>
          <w:rFonts w:ascii="Arial" w:hAnsi="Arial" w:cs="Arial"/>
          <w:color w:val="000000"/>
          <w:sz w:val="20"/>
        </w:rPr>
        <w:t xml:space="preserve"> (1994) 17 Fam LR 537 for guidelines as to when a separate representative should be appointed in proceedings in the Family Court.</w:t>
      </w:r>
    </w:p>
    <w:p w14:paraId="6B083ABA" w14:textId="77777777" w:rsidR="008C267B" w:rsidRPr="003D5DFA" w:rsidRDefault="008C267B" w:rsidP="000B6A6D">
      <w:pPr>
        <w:jc w:val="both"/>
        <w:rPr>
          <w:rFonts w:ascii="Arial" w:hAnsi="Arial" w:cs="Arial"/>
          <w:color w:val="000000"/>
          <w:sz w:val="20"/>
        </w:rPr>
      </w:pPr>
    </w:p>
    <w:p w14:paraId="35C1F405" w14:textId="77777777" w:rsidR="001E5D75" w:rsidRPr="003D5DFA" w:rsidRDefault="001E5D75" w:rsidP="0060302A">
      <w:pPr>
        <w:jc w:val="both"/>
        <w:rPr>
          <w:rFonts w:ascii="Arial" w:hAnsi="Arial" w:cs="Arial"/>
          <w:bCs/>
          <w:color w:val="000000"/>
          <w:sz w:val="20"/>
        </w:rPr>
      </w:pPr>
      <w:r w:rsidRPr="003D5DFA">
        <w:rPr>
          <w:rFonts w:ascii="Arial" w:hAnsi="Arial" w:cs="Arial"/>
          <w:color w:val="000000"/>
          <w:sz w:val="20"/>
        </w:rPr>
        <w:t xml:space="preserve">Guidelines for child legal representatives are contained in </w:t>
      </w:r>
      <w:r w:rsidRPr="003D5DFA">
        <w:rPr>
          <w:rFonts w:ascii="Arial" w:hAnsi="Arial" w:cs="Arial"/>
          <w:bCs/>
          <w:color w:val="000000"/>
          <w:sz w:val="20"/>
        </w:rPr>
        <w:t>Louise Akenson's "</w:t>
      </w:r>
      <w:r w:rsidRPr="003D5DFA">
        <w:rPr>
          <w:rFonts w:ascii="Arial" w:hAnsi="Arial" w:cs="Arial"/>
          <w:bCs/>
          <w:color w:val="000000"/>
          <w:sz w:val="20"/>
          <w:u w:val="single"/>
        </w:rPr>
        <w:t>Guidelines for Lawyers Acting for Children and Young People in the Children's Court</w:t>
      </w:r>
      <w:r w:rsidRPr="003D5DFA">
        <w:rPr>
          <w:rFonts w:ascii="Arial" w:hAnsi="Arial" w:cs="Arial"/>
          <w:bCs/>
          <w:color w:val="000000"/>
          <w:sz w:val="20"/>
        </w:rPr>
        <w:t>".  See also “Representing Children and Young People – A Lawyers Practice Guide” by Lani Blackman (Victoria Law Foundation, 2002).</w:t>
      </w:r>
    </w:p>
    <w:p w14:paraId="6CBB46CB" w14:textId="77777777" w:rsidR="001E5D75" w:rsidRPr="003D5DFA" w:rsidRDefault="001E5D75">
      <w:pPr>
        <w:jc w:val="both"/>
        <w:rPr>
          <w:rFonts w:ascii="Arial" w:hAnsi="Arial" w:cs="Arial"/>
          <w:color w:val="000000"/>
          <w:sz w:val="20"/>
        </w:rPr>
      </w:pPr>
    </w:p>
    <w:p w14:paraId="6797D7EC" w14:textId="77777777" w:rsidR="00745D3D" w:rsidRPr="003D5DFA" w:rsidRDefault="005A3F47" w:rsidP="00745D3D">
      <w:pPr>
        <w:jc w:val="both"/>
        <w:rPr>
          <w:rFonts w:ascii="Arial" w:hAnsi="Arial" w:cs="Arial"/>
          <w:color w:val="000000"/>
          <w:sz w:val="20"/>
        </w:rPr>
      </w:pPr>
      <w:bookmarkStart w:id="1067" w:name="_Toc30649081"/>
      <w:bookmarkStart w:id="1068" w:name="_Toc30649157"/>
      <w:bookmarkStart w:id="1069" w:name="_Toc30649418"/>
      <w:bookmarkStart w:id="1070" w:name="_Toc30649743"/>
      <w:bookmarkStart w:id="1071" w:name="_Toc30651683"/>
      <w:bookmarkStart w:id="1072" w:name="_Toc30652673"/>
      <w:bookmarkStart w:id="1073" w:name="_Toc30652769"/>
      <w:bookmarkStart w:id="1074" w:name="_Toc30654116"/>
      <w:bookmarkStart w:id="1075" w:name="_Toc30654467"/>
      <w:bookmarkStart w:id="1076" w:name="_Toc30655086"/>
      <w:bookmarkStart w:id="1077" w:name="_Toc30655343"/>
      <w:bookmarkStart w:id="1078" w:name="_Toc30657021"/>
      <w:bookmarkStart w:id="1079" w:name="_Toc30661770"/>
      <w:bookmarkStart w:id="1080" w:name="_Toc30666458"/>
      <w:bookmarkStart w:id="1081" w:name="_Toc30666688"/>
      <w:bookmarkStart w:id="1082" w:name="_Toc30667863"/>
      <w:bookmarkStart w:id="1083" w:name="_Toc30669241"/>
      <w:bookmarkStart w:id="1084" w:name="_Toc30671457"/>
      <w:bookmarkStart w:id="1085" w:name="_Toc30673984"/>
      <w:bookmarkStart w:id="1086" w:name="_Toc30691206"/>
      <w:bookmarkStart w:id="1087" w:name="_Toc30691579"/>
      <w:bookmarkStart w:id="1088" w:name="_Toc30691959"/>
      <w:bookmarkStart w:id="1089" w:name="_Toc30692718"/>
      <w:bookmarkStart w:id="1090" w:name="_Toc30693097"/>
      <w:bookmarkStart w:id="1091" w:name="_Toc30693475"/>
      <w:bookmarkStart w:id="1092" w:name="_Toc30693853"/>
      <w:bookmarkStart w:id="1093" w:name="_Toc30694234"/>
      <w:bookmarkStart w:id="1094" w:name="_Toc30698823"/>
      <w:bookmarkStart w:id="1095" w:name="_Toc30699201"/>
      <w:bookmarkStart w:id="1096" w:name="_Toc30699586"/>
      <w:bookmarkStart w:id="1097" w:name="_Toc30700741"/>
      <w:bookmarkStart w:id="1098" w:name="_Toc30701128"/>
      <w:bookmarkStart w:id="1099" w:name="_Toc30743737"/>
      <w:bookmarkStart w:id="1100" w:name="_Toc30754560"/>
      <w:bookmarkStart w:id="1101" w:name="_Toc30757000"/>
      <w:bookmarkStart w:id="1102" w:name="_Toc30757549"/>
      <w:bookmarkStart w:id="1103" w:name="_Toc30757949"/>
      <w:bookmarkStart w:id="1104" w:name="_Toc30762710"/>
      <w:bookmarkStart w:id="1105" w:name="_Toc30767364"/>
      <w:bookmarkStart w:id="1106" w:name="_Toc34823379"/>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w:t>
      </w:r>
      <w:r w:rsidR="000D7389" w:rsidRPr="003D5DFA">
        <w:rPr>
          <w:rFonts w:ascii="Arial" w:hAnsi="Arial" w:cs="Arial"/>
          <w:color w:val="000000"/>
          <w:sz w:val="20"/>
        </w:rPr>
        <w:t xml:space="preserve">the plaintiffs were two sisters aged 11 &amp; 9 who were the subject of protection applications.  </w:t>
      </w:r>
      <w:r w:rsidR="00316CD0" w:rsidRPr="003D5DFA">
        <w:rPr>
          <w:rFonts w:ascii="Arial" w:hAnsi="Arial" w:cs="Arial"/>
          <w:color w:val="000000"/>
          <w:sz w:val="20"/>
        </w:rPr>
        <w:t xml:space="preserve">A had been physically assaulted by her mother.  B had witnessed the assault.  Both girls had given consistent instructions that they wanted absolutely no contact with their mother and for the next year they wanted to continue living with their aunt with whom they had been living since the protection applications were taken out.  One of the issues in the case involved sexual abuse allegations made by the mother against an uncle C.  No instructions had been taken from either child about those allegations because they had been judged to be too young to be informed of them.  </w:t>
      </w:r>
      <w:r w:rsidR="00123D44" w:rsidRPr="003D5DFA">
        <w:rPr>
          <w:rFonts w:ascii="Arial" w:hAnsi="Arial" w:cs="Arial"/>
          <w:color w:val="000000"/>
          <w:sz w:val="20"/>
        </w:rPr>
        <w:t xml:space="preserve">The presiding magistrate had </w:t>
      </w:r>
      <w:r w:rsidR="00E02355" w:rsidRPr="003D5DFA">
        <w:rPr>
          <w:rFonts w:ascii="Arial" w:hAnsi="Arial" w:cs="Arial"/>
          <w:color w:val="000000"/>
          <w:sz w:val="20"/>
        </w:rPr>
        <w:t xml:space="preserve">ordered </w:t>
      </w:r>
      <w:r w:rsidR="00745D3D" w:rsidRPr="003D5DFA">
        <w:rPr>
          <w:rFonts w:ascii="Arial" w:hAnsi="Arial" w:cs="Arial"/>
          <w:color w:val="000000"/>
          <w:sz w:val="20"/>
        </w:rPr>
        <w:t xml:space="preserve">– under a previous version of ss.524(1) &amp; 524(4) – </w:t>
      </w:r>
      <w:r w:rsidR="00E02355" w:rsidRPr="003D5DFA">
        <w:rPr>
          <w:rFonts w:ascii="Arial" w:hAnsi="Arial" w:cs="Arial"/>
          <w:color w:val="000000"/>
          <w:sz w:val="20"/>
        </w:rPr>
        <w:t>that A &amp; B each be represented on the “best interests” model, not on the “instructions” model.  Garde J granted an application by A &amp; B for an order in the nature of certiorari quashing the magistrate’s order</w:t>
      </w:r>
      <w:r w:rsidR="00316CD0" w:rsidRPr="003D5DFA">
        <w:rPr>
          <w:rFonts w:ascii="Arial" w:hAnsi="Arial" w:cs="Arial"/>
          <w:color w:val="000000"/>
          <w:sz w:val="20"/>
        </w:rPr>
        <w:t xml:space="preserve"> and upholding the plaintiffs’ submission that the children be represented on the “instructions” model under s.524(2) of the CYFA [as it then was].  </w:t>
      </w:r>
      <w:r w:rsidR="00E02355" w:rsidRPr="003D5DFA">
        <w:rPr>
          <w:rFonts w:ascii="Arial" w:hAnsi="Arial" w:cs="Arial"/>
          <w:color w:val="000000"/>
          <w:sz w:val="20"/>
        </w:rPr>
        <w:t xml:space="preserve">After tracing at [41]-[62] the legislative history of the legal representation of children in Victorian child protection proceedings and referring at [64] to the history of best </w:t>
      </w:r>
      <w:proofErr w:type="gramStart"/>
      <w:r w:rsidR="00E02355" w:rsidRPr="003D5DFA">
        <w:rPr>
          <w:rFonts w:ascii="Arial" w:hAnsi="Arial" w:cs="Arial"/>
          <w:color w:val="000000"/>
          <w:sz w:val="20"/>
        </w:rPr>
        <w:t>interests</w:t>
      </w:r>
      <w:proofErr w:type="gramEnd"/>
      <w:r w:rsidR="00E02355" w:rsidRPr="003D5DFA">
        <w:rPr>
          <w:rFonts w:ascii="Arial" w:hAnsi="Arial" w:cs="Arial"/>
          <w:color w:val="000000"/>
          <w:sz w:val="20"/>
        </w:rPr>
        <w:t xml:space="preserve"> representation in Commonwealth </w:t>
      </w:r>
      <w:r w:rsidR="00DF1862" w:rsidRPr="003D5DFA">
        <w:rPr>
          <w:rFonts w:ascii="Arial" w:hAnsi="Arial" w:cs="Arial"/>
          <w:color w:val="000000"/>
          <w:sz w:val="20"/>
        </w:rPr>
        <w:t xml:space="preserve">legislation in </w:t>
      </w:r>
      <w:r w:rsidR="00DF1862" w:rsidRPr="003D5DFA">
        <w:rPr>
          <w:rFonts w:ascii="Arial" w:hAnsi="Arial" w:cs="Arial"/>
          <w:i/>
          <w:color w:val="000000"/>
          <w:sz w:val="20"/>
        </w:rPr>
        <w:t>RCB v Forrest</w:t>
      </w:r>
      <w:r w:rsidR="00DF1862" w:rsidRPr="003D5DFA">
        <w:rPr>
          <w:rFonts w:ascii="Arial" w:hAnsi="Arial" w:cs="Arial"/>
          <w:color w:val="000000"/>
          <w:sz w:val="20"/>
        </w:rPr>
        <w:t xml:space="preserve"> [2012] H</w:t>
      </w:r>
      <w:r w:rsidR="00745D3D" w:rsidRPr="003D5DFA">
        <w:rPr>
          <w:rFonts w:ascii="Arial" w:hAnsi="Arial" w:cs="Arial"/>
          <w:color w:val="000000"/>
          <w:sz w:val="20"/>
        </w:rPr>
        <w:t xml:space="preserve">CA 47 at [33]-[35], Garde J at [97] &amp; [99] strongly favoured </w:t>
      </w:r>
      <w:r w:rsidR="00F448F9" w:rsidRPr="003D5DFA">
        <w:rPr>
          <w:rFonts w:ascii="Arial" w:hAnsi="Arial" w:cs="Arial"/>
          <w:color w:val="000000"/>
          <w:sz w:val="20"/>
        </w:rPr>
        <w:t>‘</w:t>
      </w:r>
      <w:r w:rsidR="00F448F9" w:rsidRPr="003D5DFA">
        <w:rPr>
          <w:rFonts w:ascii="Arial" w:hAnsi="Arial" w:cs="Arial"/>
          <w:b/>
          <w:color w:val="000000"/>
          <w:sz w:val="20"/>
        </w:rPr>
        <w:t>the instructions model</w:t>
      </w:r>
      <w:r w:rsidR="00F448F9" w:rsidRPr="003D5DFA">
        <w:rPr>
          <w:rFonts w:ascii="Arial" w:hAnsi="Arial" w:cs="Arial"/>
          <w:color w:val="000000"/>
          <w:sz w:val="20"/>
        </w:rPr>
        <w:t>’ [</w:t>
      </w:r>
      <w:r w:rsidR="00745D3D" w:rsidRPr="003D5DFA">
        <w:rPr>
          <w:rFonts w:ascii="Arial" w:hAnsi="Arial" w:cs="Arial"/>
          <w:color w:val="000000"/>
          <w:sz w:val="20"/>
        </w:rPr>
        <w:t>model 2</w:t>
      </w:r>
      <w:r w:rsidR="00F448F9" w:rsidRPr="003D5DFA">
        <w:rPr>
          <w:rFonts w:ascii="Arial" w:hAnsi="Arial" w:cs="Arial"/>
          <w:color w:val="000000"/>
          <w:sz w:val="20"/>
        </w:rPr>
        <w:t>]</w:t>
      </w:r>
      <w:r w:rsidR="00745D3D" w:rsidRPr="003D5DFA">
        <w:rPr>
          <w:rFonts w:ascii="Arial" w:hAnsi="Arial" w:cs="Arial"/>
          <w:color w:val="000000"/>
          <w:sz w:val="20"/>
        </w:rPr>
        <w:t>:</w:t>
      </w:r>
    </w:p>
    <w:p w14:paraId="47437471" w14:textId="77777777" w:rsidR="00DF1862" w:rsidRDefault="00DF1862" w:rsidP="00745D3D">
      <w:pPr>
        <w:spacing w:before="60" w:line="240" w:lineRule="exact"/>
        <w:ind w:left="507" w:right="567"/>
        <w:jc w:val="both"/>
        <w:rPr>
          <w:rFonts w:ascii="Arial" w:hAnsi="Arial" w:cs="Arial"/>
          <w:bCs/>
          <w:color w:val="000000"/>
          <w:sz w:val="20"/>
        </w:rPr>
      </w:pPr>
      <w:r w:rsidRPr="003D5DFA">
        <w:rPr>
          <w:rFonts w:ascii="Arial" w:hAnsi="Arial" w:cs="Arial"/>
          <w:bCs/>
          <w:color w:val="000000"/>
          <w:sz w:val="20"/>
        </w:rPr>
        <w:t xml:space="preserve">“The diminished nature of best </w:t>
      </w:r>
      <w:proofErr w:type="gramStart"/>
      <w:r w:rsidRPr="003D5DFA">
        <w:rPr>
          <w:rFonts w:ascii="Arial" w:hAnsi="Arial" w:cs="Arial"/>
          <w:bCs/>
          <w:color w:val="000000"/>
          <w:sz w:val="20"/>
        </w:rPr>
        <w:t>interests</w:t>
      </w:r>
      <w:proofErr w:type="gramEnd"/>
      <w:r w:rsidRPr="003D5DFA">
        <w:rPr>
          <w:rFonts w:ascii="Arial" w:hAnsi="Arial" w:cs="Arial"/>
          <w:bCs/>
          <w:color w:val="000000"/>
          <w:sz w:val="20"/>
        </w:rPr>
        <w:t xml:space="preserve"> representation as a form of ensuring that children are heard has been recognized in other jurisdictions.  The English Court of Appeal in </w:t>
      </w:r>
      <w:r w:rsidRPr="003D5DFA">
        <w:rPr>
          <w:rFonts w:ascii="Arial" w:hAnsi="Arial" w:cs="Arial"/>
          <w:bCs/>
          <w:i/>
          <w:color w:val="000000"/>
          <w:sz w:val="20"/>
        </w:rPr>
        <w:t>Mahon v Mahon</w:t>
      </w:r>
      <w:r w:rsidRPr="003D5DFA">
        <w:rPr>
          <w:rFonts w:ascii="Arial" w:hAnsi="Arial" w:cs="Arial"/>
          <w:bCs/>
          <w:color w:val="000000"/>
          <w:sz w:val="20"/>
        </w:rPr>
        <w:t xml:space="preserve"> [2005] 3 WLR 460 preferred direct instructions representation over best interests representation in cases where children were articulate or capable of participation in the proceedings…Thorpe LJ, with whom Latham and Wall LJJ agreed, acknowledged the greater appreciation and weight that must now be attached to children’s autonomy and consequential right to meaningfully participate in decisions affecting their lives, stressing that ‘</w:t>
      </w:r>
      <w:r w:rsidRPr="003D5DFA">
        <w:rPr>
          <w:rFonts w:ascii="Arial" w:hAnsi="Arial" w:cs="Arial"/>
          <w:b/>
          <w:bCs/>
          <w:color w:val="000000"/>
          <w:sz w:val="20"/>
        </w:rPr>
        <w:t>the right to freedom of expression and participation outweighs the paternalistic judgment of welfare</w:t>
      </w:r>
      <w:r w:rsidRPr="003D5DFA">
        <w:rPr>
          <w:rFonts w:ascii="Arial" w:hAnsi="Arial" w:cs="Arial"/>
          <w:bCs/>
          <w:color w:val="000000"/>
          <w:sz w:val="20"/>
        </w:rPr>
        <w:t>’</w:t>
      </w:r>
      <w:r w:rsidR="00745D3D" w:rsidRPr="003D5DFA">
        <w:rPr>
          <w:rFonts w:ascii="Arial" w:hAnsi="Arial" w:cs="Arial"/>
          <w:bCs/>
          <w:color w:val="000000"/>
          <w:sz w:val="20"/>
        </w:rPr>
        <w:t xml:space="preserve"> [emphasis mine]</w:t>
      </w:r>
      <w:r w:rsidRPr="003D5DFA">
        <w:rPr>
          <w:rFonts w:ascii="Arial" w:hAnsi="Arial" w:cs="Arial"/>
          <w:bCs/>
          <w:color w:val="000000"/>
          <w:sz w:val="20"/>
        </w:rPr>
        <w:t>.”</w:t>
      </w:r>
    </w:p>
    <w:p w14:paraId="01D6E89F" w14:textId="77777777" w:rsidR="00777477" w:rsidRPr="003D5DFA" w:rsidRDefault="00777477" w:rsidP="00777477">
      <w:pPr>
        <w:spacing w:before="60"/>
        <w:jc w:val="both"/>
        <w:rPr>
          <w:rFonts w:ascii="Arial" w:hAnsi="Arial" w:cs="Arial"/>
          <w:bCs/>
          <w:color w:val="000000"/>
          <w:sz w:val="20"/>
        </w:rPr>
      </w:pPr>
    </w:p>
    <w:p w14:paraId="2CA6DFDF" w14:textId="77777777" w:rsidR="00693223" w:rsidRPr="003D5DFA" w:rsidRDefault="00693223">
      <w:pPr>
        <w:pStyle w:val="Heading3"/>
        <w:spacing w:after="120" w:line="240" w:lineRule="auto"/>
        <w:rPr>
          <w:rFonts w:ascii="Arial" w:hAnsi="Arial" w:cs="Arial"/>
          <w:color w:val="000000"/>
          <w:sz w:val="20"/>
        </w:rPr>
      </w:pPr>
      <w:bookmarkStart w:id="1107" w:name="_4.7.7_Recommendations_by"/>
      <w:bookmarkStart w:id="1108" w:name="B477"/>
      <w:bookmarkEnd w:id="1107"/>
      <w:bookmarkEnd w:id="1108"/>
      <w:r w:rsidRPr="003D5DFA">
        <w:rPr>
          <w:rFonts w:ascii="Arial" w:hAnsi="Arial" w:cs="Arial"/>
          <w:b/>
          <w:bCs/>
          <w:color w:val="000000"/>
          <w:sz w:val="20"/>
        </w:rPr>
        <w:t>4.7.</w:t>
      </w:r>
      <w:r w:rsidR="009B3556" w:rsidRPr="003D5DFA">
        <w:rPr>
          <w:rFonts w:ascii="Arial" w:hAnsi="Arial" w:cs="Arial"/>
          <w:b/>
          <w:bCs/>
          <w:color w:val="000000"/>
          <w:sz w:val="20"/>
        </w:rPr>
        <w:t>7</w:t>
      </w:r>
      <w:r w:rsidRPr="003D5DFA">
        <w:rPr>
          <w:rFonts w:ascii="Arial" w:hAnsi="Arial" w:cs="Arial"/>
          <w:b/>
          <w:bCs/>
          <w:color w:val="000000"/>
          <w:sz w:val="20"/>
        </w:rPr>
        <w:tab/>
      </w:r>
      <w:bookmarkEnd w:id="1067"/>
      <w:bookmarkEnd w:id="1068"/>
      <w:r w:rsidRPr="003D5DFA">
        <w:rPr>
          <w:rFonts w:ascii="Arial" w:hAnsi="Arial" w:cs="Arial"/>
          <w:b/>
          <w:bCs/>
          <w:color w:val="000000"/>
          <w:sz w:val="20"/>
        </w:rPr>
        <w:t>Recommendations by Australian Law Reform Commission</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18E74C20" w14:textId="77777777" w:rsidR="00693223" w:rsidRPr="003D5DFA" w:rsidRDefault="00693223">
      <w:pPr>
        <w:jc w:val="both"/>
        <w:rPr>
          <w:rFonts w:ascii="Arial" w:hAnsi="Arial" w:cs="Arial"/>
          <w:color w:val="000000"/>
          <w:sz w:val="20"/>
        </w:rPr>
      </w:pPr>
      <w:r w:rsidRPr="003D5DFA">
        <w:rPr>
          <w:rFonts w:ascii="Arial" w:hAnsi="Arial" w:cs="Arial"/>
          <w:color w:val="000000"/>
          <w:sz w:val="20"/>
        </w:rPr>
        <w:t>The joint recommendations of the Australian Law Reform Commission &amp; the Human Rights and Equal Opportunity Commission in ALRC Report No.84, based on the United Nations Convention on the Rights of the Child, would make it mandatory for representatives to act for both verbal and pre-verbal children in child protection cases and would require such representatives to go much further than acting on the basis of the child’s instructions or the child’s wishes.  {ALRC Report #84, [13.30] p.273}.  For example, in relation to non-verbal children the recommended tasks of such representatives would include-</w:t>
      </w:r>
    </w:p>
    <w:p w14:paraId="7C60377F" w14:textId="77777777" w:rsidR="00693223" w:rsidRPr="003D5DFA" w:rsidRDefault="00693223" w:rsidP="002239D1">
      <w:pPr>
        <w:numPr>
          <w:ilvl w:val="0"/>
          <w:numId w:val="8"/>
        </w:numPr>
        <w:ind w:left="284" w:hanging="284"/>
        <w:rPr>
          <w:rFonts w:ascii="Arial" w:hAnsi="Arial" w:cs="Arial"/>
          <w:color w:val="000000"/>
          <w:sz w:val="20"/>
        </w:rPr>
      </w:pPr>
      <w:r w:rsidRPr="003D5DFA">
        <w:rPr>
          <w:rFonts w:ascii="Arial" w:hAnsi="Arial" w:cs="Arial"/>
          <w:color w:val="000000"/>
          <w:sz w:val="20"/>
        </w:rPr>
        <w:t>investigating all relevant facts, parties and people;</w:t>
      </w:r>
    </w:p>
    <w:p w14:paraId="123DF51B" w14:textId="77777777" w:rsidR="00693223" w:rsidRPr="003D5DFA" w:rsidRDefault="00693223" w:rsidP="002239D1">
      <w:pPr>
        <w:numPr>
          <w:ilvl w:val="0"/>
          <w:numId w:val="8"/>
        </w:numPr>
        <w:ind w:left="284" w:hanging="284"/>
        <w:rPr>
          <w:rFonts w:ascii="Arial" w:hAnsi="Arial" w:cs="Arial"/>
          <w:color w:val="000000"/>
          <w:sz w:val="20"/>
        </w:rPr>
      </w:pPr>
      <w:r w:rsidRPr="003D5DFA">
        <w:rPr>
          <w:rFonts w:ascii="Arial" w:hAnsi="Arial" w:cs="Arial"/>
          <w:color w:val="000000"/>
          <w:sz w:val="20"/>
        </w:rPr>
        <w:t>sub-</w:t>
      </w:r>
      <w:proofErr w:type="spellStart"/>
      <w:r w:rsidRPr="003D5DFA">
        <w:rPr>
          <w:rFonts w:ascii="Arial" w:hAnsi="Arial" w:cs="Arial"/>
          <w:color w:val="000000"/>
          <w:sz w:val="20"/>
        </w:rPr>
        <w:t>poenaing</w:t>
      </w:r>
      <w:proofErr w:type="spellEnd"/>
      <w:r w:rsidRPr="003D5DFA">
        <w:rPr>
          <w:rFonts w:ascii="Arial" w:hAnsi="Arial" w:cs="Arial"/>
          <w:color w:val="000000"/>
          <w:sz w:val="20"/>
        </w:rPr>
        <w:t xml:space="preserve"> all documents;</w:t>
      </w:r>
    </w:p>
    <w:p w14:paraId="6DF0CAEC" w14:textId="77777777" w:rsidR="00693223" w:rsidRPr="003D5DFA" w:rsidRDefault="00693223" w:rsidP="002239D1">
      <w:pPr>
        <w:numPr>
          <w:ilvl w:val="0"/>
          <w:numId w:val="8"/>
        </w:numPr>
        <w:ind w:left="284" w:hanging="284"/>
        <w:rPr>
          <w:rFonts w:ascii="Arial" w:hAnsi="Arial" w:cs="Arial"/>
          <w:color w:val="000000"/>
          <w:sz w:val="20"/>
        </w:rPr>
      </w:pPr>
      <w:r w:rsidRPr="003D5DFA">
        <w:rPr>
          <w:rFonts w:ascii="Arial" w:hAnsi="Arial" w:cs="Arial"/>
          <w:color w:val="000000"/>
          <w:sz w:val="20"/>
        </w:rPr>
        <w:t>retaining experts as needed;</w:t>
      </w:r>
    </w:p>
    <w:p w14:paraId="49A5AFD4" w14:textId="77777777" w:rsidR="00693223" w:rsidRPr="003D5DFA" w:rsidRDefault="00693223" w:rsidP="002239D1">
      <w:pPr>
        <w:numPr>
          <w:ilvl w:val="0"/>
          <w:numId w:val="8"/>
        </w:numPr>
        <w:ind w:left="284" w:hanging="284"/>
        <w:rPr>
          <w:rFonts w:ascii="Arial" w:hAnsi="Arial" w:cs="Arial"/>
          <w:color w:val="000000"/>
          <w:sz w:val="20"/>
        </w:rPr>
      </w:pPr>
      <w:r w:rsidRPr="003D5DFA">
        <w:rPr>
          <w:rFonts w:ascii="Arial" w:hAnsi="Arial" w:cs="Arial"/>
          <w:color w:val="000000"/>
          <w:sz w:val="20"/>
        </w:rPr>
        <w:t>observing the child in the caretaker’s setting and formulating optional plans;</w:t>
      </w:r>
    </w:p>
    <w:p w14:paraId="745727A9" w14:textId="77777777" w:rsidR="00693223" w:rsidRPr="003D5DFA" w:rsidRDefault="00693223" w:rsidP="002239D1">
      <w:pPr>
        <w:numPr>
          <w:ilvl w:val="0"/>
          <w:numId w:val="8"/>
        </w:numPr>
        <w:ind w:left="284" w:hanging="284"/>
        <w:rPr>
          <w:rFonts w:ascii="Arial" w:hAnsi="Arial" w:cs="Arial"/>
          <w:color w:val="000000"/>
          <w:sz w:val="20"/>
        </w:rPr>
      </w:pPr>
      <w:r w:rsidRPr="003D5DFA">
        <w:rPr>
          <w:rFonts w:ascii="Arial" w:hAnsi="Arial" w:cs="Arial"/>
          <w:color w:val="000000"/>
          <w:sz w:val="20"/>
        </w:rPr>
        <w:t>challenging the basis for experts and agency conclusions in order to ensure accuracy;</w:t>
      </w:r>
    </w:p>
    <w:p w14:paraId="4E9981D1" w14:textId="77777777" w:rsidR="00693223" w:rsidRPr="003D5DFA" w:rsidRDefault="00693223" w:rsidP="002239D1">
      <w:pPr>
        <w:keepNext/>
        <w:keepLines/>
        <w:numPr>
          <w:ilvl w:val="0"/>
          <w:numId w:val="8"/>
        </w:numPr>
        <w:ind w:left="284" w:hanging="284"/>
        <w:jc w:val="both"/>
        <w:rPr>
          <w:rFonts w:ascii="Arial" w:hAnsi="Arial" w:cs="Arial"/>
          <w:bCs/>
          <w:color w:val="000000"/>
          <w:sz w:val="20"/>
        </w:rPr>
      </w:pPr>
      <w:r w:rsidRPr="003D5DFA">
        <w:rPr>
          <w:rFonts w:ascii="Arial" w:hAnsi="Arial" w:cs="Arial"/>
          <w:bCs/>
          <w:color w:val="000000"/>
          <w:sz w:val="20"/>
        </w:rPr>
        <w:t>advocating zealously for the legal rights of the child including safety, visitation and sibling contact; and</w:t>
      </w:r>
    </w:p>
    <w:p w14:paraId="72161FD7" w14:textId="77777777" w:rsidR="00693223" w:rsidRPr="003D5DFA" w:rsidRDefault="00693223" w:rsidP="002239D1">
      <w:pPr>
        <w:numPr>
          <w:ilvl w:val="0"/>
          <w:numId w:val="8"/>
        </w:numPr>
        <w:ind w:left="284" w:hanging="284"/>
        <w:jc w:val="both"/>
        <w:rPr>
          <w:rFonts w:ascii="Arial" w:hAnsi="Arial" w:cs="Arial"/>
          <w:bCs/>
          <w:color w:val="000000"/>
          <w:sz w:val="20"/>
        </w:rPr>
      </w:pPr>
      <w:r w:rsidRPr="003D5DFA">
        <w:rPr>
          <w:rFonts w:ascii="Arial" w:hAnsi="Arial" w:cs="Arial"/>
          <w:bCs/>
          <w:color w:val="000000"/>
          <w:sz w:val="20"/>
        </w:rPr>
        <w:t>ensuring that all relevant and material facts are put before the Court.</w:t>
      </w:r>
    </w:p>
    <w:p w14:paraId="55D0710B" w14:textId="77777777" w:rsidR="00693223" w:rsidRPr="003D5DFA" w:rsidRDefault="00693223">
      <w:pPr>
        <w:jc w:val="both"/>
        <w:rPr>
          <w:rFonts w:ascii="Arial" w:hAnsi="Arial" w:cs="Arial"/>
          <w:bCs/>
          <w:color w:val="000000"/>
          <w:sz w:val="20"/>
        </w:rPr>
      </w:pPr>
      <w:r w:rsidRPr="003D5DFA">
        <w:rPr>
          <w:rFonts w:ascii="Arial" w:hAnsi="Arial" w:cs="Arial"/>
          <w:bCs/>
          <w:color w:val="000000"/>
          <w:sz w:val="20"/>
        </w:rPr>
        <w:t xml:space="preserve">But that is </w:t>
      </w:r>
      <w:r w:rsidR="008C267B" w:rsidRPr="003D5DFA">
        <w:rPr>
          <w:rFonts w:ascii="Arial" w:hAnsi="Arial" w:cs="Arial"/>
          <w:bCs/>
          <w:color w:val="000000"/>
          <w:sz w:val="20"/>
        </w:rPr>
        <w:t>not the</w:t>
      </w:r>
      <w:r w:rsidRPr="003D5DFA">
        <w:rPr>
          <w:rFonts w:ascii="Arial" w:hAnsi="Arial" w:cs="Arial"/>
          <w:bCs/>
          <w:color w:val="000000"/>
          <w:sz w:val="20"/>
        </w:rPr>
        <w:t xml:space="preserv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388D893D" w14:textId="77777777" w:rsidR="00F917A7" w:rsidRPr="003D5DFA" w:rsidRDefault="00F917A7" w:rsidP="00F917A7">
      <w:pPr>
        <w:pStyle w:val="Heading3"/>
        <w:spacing w:line="240" w:lineRule="auto"/>
        <w:rPr>
          <w:rFonts w:ascii="Arial" w:hAnsi="Arial" w:cs="Arial"/>
          <w:b/>
          <w:bCs/>
          <w:color w:val="000000"/>
          <w:sz w:val="20"/>
        </w:rPr>
      </w:pPr>
      <w:bookmarkStart w:id="1109" w:name="_Toc30607532"/>
      <w:bookmarkStart w:id="1110" w:name="_Toc30607661"/>
      <w:bookmarkStart w:id="1111" w:name="_Toc30607986"/>
      <w:bookmarkStart w:id="1112" w:name="_Toc30608819"/>
      <w:bookmarkStart w:id="1113" w:name="_Toc30610033"/>
      <w:bookmarkStart w:id="1114" w:name="_Toc30610277"/>
      <w:bookmarkStart w:id="1115" w:name="_Toc30638431"/>
      <w:bookmarkStart w:id="1116" w:name="_Toc30644244"/>
      <w:bookmarkStart w:id="1117" w:name="_Toc30644651"/>
      <w:bookmarkStart w:id="1118" w:name="_Toc30645201"/>
      <w:bookmarkStart w:id="1119" w:name="_Toc30646413"/>
      <w:bookmarkStart w:id="1120" w:name="_Toc30646708"/>
      <w:bookmarkStart w:id="1121" w:name="_Toc30646819"/>
      <w:bookmarkStart w:id="1122" w:name="_Toc30648181"/>
      <w:bookmarkStart w:id="1123" w:name="_Toc30649082"/>
      <w:bookmarkStart w:id="1124" w:name="_Toc30649158"/>
      <w:bookmarkStart w:id="1125" w:name="_Toc30649419"/>
      <w:bookmarkStart w:id="1126" w:name="_Toc30649744"/>
      <w:bookmarkStart w:id="1127" w:name="_Toc30651684"/>
      <w:bookmarkStart w:id="1128" w:name="_Toc30652674"/>
      <w:bookmarkStart w:id="1129" w:name="_Toc30652770"/>
      <w:bookmarkStart w:id="1130" w:name="_Toc30654117"/>
      <w:bookmarkStart w:id="1131" w:name="_Toc30654468"/>
      <w:bookmarkStart w:id="1132" w:name="_Toc30655087"/>
      <w:bookmarkStart w:id="1133" w:name="_Toc30655344"/>
      <w:bookmarkStart w:id="1134" w:name="_Toc30657022"/>
      <w:bookmarkStart w:id="1135" w:name="_Toc30661771"/>
      <w:bookmarkStart w:id="1136" w:name="_Toc30666459"/>
      <w:bookmarkStart w:id="1137" w:name="_Toc30666689"/>
      <w:bookmarkStart w:id="1138" w:name="_Toc30667864"/>
      <w:bookmarkStart w:id="1139" w:name="_Toc30669242"/>
      <w:bookmarkStart w:id="1140" w:name="_Toc30671458"/>
      <w:bookmarkStart w:id="1141" w:name="_Toc30673985"/>
      <w:bookmarkStart w:id="1142" w:name="_Toc30691207"/>
      <w:bookmarkStart w:id="1143" w:name="_Toc30691580"/>
      <w:bookmarkStart w:id="1144" w:name="_Toc30691960"/>
      <w:bookmarkStart w:id="1145" w:name="_Toc30692719"/>
      <w:bookmarkStart w:id="1146" w:name="_Toc30693098"/>
      <w:bookmarkStart w:id="1147" w:name="_Toc30693476"/>
      <w:bookmarkStart w:id="1148" w:name="_Toc30693854"/>
      <w:bookmarkStart w:id="1149" w:name="_Toc30694235"/>
      <w:bookmarkStart w:id="1150" w:name="_Toc30698824"/>
      <w:bookmarkStart w:id="1151" w:name="_Toc30699202"/>
      <w:bookmarkStart w:id="1152" w:name="_Toc30699587"/>
      <w:bookmarkStart w:id="1153" w:name="_Toc30700742"/>
      <w:bookmarkStart w:id="1154" w:name="_Toc30701129"/>
      <w:bookmarkStart w:id="1155" w:name="_Toc30743738"/>
      <w:bookmarkStart w:id="1156" w:name="_Toc30754561"/>
      <w:bookmarkStart w:id="1157" w:name="_Toc30757001"/>
      <w:bookmarkStart w:id="1158" w:name="_Toc30757550"/>
      <w:bookmarkStart w:id="1159" w:name="_Toc30757950"/>
      <w:bookmarkStart w:id="1160" w:name="_Toc30762711"/>
      <w:bookmarkStart w:id="1161" w:name="_Toc30767365"/>
      <w:bookmarkStart w:id="1162" w:name="_Toc34823380"/>
    </w:p>
    <w:p w14:paraId="28D6C5A0" w14:textId="77777777" w:rsidR="00F917A7" w:rsidRPr="003D5DFA" w:rsidRDefault="00F917A7" w:rsidP="00F917A7">
      <w:pPr>
        <w:pStyle w:val="Heading3"/>
        <w:spacing w:after="120" w:line="240" w:lineRule="auto"/>
        <w:rPr>
          <w:rFonts w:ascii="Arial" w:hAnsi="Arial" w:cs="Arial"/>
          <w:color w:val="000000"/>
          <w:sz w:val="20"/>
        </w:rPr>
      </w:pPr>
      <w:bookmarkStart w:id="1163" w:name="_4.7.8_Recommendations_by"/>
      <w:bookmarkStart w:id="1164" w:name="B478"/>
      <w:bookmarkEnd w:id="1163"/>
      <w:bookmarkEnd w:id="1164"/>
      <w:r w:rsidRPr="003D5DFA">
        <w:rPr>
          <w:rFonts w:ascii="Arial" w:hAnsi="Arial" w:cs="Arial"/>
          <w:b/>
          <w:bCs/>
          <w:color w:val="000000"/>
          <w:sz w:val="20"/>
        </w:rPr>
        <w:t>4.7.</w:t>
      </w:r>
      <w:r w:rsidR="009B3556" w:rsidRPr="003D5DFA">
        <w:rPr>
          <w:rFonts w:ascii="Arial" w:hAnsi="Arial" w:cs="Arial"/>
          <w:b/>
          <w:bCs/>
          <w:color w:val="000000"/>
          <w:sz w:val="20"/>
        </w:rPr>
        <w:t>8</w:t>
      </w:r>
      <w:r w:rsidRPr="003D5DFA">
        <w:rPr>
          <w:rFonts w:ascii="Arial" w:hAnsi="Arial" w:cs="Arial"/>
          <w:b/>
          <w:bCs/>
          <w:color w:val="000000"/>
          <w:sz w:val="20"/>
        </w:rPr>
        <w:tab/>
        <w:t>Recommendations by Victorian Law Reform Commission</w:t>
      </w:r>
    </w:p>
    <w:p w14:paraId="52684425" w14:textId="77777777" w:rsidR="00B75A27" w:rsidRPr="003D5DFA" w:rsidRDefault="00A03186" w:rsidP="00B75A27">
      <w:pPr>
        <w:spacing w:before="120"/>
        <w:jc w:val="both"/>
        <w:rPr>
          <w:rFonts w:ascii="Arial" w:hAnsi="Arial" w:cs="Arial"/>
          <w:color w:val="000000"/>
          <w:sz w:val="20"/>
        </w:rPr>
      </w:pPr>
      <w:r w:rsidRPr="003D5DFA">
        <w:rPr>
          <w:rFonts w:ascii="Arial" w:hAnsi="Arial" w:cs="Arial"/>
          <w:color w:val="000000"/>
          <w:sz w:val="20"/>
        </w:rPr>
        <w:t>The final report of the Victorian Law Reform Commission on “Protection Applications in the Children’s Court” [No.19, 30 June 2010] discusses models of legal representation at pp.317-331.  At p.331 the Commission expressed the following view:</w:t>
      </w:r>
    </w:p>
    <w:p w14:paraId="050B220D" w14:textId="77777777" w:rsidR="00A03186" w:rsidRPr="003D5DFA" w:rsidRDefault="00A03186" w:rsidP="00FB1EE3">
      <w:pPr>
        <w:numPr>
          <w:ilvl w:val="0"/>
          <w:numId w:val="43"/>
        </w:numPr>
        <w:ind w:left="284" w:hanging="284"/>
        <w:jc w:val="both"/>
        <w:rPr>
          <w:rFonts w:ascii="Arial" w:hAnsi="Arial" w:cs="Arial"/>
          <w:color w:val="000000"/>
          <w:sz w:val="20"/>
        </w:rPr>
      </w:pPr>
      <w:r w:rsidRPr="003D5DFA">
        <w:rPr>
          <w:rFonts w:ascii="Arial" w:hAnsi="Arial" w:cs="Arial"/>
          <w:color w:val="000000"/>
          <w:sz w:val="20"/>
        </w:rPr>
        <w:t xml:space="preserve">Every child or young person who is a party to a protection application should be separately represented on either a best </w:t>
      </w:r>
      <w:proofErr w:type="gramStart"/>
      <w:r w:rsidRPr="003D5DFA">
        <w:rPr>
          <w:rFonts w:ascii="Arial" w:hAnsi="Arial" w:cs="Arial"/>
          <w:color w:val="000000"/>
          <w:sz w:val="20"/>
        </w:rPr>
        <w:t>interests</w:t>
      </w:r>
      <w:proofErr w:type="gramEnd"/>
      <w:r w:rsidRPr="003D5DFA">
        <w:rPr>
          <w:rFonts w:ascii="Arial" w:hAnsi="Arial" w:cs="Arial"/>
          <w:color w:val="000000"/>
          <w:sz w:val="20"/>
        </w:rPr>
        <w:t xml:space="preserve"> model or instructions model, but two or more </w:t>
      </w:r>
      <w:r w:rsidR="00CA4108" w:rsidRPr="003D5DFA">
        <w:rPr>
          <w:rFonts w:ascii="Arial" w:hAnsi="Arial" w:cs="Arial"/>
          <w:color w:val="000000"/>
          <w:sz w:val="20"/>
        </w:rPr>
        <w:t>siblings</w:t>
      </w:r>
      <w:r w:rsidRPr="003D5DFA">
        <w:rPr>
          <w:rFonts w:ascii="Arial" w:hAnsi="Arial" w:cs="Arial"/>
          <w:color w:val="000000"/>
          <w:sz w:val="20"/>
        </w:rPr>
        <w:t xml:space="preserve"> may be </w:t>
      </w:r>
      <w:r w:rsidR="00CA4108" w:rsidRPr="003D5DFA">
        <w:rPr>
          <w:rFonts w:ascii="Arial" w:hAnsi="Arial" w:cs="Arial"/>
          <w:color w:val="000000"/>
          <w:sz w:val="20"/>
        </w:rPr>
        <w:t>represented by the same lawyer on a best interests basis.</w:t>
      </w:r>
    </w:p>
    <w:p w14:paraId="172601B3" w14:textId="77777777" w:rsidR="00CA4108" w:rsidRPr="003D5DFA" w:rsidRDefault="00CA4108" w:rsidP="00FB1EE3">
      <w:pPr>
        <w:numPr>
          <w:ilvl w:val="0"/>
          <w:numId w:val="43"/>
        </w:numPr>
        <w:ind w:left="284" w:hanging="284"/>
        <w:jc w:val="both"/>
        <w:rPr>
          <w:rFonts w:ascii="Arial" w:hAnsi="Arial" w:cs="Arial"/>
          <w:color w:val="000000"/>
          <w:sz w:val="20"/>
        </w:rPr>
      </w:pPr>
      <w:r w:rsidRPr="003D5DFA">
        <w:rPr>
          <w:rFonts w:ascii="Arial" w:hAnsi="Arial" w:cs="Arial"/>
          <w:color w:val="000000"/>
          <w:sz w:val="20"/>
        </w:rPr>
        <w:t xml:space="preserve">Children and young persons should be represented on a best </w:t>
      </w:r>
      <w:proofErr w:type="gramStart"/>
      <w:r w:rsidRPr="003D5DFA">
        <w:rPr>
          <w:rFonts w:ascii="Arial" w:hAnsi="Arial" w:cs="Arial"/>
          <w:color w:val="000000"/>
          <w:sz w:val="20"/>
        </w:rPr>
        <w:t>interests</w:t>
      </w:r>
      <w:proofErr w:type="gramEnd"/>
      <w:r w:rsidRPr="003D5DFA">
        <w:rPr>
          <w:rFonts w:ascii="Arial" w:hAnsi="Arial" w:cs="Arial"/>
          <w:color w:val="000000"/>
          <w:sz w:val="20"/>
        </w:rPr>
        <w:t xml:space="preserve"> model by a lawyer unless the lawyer considers that:</w:t>
      </w:r>
    </w:p>
    <w:p w14:paraId="281BF39D" w14:textId="77777777" w:rsidR="00CA4108" w:rsidRPr="003D5DFA" w:rsidRDefault="00CA4108" w:rsidP="00FB1EE3">
      <w:pPr>
        <w:numPr>
          <w:ilvl w:val="1"/>
          <w:numId w:val="44"/>
        </w:numPr>
        <w:tabs>
          <w:tab w:val="clear" w:pos="1020"/>
        </w:tabs>
        <w:ind w:left="568" w:hanging="284"/>
        <w:jc w:val="both"/>
        <w:rPr>
          <w:rFonts w:ascii="Arial" w:hAnsi="Arial" w:cs="Arial"/>
          <w:color w:val="000000"/>
          <w:sz w:val="20"/>
        </w:rPr>
      </w:pPr>
      <w:r w:rsidRPr="003D5DFA">
        <w:rPr>
          <w:rFonts w:ascii="Arial" w:hAnsi="Arial" w:cs="Arial"/>
          <w:color w:val="000000"/>
          <w:sz w:val="20"/>
        </w:rPr>
        <w:t>a mature child or young person has a desire to participate in proceedings and has the understanding and capacity to direct his or her representation;</w:t>
      </w:r>
    </w:p>
    <w:p w14:paraId="535DA1BB" w14:textId="77777777" w:rsidR="00CA4108" w:rsidRPr="003D5DFA" w:rsidRDefault="00CA4108" w:rsidP="00FB1EE3">
      <w:pPr>
        <w:numPr>
          <w:ilvl w:val="1"/>
          <w:numId w:val="44"/>
        </w:numPr>
        <w:tabs>
          <w:tab w:val="clear" w:pos="1020"/>
        </w:tabs>
        <w:ind w:left="568" w:hanging="284"/>
        <w:jc w:val="both"/>
        <w:rPr>
          <w:rFonts w:ascii="Arial" w:hAnsi="Arial" w:cs="Arial"/>
          <w:color w:val="000000"/>
          <w:sz w:val="20"/>
        </w:rPr>
      </w:pPr>
      <w:r w:rsidRPr="003D5DFA">
        <w:rPr>
          <w:rFonts w:ascii="Arial" w:hAnsi="Arial" w:cs="Arial"/>
          <w:color w:val="000000"/>
          <w:sz w:val="20"/>
        </w:rPr>
        <w:t xml:space="preserve">the child or young person, who has had explained to him or her the duty of a lawyer to directly relay the child or young person’s views to the Court, nevertheless is unwilling to accept representation on a best </w:t>
      </w:r>
      <w:proofErr w:type="gramStart"/>
      <w:r w:rsidRPr="003D5DFA">
        <w:rPr>
          <w:rFonts w:ascii="Arial" w:hAnsi="Arial" w:cs="Arial"/>
          <w:color w:val="000000"/>
          <w:sz w:val="20"/>
        </w:rPr>
        <w:t>interests</w:t>
      </w:r>
      <w:proofErr w:type="gramEnd"/>
      <w:r w:rsidRPr="003D5DFA">
        <w:rPr>
          <w:rFonts w:ascii="Arial" w:hAnsi="Arial" w:cs="Arial"/>
          <w:color w:val="000000"/>
          <w:sz w:val="20"/>
        </w:rPr>
        <w:t xml:space="preserve"> basis.</w:t>
      </w:r>
    </w:p>
    <w:p w14:paraId="4A1258A7" w14:textId="77777777" w:rsidR="00CA4108" w:rsidRPr="003D5DFA" w:rsidRDefault="00CA4108" w:rsidP="00CA4108">
      <w:pPr>
        <w:ind w:left="357"/>
        <w:jc w:val="both"/>
        <w:rPr>
          <w:rFonts w:ascii="Arial" w:hAnsi="Arial" w:cs="Arial"/>
          <w:color w:val="000000"/>
          <w:sz w:val="20"/>
        </w:rPr>
      </w:pPr>
      <w:r w:rsidRPr="003D5DFA">
        <w:rPr>
          <w:rFonts w:ascii="Arial" w:hAnsi="Arial" w:cs="Arial"/>
          <w:color w:val="000000"/>
          <w:sz w:val="20"/>
        </w:rPr>
        <w:t>Where both of these conditions are satisfied, a separate practitioner should be appointed to represent the child or young person on the child or young person’s instructions.</w:t>
      </w:r>
    </w:p>
    <w:p w14:paraId="3CDFD0B7" w14:textId="77777777" w:rsidR="00CA4108" w:rsidRPr="003D5DFA" w:rsidRDefault="00CA4108" w:rsidP="00CA4108">
      <w:pPr>
        <w:jc w:val="both"/>
        <w:rPr>
          <w:rFonts w:ascii="Arial" w:hAnsi="Arial" w:cs="Arial"/>
          <w:bCs/>
          <w:color w:val="000000"/>
          <w:sz w:val="20"/>
        </w:rPr>
      </w:pPr>
      <w:r w:rsidRPr="003D5DFA">
        <w:rPr>
          <w:rFonts w:ascii="Arial" w:hAnsi="Arial" w:cs="Arial"/>
          <w:bCs/>
          <w:color w:val="000000"/>
          <w:sz w:val="20"/>
        </w:rPr>
        <w:t xml:space="preserve">But that is not the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7156D258" w14:textId="77777777" w:rsidR="000B2C51" w:rsidRPr="003D5DFA" w:rsidRDefault="000B2C51" w:rsidP="000B2C51">
      <w:pPr>
        <w:jc w:val="both"/>
        <w:rPr>
          <w:rFonts w:ascii="Arial" w:hAnsi="Arial" w:cs="Arial"/>
          <w:color w:val="000000"/>
          <w:sz w:val="20"/>
        </w:rPr>
      </w:pPr>
    </w:p>
    <w:p w14:paraId="2AD08051" w14:textId="77777777" w:rsidR="009E5DAC" w:rsidRPr="003D5DFA" w:rsidRDefault="009E5DAC" w:rsidP="009E5DAC">
      <w:pPr>
        <w:pStyle w:val="Heading3"/>
        <w:spacing w:after="120" w:line="240" w:lineRule="auto"/>
        <w:rPr>
          <w:rFonts w:ascii="Arial" w:hAnsi="Arial" w:cs="Arial"/>
          <w:color w:val="000000"/>
          <w:sz w:val="20"/>
        </w:rPr>
      </w:pPr>
      <w:bookmarkStart w:id="1165" w:name="_4.7.9_Recommendations_by"/>
      <w:bookmarkStart w:id="1166" w:name="B479"/>
      <w:bookmarkEnd w:id="1165"/>
      <w:bookmarkEnd w:id="1166"/>
      <w:r w:rsidRPr="003D5DFA">
        <w:rPr>
          <w:rFonts w:ascii="Arial" w:hAnsi="Arial" w:cs="Arial"/>
          <w:b/>
          <w:bCs/>
          <w:color w:val="000000"/>
          <w:sz w:val="20"/>
        </w:rPr>
        <w:t>4.7.</w:t>
      </w:r>
      <w:r w:rsidR="009B3556" w:rsidRPr="003D5DFA">
        <w:rPr>
          <w:rFonts w:ascii="Arial" w:hAnsi="Arial" w:cs="Arial"/>
          <w:b/>
          <w:bCs/>
          <w:color w:val="000000"/>
          <w:sz w:val="20"/>
        </w:rPr>
        <w:t>9</w:t>
      </w:r>
      <w:r w:rsidRPr="003D5DFA">
        <w:rPr>
          <w:rFonts w:ascii="Arial" w:hAnsi="Arial" w:cs="Arial"/>
          <w:b/>
          <w:bCs/>
          <w:color w:val="000000"/>
          <w:sz w:val="20"/>
        </w:rPr>
        <w:tab/>
        <w:t>Recommendations by the “Cummins Inquiry”</w:t>
      </w:r>
    </w:p>
    <w:p w14:paraId="1BD77121" w14:textId="77777777" w:rsidR="009E5DAC" w:rsidRPr="003D5DFA" w:rsidRDefault="009E5DAC" w:rsidP="00F32C0E">
      <w:pPr>
        <w:spacing w:before="120"/>
        <w:jc w:val="both"/>
        <w:rPr>
          <w:rFonts w:ascii="Arial" w:hAnsi="Arial" w:cs="Arial"/>
          <w:color w:val="000000"/>
          <w:sz w:val="20"/>
        </w:rPr>
      </w:pPr>
      <w:r w:rsidRPr="003D5DFA">
        <w:rPr>
          <w:rFonts w:ascii="Arial" w:hAnsi="Arial" w:cs="Arial"/>
          <w:color w:val="000000"/>
          <w:sz w:val="20"/>
        </w:rPr>
        <w:t>In January 2012 the Department of Premier and Cabinet published a Report of the “Protecting Victoria’s Vulnerable Children Inquiry”</w:t>
      </w:r>
      <w:r w:rsidR="00F32C0E" w:rsidRPr="003D5DFA">
        <w:rPr>
          <w:rFonts w:ascii="Arial" w:hAnsi="Arial" w:cs="Arial"/>
          <w:color w:val="000000"/>
          <w:sz w:val="20"/>
        </w:rPr>
        <w:t xml:space="preserve"> conducted</w:t>
      </w:r>
      <w:r w:rsidRPr="003D5DFA">
        <w:rPr>
          <w:rFonts w:ascii="Arial" w:hAnsi="Arial" w:cs="Arial"/>
          <w:color w:val="000000"/>
          <w:sz w:val="20"/>
        </w:rPr>
        <w:t xml:space="preserve"> by The Honourable Philip Cummins (Chair), Emeritus Professor Dorothy Scott OAM and Mr Bill Scales AO.  The Cummins Inquiry’s Recommendation 53 [</w:t>
      </w:r>
      <w:r w:rsidR="00F32C0E" w:rsidRPr="003D5DFA">
        <w:rPr>
          <w:rFonts w:ascii="Arial" w:hAnsi="Arial" w:cs="Arial"/>
          <w:color w:val="000000"/>
          <w:sz w:val="20"/>
        </w:rPr>
        <w:t>Volume 2, paragraph 15.3.1, page 378] states:</w:t>
      </w:r>
    </w:p>
    <w:p w14:paraId="331BC054"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w:t>
      </w:r>
      <w:r w:rsidRPr="003D5DFA">
        <w:rPr>
          <w:rFonts w:ascii="Arial" w:hAnsi="Arial" w:cs="Arial"/>
          <w:i/>
          <w:color w:val="000000"/>
          <w:sz w:val="20"/>
        </w:rPr>
        <w:t>Children, Youth and Families Act 2005</w:t>
      </w:r>
      <w:r w:rsidRPr="003D5DFA">
        <w:rPr>
          <w:rFonts w:ascii="Arial" w:hAnsi="Arial" w:cs="Arial"/>
          <w:color w:val="000000"/>
          <w:sz w:val="20"/>
        </w:rPr>
        <w:t xml:space="preserve"> should be amended to provide that:</w:t>
      </w:r>
    </w:p>
    <w:p w14:paraId="4AAE18FA" w14:textId="77777777" w:rsidR="00F32C0E" w:rsidRPr="003D5DFA" w:rsidRDefault="00F32C0E" w:rsidP="00BD3BD4">
      <w:pPr>
        <w:numPr>
          <w:ilvl w:val="0"/>
          <w:numId w:val="8"/>
        </w:numPr>
        <w:spacing w:before="60"/>
        <w:ind w:left="851" w:right="567" w:hanging="284"/>
        <w:jc w:val="both"/>
        <w:rPr>
          <w:rFonts w:ascii="Arial" w:hAnsi="Arial" w:cs="Arial"/>
          <w:color w:val="000000"/>
          <w:sz w:val="20"/>
        </w:rPr>
      </w:pPr>
      <w:r w:rsidRPr="003D5DFA">
        <w:rPr>
          <w:rFonts w:ascii="Arial" w:hAnsi="Arial" w:cs="Arial"/>
          <w:color w:val="000000"/>
          <w:sz w:val="20"/>
        </w:rPr>
        <w:t>A child named on a protection application should have the formal status of a party to the proceedings;</w:t>
      </w:r>
    </w:p>
    <w:p w14:paraId="14010D15" w14:textId="77777777" w:rsidR="00F32C0E" w:rsidRPr="003D5DFA" w:rsidRDefault="00F32C0E" w:rsidP="00BD3BD4">
      <w:pPr>
        <w:numPr>
          <w:ilvl w:val="0"/>
          <w:numId w:val="8"/>
        </w:numPr>
        <w:spacing w:before="60"/>
        <w:ind w:left="851" w:right="567" w:hanging="284"/>
        <w:jc w:val="both"/>
        <w:rPr>
          <w:rFonts w:ascii="Arial" w:hAnsi="Arial" w:cs="Arial"/>
          <w:color w:val="000000"/>
          <w:sz w:val="20"/>
        </w:rPr>
      </w:pPr>
      <w:r w:rsidRPr="003D5DFA">
        <w:rPr>
          <w:rFonts w:ascii="Arial" w:hAnsi="Arial" w:cs="Arial"/>
          <w:color w:val="000000"/>
          <w:sz w:val="20"/>
        </w:rPr>
        <w:t>A child who is under 10 years of age is presumed not to be capable of providing instructions unless shown otherwise and a child who is 10 years and over is presumed capable of giving instructions unless shown otherwise;</w:t>
      </w:r>
    </w:p>
    <w:p w14:paraId="075FA571" w14:textId="77777777" w:rsidR="00F32C0E" w:rsidRPr="003D5DFA" w:rsidRDefault="00F32C0E" w:rsidP="00BD3BD4">
      <w:pPr>
        <w:numPr>
          <w:ilvl w:val="0"/>
          <w:numId w:val="8"/>
        </w:numPr>
        <w:spacing w:before="60"/>
        <w:ind w:left="851" w:right="567" w:hanging="284"/>
        <w:jc w:val="both"/>
        <w:rPr>
          <w:rFonts w:ascii="Arial" w:hAnsi="Arial" w:cs="Arial"/>
          <w:color w:val="000000"/>
          <w:sz w:val="20"/>
        </w:rPr>
      </w:pPr>
      <w:r w:rsidRPr="003D5DFA">
        <w:rPr>
          <w:rFonts w:ascii="Arial" w:hAnsi="Arial" w:cs="Arial"/>
          <w:color w:val="000000"/>
          <w:sz w:val="20"/>
        </w:rPr>
        <w:t>A child who is not capable of providing instructions should be represented by an independent lawyer on a ‘best interests’ basis; and</w:t>
      </w:r>
    </w:p>
    <w:p w14:paraId="7B5A861C" w14:textId="77777777" w:rsidR="00F32C0E" w:rsidRPr="003D5DFA" w:rsidRDefault="00F32C0E" w:rsidP="00BD3BD4">
      <w:pPr>
        <w:numPr>
          <w:ilvl w:val="0"/>
          <w:numId w:val="8"/>
        </w:numPr>
        <w:spacing w:before="60"/>
        <w:ind w:left="851" w:right="567" w:hanging="284"/>
        <w:jc w:val="both"/>
        <w:rPr>
          <w:rFonts w:ascii="Arial" w:hAnsi="Arial" w:cs="Arial"/>
          <w:color w:val="000000"/>
          <w:sz w:val="20"/>
        </w:rPr>
      </w:pPr>
      <w:r w:rsidRPr="003D5DFA">
        <w:rPr>
          <w:rFonts w:ascii="Arial" w:hAnsi="Arial" w:cs="Arial"/>
          <w:color w:val="000000"/>
          <w:sz w:val="20"/>
        </w:rPr>
        <w:t>Other than in exceptional circumstances, a child is not required to attend at any stage of the court process in protection proceedings unless the child has expressed a wish to be present in court and has the capacity to understand the process.”</w:t>
      </w:r>
    </w:p>
    <w:p w14:paraId="5AD7EADD" w14:textId="77777777" w:rsidR="00BD3BD4" w:rsidRPr="003D5DFA" w:rsidRDefault="00BD3BD4" w:rsidP="005832E7">
      <w:pPr>
        <w:spacing w:before="120"/>
        <w:jc w:val="both"/>
        <w:rPr>
          <w:rFonts w:ascii="Arial" w:hAnsi="Arial" w:cs="Arial"/>
          <w:color w:val="000000"/>
          <w:sz w:val="20"/>
        </w:rPr>
      </w:pPr>
      <w:r w:rsidRPr="003D5DFA">
        <w:rPr>
          <w:rFonts w:ascii="Arial" w:hAnsi="Arial" w:cs="Arial"/>
          <w:color w:val="000000"/>
          <w:sz w:val="20"/>
        </w:rPr>
        <w:t>Its Recommendation 54 [Volume 2, paragraph 15.3.1, page 378] states:</w:t>
      </w:r>
    </w:p>
    <w:p w14:paraId="285A0285"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Victorian Government should develop guidelines to assist the court, tribunal, or the independent children’s lawyer to determine whether the child is capable of </w:t>
      </w:r>
      <w:r w:rsidRPr="003D5DFA">
        <w:rPr>
          <w:rFonts w:ascii="Arial" w:hAnsi="Arial" w:cs="Arial"/>
          <w:color w:val="000000"/>
          <w:sz w:val="20"/>
        </w:rPr>
        <w:lastRenderedPageBreak/>
        <w:t>giving direct instructions and to provide criteria by which the presumption of capacity can be rebutted.”</w:t>
      </w:r>
    </w:p>
    <w:p w14:paraId="201F60D1" w14:textId="77777777" w:rsidR="00BB0912" w:rsidRPr="003D5DFA" w:rsidRDefault="00EA0B1A" w:rsidP="009E5DAC">
      <w:pPr>
        <w:spacing w:before="120"/>
        <w:jc w:val="both"/>
        <w:rPr>
          <w:rFonts w:ascii="Arial" w:hAnsi="Arial" w:cs="Arial"/>
          <w:color w:val="000000"/>
          <w:sz w:val="20"/>
        </w:rPr>
      </w:pPr>
      <w:r w:rsidRPr="003D5DFA">
        <w:rPr>
          <w:rFonts w:ascii="Arial" w:hAnsi="Arial" w:cs="Arial"/>
          <w:color w:val="000000"/>
          <w:sz w:val="20"/>
        </w:rPr>
        <w:t>T</w:t>
      </w:r>
      <w:r w:rsidR="004C6AED" w:rsidRPr="003D5DFA">
        <w:rPr>
          <w:rFonts w:ascii="Arial" w:hAnsi="Arial" w:cs="Arial"/>
          <w:color w:val="000000"/>
          <w:sz w:val="20"/>
        </w:rPr>
        <w:t>he amendments to s</w:t>
      </w:r>
      <w:r w:rsidRPr="003D5DFA">
        <w:rPr>
          <w:rFonts w:ascii="Arial" w:hAnsi="Arial" w:cs="Arial"/>
          <w:color w:val="000000"/>
          <w:sz w:val="20"/>
        </w:rPr>
        <w:t>s</w:t>
      </w:r>
      <w:r w:rsidR="004C6AED" w:rsidRPr="003D5DFA">
        <w:rPr>
          <w:rFonts w:ascii="Arial" w:hAnsi="Arial" w:cs="Arial"/>
          <w:color w:val="000000"/>
          <w:sz w:val="20"/>
        </w:rPr>
        <w:t xml:space="preserve">.524 &amp; 525 </w:t>
      </w:r>
      <w:r w:rsidRPr="003D5DFA">
        <w:rPr>
          <w:rFonts w:ascii="Arial" w:hAnsi="Arial" w:cs="Arial"/>
          <w:color w:val="000000"/>
          <w:sz w:val="20"/>
        </w:rPr>
        <w:t xml:space="preserve">of the CYFA </w:t>
      </w:r>
      <w:r w:rsidR="004C6AED" w:rsidRPr="003D5DFA">
        <w:rPr>
          <w:rFonts w:ascii="Arial" w:hAnsi="Arial" w:cs="Arial"/>
          <w:color w:val="000000"/>
          <w:sz w:val="20"/>
        </w:rPr>
        <w:t xml:space="preserve">which came into operation on 27/03/2013 </w:t>
      </w:r>
      <w:r w:rsidR="00BB0912" w:rsidRPr="003D5DFA">
        <w:rPr>
          <w:rFonts w:ascii="Arial" w:hAnsi="Arial" w:cs="Arial"/>
          <w:color w:val="000000"/>
          <w:sz w:val="20"/>
        </w:rPr>
        <w:t xml:space="preserve">fly in the face of the central </w:t>
      </w:r>
      <w:r w:rsidR="00FB7EED" w:rsidRPr="003D5DFA">
        <w:rPr>
          <w:rFonts w:ascii="Arial" w:hAnsi="Arial" w:cs="Arial"/>
          <w:color w:val="000000"/>
          <w:sz w:val="20"/>
        </w:rPr>
        <w:t>aspects</w:t>
      </w:r>
      <w:r w:rsidR="00BB0912" w:rsidRPr="003D5DFA">
        <w:rPr>
          <w:rFonts w:ascii="Arial" w:hAnsi="Arial" w:cs="Arial"/>
          <w:color w:val="000000"/>
          <w:sz w:val="20"/>
        </w:rPr>
        <w:t xml:space="preserve"> of Recommendation 53, namely that all children in protection proceedings be both parties to the proceeding and be legally represented.  They also render Recommendation 54 otiose.</w:t>
      </w:r>
    </w:p>
    <w:p w14:paraId="6ED1E3C0" w14:textId="77777777" w:rsidR="009E5DAC" w:rsidRPr="003D5DFA" w:rsidRDefault="009E5DAC" w:rsidP="000B2C51">
      <w:pPr>
        <w:jc w:val="both"/>
        <w:rPr>
          <w:rFonts w:ascii="Arial" w:hAnsi="Arial" w:cs="Arial"/>
          <w:color w:val="000000"/>
          <w:sz w:val="20"/>
        </w:rPr>
      </w:pPr>
    </w:p>
    <w:p w14:paraId="051B34F0" w14:textId="77777777" w:rsidR="000B2C51" w:rsidRPr="003D5DFA" w:rsidRDefault="000B2C51" w:rsidP="004C6AED">
      <w:pPr>
        <w:pStyle w:val="Heading3"/>
        <w:keepNext/>
        <w:spacing w:after="120" w:line="240" w:lineRule="auto"/>
        <w:rPr>
          <w:rFonts w:ascii="Arial" w:hAnsi="Arial" w:cs="Arial"/>
          <w:b/>
          <w:bCs/>
          <w:color w:val="000000"/>
          <w:sz w:val="20"/>
        </w:rPr>
      </w:pPr>
      <w:bookmarkStart w:id="1167" w:name="_4.7.10_Representation_of"/>
      <w:bookmarkStart w:id="1168" w:name="B4710"/>
      <w:bookmarkEnd w:id="1167"/>
      <w:bookmarkEnd w:id="1168"/>
      <w:r w:rsidRPr="003D5DFA">
        <w:rPr>
          <w:rFonts w:ascii="Arial" w:hAnsi="Arial" w:cs="Arial"/>
          <w:b/>
          <w:bCs/>
          <w:color w:val="000000"/>
          <w:sz w:val="20"/>
        </w:rPr>
        <w:t>4.7.</w:t>
      </w:r>
      <w:r w:rsidR="00F45D7F" w:rsidRPr="003D5DFA">
        <w:rPr>
          <w:rFonts w:ascii="Arial" w:hAnsi="Arial" w:cs="Arial"/>
          <w:b/>
          <w:bCs/>
          <w:color w:val="000000"/>
          <w:sz w:val="20"/>
        </w:rPr>
        <w:t>1</w:t>
      </w:r>
      <w:r w:rsidR="009B3556" w:rsidRPr="003D5DFA">
        <w:rPr>
          <w:rFonts w:ascii="Arial" w:hAnsi="Arial" w:cs="Arial"/>
          <w:b/>
          <w:bCs/>
          <w:color w:val="000000"/>
          <w:sz w:val="20"/>
        </w:rPr>
        <w:t>0</w:t>
      </w:r>
      <w:r w:rsidRPr="003D5DFA">
        <w:rPr>
          <w:rFonts w:ascii="Arial" w:hAnsi="Arial" w:cs="Arial"/>
          <w:b/>
          <w:bCs/>
          <w:color w:val="000000"/>
          <w:sz w:val="20"/>
        </w:rPr>
        <w:tab/>
        <w:t>Representation of child who is not respondent or applicant under the FVPA</w:t>
      </w:r>
    </w:p>
    <w:p w14:paraId="7FCA9C26"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 xml:space="preserve">Section 62(1) of the </w:t>
      </w:r>
      <w:r w:rsidRPr="003D5DFA">
        <w:rPr>
          <w:rFonts w:ascii="Arial" w:hAnsi="Arial" w:cs="Arial"/>
          <w:color w:val="000000"/>
          <w:sz w:val="20"/>
          <w:u w:val="single"/>
        </w:rPr>
        <w:t>Family Violence Protection Act 2008 (Vic)</w:t>
      </w:r>
      <w:r w:rsidRPr="003D5DFA">
        <w:rPr>
          <w:rFonts w:ascii="Arial" w:hAnsi="Arial" w:cs="Arial"/>
          <w:color w:val="000000"/>
          <w:sz w:val="20"/>
        </w:rPr>
        <w:t xml:space="preserve"> (‘the FVPA’) provides that if an affected family member in a proceeding under the FVPA is a child and is not the applicant, the child may have legal representation only if the court, on its own initiative-</w:t>
      </w:r>
    </w:p>
    <w:p w14:paraId="1AD54A27" w14:textId="77777777" w:rsidR="000B2C51" w:rsidRPr="003D5DFA" w:rsidRDefault="000B2C51" w:rsidP="000B2C51">
      <w:pPr>
        <w:keepNext/>
        <w:keepLines/>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considers it appropriate in all the circumstances of the case; and</w:t>
      </w:r>
    </w:p>
    <w:p w14:paraId="038A86D3"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gives leave for the child to be represented.</w:t>
      </w:r>
    </w:p>
    <w:p w14:paraId="7462F928" w14:textId="77777777" w:rsidR="000B2C51" w:rsidRPr="003D5DFA" w:rsidRDefault="000B2C51" w:rsidP="000B2C51">
      <w:pPr>
        <w:jc w:val="both"/>
        <w:rPr>
          <w:rFonts w:ascii="Arial" w:hAnsi="Arial" w:cs="Arial"/>
          <w:color w:val="000000"/>
          <w:sz w:val="20"/>
        </w:rPr>
      </w:pPr>
    </w:p>
    <w:p w14:paraId="13FD6FB1" w14:textId="77777777" w:rsidR="000B2C51" w:rsidRPr="003D5DFA" w:rsidRDefault="000B2C51" w:rsidP="000B2C51">
      <w:pPr>
        <w:tabs>
          <w:tab w:val="left" w:pos="454"/>
        </w:tabs>
        <w:jc w:val="both"/>
        <w:rPr>
          <w:rFonts w:ascii="Arial" w:hAnsi="Arial" w:cs="Arial"/>
          <w:color w:val="000000"/>
          <w:sz w:val="20"/>
        </w:rPr>
      </w:pPr>
      <w:r w:rsidRPr="003D5DFA">
        <w:rPr>
          <w:rFonts w:ascii="Arial" w:hAnsi="Arial" w:cs="Arial"/>
          <w:color w:val="000000"/>
          <w:sz w:val="20"/>
        </w:rPr>
        <w:t>Section 62(2) of the FVPA provides that in deciding whether to grant such leave, the court must have regard to-</w:t>
      </w:r>
    </w:p>
    <w:p w14:paraId="7CB28C06"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the desirability of protecting children from unnecessary exposure to the court system; and</w:t>
      </w:r>
    </w:p>
    <w:p w14:paraId="68B2C142"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the harm that could occur to the child and to family relationships if the child is directly represented in the proceeding.</w:t>
      </w:r>
    </w:p>
    <w:p w14:paraId="2CACDD37" w14:textId="77777777" w:rsidR="000B2C51" w:rsidRPr="003D5DFA" w:rsidRDefault="000B2C51" w:rsidP="000B2C51">
      <w:pPr>
        <w:jc w:val="both"/>
        <w:rPr>
          <w:rFonts w:ascii="Arial" w:hAnsi="Arial" w:cs="Arial"/>
          <w:color w:val="000000"/>
          <w:sz w:val="20"/>
        </w:rPr>
      </w:pPr>
    </w:p>
    <w:p w14:paraId="7EAF5175"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In relation to the representation of children in applications under the FVPA heard in the Children’s Court, it thus appears that there is-</w:t>
      </w:r>
    </w:p>
    <w:p w14:paraId="26D4E479" w14:textId="77777777" w:rsidR="000B2C51" w:rsidRPr="003D5DFA" w:rsidRDefault="000B2C51" w:rsidP="000B2C51">
      <w:pPr>
        <w:numPr>
          <w:ilvl w:val="0"/>
          <w:numId w:val="9"/>
        </w:numPr>
        <w:jc w:val="both"/>
        <w:rPr>
          <w:rFonts w:ascii="Arial" w:hAnsi="Arial" w:cs="Arial"/>
          <w:color w:val="000000"/>
          <w:sz w:val="20"/>
        </w:rPr>
      </w:pPr>
      <w:r w:rsidRPr="003D5DFA">
        <w:rPr>
          <w:rFonts w:ascii="Arial" w:hAnsi="Arial" w:cs="Arial"/>
          <w:color w:val="000000"/>
          <w:sz w:val="20"/>
        </w:rPr>
        <w:t>a conflict in policy between s.524 of the CYFA and s.62 of the FVPA even though an intervention order proceeding is not one of the proceedings listed in s.525(1) of the CYFA for which it is mandatory that a child be represented; and</w:t>
      </w:r>
    </w:p>
    <w:p w14:paraId="504DD03F" w14:textId="77777777" w:rsidR="000B2C51" w:rsidRPr="003D5DFA" w:rsidRDefault="000B2C51" w:rsidP="000B2C51">
      <w:pPr>
        <w:numPr>
          <w:ilvl w:val="0"/>
          <w:numId w:val="9"/>
        </w:numPr>
        <w:jc w:val="both"/>
        <w:rPr>
          <w:rFonts w:ascii="Arial" w:hAnsi="Arial" w:cs="Arial"/>
          <w:color w:val="000000"/>
          <w:sz w:val="20"/>
        </w:rPr>
      </w:pPr>
      <w:r w:rsidRPr="003D5DFA">
        <w:rPr>
          <w:rFonts w:ascii="Arial" w:hAnsi="Arial" w:cs="Arial"/>
          <w:color w:val="000000"/>
          <w:sz w:val="20"/>
        </w:rPr>
        <w:t>a patent inconsistency where a child is neither the applicant nor the respondent.</w:t>
      </w:r>
    </w:p>
    <w:p w14:paraId="543AD601"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To the extent of any inconsistency, it is the writer’s view that s.62, being the later enactment, prevails.  The writer deplores this departure from the enlightened philosophy underpinning s.524 into a paternalistic world of adults knowing best and children being not seen and not heard.  It is arguable that s.62-</w:t>
      </w:r>
    </w:p>
    <w:p w14:paraId="7030CB63" w14:textId="77777777" w:rsidR="000B2C51" w:rsidRPr="003D5DFA" w:rsidRDefault="000B2C51" w:rsidP="000B2C51">
      <w:pPr>
        <w:numPr>
          <w:ilvl w:val="0"/>
          <w:numId w:val="9"/>
        </w:numPr>
        <w:jc w:val="both"/>
        <w:rPr>
          <w:rFonts w:ascii="Arial" w:hAnsi="Arial" w:cs="Arial"/>
          <w:color w:val="000000"/>
          <w:sz w:val="20"/>
        </w:rPr>
      </w:pPr>
      <w:r w:rsidRPr="003D5DFA">
        <w:rPr>
          <w:rFonts w:ascii="Arial" w:hAnsi="Arial" w:cs="Arial"/>
          <w:color w:val="000000"/>
          <w:sz w:val="20"/>
        </w:rPr>
        <w:t xml:space="preserve">is at odds with the United Nations Convention on the Rights of the Child to which </w:t>
      </w:r>
      <w:smartTag w:uri="urn:schemas-microsoft-com:office:smarttags" w:element="place">
        <w:smartTag w:uri="urn:schemas-microsoft-com:office:smarttags" w:element="country-region">
          <w:r w:rsidRPr="003D5DFA">
            <w:rPr>
              <w:rFonts w:ascii="Arial" w:hAnsi="Arial" w:cs="Arial"/>
              <w:color w:val="000000"/>
              <w:sz w:val="20"/>
            </w:rPr>
            <w:t>Australia</w:t>
          </w:r>
        </w:smartTag>
      </w:smartTag>
      <w:r w:rsidRPr="003D5DFA">
        <w:rPr>
          <w:rFonts w:ascii="Arial" w:hAnsi="Arial" w:cs="Arial"/>
          <w:color w:val="000000"/>
          <w:sz w:val="20"/>
        </w:rPr>
        <w:t xml:space="preserve"> is a signatory; and</w:t>
      </w:r>
    </w:p>
    <w:p w14:paraId="1AF78BCE" w14:textId="77777777" w:rsidR="000B2C51" w:rsidRPr="003D5DFA" w:rsidRDefault="000B2C51" w:rsidP="000B2C51">
      <w:pPr>
        <w:numPr>
          <w:ilvl w:val="0"/>
          <w:numId w:val="9"/>
        </w:numPr>
        <w:jc w:val="both"/>
        <w:rPr>
          <w:rFonts w:ascii="Arial" w:hAnsi="Arial" w:cs="Arial"/>
          <w:color w:val="000000"/>
          <w:sz w:val="20"/>
        </w:rPr>
      </w:pPr>
      <w:r w:rsidRPr="003D5DFA">
        <w:rPr>
          <w:rFonts w:ascii="Arial" w:hAnsi="Arial" w:cs="Arial"/>
          <w:color w:val="000000"/>
          <w:sz w:val="20"/>
        </w:rPr>
        <w:t>improperly discriminates against a child and so is contrary to the Preamble and ss.8 &amp; 17(2) of the </w:t>
      </w:r>
      <w:r w:rsidRPr="003D5DFA">
        <w:rPr>
          <w:rFonts w:ascii="Arial" w:hAnsi="Arial" w:cs="Arial"/>
          <w:color w:val="000000"/>
          <w:sz w:val="20"/>
          <w:u w:val="single"/>
        </w:rPr>
        <w:t>Charter of Human Rights and Responsibilities Act 2006 (Vic)</w:t>
      </w:r>
      <w:r w:rsidRPr="003D5DFA">
        <w:rPr>
          <w:rFonts w:ascii="Arial" w:hAnsi="Arial" w:cs="Arial"/>
          <w:color w:val="000000"/>
          <w:sz w:val="20"/>
        </w:rPr>
        <w:t>.</w:t>
      </w:r>
    </w:p>
    <w:p w14:paraId="25BB149C" w14:textId="77777777" w:rsidR="00693223" w:rsidRPr="003D5DFA" w:rsidRDefault="000B2C51" w:rsidP="000B2C51">
      <w:pPr>
        <w:jc w:val="both"/>
        <w:rPr>
          <w:rFonts w:ascii="Arial" w:hAnsi="Arial" w:cs="Arial"/>
          <w:color w:val="000000"/>
        </w:rPr>
      </w:pPr>
      <w:r w:rsidRPr="003D5DFA">
        <w:rPr>
          <w:rFonts w:ascii="Arial" w:hAnsi="Arial" w:cs="Arial"/>
          <w:color w:val="000000"/>
          <w:sz w:val="20"/>
        </w:rPr>
        <w:t>It will be interesting to see whether anyone is prepared to challenge it.</w:t>
      </w:r>
    </w:p>
    <w:p w14:paraId="1512760C" w14:textId="77777777" w:rsidR="000B2C51" w:rsidRPr="003D5DFA" w:rsidRDefault="000B2C51" w:rsidP="000B2C51">
      <w:pPr>
        <w:jc w:val="both"/>
        <w:rPr>
          <w:rFonts w:ascii="Arial" w:hAnsi="Arial" w:cs="Arial"/>
          <w:color w:val="000000"/>
        </w:rPr>
      </w:pPr>
    </w:p>
    <w:p w14:paraId="004767E1" w14:textId="77777777" w:rsidR="00693223" w:rsidRPr="003D5DFA" w:rsidRDefault="00693223">
      <w:pPr>
        <w:pStyle w:val="Heading2"/>
        <w:tabs>
          <w:tab w:val="left" w:pos="567"/>
        </w:tabs>
        <w:spacing w:line="240" w:lineRule="auto"/>
        <w:rPr>
          <w:rFonts w:ascii="Arial" w:hAnsi="Arial" w:cs="Arial"/>
          <w:b/>
          <w:bCs/>
          <w:color w:val="000000"/>
        </w:rPr>
      </w:pPr>
      <w:bookmarkStart w:id="1169" w:name="_4.8_Conduct_of"/>
      <w:bookmarkStart w:id="1170" w:name="B48"/>
      <w:bookmarkEnd w:id="1169"/>
      <w:bookmarkEnd w:id="1170"/>
      <w:r w:rsidRPr="003D5DFA">
        <w:rPr>
          <w:rFonts w:ascii="Arial" w:hAnsi="Arial" w:cs="Arial"/>
          <w:b/>
          <w:bCs/>
          <w:color w:val="000000"/>
        </w:rPr>
        <w:t>4.8</w:t>
      </w:r>
      <w:r w:rsidRPr="003D5DFA">
        <w:rPr>
          <w:rFonts w:ascii="Arial" w:hAnsi="Arial" w:cs="Arial"/>
          <w:b/>
          <w:bCs/>
          <w:color w:val="000000"/>
        </w:rPr>
        <w:tab/>
        <w:t>Conduct of proceedings in Family Division</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4E68DB15" w14:textId="77777777" w:rsidR="00693223" w:rsidRPr="003D5DFA" w:rsidRDefault="00693223">
      <w:pPr>
        <w:jc w:val="both"/>
        <w:rPr>
          <w:rFonts w:ascii="Arial" w:hAnsi="Arial" w:cs="Arial"/>
          <w:color w:val="000000"/>
        </w:rPr>
      </w:pPr>
      <w:bookmarkStart w:id="1171" w:name="_Toc30654118"/>
      <w:bookmarkStart w:id="1172" w:name="_Toc30654469"/>
      <w:bookmarkStart w:id="1173" w:name="_Toc30655088"/>
      <w:bookmarkStart w:id="1174" w:name="_Toc30655345"/>
      <w:bookmarkStart w:id="1175" w:name="_Toc30657023"/>
      <w:bookmarkStart w:id="1176" w:name="_Toc30661772"/>
      <w:bookmarkStart w:id="1177" w:name="_Toc30666460"/>
      <w:bookmarkStart w:id="1178" w:name="_Toc30666690"/>
      <w:bookmarkStart w:id="1179" w:name="_Toc30667865"/>
      <w:bookmarkStart w:id="1180" w:name="_Toc30669243"/>
      <w:bookmarkStart w:id="1181" w:name="_Toc30671459"/>
      <w:bookmarkStart w:id="1182" w:name="_Toc30673986"/>
      <w:bookmarkStart w:id="1183" w:name="_Toc30691208"/>
      <w:bookmarkStart w:id="1184" w:name="_Toc30691581"/>
      <w:bookmarkStart w:id="1185" w:name="_Toc30691961"/>
      <w:bookmarkStart w:id="1186" w:name="_Toc30692720"/>
      <w:bookmarkStart w:id="1187" w:name="_Toc30693099"/>
      <w:bookmarkStart w:id="1188" w:name="_Toc30693477"/>
      <w:bookmarkStart w:id="1189" w:name="_Toc30693855"/>
      <w:bookmarkStart w:id="1190" w:name="_Toc30694236"/>
      <w:bookmarkStart w:id="1191" w:name="_Toc30698825"/>
      <w:bookmarkStart w:id="1192" w:name="_Toc30699203"/>
      <w:bookmarkStart w:id="1193" w:name="_Toc30699588"/>
      <w:bookmarkStart w:id="1194" w:name="_Toc30700743"/>
      <w:bookmarkStart w:id="1195" w:name="_Toc30701130"/>
      <w:bookmarkStart w:id="1196" w:name="_Toc30743739"/>
      <w:bookmarkStart w:id="1197" w:name="_Toc30754562"/>
      <w:bookmarkStart w:id="1198" w:name="_Toc30757002"/>
      <w:bookmarkStart w:id="1199" w:name="_Toc30757551"/>
      <w:bookmarkStart w:id="1200" w:name="_Toc30757951"/>
      <w:bookmarkStart w:id="1201" w:name="_Toc30762712"/>
      <w:bookmarkStart w:id="1202" w:name="_Toc30767366"/>
      <w:bookmarkStart w:id="1203" w:name="_Toc34823381"/>
    </w:p>
    <w:p w14:paraId="27A9A540" w14:textId="77777777" w:rsidR="00693223" w:rsidRPr="003D5DFA" w:rsidRDefault="00693223">
      <w:pPr>
        <w:pStyle w:val="Heading3"/>
        <w:spacing w:after="120" w:line="240" w:lineRule="auto"/>
        <w:rPr>
          <w:rFonts w:ascii="Arial" w:hAnsi="Arial" w:cs="Arial"/>
          <w:color w:val="000000"/>
          <w:sz w:val="16"/>
        </w:rPr>
      </w:pPr>
      <w:bookmarkStart w:id="1204" w:name="_4.8.1_Informal_procedure"/>
      <w:bookmarkStart w:id="1205" w:name="B481"/>
      <w:bookmarkEnd w:id="1204"/>
      <w:bookmarkEnd w:id="1205"/>
      <w:r w:rsidRPr="003D5DFA">
        <w:rPr>
          <w:rFonts w:ascii="Arial" w:hAnsi="Arial" w:cs="Arial"/>
          <w:b/>
          <w:bCs/>
          <w:color w:val="000000"/>
          <w:sz w:val="20"/>
        </w:rPr>
        <w:t>4.8.1</w:t>
      </w:r>
      <w:r w:rsidRPr="003D5DFA">
        <w:rPr>
          <w:rFonts w:ascii="Arial" w:hAnsi="Arial" w:cs="Arial"/>
          <w:b/>
          <w:bCs/>
          <w:color w:val="000000"/>
          <w:sz w:val="20"/>
        </w:rPr>
        <w:tab/>
        <w:t>Informal</w:t>
      </w:r>
      <w:bookmarkEnd w:id="1171"/>
      <w:r w:rsidRPr="003D5DFA">
        <w:rPr>
          <w:rFonts w:ascii="Arial" w:hAnsi="Arial" w:cs="Arial"/>
          <w:b/>
          <w:bCs/>
          <w:color w:val="000000"/>
          <w:sz w:val="20"/>
        </w:rPr>
        <w:t xml:space="preserve"> procedure</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32354A57" w14:textId="77777777" w:rsidR="00693223" w:rsidRPr="003D5DFA" w:rsidRDefault="00693223">
      <w:pPr>
        <w:jc w:val="both"/>
        <w:rPr>
          <w:rFonts w:ascii="Arial" w:hAnsi="Arial" w:cs="Arial"/>
          <w:color w:val="000000"/>
          <w:sz w:val="20"/>
        </w:rPr>
      </w:pPr>
      <w:r w:rsidRPr="003D5DFA">
        <w:rPr>
          <w:rFonts w:ascii="Arial" w:hAnsi="Arial" w:cs="Arial"/>
          <w:color w:val="000000"/>
          <w:sz w:val="20"/>
        </w:rPr>
        <w:t>In addition to-</w:t>
      </w:r>
    </w:p>
    <w:p w14:paraId="4171A706" w14:textId="77777777" w:rsidR="00693223" w:rsidRPr="003D5DFA" w:rsidRDefault="00693223">
      <w:pPr>
        <w:numPr>
          <w:ilvl w:val="0"/>
          <w:numId w:val="10"/>
        </w:numPr>
        <w:jc w:val="both"/>
        <w:rPr>
          <w:rFonts w:ascii="Arial" w:hAnsi="Arial" w:cs="Arial"/>
          <w:color w:val="000000"/>
          <w:sz w:val="20"/>
        </w:rPr>
      </w:pPr>
      <w:r w:rsidRPr="003D5DFA">
        <w:rPr>
          <w:rFonts w:ascii="Arial" w:hAnsi="Arial" w:cs="Arial"/>
          <w:color w:val="000000"/>
          <w:sz w:val="20"/>
        </w:rPr>
        <w:t xml:space="preserve">following the </w:t>
      </w:r>
      <w:r w:rsidR="00BD26FA" w:rsidRPr="003D5DFA">
        <w:rPr>
          <w:rFonts w:ascii="Arial" w:hAnsi="Arial" w:cs="Arial"/>
          <w:color w:val="000000"/>
          <w:sz w:val="20"/>
        </w:rPr>
        <w:t>p</w:t>
      </w:r>
      <w:r w:rsidRPr="003D5DFA">
        <w:rPr>
          <w:rFonts w:ascii="Arial" w:hAnsi="Arial" w:cs="Arial"/>
          <w:color w:val="000000"/>
          <w:sz w:val="20"/>
        </w:rPr>
        <w:t>roced</w:t>
      </w:r>
      <w:r w:rsidR="00BD26FA" w:rsidRPr="003D5DFA">
        <w:rPr>
          <w:rFonts w:ascii="Arial" w:hAnsi="Arial" w:cs="Arial"/>
          <w:color w:val="000000"/>
          <w:sz w:val="20"/>
        </w:rPr>
        <w:t>ural guidelines set out in s.522</w:t>
      </w:r>
      <w:r w:rsidRPr="003D5DFA">
        <w:rPr>
          <w:rFonts w:ascii="Arial" w:hAnsi="Arial" w:cs="Arial"/>
          <w:color w:val="000000"/>
          <w:sz w:val="20"/>
        </w:rPr>
        <w:t xml:space="preserve"> of the CY</w:t>
      </w:r>
      <w:r w:rsidR="00BD26FA" w:rsidRPr="003D5DFA">
        <w:rPr>
          <w:rFonts w:ascii="Arial" w:hAnsi="Arial" w:cs="Arial"/>
          <w:color w:val="000000"/>
          <w:sz w:val="20"/>
        </w:rPr>
        <w:t>F</w:t>
      </w:r>
      <w:r w:rsidRPr="003D5DFA">
        <w:rPr>
          <w:rFonts w:ascii="Arial" w:hAnsi="Arial" w:cs="Arial"/>
          <w:color w:val="000000"/>
          <w:sz w:val="20"/>
        </w:rPr>
        <w:t>A; and</w:t>
      </w:r>
    </w:p>
    <w:p w14:paraId="40216C98" w14:textId="77777777" w:rsidR="00693223" w:rsidRPr="003D5DFA" w:rsidRDefault="00BD26FA">
      <w:pPr>
        <w:numPr>
          <w:ilvl w:val="0"/>
          <w:numId w:val="10"/>
        </w:numPr>
        <w:jc w:val="both"/>
        <w:rPr>
          <w:rFonts w:ascii="Arial" w:hAnsi="Arial" w:cs="Arial"/>
          <w:color w:val="000000"/>
          <w:sz w:val="20"/>
        </w:rPr>
      </w:pPr>
      <w:r w:rsidRPr="003D5DFA">
        <w:rPr>
          <w:rFonts w:ascii="Arial" w:hAnsi="Arial" w:cs="Arial"/>
          <w:color w:val="000000"/>
          <w:sz w:val="20"/>
        </w:rPr>
        <w:t>giving a plain and simple e</w:t>
      </w:r>
      <w:r w:rsidR="00693223" w:rsidRPr="003D5DFA">
        <w:rPr>
          <w:rFonts w:ascii="Arial" w:hAnsi="Arial" w:cs="Arial"/>
          <w:color w:val="000000"/>
          <w:sz w:val="20"/>
        </w:rPr>
        <w:t>xplanation of and reasons for orders as required by s.</w:t>
      </w:r>
      <w:r w:rsidRPr="003D5DFA">
        <w:rPr>
          <w:rFonts w:ascii="Arial" w:hAnsi="Arial" w:cs="Arial"/>
          <w:color w:val="000000"/>
          <w:sz w:val="20"/>
        </w:rPr>
        <w:t>527</w:t>
      </w:r>
      <w:r w:rsidR="00693223" w:rsidRPr="003D5DFA">
        <w:rPr>
          <w:rFonts w:ascii="Arial" w:hAnsi="Arial" w:cs="Arial"/>
          <w:color w:val="000000"/>
          <w:sz w:val="20"/>
        </w:rPr>
        <w:t>-</w:t>
      </w:r>
    </w:p>
    <w:p w14:paraId="5D4FCDC5" w14:textId="77777777" w:rsidR="00965A23" w:rsidRDefault="00693223">
      <w:pPr>
        <w:ind w:left="60"/>
        <w:jc w:val="both"/>
        <w:rPr>
          <w:rFonts w:ascii="Arial" w:hAnsi="Arial" w:cs="Arial"/>
          <w:sz w:val="20"/>
          <w:szCs w:val="20"/>
        </w:rPr>
      </w:pPr>
      <w:r w:rsidRPr="003D5DFA">
        <w:rPr>
          <w:rFonts w:ascii="Arial" w:hAnsi="Arial" w:cs="Arial"/>
          <w:color w:val="000000"/>
          <w:sz w:val="20"/>
          <w:szCs w:val="20"/>
        </w:rPr>
        <w:t>a judicial officer hearing a proceeding in the Family Division of the Court is required to conduct the proceeding in an informal manner and without regard to legal forms: ss.</w:t>
      </w:r>
      <w:r w:rsidR="00BD26FA" w:rsidRPr="003D5DFA">
        <w:rPr>
          <w:rFonts w:ascii="Arial" w:hAnsi="Arial" w:cs="Arial"/>
          <w:color w:val="000000"/>
          <w:sz w:val="20"/>
          <w:szCs w:val="20"/>
        </w:rPr>
        <w:t>215</w:t>
      </w:r>
      <w:r w:rsidRPr="003D5DFA">
        <w:rPr>
          <w:rFonts w:ascii="Arial" w:hAnsi="Arial" w:cs="Arial"/>
          <w:color w:val="000000"/>
          <w:sz w:val="20"/>
          <w:szCs w:val="20"/>
        </w:rPr>
        <w:t>(1)(a)</w:t>
      </w:r>
      <w:r w:rsidRPr="00EE4465">
        <w:rPr>
          <w:rFonts w:ascii="Arial" w:hAnsi="Arial" w:cs="Arial"/>
          <w:sz w:val="20"/>
          <w:szCs w:val="20"/>
        </w:rPr>
        <w:t xml:space="preserve"> &amp; </w:t>
      </w:r>
      <w:r w:rsidR="00A5281F" w:rsidRPr="00EE4465">
        <w:rPr>
          <w:rFonts w:ascii="Arial" w:hAnsi="Arial" w:cs="Arial"/>
          <w:sz w:val="20"/>
          <w:szCs w:val="20"/>
        </w:rPr>
        <w:t>215</w:t>
      </w:r>
      <w:r w:rsidRPr="00EE4465">
        <w:rPr>
          <w:rFonts w:ascii="Arial" w:hAnsi="Arial" w:cs="Arial"/>
          <w:sz w:val="20"/>
          <w:szCs w:val="20"/>
        </w:rPr>
        <w:t>(1)(b) of the CY</w:t>
      </w:r>
      <w:r w:rsidR="00BD26FA" w:rsidRPr="00EE4465">
        <w:rPr>
          <w:rFonts w:ascii="Arial" w:hAnsi="Arial" w:cs="Arial"/>
          <w:sz w:val="20"/>
          <w:szCs w:val="20"/>
        </w:rPr>
        <w:t>F</w:t>
      </w:r>
      <w:r w:rsidRPr="00EE4465">
        <w:rPr>
          <w:rFonts w:ascii="Arial" w:hAnsi="Arial" w:cs="Arial"/>
          <w:sz w:val="20"/>
          <w:szCs w:val="20"/>
        </w:rPr>
        <w:t>A.</w:t>
      </w:r>
      <w:r w:rsidR="005C0020" w:rsidRPr="00EE4465">
        <w:rPr>
          <w:rFonts w:ascii="Arial" w:hAnsi="Arial" w:cs="Arial"/>
          <w:sz w:val="20"/>
          <w:szCs w:val="20"/>
        </w:rPr>
        <w:t xml:space="preserve">  </w:t>
      </w:r>
      <w:r w:rsidR="00EE4465">
        <w:rPr>
          <w:rFonts w:ascii="Arial" w:hAnsi="Arial" w:cs="Arial"/>
          <w:sz w:val="20"/>
          <w:szCs w:val="20"/>
        </w:rPr>
        <w:t>However, t</w:t>
      </w:r>
      <w:r w:rsidR="005C0020" w:rsidRPr="00EE4465">
        <w:rPr>
          <w:rFonts w:ascii="Arial" w:hAnsi="Arial" w:cs="Arial"/>
          <w:sz w:val="20"/>
          <w:szCs w:val="20"/>
        </w:rPr>
        <w:t>hese broad sounding provisions do not</w:t>
      </w:r>
      <w:r w:rsidR="00EE4465">
        <w:rPr>
          <w:rFonts w:ascii="Arial" w:hAnsi="Arial" w:cs="Arial"/>
          <w:sz w:val="20"/>
          <w:szCs w:val="20"/>
        </w:rPr>
        <w:t xml:space="preserve"> </w:t>
      </w:r>
      <w:r w:rsidR="005C0020" w:rsidRPr="00EE4465">
        <w:rPr>
          <w:rFonts w:ascii="Arial" w:hAnsi="Arial" w:cs="Arial"/>
          <w:sz w:val="20"/>
          <w:szCs w:val="20"/>
        </w:rPr>
        <w:t xml:space="preserve">authorize a judicial officer to depart from the procedures followed by courts acting judicially.  They do not authorize the application of ‘palm tree justice’.  See </w:t>
      </w:r>
      <w:r w:rsidR="00287157" w:rsidRPr="00EE4465">
        <w:rPr>
          <w:rFonts w:ascii="Arial" w:hAnsi="Arial" w:cs="Arial"/>
          <w:i/>
          <w:sz w:val="20"/>
          <w:szCs w:val="20"/>
        </w:rPr>
        <w:t>DOHS v Ms B &amp; Mr G</w:t>
      </w:r>
      <w:r w:rsidR="00287157" w:rsidRPr="00EE4465">
        <w:rPr>
          <w:rFonts w:ascii="Arial" w:hAnsi="Arial" w:cs="Arial"/>
          <w:sz w:val="20"/>
          <w:szCs w:val="20"/>
        </w:rPr>
        <w:t xml:space="preserve"> [2008</w:t>
      </w:r>
      <w:r w:rsidR="00965A23">
        <w:rPr>
          <w:rFonts w:ascii="Arial" w:hAnsi="Arial" w:cs="Arial"/>
          <w:sz w:val="20"/>
          <w:szCs w:val="20"/>
        </w:rPr>
        <w:t xml:space="preserve">] </w:t>
      </w:r>
      <w:proofErr w:type="spellStart"/>
      <w:r w:rsidR="00C74768">
        <w:rPr>
          <w:rFonts w:ascii="Arial" w:hAnsi="Arial" w:cs="Arial"/>
          <w:sz w:val="20"/>
          <w:szCs w:val="20"/>
        </w:rPr>
        <w:t>VChC</w:t>
      </w:r>
      <w:proofErr w:type="spellEnd"/>
      <w:r w:rsidR="00C74768">
        <w:rPr>
          <w:rFonts w:ascii="Arial" w:hAnsi="Arial" w:cs="Arial"/>
          <w:sz w:val="20"/>
          <w:szCs w:val="20"/>
        </w:rPr>
        <w:t xml:space="preserve"> 1 </w:t>
      </w:r>
      <w:r w:rsidR="00965A23">
        <w:rPr>
          <w:rFonts w:ascii="Arial" w:hAnsi="Arial" w:cs="Arial"/>
          <w:sz w:val="20"/>
          <w:szCs w:val="20"/>
        </w:rPr>
        <w:t>at</w:t>
      </w:r>
      <w:r w:rsidR="000F6283" w:rsidRPr="00EE4465">
        <w:rPr>
          <w:rFonts w:ascii="Arial" w:hAnsi="Arial" w:cs="Arial"/>
          <w:sz w:val="20"/>
          <w:szCs w:val="20"/>
        </w:rPr>
        <w:t xml:space="preserve"> pp.</w:t>
      </w:r>
      <w:r w:rsidR="00965A23">
        <w:rPr>
          <w:rFonts w:ascii="Arial" w:hAnsi="Arial" w:cs="Arial"/>
          <w:sz w:val="20"/>
          <w:szCs w:val="20"/>
        </w:rPr>
        <w:t>27-28</w:t>
      </w:r>
      <w:r w:rsidR="00287157" w:rsidRPr="00EE4465">
        <w:rPr>
          <w:rFonts w:ascii="Arial" w:hAnsi="Arial" w:cs="Arial"/>
          <w:sz w:val="20"/>
          <w:szCs w:val="20"/>
        </w:rPr>
        <w:t xml:space="preserve"> and see the discussion in </w:t>
      </w:r>
      <w:r w:rsidR="006054BD">
        <w:rPr>
          <w:rFonts w:ascii="Arial" w:hAnsi="Arial" w:cs="Arial"/>
          <w:sz w:val="20"/>
          <w:szCs w:val="20"/>
        </w:rPr>
        <w:t>section 3.5.6 of these Research Materials</w:t>
      </w:r>
      <w:r w:rsidR="00287157" w:rsidRPr="00EE4465">
        <w:rPr>
          <w:rFonts w:ascii="Arial" w:hAnsi="Arial" w:cs="Arial"/>
          <w:sz w:val="20"/>
          <w:szCs w:val="20"/>
        </w:rPr>
        <w:t>.</w:t>
      </w:r>
    </w:p>
    <w:p w14:paraId="5995F481" w14:textId="77777777" w:rsidR="00965A23" w:rsidRDefault="00965A23">
      <w:pPr>
        <w:ind w:left="60"/>
        <w:jc w:val="both"/>
        <w:rPr>
          <w:rFonts w:ascii="Arial" w:hAnsi="Arial" w:cs="Arial"/>
          <w:sz w:val="20"/>
          <w:szCs w:val="20"/>
        </w:rPr>
      </w:pPr>
    </w:p>
    <w:p w14:paraId="68D1CEF4" w14:textId="77777777" w:rsidR="00595EDE" w:rsidRDefault="003D4BCE" w:rsidP="003D4BCE">
      <w:pPr>
        <w:tabs>
          <w:tab w:val="left" w:pos="363"/>
        </w:tabs>
        <w:spacing w:before="60"/>
        <w:jc w:val="both"/>
        <w:rPr>
          <w:rFonts w:ascii="Arial" w:hAnsi="Arial" w:cs="Arial"/>
          <w:sz w:val="20"/>
          <w:szCs w:val="20"/>
        </w:rPr>
      </w:pPr>
      <w:r>
        <w:rPr>
          <w:rFonts w:ascii="Arial" w:hAnsi="Arial" w:cs="Arial"/>
          <w:color w:val="000000"/>
          <w:sz w:val="20"/>
        </w:rPr>
        <w:t>As from 01/12/2013 n</w:t>
      </w:r>
      <w:r w:rsidRPr="003D4BCE">
        <w:rPr>
          <w:rFonts w:ascii="Arial" w:hAnsi="Arial" w:cs="Arial"/>
          <w:color w:val="000000"/>
          <w:sz w:val="20"/>
        </w:rPr>
        <w:t>ew</w:t>
      </w:r>
      <w:r>
        <w:rPr>
          <w:rFonts w:ascii="Arial" w:hAnsi="Arial" w:cs="Arial"/>
          <w:color w:val="000000"/>
          <w:sz w:val="20"/>
        </w:rPr>
        <w:t xml:space="preserve"> s.215B of the CYFA</w:t>
      </w:r>
      <w:r w:rsidRPr="003D4BCE">
        <w:rPr>
          <w:rFonts w:ascii="Arial" w:hAnsi="Arial" w:cs="Arial"/>
          <w:color w:val="000000"/>
          <w:sz w:val="20"/>
        </w:rPr>
        <w:t xml:space="preserve"> gives judicial officers much greater power to manage the conduct of </w:t>
      </w:r>
      <w:r w:rsidR="00713DC8">
        <w:rPr>
          <w:rFonts w:ascii="Arial" w:hAnsi="Arial" w:cs="Arial"/>
          <w:color w:val="000000"/>
          <w:sz w:val="20"/>
        </w:rPr>
        <w:t>child protection</w:t>
      </w:r>
      <w:r w:rsidRPr="003D4BCE">
        <w:rPr>
          <w:rFonts w:ascii="Arial" w:hAnsi="Arial" w:cs="Arial"/>
          <w:color w:val="000000"/>
          <w:sz w:val="20"/>
        </w:rPr>
        <w:t xml:space="preserve"> proceedings</w:t>
      </w:r>
      <w:r>
        <w:rPr>
          <w:rFonts w:ascii="Arial" w:hAnsi="Arial" w:cs="Arial"/>
          <w:color w:val="000000"/>
          <w:sz w:val="20"/>
        </w:rPr>
        <w:t xml:space="preserve"> in a less adversarial way.  </w:t>
      </w:r>
      <w:r w:rsidRPr="003D4BCE">
        <w:rPr>
          <w:rFonts w:ascii="Arial" w:hAnsi="Arial" w:cs="Arial"/>
          <w:color w:val="000000"/>
          <w:sz w:val="20"/>
          <w:szCs w:val="20"/>
        </w:rPr>
        <w:t xml:space="preserve">The </w:t>
      </w:r>
      <w:r w:rsidRPr="003D4BCE">
        <w:rPr>
          <w:rFonts w:ascii="Arial" w:hAnsi="Arial" w:cs="Arial"/>
          <w:sz w:val="20"/>
          <w:szCs w:val="20"/>
        </w:rPr>
        <w:t xml:space="preserve">heading of s.215B is </w:t>
      </w:r>
      <w:r w:rsidRPr="006D5EC2">
        <w:rPr>
          <w:rFonts w:ascii="Arial" w:hAnsi="Arial" w:cs="Arial"/>
          <w:sz w:val="20"/>
          <w:szCs w:val="20"/>
        </w:rPr>
        <w:t xml:space="preserve">“Management of </w:t>
      </w:r>
      <w:r w:rsidR="005832E7" w:rsidRPr="006D5EC2">
        <w:rPr>
          <w:rFonts w:ascii="Arial" w:hAnsi="Arial" w:cs="Arial"/>
          <w:sz w:val="20"/>
          <w:szCs w:val="20"/>
        </w:rPr>
        <w:t>child protection proceedings”</w:t>
      </w:r>
      <w:r w:rsidR="005832E7">
        <w:rPr>
          <w:rFonts w:ascii="Arial" w:hAnsi="Arial" w:cs="Arial"/>
          <w:sz w:val="20"/>
          <w:szCs w:val="20"/>
        </w:rPr>
        <w:t xml:space="preserve"> </w:t>
      </w:r>
      <w:r w:rsidR="006054BD">
        <w:rPr>
          <w:rFonts w:ascii="Arial" w:hAnsi="Arial" w:cs="Arial"/>
          <w:sz w:val="20"/>
          <w:szCs w:val="20"/>
        </w:rPr>
        <w:t>but</w:t>
      </w:r>
      <w:r w:rsidR="005832E7">
        <w:rPr>
          <w:rFonts w:ascii="Arial" w:hAnsi="Arial" w:cs="Arial"/>
          <w:sz w:val="20"/>
          <w:szCs w:val="20"/>
        </w:rPr>
        <w:t xml:space="preserve"> the section refers to “any proceeding before the Family Division </w:t>
      </w:r>
      <w:r w:rsidR="005832E7" w:rsidRPr="006D5EC2">
        <w:rPr>
          <w:rFonts w:ascii="Arial" w:hAnsi="Arial" w:cs="Arial"/>
          <w:sz w:val="20"/>
          <w:szCs w:val="20"/>
        </w:rPr>
        <w:t>under this Act”</w:t>
      </w:r>
      <w:r w:rsidR="005832E7">
        <w:rPr>
          <w:rFonts w:ascii="Arial" w:hAnsi="Arial" w:cs="Arial"/>
          <w:sz w:val="20"/>
          <w:szCs w:val="20"/>
        </w:rPr>
        <w:t xml:space="preserve">.  Although the wording </w:t>
      </w:r>
      <w:r w:rsidR="00A8112F">
        <w:rPr>
          <w:rFonts w:ascii="Arial" w:hAnsi="Arial" w:cs="Arial"/>
          <w:sz w:val="20"/>
          <w:szCs w:val="20"/>
        </w:rPr>
        <w:t xml:space="preserve">of </w:t>
      </w:r>
      <w:r w:rsidR="0093104F">
        <w:rPr>
          <w:rFonts w:ascii="Arial" w:hAnsi="Arial" w:cs="Arial"/>
          <w:sz w:val="20"/>
          <w:szCs w:val="20"/>
        </w:rPr>
        <w:t>s.215B</w:t>
      </w:r>
      <w:r w:rsidR="00A8112F">
        <w:rPr>
          <w:rFonts w:ascii="Arial" w:hAnsi="Arial" w:cs="Arial"/>
          <w:sz w:val="20"/>
          <w:szCs w:val="20"/>
        </w:rPr>
        <w:t xml:space="preserve"> </w:t>
      </w:r>
      <w:r w:rsidR="005832E7">
        <w:rPr>
          <w:rFonts w:ascii="Arial" w:hAnsi="Arial" w:cs="Arial"/>
          <w:sz w:val="20"/>
          <w:szCs w:val="20"/>
        </w:rPr>
        <w:t xml:space="preserve">is ambiguous, the writer has been advised that </w:t>
      </w:r>
      <w:r w:rsidR="0093104F">
        <w:rPr>
          <w:rFonts w:ascii="Arial" w:hAnsi="Arial" w:cs="Arial"/>
          <w:sz w:val="20"/>
          <w:szCs w:val="20"/>
        </w:rPr>
        <w:t>it</w:t>
      </w:r>
      <w:r w:rsidR="005832E7">
        <w:rPr>
          <w:rFonts w:ascii="Arial" w:hAnsi="Arial" w:cs="Arial"/>
          <w:sz w:val="20"/>
          <w:szCs w:val="20"/>
        </w:rPr>
        <w:t xml:space="preserve"> was intended to be read within the context of the section heading which restricts its operation to child protection p</w:t>
      </w:r>
      <w:r w:rsidR="00713DC8">
        <w:rPr>
          <w:rFonts w:ascii="Arial" w:hAnsi="Arial" w:cs="Arial"/>
          <w:sz w:val="20"/>
          <w:szCs w:val="20"/>
        </w:rPr>
        <w:t xml:space="preserve">roceedings and </w:t>
      </w:r>
      <w:r w:rsidR="006D5EC2">
        <w:rPr>
          <w:rFonts w:ascii="Arial" w:hAnsi="Arial" w:cs="Arial"/>
          <w:sz w:val="20"/>
          <w:szCs w:val="20"/>
        </w:rPr>
        <w:t xml:space="preserve">that </w:t>
      </w:r>
      <w:r w:rsidR="006054BD">
        <w:rPr>
          <w:rFonts w:ascii="Arial" w:hAnsi="Arial" w:cs="Arial"/>
          <w:sz w:val="20"/>
          <w:szCs w:val="20"/>
        </w:rPr>
        <w:t xml:space="preserve">it </w:t>
      </w:r>
      <w:r w:rsidR="00713DC8">
        <w:rPr>
          <w:rFonts w:ascii="Arial" w:hAnsi="Arial" w:cs="Arial"/>
          <w:sz w:val="20"/>
          <w:szCs w:val="20"/>
        </w:rPr>
        <w:t xml:space="preserve">does not apply to the conduct of </w:t>
      </w:r>
      <w:r w:rsidR="005832E7">
        <w:rPr>
          <w:rFonts w:ascii="Arial" w:hAnsi="Arial" w:cs="Arial"/>
          <w:sz w:val="20"/>
          <w:szCs w:val="20"/>
        </w:rPr>
        <w:t>intervention order proceedings.</w:t>
      </w:r>
      <w:r w:rsidR="006D5EC2">
        <w:rPr>
          <w:rFonts w:ascii="Arial" w:hAnsi="Arial" w:cs="Arial"/>
          <w:sz w:val="20"/>
          <w:szCs w:val="20"/>
        </w:rPr>
        <w:t xml:space="preserve">  </w:t>
      </w:r>
      <w:r w:rsidR="006054BD">
        <w:rPr>
          <w:rFonts w:ascii="Arial" w:hAnsi="Arial" w:cs="Arial"/>
          <w:sz w:val="20"/>
          <w:szCs w:val="20"/>
        </w:rPr>
        <w:t xml:space="preserve">How </w:t>
      </w:r>
      <w:r w:rsidR="00483E20">
        <w:rPr>
          <w:rFonts w:ascii="Arial" w:hAnsi="Arial" w:cs="Arial"/>
          <w:sz w:val="20"/>
          <w:szCs w:val="20"/>
        </w:rPr>
        <w:t xml:space="preserve">in </w:t>
      </w:r>
      <w:r w:rsidR="006D5EC2">
        <w:rPr>
          <w:rFonts w:ascii="Arial" w:hAnsi="Arial" w:cs="Arial"/>
          <w:sz w:val="20"/>
          <w:szCs w:val="20"/>
        </w:rPr>
        <w:t>fact</w:t>
      </w:r>
      <w:r w:rsidR="00483E20">
        <w:rPr>
          <w:rFonts w:ascii="Arial" w:hAnsi="Arial" w:cs="Arial"/>
          <w:sz w:val="20"/>
          <w:szCs w:val="20"/>
        </w:rPr>
        <w:t xml:space="preserve"> </w:t>
      </w:r>
      <w:r w:rsidR="006054BD">
        <w:rPr>
          <w:rFonts w:ascii="Arial" w:hAnsi="Arial" w:cs="Arial"/>
          <w:sz w:val="20"/>
          <w:szCs w:val="20"/>
        </w:rPr>
        <w:t xml:space="preserve">the Court is </w:t>
      </w:r>
      <w:r w:rsidR="00483E20">
        <w:rPr>
          <w:rFonts w:ascii="Arial" w:hAnsi="Arial" w:cs="Arial"/>
          <w:sz w:val="20"/>
          <w:szCs w:val="20"/>
        </w:rPr>
        <w:t xml:space="preserve">expected </w:t>
      </w:r>
      <w:r w:rsidR="006054BD">
        <w:rPr>
          <w:rFonts w:ascii="Arial" w:hAnsi="Arial" w:cs="Arial"/>
          <w:sz w:val="20"/>
          <w:szCs w:val="20"/>
        </w:rPr>
        <w:t xml:space="preserve">to </w:t>
      </w:r>
      <w:r w:rsidR="005275AD">
        <w:rPr>
          <w:rFonts w:ascii="Arial" w:hAnsi="Arial" w:cs="Arial"/>
          <w:sz w:val="20"/>
          <w:szCs w:val="20"/>
        </w:rPr>
        <w:t>manage</w:t>
      </w:r>
      <w:r w:rsidR="006054BD">
        <w:rPr>
          <w:rFonts w:ascii="Arial" w:hAnsi="Arial" w:cs="Arial"/>
          <w:sz w:val="20"/>
          <w:szCs w:val="20"/>
        </w:rPr>
        <w:t xml:space="preserve"> joint child protection and intervention order proceedings is </w:t>
      </w:r>
      <w:r w:rsidR="00BC54E3">
        <w:rPr>
          <w:rFonts w:ascii="Arial" w:hAnsi="Arial" w:cs="Arial"/>
          <w:sz w:val="20"/>
          <w:szCs w:val="20"/>
        </w:rPr>
        <w:t>entirely un</w:t>
      </w:r>
      <w:r w:rsidR="006054BD">
        <w:rPr>
          <w:rFonts w:ascii="Arial" w:hAnsi="Arial" w:cs="Arial"/>
          <w:sz w:val="20"/>
          <w:szCs w:val="20"/>
        </w:rPr>
        <w:t>clear.</w:t>
      </w:r>
    </w:p>
    <w:p w14:paraId="53FD5B87" w14:textId="77777777" w:rsidR="003D4BCE" w:rsidRDefault="003D4BCE" w:rsidP="00BC54E3">
      <w:pPr>
        <w:keepNext/>
        <w:keepLines/>
        <w:tabs>
          <w:tab w:val="left" w:pos="363"/>
        </w:tabs>
        <w:spacing w:before="60" w:line="240" w:lineRule="exact"/>
        <w:ind w:left="363" w:hanging="363"/>
        <w:jc w:val="both"/>
        <w:rPr>
          <w:rFonts w:ascii="Arial" w:hAnsi="Arial" w:cs="Arial"/>
          <w:color w:val="000000"/>
          <w:sz w:val="20"/>
        </w:rPr>
      </w:pPr>
      <w:r>
        <w:rPr>
          <w:rFonts w:ascii="Arial" w:hAnsi="Arial" w:cs="Arial"/>
          <w:color w:val="000000"/>
          <w:sz w:val="20"/>
        </w:rPr>
        <w:lastRenderedPageBreak/>
        <w:t>Section 215B provides:</w:t>
      </w:r>
    </w:p>
    <w:p w14:paraId="39AD31AB" w14:textId="77777777" w:rsidR="003D4BCE" w:rsidRPr="003D4BCE" w:rsidRDefault="003D4BCE" w:rsidP="00BC54E3">
      <w:pPr>
        <w:keepNext/>
        <w:keepLines/>
        <w:tabs>
          <w:tab w:val="left" w:pos="363"/>
        </w:tabs>
        <w:spacing w:before="60" w:line="240" w:lineRule="exact"/>
        <w:ind w:left="363" w:hanging="363"/>
        <w:jc w:val="both"/>
        <w:rPr>
          <w:rFonts w:ascii="Arial" w:hAnsi="Arial" w:cs="Arial"/>
          <w:color w:val="000000"/>
          <w:sz w:val="20"/>
        </w:rPr>
      </w:pPr>
      <w:r w:rsidRPr="003D4BCE">
        <w:rPr>
          <w:rFonts w:ascii="Arial" w:hAnsi="Arial" w:cs="Arial"/>
          <w:color w:val="000000"/>
          <w:sz w:val="20"/>
        </w:rPr>
        <w:t>“</w:t>
      </w:r>
      <w:r w:rsidR="004C770E">
        <w:rPr>
          <w:rFonts w:ascii="Arial" w:hAnsi="Arial" w:cs="Arial"/>
          <w:color w:val="000000"/>
          <w:sz w:val="20"/>
        </w:rPr>
        <w:t>(1) Without limiting Part 1.2 [b</w:t>
      </w:r>
      <w:r w:rsidRPr="003D4BCE">
        <w:rPr>
          <w:rFonts w:ascii="Arial" w:hAnsi="Arial" w:cs="Arial"/>
          <w:color w:val="000000"/>
          <w:sz w:val="20"/>
        </w:rPr>
        <w:t>est Interests principles] or s.215(1), in any proceeding before the Family Division under this Act, the Court may-</w:t>
      </w:r>
    </w:p>
    <w:p w14:paraId="44574EFA"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(a)</w:t>
      </w:r>
      <w:r w:rsidRPr="003D4BCE">
        <w:rPr>
          <w:rFonts w:ascii="Arial" w:hAnsi="Arial" w:cs="Arial"/>
          <w:color w:val="000000"/>
          <w:sz w:val="20"/>
        </w:rPr>
        <w:tab/>
        <w:t>consider the needs of the child and the impact that the proceeding may have on the child;</w:t>
      </w:r>
    </w:p>
    <w:p w14:paraId="647DAF3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(b)</w:t>
      </w:r>
      <w:r w:rsidRPr="003D4BCE">
        <w:rPr>
          <w:rFonts w:ascii="Arial" w:hAnsi="Arial" w:cs="Arial"/>
          <w:color w:val="000000"/>
          <w:sz w:val="20"/>
        </w:rPr>
        <w:tab/>
        <w:t xml:space="preserve">conduct proceedings in a manner that promotes cooperative relationships between the parties; </w:t>
      </w:r>
    </w:p>
    <w:p w14:paraId="44B7245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(c)</w:t>
      </w:r>
      <w:r w:rsidRPr="003D4BCE">
        <w:rPr>
          <w:rFonts w:ascii="Arial" w:hAnsi="Arial" w:cs="Arial"/>
          <w:color w:val="000000"/>
          <w:sz w:val="20"/>
        </w:rPr>
        <w:tab/>
        <w:t>ask any person connected to the proceeding whether that person considers that-</w:t>
      </w:r>
    </w:p>
    <w:p w14:paraId="40F9541A"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w:t>
      </w:r>
      <w:r w:rsidRPr="003D4BCE">
        <w:rPr>
          <w:rFonts w:ascii="Arial" w:hAnsi="Arial" w:cs="Arial"/>
          <w:color w:val="000000"/>
          <w:sz w:val="20"/>
          <w:lang w:val="en-US"/>
        </w:rPr>
        <w:tab/>
        <w:t>the child has been, or is at risk of being, subjected to or exposed to abuse, neglect or family violence within the meaning of the</w:t>
      </w:r>
      <w:r>
        <w:rPr>
          <w:rFonts w:ascii="Arial" w:hAnsi="Arial" w:cs="Arial"/>
          <w:color w:val="000000"/>
          <w:sz w:val="20"/>
          <w:lang w:val="en-US"/>
        </w:rPr>
        <w:t xml:space="preserve"> Family Violence Protection Act 2008;</w:t>
      </w:r>
    </w:p>
    <w:p w14:paraId="381C3C04"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(ii)</w:t>
      </w:r>
      <w:r w:rsidRPr="003D4BCE">
        <w:rPr>
          <w:rFonts w:ascii="Arial" w:hAnsi="Arial" w:cs="Arial"/>
          <w:color w:val="000000"/>
          <w:sz w:val="20"/>
          <w:lang w:val="en-US"/>
        </w:rPr>
        <w:tab/>
        <w:t>he or she or any other person connected to the proceeding has been, or is at risk of being subjected to family violence;</w:t>
      </w:r>
    </w:p>
    <w:p w14:paraId="2E3745BD" w14:textId="77777777" w:rsidR="003D4BCE" w:rsidRPr="003D4BCE" w:rsidRDefault="003D4BCE" w:rsidP="00FB1EE3">
      <w:pPr>
        <w:numPr>
          <w:ilvl w:val="0"/>
          <w:numId w:val="46"/>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actively direct, control and manage proceedings;</w:t>
      </w:r>
    </w:p>
    <w:p w14:paraId="197B26CC" w14:textId="77777777" w:rsidR="003D4BCE" w:rsidRPr="003D4BCE" w:rsidRDefault="003D4BCE" w:rsidP="00FB1EE3">
      <w:pPr>
        <w:numPr>
          <w:ilvl w:val="0"/>
          <w:numId w:val="46"/>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 xml:space="preserve">narrow the issues in dispute; </w:t>
      </w:r>
    </w:p>
    <w:p w14:paraId="248C305C" w14:textId="77777777" w:rsidR="003D4BCE" w:rsidRDefault="003D4BCE" w:rsidP="00FB1EE3">
      <w:pPr>
        <w:numPr>
          <w:ilvl w:val="0"/>
          <w:numId w:val="46"/>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determine the order in which the issues are decided;</w:t>
      </w:r>
    </w:p>
    <w:p w14:paraId="31280181" w14:textId="77777777" w:rsidR="003D4BCE" w:rsidRDefault="003D4BCE" w:rsidP="00FB1EE3">
      <w:pPr>
        <w:numPr>
          <w:ilvl w:val="0"/>
          <w:numId w:val="46"/>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give directions or make orders about the timing of steps that are to be taken in proceedings;</w:t>
      </w:r>
    </w:p>
    <w:p w14:paraId="66CE81A9" w14:textId="77777777" w:rsidR="003D4BCE" w:rsidRDefault="003D4BCE" w:rsidP="00FB1EE3">
      <w:pPr>
        <w:numPr>
          <w:ilvl w:val="0"/>
          <w:numId w:val="46"/>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in deciding whether a particular step is to be taken, consider whether the likely benefits justify the costs of taking it;</w:t>
      </w:r>
    </w:p>
    <w:p w14:paraId="1B511B65" w14:textId="77777777" w:rsidR="003D4BCE" w:rsidRDefault="003D4BCE" w:rsidP="00FB1EE3">
      <w:pPr>
        <w:numPr>
          <w:ilvl w:val="0"/>
          <w:numId w:val="46"/>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make appropriate use of technology, such as videoconferencing;</w:t>
      </w:r>
    </w:p>
    <w:p w14:paraId="1194B3DB" w14:textId="77777777" w:rsidR="003D4BCE" w:rsidRDefault="003D4BCE" w:rsidP="00FB1EE3">
      <w:pPr>
        <w:numPr>
          <w:ilvl w:val="0"/>
          <w:numId w:val="46"/>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deal with as many aspects of the matter on a single occasion as possible;</w:t>
      </w:r>
    </w:p>
    <w:p w14:paraId="10C49AF3" w14:textId="77777777" w:rsidR="003D4BCE" w:rsidRDefault="003D4BCE" w:rsidP="00FB1EE3">
      <w:pPr>
        <w:numPr>
          <w:ilvl w:val="0"/>
          <w:numId w:val="46"/>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where possible, deal with the matter without requiring the parties attend Court;</w:t>
      </w:r>
    </w:p>
    <w:p w14:paraId="61790D34" w14:textId="77777777" w:rsidR="003D4BCE" w:rsidRPr="003D4BCE" w:rsidRDefault="003D4BCE" w:rsidP="00FB1EE3">
      <w:pPr>
        <w:numPr>
          <w:ilvl w:val="0"/>
          <w:numId w:val="46"/>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do any other thing that the Court thinks fit.”</w:t>
      </w:r>
    </w:p>
    <w:p w14:paraId="7BFC752E" w14:textId="77777777" w:rsidR="003D4BCE" w:rsidRPr="003D4BCE" w:rsidRDefault="003D4BCE" w:rsidP="003D4BCE">
      <w:pPr>
        <w:tabs>
          <w:tab w:val="left" w:pos="363"/>
        </w:tabs>
        <w:spacing w:line="240" w:lineRule="exact"/>
        <w:jc w:val="both"/>
        <w:rPr>
          <w:rFonts w:ascii="Arial" w:hAnsi="Arial" w:cs="Arial"/>
          <w:color w:val="000000"/>
          <w:sz w:val="20"/>
          <w:lang w:val="en-US"/>
        </w:rPr>
      </w:pPr>
    </w:p>
    <w:p w14:paraId="1F285821" w14:textId="77777777" w:rsidR="00E4509A" w:rsidRDefault="00E4509A" w:rsidP="00E4509A">
      <w:pPr>
        <w:tabs>
          <w:tab w:val="left" w:pos="363"/>
        </w:tabs>
        <w:spacing w:line="240" w:lineRule="exact"/>
        <w:jc w:val="both"/>
        <w:rPr>
          <w:rFonts w:ascii="Arial" w:hAnsi="Arial" w:cs="Arial"/>
          <w:color w:val="000000"/>
          <w:sz w:val="20"/>
        </w:rPr>
      </w:pPr>
      <w:r>
        <w:rPr>
          <w:rFonts w:ascii="Arial" w:hAnsi="Arial" w:cs="Arial"/>
          <w:color w:val="000000"/>
          <w:sz w:val="20"/>
        </w:rPr>
        <w:t>It is the writer’s view that, broad as they are, ss.215(1)(a</w:t>
      </w:r>
      <w:proofErr w:type="gramStart"/>
      <w:r>
        <w:rPr>
          <w:rFonts w:ascii="Arial" w:hAnsi="Arial" w:cs="Arial"/>
          <w:color w:val="000000"/>
          <w:sz w:val="20"/>
        </w:rPr>
        <w:t>)</w:t>
      </w:r>
      <w:r w:rsidR="00121D44">
        <w:rPr>
          <w:rFonts w:ascii="Arial" w:hAnsi="Arial" w:cs="Arial"/>
          <w:color w:val="000000"/>
          <w:sz w:val="20"/>
        </w:rPr>
        <w:t xml:space="preserve">, </w:t>
      </w:r>
      <w:r>
        <w:rPr>
          <w:rFonts w:ascii="Arial" w:hAnsi="Arial" w:cs="Arial"/>
          <w:color w:val="000000"/>
          <w:sz w:val="20"/>
        </w:rPr>
        <w:t xml:space="preserve"> 215</w:t>
      </w:r>
      <w:proofErr w:type="gramEnd"/>
      <w:r>
        <w:rPr>
          <w:rFonts w:ascii="Arial" w:hAnsi="Arial" w:cs="Arial"/>
          <w:color w:val="000000"/>
          <w:sz w:val="20"/>
        </w:rPr>
        <w:t xml:space="preserve">(1)(b) &amp; 215B of the CYFA do not allow the Court to </w:t>
      </w:r>
      <w:r w:rsidRPr="00EE4465">
        <w:rPr>
          <w:rFonts w:ascii="Arial" w:hAnsi="Arial" w:cs="Arial"/>
          <w:sz w:val="20"/>
          <w:szCs w:val="20"/>
        </w:rPr>
        <w:t>dispense with the rules of natural justice</w:t>
      </w:r>
      <w:r>
        <w:rPr>
          <w:rFonts w:ascii="Arial" w:hAnsi="Arial" w:cs="Arial"/>
          <w:sz w:val="20"/>
          <w:szCs w:val="20"/>
        </w:rPr>
        <w:t>,</w:t>
      </w:r>
      <w:r w:rsidRPr="00EE4465">
        <w:rPr>
          <w:rFonts w:ascii="Arial" w:hAnsi="Arial" w:cs="Arial"/>
          <w:sz w:val="20"/>
          <w:szCs w:val="20"/>
        </w:rPr>
        <w:t xml:space="preserve"> as </w:t>
      </w:r>
      <w:r>
        <w:rPr>
          <w:rFonts w:ascii="Arial" w:hAnsi="Arial" w:cs="Arial"/>
          <w:sz w:val="20"/>
          <w:szCs w:val="20"/>
        </w:rPr>
        <w:t xml:space="preserve">Byrne </w:t>
      </w:r>
      <w:r w:rsidRPr="00EE4465">
        <w:rPr>
          <w:rFonts w:ascii="Arial" w:hAnsi="Arial" w:cs="Arial"/>
          <w:sz w:val="20"/>
          <w:szCs w:val="20"/>
        </w:rPr>
        <w:t xml:space="preserve">J made clear in </w:t>
      </w:r>
      <w:r w:rsidRPr="00EE4465">
        <w:rPr>
          <w:rFonts w:ascii="Arial" w:hAnsi="Arial" w:cs="Arial"/>
          <w:i/>
          <w:sz w:val="20"/>
          <w:szCs w:val="20"/>
        </w:rPr>
        <w:t>Van</w:t>
      </w:r>
      <w:r>
        <w:rPr>
          <w:rFonts w:ascii="Arial" w:hAnsi="Arial" w:cs="Arial"/>
          <w:i/>
          <w:sz w:val="20"/>
          <w:szCs w:val="20"/>
        </w:rPr>
        <w:t> </w:t>
      </w:r>
      <w:proofErr w:type="spellStart"/>
      <w:r w:rsidRPr="00EE4465">
        <w:rPr>
          <w:rFonts w:ascii="Arial" w:hAnsi="Arial" w:cs="Arial"/>
          <w:i/>
          <w:sz w:val="20"/>
          <w:szCs w:val="20"/>
        </w:rPr>
        <w:t>Susteren</w:t>
      </w:r>
      <w:proofErr w:type="spellEnd"/>
      <w:r w:rsidRPr="00EE4465">
        <w:rPr>
          <w:rFonts w:ascii="Arial" w:hAnsi="Arial" w:cs="Arial"/>
          <w:i/>
          <w:sz w:val="20"/>
          <w:szCs w:val="20"/>
        </w:rPr>
        <w:t xml:space="preserve"> v </w:t>
      </w:r>
      <w:proofErr w:type="spellStart"/>
      <w:r w:rsidRPr="00EE4465">
        <w:rPr>
          <w:rFonts w:ascii="Arial" w:hAnsi="Arial" w:cs="Arial"/>
          <w:i/>
          <w:sz w:val="20"/>
          <w:szCs w:val="20"/>
        </w:rPr>
        <w:t>Packaje</w:t>
      </w:r>
      <w:proofErr w:type="spellEnd"/>
      <w:r w:rsidRPr="00EE4465">
        <w:rPr>
          <w:rFonts w:ascii="Arial" w:hAnsi="Arial" w:cs="Arial"/>
          <w:i/>
          <w:sz w:val="20"/>
          <w:szCs w:val="20"/>
        </w:rPr>
        <w:t xml:space="preserve"> Pty Ltd</w:t>
      </w:r>
      <w:r w:rsidRPr="00EE4465">
        <w:rPr>
          <w:rFonts w:ascii="Arial" w:hAnsi="Arial" w:cs="Arial"/>
          <w:sz w:val="20"/>
          <w:szCs w:val="20"/>
        </w:rPr>
        <w:t xml:space="preserve"> [2008] VSC 586 at [5]-[6] in relation to similar provisions regulating the conduct of proceedings in the </w:t>
      </w:r>
      <w:r>
        <w:rPr>
          <w:rFonts w:ascii="Arial" w:hAnsi="Arial" w:cs="Arial"/>
          <w:sz w:val="20"/>
          <w:szCs w:val="20"/>
        </w:rPr>
        <w:t>Small Claims</w:t>
      </w:r>
      <w:r w:rsidRPr="00EE4465">
        <w:rPr>
          <w:rFonts w:ascii="Arial" w:hAnsi="Arial" w:cs="Arial"/>
          <w:sz w:val="20"/>
          <w:szCs w:val="20"/>
        </w:rPr>
        <w:t xml:space="preserve"> Tribunal:</w:t>
      </w:r>
    </w:p>
    <w:p w14:paraId="69C9AB8C" w14:textId="77777777" w:rsidR="000F6283" w:rsidRDefault="000F6283" w:rsidP="00033D59">
      <w:pPr>
        <w:spacing w:before="60" w:line="240" w:lineRule="exact"/>
        <w:ind w:left="567" w:right="567"/>
        <w:jc w:val="both"/>
        <w:rPr>
          <w:rFonts w:ascii="Arial" w:hAnsi="Arial" w:cs="Arial"/>
          <w:bCs/>
          <w:sz w:val="20"/>
        </w:rPr>
      </w:pPr>
      <w:r>
        <w:rPr>
          <w:rFonts w:ascii="Arial" w:hAnsi="Arial" w:cs="Arial"/>
          <w:bCs/>
          <w:sz w:val="20"/>
        </w:rPr>
        <w:t>“</w:t>
      </w:r>
      <w:r w:rsidRPr="000F6283">
        <w:rPr>
          <w:rFonts w:ascii="Arial" w:hAnsi="Arial" w:cs="Arial"/>
          <w:sz w:val="20"/>
        </w:rPr>
        <w:t>It is common ground that the Small Claims Tribunal has a considerable degree of latitude in the conduct of its proceedings.  It is required by section 98 of the VCAT Act to proceed with as little formality or technicality as is appropriate, and evidence of an informal nature may be received.  Section 102 also provides a broad discretion as to the way the tribunal should be conducted</w:t>
      </w:r>
      <w:r>
        <w:rPr>
          <w:rFonts w:ascii="Arial" w:hAnsi="Arial" w:cs="Arial"/>
          <w:sz w:val="20"/>
        </w:rPr>
        <w:t>…</w:t>
      </w:r>
      <w:r w:rsidRPr="000F6283">
        <w:rPr>
          <w:rFonts w:ascii="Arial" w:hAnsi="Arial" w:cs="Arial"/>
          <w:sz w:val="20"/>
          <w:szCs w:val="20"/>
        </w:rPr>
        <w:t xml:space="preserve"> There is of course an obligation on the Small Claims Tribunal, however informal its procedures may be, to respect the rules of natural justice.  Accepting that the rules of natural justice will vary depending upon the nature of the hearing, the fact remains that, if it concerns a crucial matter or a vital issue, then the party should be given the opportunity to know, to test and to challenge evidence which is put against that party.</w:t>
      </w:r>
      <w:r>
        <w:rPr>
          <w:rFonts w:ascii="Arial" w:hAnsi="Arial" w:cs="Arial"/>
          <w:sz w:val="20"/>
          <w:szCs w:val="20"/>
        </w:rPr>
        <w:t>”</w:t>
      </w:r>
    </w:p>
    <w:p w14:paraId="78C71796" w14:textId="77777777" w:rsidR="000F6283" w:rsidRDefault="00EE4465" w:rsidP="00EE4465">
      <w:pPr>
        <w:spacing w:before="60"/>
        <w:ind w:left="62"/>
        <w:jc w:val="both"/>
        <w:rPr>
          <w:rFonts w:ascii="Arial" w:hAnsi="Arial" w:cs="Arial"/>
          <w:sz w:val="20"/>
        </w:rPr>
      </w:pPr>
      <w:r>
        <w:rPr>
          <w:rFonts w:ascii="Arial" w:hAnsi="Arial" w:cs="Arial"/>
          <w:sz w:val="20"/>
        </w:rPr>
        <w:t xml:space="preserve">See also the detailed discussion of natural justice and procedural fairness in relation to the granting of adjournments </w:t>
      </w:r>
      <w:r w:rsidR="006923D4">
        <w:rPr>
          <w:rFonts w:ascii="Arial" w:hAnsi="Arial" w:cs="Arial"/>
          <w:sz w:val="20"/>
        </w:rPr>
        <w:t>by</w:t>
      </w:r>
      <w:r>
        <w:rPr>
          <w:rFonts w:ascii="Arial" w:hAnsi="Arial" w:cs="Arial"/>
          <w:sz w:val="20"/>
        </w:rPr>
        <w:t xml:space="preserve"> the Victorian Civil and Administrative Tribunal by </w:t>
      </w:r>
      <w:r w:rsidR="006923D4">
        <w:rPr>
          <w:rFonts w:ascii="Arial" w:hAnsi="Arial" w:cs="Arial"/>
          <w:sz w:val="20"/>
        </w:rPr>
        <w:t>Warren C</w:t>
      </w:r>
      <w:r>
        <w:rPr>
          <w:rFonts w:ascii="Arial" w:hAnsi="Arial" w:cs="Arial"/>
          <w:sz w:val="20"/>
        </w:rPr>
        <w:t xml:space="preserve">J in </w:t>
      </w:r>
      <w:proofErr w:type="spellStart"/>
      <w:r w:rsidRPr="00EE4465">
        <w:rPr>
          <w:rFonts w:ascii="Arial" w:hAnsi="Arial" w:cs="Arial"/>
          <w:i/>
          <w:sz w:val="20"/>
        </w:rPr>
        <w:t>Macdiggers</w:t>
      </w:r>
      <w:proofErr w:type="spellEnd"/>
      <w:r w:rsidRPr="00EE4465">
        <w:rPr>
          <w:rFonts w:ascii="Arial" w:hAnsi="Arial" w:cs="Arial"/>
          <w:i/>
          <w:sz w:val="20"/>
        </w:rPr>
        <w:t xml:space="preserve"> Pty Ltd v Maria Dickinson and Peter Dickinson</w:t>
      </w:r>
      <w:r>
        <w:rPr>
          <w:rFonts w:ascii="Arial" w:hAnsi="Arial" w:cs="Arial"/>
          <w:sz w:val="20"/>
        </w:rPr>
        <w:t xml:space="preserve"> [2008] VSC 576 at [23]-[28].</w:t>
      </w:r>
    </w:p>
    <w:p w14:paraId="08E0CDC1" w14:textId="77777777" w:rsidR="0048483D" w:rsidRDefault="0048483D">
      <w:pPr>
        <w:jc w:val="both"/>
        <w:rPr>
          <w:rFonts w:ascii="Arial" w:hAnsi="Arial" w:cs="Arial"/>
          <w:sz w:val="20"/>
        </w:rPr>
      </w:pPr>
    </w:p>
    <w:p w14:paraId="33422D1F" w14:textId="77777777" w:rsidR="006B04AA" w:rsidRDefault="00674508" w:rsidP="00121D44">
      <w:pPr>
        <w:jc w:val="both"/>
        <w:rPr>
          <w:rFonts w:ascii="Arial" w:hAnsi="Arial" w:cs="Arial"/>
          <w:sz w:val="20"/>
        </w:rPr>
      </w:pPr>
      <w:r>
        <w:rPr>
          <w:rFonts w:ascii="Arial" w:hAnsi="Arial" w:cs="Arial"/>
          <w:sz w:val="20"/>
        </w:rPr>
        <w:t xml:space="preserve">The </w:t>
      </w:r>
      <w:r w:rsidR="00121D44">
        <w:rPr>
          <w:rFonts w:ascii="Arial" w:hAnsi="Arial" w:cs="Arial"/>
          <w:sz w:val="20"/>
        </w:rPr>
        <w:t xml:space="preserve">genesis of s.215B is the </w:t>
      </w:r>
      <w:r>
        <w:rPr>
          <w:rFonts w:ascii="Arial" w:hAnsi="Arial" w:cs="Arial"/>
          <w:sz w:val="20"/>
        </w:rPr>
        <w:t xml:space="preserve">Less Adversarial Trial </w:t>
      </w:r>
      <w:r w:rsidR="00121D44">
        <w:rPr>
          <w:rFonts w:ascii="Arial" w:hAnsi="Arial" w:cs="Arial"/>
          <w:sz w:val="20"/>
        </w:rPr>
        <w:t xml:space="preserve">[“LAT”] approach </w:t>
      </w:r>
      <w:r>
        <w:rPr>
          <w:rFonts w:ascii="Arial" w:hAnsi="Arial" w:cs="Arial"/>
          <w:sz w:val="20"/>
        </w:rPr>
        <w:t>in operation in the Family Court of Australia</w:t>
      </w:r>
      <w:r w:rsidR="00121D44">
        <w:rPr>
          <w:rFonts w:ascii="Arial" w:hAnsi="Arial" w:cs="Arial"/>
          <w:sz w:val="20"/>
        </w:rPr>
        <w:t xml:space="preserve">.  </w:t>
      </w:r>
      <w:r w:rsidR="006B04AA">
        <w:rPr>
          <w:rFonts w:ascii="Arial" w:hAnsi="Arial" w:cs="Arial"/>
          <w:sz w:val="20"/>
        </w:rPr>
        <w:t xml:space="preserve">In </w:t>
      </w:r>
      <w:r w:rsidR="006B04AA" w:rsidRPr="001D42F1">
        <w:rPr>
          <w:rFonts w:ascii="Arial" w:hAnsi="Arial" w:cs="Arial"/>
          <w:i/>
          <w:sz w:val="20"/>
        </w:rPr>
        <w:t>T v T</w:t>
      </w:r>
      <w:r w:rsidR="006B04AA">
        <w:rPr>
          <w:rFonts w:ascii="Arial" w:hAnsi="Arial" w:cs="Arial"/>
          <w:sz w:val="20"/>
        </w:rPr>
        <w:t xml:space="preserve"> [2008] </w:t>
      </w:r>
      <w:proofErr w:type="spellStart"/>
      <w:r w:rsidR="006B04AA">
        <w:rPr>
          <w:rFonts w:ascii="Arial" w:hAnsi="Arial" w:cs="Arial"/>
          <w:sz w:val="20"/>
        </w:rPr>
        <w:t>FamCAFC</w:t>
      </w:r>
      <w:proofErr w:type="spellEnd"/>
      <w:r w:rsidR="006B04AA">
        <w:rPr>
          <w:rFonts w:ascii="Arial" w:hAnsi="Arial" w:cs="Arial"/>
          <w:sz w:val="20"/>
        </w:rPr>
        <w:t xml:space="preserve"> 4; (2008) FLC 93-360; (2008) 38 Fam LR 614 the Full Court of the Family Court of Australia (Bryant CJ, Kay &amp; </w:t>
      </w:r>
      <w:proofErr w:type="spellStart"/>
      <w:r w:rsidR="006B04AA">
        <w:rPr>
          <w:rFonts w:ascii="Arial" w:hAnsi="Arial" w:cs="Arial"/>
          <w:sz w:val="20"/>
        </w:rPr>
        <w:t>Thackray</w:t>
      </w:r>
      <w:proofErr w:type="spellEnd"/>
      <w:r w:rsidR="006B04AA">
        <w:rPr>
          <w:rFonts w:ascii="Arial" w:hAnsi="Arial" w:cs="Arial"/>
          <w:sz w:val="20"/>
        </w:rPr>
        <w:t xml:space="preserve"> JJ) highlighted at [163] the Court’s obligation to accord all of the </w:t>
      </w:r>
      <w:proofErr w:type="gramStart"/>
      <w:r w:rsidR="006B04AA">
        <w:rPr>
          <w:rFonts w:ascii="Arial" w:hAnsi="Arial" w:cs="Arial"/>
          <w:sz w:val="20"/>
        </w:rPr>
        <w:t>parties</w:t>
      </w:r>
      <w:proofErr w:type="gramEnd"/>
      <w:r w:rsidR="006B04AA">
        <w:rPr>
          <w:rFonts w:ascii="Arial" w:hAnsi="Arial" w:cs="Arial"/>
          <w:sz w:val="20"/>
        </w:rPr>
        <w:t xml:space="preserve"> procedural fairness and natural justice notwithstanding the LAT provisions:</w:t>
      </w:r>
    </w:p>
    <w:p w14:paraId="0CC9C718" w14:textId="77777777" w:rsidR="006B04AA" w:rsidRDefault="006B04AA" w:rsidP="006B04AA">
      <w:pPr>
        <w:spacing w:before="60"/>
        <w:ind w:left="567" w:right="567"/>
        <w:jc w:val="both"/>
        <w:rPr>
          <w:rFonts w:ascii="Arial" w:hAnsi="Arial" w:cs="Arial"/>
          <w:bCs/>
          <w:sz w:val="20"/>
        </w:rPr>
      </w:pPr>
      <w:r>
        <w:rPr>
          <w:rFonts w:ascii="Arial" w:hAnsi="Arial" w:cs="Arial"/>
          <w:bCs/>
          <w:sz w:val="20"/>
        </w:rPr>
        <w:t>“Whatever process for adjudication of cases is adopted by the Court, procedural fairness must be accorded to the parties (</w:t>
      </w:r>
      <w:r w:rsidRPr="00061CF0">
        <w:rPr>
          <w:rFonts w:ascii="Arial" w:hAnsi="Arial" w:cs="Arial"/>
          <w:bCs/>
          <w:i/>
          <w:sz w:val="20"/>
        </w:rPr>
        <w:t xml:space="preserve">R v </w:t>
      </w:r>
      <w:proofErr w:type="spellStart"/>
      <w:r w:rsidRPr="00061CF0">
        <w:rPr>
          <w:rFonts w:ascii="Arial" w:hAnsi="Arial" w:cs="Arial"/>
          <w:bCs/>
          <w:i/>
          <w:sz w:val="20"/>
        </w:rPr>
        <w:t>Ludeke</w:t>
      </w:r>
      <w:proofErr w:type="spellEnd"/>
      <w:r w:rsidRPr="00061CF0">
        <w:rPr>
          <w:rFonts w:ascii="Arial" w:hAnsi="Arial" w:cs="Arial"/>
          <w:bCs/>
          <w:i/>
          <w:sz w:val="20"/>
        </w:rPr>
        <w:t xml:space="preserve">; Ex </w:t>
      </w:r>
      <w:proofErr w:type="spellStart"/>
      <w:r w:rsidRPr="00061CF0">
        <w:rPr>
          <w:rFonts w:ascii="Arial" w:hAnsi="Arial" w:cs="Arial"/>
          <w:bCs/>
          <w:i/>
          <w:sz w:val="20"/>
        </w:rPr>
        <w:t>parte</w:t>
      </w:r>
      <w:proofErr w:type="spellEnd"/>
      <w:r w:rsidRPr="00061CF0">
        <w:rPr>
          <w:rFonts w:ascii="Arial" w:hAnsi="Arial" w:cs="Arial"/>
          <w:bCs/>
          <w:i/>
          <w:sz w:val="20"/>
        </w:rPr>
        <w:t xml:space="preserve"> Customs Officers Association of </w:t>
      </w:r>
      <w:smartTag w:uri="urn:schemas-microsoft-com:office:smarttags" w:element="country-region">
        <w:smartTag w:uri="urn:schemas-microsoft-com:office:smarttags" w:element="place">
          <w:r w:rsidRPr="00061CF0">
            <w:rPr>
              <w:rFonts w:ascii="Arial" w:hAnsi="Arial" w:cs="Arial"/>
              <w:bCs/>
              <w:i/>
              <w:sz w:val="20"/>
            </w:rPr>
            <w:t>Australia</w:t>
          </w:r>
        </w:smartTag>
      </w:smartTag>
      <w:r>
        <w:rPr>
          <w:rFonts w:ascii="Arial" w:hAnsi="Arial" w:cs="Arial"/>
          <w:bCs/>
          <w:sz w:val="20"/>
        </w:rPr>
        <w:t xml:space="preserve"> (1985) 155 CLR 513; </w:t>
      </w:r>
      <w:r w:rsidRPr="00061CF0">
        <w:rPr>
          <w:rFonts w:ascii="Arial" w:hAnsi="Arial" w:cs="Arial"/>
          <w:bCs/>
          <w:i/>
          <w:sz w:val="20"/>
        </w:rPr>
        <w:t>Re JRL; Ex parte CJL</w:t>
      </w:r>
      <w:r>
        <w:rPr>
          <w:rFonts w:ascii="Arial" w:hAnsi="Arial" w:cs="Arial"/>
          <w:bCs/>
          <w:sz w:val="20"/>
        </w:rPr>
        <w:t xml:space="preserve"> (1986) 161 CLR 342; </w:t>
      </w:r>
      <w:r w:rsidRPr="00061CF0">
        <w:rPr>
          <w:rFonts w:ascii="Arial" w:hAnsi="Arial" w:cs="Arial"/>
          <w:bCs/>
          <w:i/>
          <w:sz w:val="20"/>
        </w:rPr>
        <w:t xml:space="preserve">J v </w:t>
      </w:r>
      <w:proofErr w:type="spellStart"/>
      <w:r w:rsidRPr="00061CF0">
        <w:rPr>
          <w:rFonts w:ascii="Arial" w:hAnsi="Arial" w:cs="Arial"/>
          <w:bCs/>
          <w:i/>
          <w:sz w:val="20"/>
        </w:rPr>
        <w:t>Leischke</w:t>
      </w:r>
      <w:proofErr w:type="spellEnd"/>
      <w:r>
        <w:rPr>
          <w:rFonts w:ascii="Arial" w:hAnsi="Arial" w:cs="Arial"/>
          <w:bCs/>
          <w:sz w:val="20"/>
        </w:rPr>
        <w:t xml:space="preserve"> (1987) 162 CLR 447.  The process adopted in the LAT, particularly on Day 1, gives no warrant to compromise fairness and the usual requirements must be met.  These are </w:t>
      </w:r>
      <w:proofErr w:type="gramStart"/>
      <w:r>
        <w:rPr>
          <w:rFonts w:ascii="Arial" w:hAnsi="Arial" w:cs="Arial"/>
          <w:bCs/>
          <w:sz w:val="20"/>
        </w:rPr>
        <w:t>that determinations</w:t>
      </w:r>
      <w:proofErr w:type="gramEnd"/>
      <w:r>
        <w:rPr>
          <w:rFonts w:ascii="Arial" w:hAnsi="Arial" w:cs="Arial"/>
          <w:bCs/>
          <w:sz w:val="20"/>
        </w:rPr>
        <w:t xml:space="preserve"> be made impartially, on the basis of all relevant material that the parties were able to put before the trial judge, without any pre-judgment and that the parties were given an adequate opportunity to be heard.”</w:t>
      </w:r>
    </w:p>
    <w:p w14:paraId="33E7AC7A" w14:textId="77777777" w:rsidR="006B04AA" w:rsidRDefault="006B04AA">
      <w:pPr>
        <w:jc w:val="both"/>
        <w:rPr>
          <w:rFonts w:ascii="Arial" w:hAnsi="Arial" w:cs="Arial"/>
          <w:sz w:val="20"/>
        </w:rPr>
      </w:pPr>
    </w:p>
    <w:p w14:paraId="59D0861B" w14:textId="77777777" w:rsidR="00693223" w:rsidRDefault="00693223" w:rsidP="00121D44">
      <w:pPr>
        <w:pStyle w:val="Heading3"/>
        <w:keepNext/>
        <w:spacing w:after="120" w:line="240" w:lineRule="auto"/>
        <w:rPr>
          <w:rFonts w:ascii="Arial" w:hAnsi="Arial" w:cs="Arial"/>
          <w:sz w:val="20"/>
        </w:rPr>
      </w:pPr>
      <w:bookmarkStart w:id="1206" w:name="_4.8.2_Court_may"/>
      <w:bookmarkStart w:id="1207" w:name="B482"/>
      <w:bookmarkStart w:id="1208" w:name="_Toc30654119"/>
      <w:bookmarkStart w:id="1209" w:name="_Toc30654470"/>
      <w:bookmarkStart w:id="1210" w:name="_Toc30655089"/>
      <w:bookmarkStart w:id="1211" w:name="_Toc30655346"/>
      <w:bookmarkStart w:id="1212" w:name="_Toc30657024"/>
      <w:bookmarkStart w:id="1213" w:name="_Toc30661773"/>
      <w:bookmarkStart w:id="1214" w:name="_Toc30666461"/>
      <w:bookmarkStart w:id="1215" w:name="_Toc30666691"/>
      <w:bookmarkStart w:id="1216" w:name="_Toc30667866"/>
      <w:bookmarkStart w:id="1217" w:name="_Toc30669244"/>
      <w:bookmarkStart w:id="1218" w:name="_Toc30671460"/>
      <w:bookmarkStart w:id="1219" w:name="_Toc30673987"/>
      <w:bookmarkStart w:id="1220" w:name="_Toc30691209"/>
      <w:bookmarkStart w:id="1221" w:name="_Toc30691582"/>
      <w:bookmarkStart w:id="1222" w:name="_Toc30691962"/>
      <w:bookmarkStart w:id="1223" w:name="_Toc30692721"/>
      <w:bookmarkStart w:id="1224" w:name="_Toc30693100"/>
      <w:bookmarkStart w:id="1225" w:name="_Toc30693478"/>
      <w:bookmarkStart w:id="1226" w:name="_Toc30693856"/>
      <w:bookmarkStart w:id="1227" w:name="_Toc30694237"/>
      <w:bookmarkStart w:id="1228" w:name="_Toc30698826"/>
      <w:bookmarkStart w:id="1229" w:name="_Toc30699204"/>
      <w:bookmarkStart w:id="1230" w:name="_Toc30699589"/>
      <w:bookmarkStart w:id="1231" w:name="_Toc30700744"/>
      <w:bookmarkStart w:id="1232" w:name="_Toc30701131"/>
      <w:bookmarkStart w:id="1233" w:name="_Toc30743740"/>
      <w:bookmarkStart w:id="1234" w:name="_Toc30754563"/>
      <w:bookmarkStart w:id="1235" w:name="_Toc30757003"/>
      <w:bookmarkStart w:id="1236" w:name="_Toc30757552"/>
      <w:bookmarkStart w:id="1237" w:name="_Toc30757952"/>
      <w:bookmarkStart w:id="1238" w:name="_Toc30762713"/>
      <w:bookmarkStart w:id="1239" w:name="_Toc30767367"/>
      <w:bookmarkStart w:id="1240" w:name="_Toc34823382"/>
      <w:bookmarkEnd w:id="1206"/>
      <w:bookmarkEnd w:id="1207"/>
      <w:r>
        <w:rPr>
          <w:rFonts w:ascii="Arial" w:hAnsi="Arial" w:cs="Arial"/>
          <w:b/>
          <w:bCs/>
          <w:sz w:val="20"/>
        </w:rPr>
        <w:lastRenderedPageBreak/>
        <w:t>4.8.</w:t>
      </w:r>
      <w:r w:rsidR="00C75CA9" w:rsidRPr="00C75CA9">
        <w:rPr>
          <w:rFonts w:ascii="Arial" w:hAnsi="Arial" w:cs="Arial"/>
          <w:b/>
          <w:bCs/>
          <w:color w:val="000000"/>
          <w:sz w:val="20"/>
        </w:rPr>
        <w:t>2</w:t>
      </w:r>
      <w:r>
        <w:rPr>
          <w:rFonts w:ascii="Arial" w:hAnsi="Arial" w:cs="Arial"/>
          <w:b/>
          <w:bCs/>
          <w:sz w:val="20"/>
        </w:rPr>
        <w:tab/>
      </w:r>
      <w:r w:rsidR="00D36D17">
        <w:rPr>
          <w:rFonts w:ascii="Arial" w:hAnsi="Arial" w:cs="Arial"/>
          <w:b/>
          <w:bCs/>
          <w:sz w:val="20"/>
        </w:rPr>
        <w:t xml:space="preserve">Court may inform itself as it thinks fit </w:t>
      </w:r>
      <w:r w:rsidR="004C770E">
        <w:rPr>
          <w:rFonts w:ascii="Arial" w:hAnsi="Arial" w:cs="Arial"/>
          <w:b/>
          <w:bCs/>
          <w:sz w:val="20"/>
        </w:rPr>
        <w:t>–</w:t>
      </w:r>
      <w:r w:rsidR="00D36D17">
        <w:rPr>
          <w:rFonts w:ascii="Arial" w:hAnsi="Arial" w:cs="Arial"/>
          <w:b/>
          <w:bCs/>
          <w:sz w:val="20"/>
        </w:rPr>
        <w:t xml:space="preserve"> </w:t>
      </w:r>
      <w:r>
        <w:rPr>
          <w:rFonts w:ascii="Arial" w:hAnsi="Arial" w:cs="Arial"/>
          <w:b/>
          <w:bCs/>
          <w:sz w:val="20"/>
        </w:rPr>
        <w:t>Rules</w:t>
      </w:r>
      <w:r w:rsidR="004C770E">
        <w:rPr>
          <w:rFonts w:ascii="Arial" w:hAnsi="Arial" w:cs="Arial"/>
          <w:b/>
          <w:bCs/>
          <w:sz w:val="20"/>
        </w:rPr>
        <w:t xml:space="preserve"> </w:t>
      </w:r>
      <w:r>
        <w:rPr>
          <w:rFonts w:ascii="Arial" w:hAnsi="Arial" w:cs="Arial"/>
          <w:b/>
          <w:bCs/>
          <w:sz w:val="20"/>
        </w:rPr>
        <w:t>of evidence not mandatory</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2FB5A615" w14:textId="77777777" w:rsidR="00693223" w:rsidRDefault="00693223">
      <w:pPr>
        <w:jc w:val="both"/>
        <w:rPr>
          <w:rFonts w:ascii="Arial" w:hAnsi="Arial" w:cs="Arial"/>
          <w:bCs/>
          <w:sz w:val="20"/>
        </w:rPr>
      </w:pPr>
      <w:r>
        <w:rPr>
          <w:rFonts w:ascii="Arial" w:hAnsi="Arial" w:cs="Arial"/>
          <w:sz w:val="20"/>
        </w:rPr>
        <w:t xml:space="preserve">In the Family Division the Court </w:t>
      </w:r>
      <w:r w:rsidR="00411BA1">
        <w:rPr>
          <w:rFonts w:ascii="Arial" w:hAnsi="Arial" w:cs="Arial"/>
          <w:sz w:val="20"/>
        </w:rPr>
        <w:t>“</w:t>
      </w:r>
      <w:r>
        <w:rPr>
          <w:rFonts w:ascii="Arial" w:hAnsi="Arial" w:cs="Arial"/>
          <w:sz w:val="20"/>
        </w:rPr>
        <w:t>may inform itself on a matter in such manner as it thinks fit, despite any rules of evidence to the contrary</w:t>
      </w:r>
      <w:r w:rsidR="00411BA1">
        <w:rPr>
          <w:rFonts w:ascii="Arial" w:hAnsi="Arial" w:cs="Arial"/>
          <w:sz w:val="20"/>
        </w:rPr>
        <w:t>”</w:t>
      </w:r>
      <w:r>
        <w:rPr>
          <w:rFonts w:ascii="Arial" w:hAnsi="Arial" w:cs="Arial"/>
          <w:sz w:val="20"/>
        </w:rPr>
        <w:t>: s.</w:t>
      </w:r>
      <w:r w:rsidR="00AC69EC">
        <w:rPr>
          <w:rFonts w:ascii="Arial" w:hAnsi="Arial" w:cs="Arial"/>
          <w:sz w:val="20"/>
        </w:rPr>
        <w:t>215</w:t>
      </w:r>
      <w:r>
        <w:rPr>
          <w:rFonts w:ascii="Arial" w:hAnsi="Arial" w:cs="Arial"/>
          <w:sz w:val="20"/>
        </w:rPr>
        <w:t>(1)(d)</w:t>
      </w:r>
      <w:r w:rsidR="00AC69EC">
        <w:rPr>
          <w:rFonts w:ascii="Arial" w:hAnsi="Arial" w:cs="Arial"/>
          <w:sz w:val="20"/>
        </w:rPr>
        <w:t xml:space="preserve"> of the CYFA</w:t>
      </w:r>
      <w:r>
        <w:rPr>
          <w:rFonts w:ascii="Arial" w:hAnsi="Arial" w:cs="Arial"/>
          <w:sz w:val="20"/>
        </w:rPr>
        <w:t xml:space="preserve">.  There is a similar provision in s.93(3) of the Children's Services Act 1986 (A.C.T.): </w:t>
      </w:r>
      <w:r>
        <w:rPr>
          <w:rFonts w:ascii="Arial" w:hAnsi="Arial" w:cs="Arial"/>
          <w:bCs/>
          <w:sz w:val="20"/>
        </w:rPr>
        <w:t xml:space="preserve">“The Court is not bound by the rules of evidence and may inform itself in any manner it thinks fit.”  The proper operation of such a provision was explained by Higgins J in the Supreme Court of the A.C.T. in </w:t>
      </w:r>
      <w:r>
        <w:rPr>
          <w:rFonts w:ascii="Arial" w:hAnsi="Arial" w:cs="Arial"/>
          <w:bCs/>
          <w:i/>
          <w:iCs/>
          <w:sz w:val="20"/>
        </w:rPr>
        <w:t xml:space="preserve">A &amp; B v Director of Family Services </w:t>
      </w:r>
      <w:r>
        <w:rPr>
          <w:rFonts w:ascii="Arial" w:hAnsi="Arial" w:cs="Arial"/>
          <w:sz w:val="20"/>
        </w:rPr>
        <w:t>(1996) 20 Fam LR 549 at 553-4</w:t>
      </w:r>
      <w:r>
        <w:rPr>
          <w:rFonts w:ascii="Arial" w:hAnsi="Arial" w:cs="Arial"/>
          <w:bCs/>
          <w:sz w:val="20"/>
        </w:rPr>
        <w:t>-</w:t>
      </w:r>
    </w:p>
    <w:p w14:paraId="66B1392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“[I]t should be recognised that such provisions do not render the rules of evidence irrelevant.  They should still be applied unless, for sound reason, their application is dispensed with.</w:t>
      </w:r>
    </w:p>
    <w:p w14:paraId="37EAC950"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In these proceedings, it seems to have been assumed that the rules of evidence relating to both hearsay and to expert evidence had no application.</w:t>
      </w:r>
    </w:p>
    <w:p w14:paraId="4539DFB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 xml:space="preserve">The proper approach to the application of the rules of evidence in the face of such a provision was considered by Lockhart J in </w:t>
      </w:r>
      <w:r>
        <w:rPr>
          <w:rFonts w:ascii="Arial" w:hAnsi="Arial" w:cs="Arial"/>
          <w:bCs/>
          <w:i/>
          <w:iCs/>
          <w:sz w:val="20"/>
        </w:rPr>
        <w:t xml:space="preserve">Pearce v Button </w:t>
      </w:r>
      <w:r>
        <w:rPr>
          <w:rFonts w:ascii="Arial" w:hAnsi="Arial" w:cs="Arial"/>
          <w:sz w:val="20"/>
        </w:rPr>
        <w:t>(1985) 65 ALR 83 at 97; 8 FCR 408 at 422.</w:t>
      </w:r>
      <w:r>
        <w:rPr>
          <w:sz w:val="20"/>
        </w:rPr>
        <w:t xml:space="preserve">  </w:t>
      </w:r>
      <w:r>
        <w:rPr>
          <w:rFonts w:ascii="Arial" w:hAnsi="Arial" w:cs="Arial"/>
          <w:bCs/>
          <w:sz w:val="20"/>
        </w:rPr>
        <w:t>His Honour said-</w:t>
      </w:r>
    </w:p>
    <w:p w14:paraId="584897FE" w14:textId="77777777" w:rsidR="00693223" w:rsidRDefault="00693223">
      <w:pPr>
        <w:spacing w:before="60"/>
        <w:ind w:left="567" w:right="567"/>
        <w:jc w:val="both"/>
        <w:rPr>
          <w:rFonts w:ascii="Arial" w:hAnsi="Arial" w:cs="Arial"/>
          <w:bCs/>
          <w:sz w:val="20"/>
        </w:rPr>
      </w:pPr>
      <w:r>
        <w:rPr>
          <w:rFonts w:ascii="Arial" w:hAnsi="Arial" w:cs="Arial"/>
          <w:bCs/>
          <w:sz w:val="20"/>
        </w:rPr>
        <w:t>‘…a judge should be slow to invoke it [a power to dispense with compliance with rules of evidence] where there is a real dispute about matters which go to the heart of the case.’”</w:t>
      </w:r>
    </w:p>
    <w:p w14:paraId="73FBD8AA" w14:textId="77777777" w:rsidR="00693223" w:rsidRDefault="00693223">
      <w:pPr>
        <w:spacing w:before="120"/>
        <w:jc w:val="both"/>
        <w:rPr>
          <w:rFonts w:ascii="Arial" w:hAnsi="Arial" w:cs="Arial"/>
          <w:bCs/>
          <w:sz w:val="20"/>
        </w:rPr>
      </w:pPr>
      <w:r>
        <w:rPr>
          <w:rFonts w:ascii="Arial" w:hAnsi="Arial" w:cs="Arial"/>
          <w:bCs/>
          <w:sz w:val="20"/>
        </w:rPr>
        <w:t xml:space="preserve">Higgins J </w:t>
      </w:r>
      <w:r>
        <w:rPr>
          <w:rFonts w:ascii="Arial" w:hAnsi="Arial" w:cs="Arial"/>
          <w:sz w:val="20"/>
        </w:rPr>
        <w:t xml:space="preserve">went on to discuss in detail the dangers inherent in the reception of hearsay evidence, citing dicta of the High Court in </w:t>
      </w:r>
      <w:r>
        <w:rPr>
          <w:rFonts w:ascii="Arial" w:hAnsi="Arial" w:cs="Arial"/>
          <w:i/>
          <w:sz w:val="20"/>
        </w:rPr>
        <w:t>Bannon v R</w:t>
      </w:r>
      <w:r>
        <w:rPr>
          <w:rFonts w:ascii="Arial" w:hAnsi="Arial" w:cs="Arial"/>
          <w:sz w:val="20"/>
        </w:rPr>
        <w:t xml:space="preserve"> (1995) 132 ALR 87; 70 ALJR 25 and </w:t>
      </w:r>
      <w:r>
        <w:rPr>
          <w:rFonts w:ascii="Arial" w:hAnsi="Arial" w:cs="Arial"/>
          <w:i/>
          <w:sz w:val="20"/>
        </w:rPr>
        <w:t>Straker v R</w:t>
      </w:r>
      <w:r>
        <w:rPr>
          <w:rFonts w:ascii="Arial" w:hAnsi="Arial" w:cs="Arial"/>
          <w:sz w:val="20"/>
        </w:rPr>
        <w:t xml:space="preserve"> (1977) 15 ALR 103; 51 ALJR 690.</w:t>
      </w:r>
    </w:p>
    <w:p w14:paraId="1FB3F975" w14:textId="77777777" w:rsidR="00693223" w:rsidRDefault="00693223">
      <w:pPr>
        <w:jc w:val="both"/>
        <w:rPr>
          <w:rFonts w:ascii="Arial" w:hAnsi="Arial" w:cs="Arial"/>
          <w:sz w:val="20"/>
        </w:rPr>
      </w:pPr>
    </w:p>
    <w:p w14:paraId="5675AF2E" w14:textId="77777777" w:rsidR="00544F20" w:rsidRDefault="00544F20">
      <w:pPr>
        <w:jc w:val="both"/>
        <w:rPr>
          <w:rFonts w:ascii="Arial" w:hAnsi="Arial" w:cs="Arial"/>
          <w:sz w:val="20"/>
        </w:rPr>
      </w:pPr>
      <w:r>
        <w:rPr>
          <w:rFonts w:ascii="Arial" w:hAnsi="Arial" w:cs="Arial"/>
          <w:sz w:val="20"/>
        </w:rPr>
        <w:t xml:space="preserve">In </w:t>
      </w:r>
      <w:r w:rsidRPr="00544F20">
        <w:rPr>
          <w:rFonts w:ascii="Arial" w:hAnsi="Arial" w:cs="Arial"/>
          <w:i/>
          <w:sz w:val="20"/>
        </w:rPr>
        <w:t xml:space="preserve">Weinstein v Medical Practitioners Board of </w:t>
      </w:r>
      <w:smartTag w:uri="urn:schemas-microsoft-com:office:smarttags" w:element="State">
        <w:smartTag w:uri="urn:schemas-microsoft-com:office:smarttags" w:element="place">
          <w:r w:rsidRPr="00544F20">
            <w:rPr>
              <w:rFonts w:ascii="Arial" w:hAnsi="Arial" w:cs="Arial"/>
              <w:i/>
              <w:sz w:val="20"/>
            </w:rPr>
            <w:t>Victoria</w:t>
          </w:r>
        </w:smartTag>
      </w:smartTag>
      <w:r>
        <w:rPr>
          <w:rFonts w:ascii="Arial" w:hAnsi="Arial" w:cs="Arial"/>
          <w:sz w:val="20"/>
        </w:rPr>
        <w:t xml:space="preserve"> [2008] VSCA 193 the Court of Appeal discussed the operation of a similar provision in s.52(1)(c) of the Medical Practice Act 1994 (Vic).  </w:t>
      </w:r>
      <w:r w:rsidR="0031744F">
        <w:rPr>
          <w:rFonts w:ascii="Arial" w:hAnsi="Arial" w:cs="Arial"/>
          <w:sz w:val="20"/>
        </w:rPr>
        <w:t xml:space="preserve">In rejecting a submission that the words </w:t>
      </w:r>
      <w:r w:rsidR="000C259D">
        <w:rPr>
          <w:rFonts w:ascii="Arial" w:hAnsi="Arial" w:cs="Arial"/>
          <w:sz w:val="20"/>
        </w:rPr>
        <w:t xml:space="preserve">“may inform itself in any way it thinks fit” should be regarded as redundant </w:t>
      </w:r>
      <w:r w:rsidR="007660F0">
        <w:rPr>
          <w:rFonts w:ascii="Arial" w:hAnsi="Arial" w:cs="Arial"/>
          <w:sz w:val="20"/>
        </w:rPr>
        <w:t>but</w:t>
      </w:r>
      <w:r w:rsidR="000C259D">
        <w:rPr>
          <w:rFonts w:ascii="Arial" w:hAnsi="Arial" w:cs="Arial"/>
          <w:sz w:val="20"/>
        </w:rPr>
        <w:t xml:space="preserve"> holding that the words were subject to </w:t>
      </w:r>
      <w:r w:rsidR="001E0258">
        <w:rPr>
          <w:rFonts w:ascii="Arial" w:hAnsi="Arial" w:cs="Arial"/>
          <w:sz w:val="20"/>
        </w:rPr>
        <w:t>a</w:t>
      </w:r>
      <w:r w:rsidR="000C259D">
        <w:rPr>
          <w:rFonts w:ascii="Arial" w:hAnsi="Arial" w:cs="Arial"/>
          <w:sz w:val="20"/>
        </w:rPr>
        <w:t xml:space="preserve"> requirement to </w:t>
      </w:r>
      <w:r w:rsidR="00FC40FC">
        <w:rPr>
          <w:rFonts w:ascii="Arial" w:hAnsi="Arial" w:cs="Arial"/>
          <w:sz w:val="20"/>
        </w:rPr>
        <w:t>accord</w:t>
      </w:r>
      <w:r w:rsidR="000C259D">
        <w:rPr>
          <w:rFonts w:ascii="Arial" w:hAnsi="Arial" w:cs="Arial"/>
          <w:sz w:val="20"/>
        </w:rPr>
        <w:t xml:space="preserve"> </w:t>
      </w:r>
      <w:r w:rsidR="00BB1A34">
        <w:rPr>
          <w:rFonts w:ascii="Arial" w:hAnsi="Arial" w:cs="Arial"/>
          <w:sz w:val="20"/>
        </w:rPr>
        <w:t>procedural fairness</w:t>
      </w:r>
      <w:r w:rsidR="000C259D">
        <w:rPr>
          <w:rFonts w:ascii="Arial" w:hAnsi="Arial" w:cs="Arial"/>
          <w:sz w:val="20"/>
        </w:rPr>
        <w:t xml:space="preserve">, </w:t>
      </w:r>
      <w:r>
        <w:rPr>
          <w:rFonts w:ascii="Arial" w:hAnsi="Arial" w:cs="Arial"/>
          <w:sz w:val="20"/>
        </w:rPr>
        <w:t>Maxwell P said at [28]</w:t>
      </w:r>
      <w:r w:rsidR="0031744F">
        <w:rPr>
          <w:rFonts w:ascii="Arial" w:hAnsi="Arial" w:cs="Arial"/>
          <w:sz w:val="20"/>
        </w:rPr>
        <w:t>-[29]</w:t>
      </w:r>
      <w:r w:rsidR="00D741BD">
        <w:rPr>
          <w:rFonts w:ascii="Arial" w:hAnsi="Arial" w:cs="Arial"/>
          <w:sz w:val="20"/>
        </w:rPr>
        <w:t>-</w:t>
      </w:r>
    </w:p>
    <w:p w14:paraId="7BCE61F5" w14:textId="77777777" w:rsidR="006B7A0D" w:rsidRDefault="00544F20" w:rsidP="00FC40FC">
      <w:pPr>
        <w:spacing w:before="60"/>
        <w:ind w:left="567" w:right="567"/>
        <w:jc w:val="both"/>
        <w:rPr>
          <w:rFonts w:ascii="Arial" w:hAnsi="Arial" w:cs="Arial"/>
          <w:bCs/>
          <w:sz w:val="20"/>
        </w:rPr>
      </w:pPr>
      <w:r>
        <w:rPr>
          <w:rFonts w:ascii="Arial" w:hAnsi="Arial" w:cs="Arial"/>
          <w:bCs/>
          <w:sz w:val="20"/>
        </w:rPr>
        <w:t>“</w:t>
      </w:r>
      <w:r>
        <w:rPr>
          <w:rFonts w:ascii="Arial" w:hAnsi="Arial" w:cs="Arial"/>
          <w:sz w:val="20"/>
        </w:rPr>
        <w:t xml:space="preserve">The words ‘may inform itself…’ were plainly intended to have work to do: cf. </w:t>
      </w:r>
      <w:r w:rsidRPr="00FC40FC">
        <w:rPr>
          <w:rFonts w:ascii="Arial" w:hAnsi="Arial" w:cs="Arial"/>
          <w:i/>
          <w:sz w:val="20"/>
        </w:rPr>
        <w:t xml:space="preserve">Project Blue Sky Inc v </w:t>
      </w:r>
      <w:smartTag w:uri="urn:schemas-microsoft-com:office:smarttags" w:element="City">
        <w:smartTag w:uri="urn:schemas-microsoft-com:office:smarttags" w:element="place">
          <w:r w:rsidRPr="00FC40FC">
            <w:rPr>
              <w:rFonts w:ascii="Arial" w:hAnsi="Arial" w:cs="Arial"/>
              <w:i/>
              <w:sz w:val="20"/>
            </w:rPr>
            <w:t>ABA</w:t>
          </w:r>
        </w:smartTag>
      </w:smartTag>
      <w:r w:rsidRPr="00FC40FC">
        <w:rPr>
          <w:rFonts w:ascii="Arial" w:hAnsi="Arial" w:cs="Arial"/>
          <w:i/>
          <w:sz w:val="20"/>
        </w:rPr>
        <w:t xml:space="preserve"> </w:t>
      </w:r>
      <w:r>
        <w:rPr>
          <w:rFonts w:ascii="Arial" w:hAnsi="Arial" w:cs="Arial"/>
          <w:sz w:val="20"/>
        </w:rPr>
        <w:t xml:space="preserve">(1998) 194 CLR 335, 382 [71] (McHugh, </w:t>
      </w:r>
      <w:proofErr w:type="spellStart"/>
      <w:r>
        <w:rPr>
          <w:rFonts w:ascii="Arial" w:hAnsi="Arial" w:cs="Arial"/>
          <w:sz w:val="20"/>
        </w:rPr>
        <w:t>Gummow</w:t>
      </w:r>
      <w:proofErr w:type="spellEnd"/>
      <w:r>
        <w:rPr>
          <w:rFonts w:ascii="Arial" w:hAnsi="Arial" w:cs="Arial"/>
          <w:sz w:val="20"/>
        </w:rPr>
        <w:t>,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Th</w:t>
      </w:r>
      <w:r w:rsidR="0098022D">
        <w:rPr>
          <w:rFonts w:ascii="Arial" w:hAnsi="Arial" w:cs="Arial"/>
          <w:sz w:val="20"/>
        </w:rPr>
        <w:t>is</w:t>
      </w:r>
      <w:r>
        <w:rPr>
          <w:rFonts w:ascii="Arial" w:hAnsi="Arial" w:cs="Arial"/>
          <w:sz w:val="20"/>
        </w:rPr>
        <w:t xml:space="preserve"> </w:t>
      </w:r>
      <w:r w:rsidR="005C0020">
        <w:rPr>
          <w:rFonts w:ascii="Arial" w:hAnsi="Arial" w:cs="Arial"/>
          <w:sz w:val="20"/>
        </w:rPr>
        <w:t>conclusion</w:t>
      </w:r>
      <w:r w:rsidR="0098022D">
        <w:rPr>
          <w:rFonts w:ascii="Arial" w:hAnsi="Arial" w:cs="Arial"/>
          <w:sz w:val="20"/>
        </w:rPr>
        <w:t xml:space="preserve"> </w:t>
      </w:r>
      <w:r>
        <w:rPr>
          <w:rFonts w:ascii="Arial" w:hAnsi="Arial" w:cs="Arial"/>
          <w:sz w:val="20"/>
        </w:rPr>
        <w:t xml:space="preserve">accords with what was said by </w:t>
      </w:r>
      <w:proofErr w:type="spellStart"/>
      <w:r>
        <w:rPr>
          <w:rFonts w:ascii="Arial" w:hAnsi="Arial" w:cs="Arial"/>
          <w:sz w:val="20"/>
        </w:rPr>
        <w:t>McInerney</w:t>
      </w:r>
      <w:proofErr w:type="spellEnd"/>
      <w:r>
        <w:rPr>
          <w:rFonts w:ascii="Arial" w:hAnsi="Arial" w:cs="Arial"/>
          <w:sz w:val="20"/>
        </w:rPr>
        <w:t xml:space="preserve"> J when considering analogous provisions in </w:t>
      </w:r>
      <w:proofErr w:type="spellStart"/>
      <w:r w:rsidRPr="00544F20">
        <w:rPr>
          <w:rFonts w:ascii="Arial" w:hAnsi="Arial" w:cs="Arial"/>
          <w:i/>
          <w:sz w:val="20"/>
        </w:rPr>
        <w:t>Wajnberg</w:t>
      </w:r>
      <w:proofErr w:type="spellEnd"/>
      <w:r w:rsidRPr="00544F20">
        <w:rPr>
          <w:rFonts w:ascii="Arial" w:hAnsi="Arial" w:cs="Arial"/>
          <w:i/>
          <w:sz w:val="20"/>
        </w:rPr>
        <w:t xml:space="preserve"> v Raynor and </w:t>
      </w:r>
      <w:smartTag w:uri="urn:schemas-microsoft-com:office:smarttags" w:element="City">
        <w:smartTag w:uri="urn:schemas-microsoft-com:office:smarttags" w:element="place">
          <w:r w:rsidRPr="00544F20">
            <w:rPr>
              <w:rFonts w:ascii="Arial" w:hAnsi="Arial" w:cs="Arial"/>
              <w:i/>
              <w:sz w:val="20"/>
            </w:rPr>
            <w:t>Melbourne</w:t>
          </w:r>
        </w:smartTag>
      </w:smartTag>
      <w:r w:rsidRPr="00544F20">
        <w:rPr>
          <w:rFonts w:ascii="Arial" w:hAnsi="Arial" w:cs="Arial"/>
          <w:i/>
          <w:sz w:val="20"/>
        </w:rPr>
        <w:t xml:space="preserve"> and Metropolitan Board of Works</w:t>
      </w:r>
      <w:r>
        <w:rPr>
          <w:rFonts w:ascii="Arial" w:hAnsi="Arial" w:cs="Arial"/>
          <w:sz w:val="20"/>
        </w:rPr>
        <w:t xml:space="preserve"> [1971] VR 665.</w:t>
      </w:r>
      <w:r w:rsidR="005C0020">
        <w:rPr>
          <w:rFonts w:ascii="Arial" w:hAnsi="Arial" w:cs="Arial"/>
          <w:sz w:val="20"/>
        </w:rPr>
        <w:t xml:space="preserve">  As Weinberg JA pointed out in argument, an equivalent power is conferred on the Family Division of the Children’s Court: s.215(1)(d) of the </w:t>
      </w:r>
      <w:r w:rsidR="005C0020" w:rsidRPr="00544F20">
        <w:rPr>
          <w:rFonts w:ascii="Arial" w:hAnsi="Arial" w:cs="Arial"/>
          <w:sz w:val="20"/>
        </w:rPr>
        <w:t>CYFA</w:t>
      </w:r>
      <w:r w:rsidR="005C0020">
        <w:rPr>
          <w:rFonts w:ascii="Arial" w:hAnsi="Arial" w:cs="Arial"/>
          <w:sz w:val="20"/>
        </w:rPr>
        <w:t>.</w:t>
      </w:r>
      <w:r w:rsidR="00FC40FC">
        <w:rPr>
          <w:rFonts w:ascii="Arial" w:hAnsi="Arial" w:cs="Arial"/>
          <w:sz w:val="20"/>
        </w:rPr>
        <w:t>”</w:t>
      </w:r>
    </w:p>
    <w:p w14:paraId="3790E393" w14:textId="77777777" w:rsidR="00E04070" w:rsidRDefault="00E04070" w:rsidP="00E04070">
      <w:pPr>
        <w:jc w:val="both"/>
        <w:rPr>
          <w:rFonts w:ascii="Arial" w:hAnsi="Arial" w:cs="Arial"/>
          <w:sz w:val="20"/>
        </w:rPr>
      </w:pPr>
    </w:p>
    <w:p w14:paraId="4C7743B6" w14:textId="77777777" w:rsidR="00E04070" w:rsidRPr="00E04070" w:rsidRDefault="0014387F" w:rsidP="00E04070">
      <w:pPr>
        <w:jc w:val="both"/>
        <w:rPr>
          <w:rFonts w:ascii="Arial" w:hAnsi="Arial" w:cs="Arial"/>
          <w:sz w:val="20"/>
          <w:u w:val="single"/>
        </w:rPr>
      </w:pPr>
      <w:r w:rsidRPr="0014387F">
        <w:rPr>
          <w:rFonts w:ascii="Arial" w:hAnsi="Arial" w:cs="Arial"/>
          <w:sz w:val="20"/>
        </w:rPr>
        <w:t xml:space="preserve">In </w:t>
      </w:r>
      <w:r w:rsidR="000F27BB">
        <w:rPr>
          <w:rFonts w:ascii="Arial" w:hAnsi="Arial" w:cs="Arial"/>
          <w:sz w:val="20"/>
        </w:rPr>
        <w:t xml:space="preserve">the dictionary annexed to the </w:t>
      </w:r>
      <w:r w:rsidR="000F27BB" w:rsidRPr="000F27BB">
        <w:rPr>
          <w:rFonts w:ascii="Arial" w:hAnsi="Arial" w:cs="Arial"/>
          <w:sz w:val="20"/>
          <w:u w:val="single"/>
        </w:rPr>
        <w:t>Evidence Act 2008 (Vic)</w:t>
      </w:r>
      <w:r w:rsidR="000F27BB" w:rsidRPr="000F27BB">
        <w:rPr>
          <w:rFonts w:ascii="Arial" w:hAnsi="Arial" w:cs="Arial"/>
          <w:sz w:val="20"/>
        </w:rPr>
        <w:t>, “Victorian court” means-</w:t>
      </w:r>
    </w:p>
    <w:p w14:paraId="166D77A2" w14:textId="77777777" w:rsidR="000F27BB" w:rsidRDefault="000F27BB" w:rsidP="00FB1EE3">
      <w:pPr>
        <w:numPr>
          <w:ilvl w:val="0"/>
          <w:numId w:val="34"/>
        </w:numPr>
        <w:ind w:right="567"/>
        <w:jc w:val="both"/>
        <w:rPr>
          <w:rFonts w:ascii="Arial" w:hAnsi="Arial" w:cs="Arial"/>
          <w:bCs/>
          <w:sz w:val="20"/>
        </w:rPr>
      </w:pPr>
      <w:r>
        <w:rPr>
          <w:rFonts w:ascii="Arial" w:hAnsi="Arial" w:cs="Arial"/>
          <w:bCs/>
          <w:sz w:val="20"/>
        </w:rPr>
        <w:t>the Supreme Court; or</w:t>
      </w:r>
    </w:p>
    <w:p w14:paraId="00934584" w14:textId="77777777" w:rsidR="000F27BB" w:rsidRDefault="002563EE" w:rsidP="00FB1EE3">
      <w:pPr>
        <w:numPr>
          <w:ilvl w:val="0"/>
          <w:numId w:val="34"/>
        </w:numPr>
        <w:ind w:right="567"/>
        <w:jc w:val="both"/>
        <w:rPr>
          <w:rFonts w:ascii="Arial" w:hAnsi="Arial" w:cs="Arial"/>
          <w:bCs/>
          <w:sz w:val="20"/>
        </w:rPr>
      </w:pPr>
      <w:r>
        <w:rPr>
          <w:rFonts w:ascii="Arial" w:hAnsi="Arial" w:cs="Arial"/>
          <w:bCs/>
          <w:sz w:val="20"/>
        </w:rPr>
        <w:t>any other Court created by Parliament-</w:t>
      </w:r>
    </w:p>
    <w:p w14:paraId="2CDE8D41" w14:textId="77777777" w:rsidR="002563EE" w:rsidRDefault="002563EE" w:rsidP="002563EE">
      <w:pPr>
        <w:ind w:left="567" w:right="567"/>
        <w:jc w:val="both"/>
        <w:rPr>
          <w:rFonts w:ascii="Arial" w:hAnsi="Arial" w:cs="Arial"/>
          <w:bCs/>
          <w:sz w:val="20"/>
        </w:rPr>
      </w:pPr>
      <w:r>
        <w:rPr>
          <w:rFonts w:ascii="Arial" w:hAnsi="Arial" w:cs="Arial"/>
          <w:bCs/>
          <w:sz w:val="20"/>
        </w:rPr>
        <w:t>and includes any person or body (other than a court) that, in exercising a function under the law of the State, is required to apply the laws of evidence.</w:t>
      </w:r>
    </w:p>
    <w:p w14:paraId="70DDC835" w14:textId="77777777" w:rsidR="002563EE" w:rsidRDefault="002563EE" w:rsidP="002563EE">
      <w:pPr>
        <w:jc w:val="both"/>
        <w:rPr>
          <w:rFonts w:ascii="Arial" w:hAnsi="Arial" w:cs="Arial"/>
          <w:sz w:val="20"/>
        </w:rPr>
      </w:pPr>
    </w:p>
    <w:p w14:paraId="07569D8B" w14:textId="77777777" w:rsidR="002563EE" w:rsidRDefault="002563EE" w:rsidP="002563EE">
      <w:pPr>
        <w:jc w:val="both"/>
        <w:rPr>
          <w:rFonts w:ascii="Arial" w:hAnsi="Arial" w:cs="Arial"/>
          <w:sz w:val="20"/>
        </w:rPr>
      </w:pPr>
      <w:r>
        <w:rPr>
          <w:rFonts w:ascii="Arial" w:hAnsi="Arial" w:cs="Arial"/>
          <w:sz w:val="20"/>
        </w:rPr>
        <w:t xml:space="preserve">It follows that the Children’s Court is a Victorian court within paragraph (b) of the definition.  Section 4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w:t>
      </w:r>
      <w:r w:rsidR="00411BA1" w:rsidRPr="00411BA1">
        <w:rPr>
          <w:rFonts w:ascii="Arial" w:hAnsi="Arial" w:cs="Arial"/>
          <w:i/>
          <w:sz w:val="20"/>
        </w:rPr>
        <w:t>inter alia</w:t>
      </w:r>
      <w:r>
        <w:rPr>
          <w:rFonts w:ascii="Arial" w:hAnsi="Arial" w:cs="Arial"/>
          <w:sz w:val="20"/>
        </w:rPr>
        <w:t>-</w:t>
      </w:r>
    </w:p>
    <w:p w14:paraId="20E6982B" w14:textId="77777777" w:rsidR="002563EE" w:rsidRDefault="00411BA1" w:rsidP="002563EE">
      <w:pPr>
        <w:ind w:left="924" w:right="567" w:hanging="357"/>
        <w:jc w:val="both"/>
        <w:rPr>
          <w:rFonts w:ascii="Arial" w:hAnsi="Arial" w:cs="Arial"/>
          <w:bCs/>
          <w:sz w:val="20"/>
        </w:rPr>
      </w:pPr>
      <w:r>
        <w:rPr>
          <w:rFonts w:ascii="Arial" w:hAnsi="Arial" w:cs="Arial"/>
          <w:bCs/>
          <w:sz w:val="20"/>
        </w:rPr>
        <w:t>“</w:t>
      </w:r>
      <w:r w:rsidR="002563EE">
        <w:rPr>
          <w:rFonts w:ascii="Arial" w:hAnsi="Arial" w:cs="Arial"/>
          <w:bCs/>
          <w:sz w:val="20"/>
        </w:rPr>
        <w:t>(1)</w:t>
      </w:r>
      <w:r w:rsidR="002563EE">
        <w:rPr>
          <w:rFonts w:ascii="Arial" w:hAnsi="Arial" w:cs="Arial"/>
          <w:bCs/>
          <w:sz w:val="20"/>
        </w:rPr>
        <w:tab/>
        <w:t>This Act applies to all proceedings in a Victorian court, including proceedings that-</w:t>
      </w:r>
    </w:p>
    <w:p w14:paraId="496865B7" w14:textId="77777777" w:rsidR="002563EE" w:rsidRDefault="002563EE" w:rsidP="00033D59">
      <w:pPr>
        <w:ind w:left="924" w:right="567" w:hanging="357"/>
        <w:jc w:val="both"/>
        <w:rPr>
          <w:rFonts w:ascii="Arial" w:hAnsi="Arial" w:cs="Arial"/>
          <w:bCs/>
          <w:sz w:val="20"/>
        </w:rPr>
      </w:pPr>
      <w:r>
        <w:rPr>
          <w:rFonts w:ascii="Arial" w:hAnsi="Arial" w:cs="Arial"/>
          <w:bCs/>
          <w:sz w:val="20"/>
        </w:rPr>
        <w:tab/>
        <w:t>(a)</w:t>
      </w:r>
      <w:r>
        <w:rPr>
          <w:rFonts w:ascii="Arial" w:hAnsi="Arial" w:cs="Arial"/>
          <w:bCs/>
          <w:sz w:val="20"/>
        </w:rPr>
        <w:tab/>
        <w:t>relate to bail; or</w:t>
      </w:r>
    </w:p>
    <w:p w14:paraId="4512EAE2" w14:textId="77777777" w:rsidR="002563EE" w:rsidRDefault="002563EE" w:rsidP="002563EE">
      <w:pPr>
        <w:ind w:left="924" w:right="567" w:hanging="357"/>
        <w:jc w:val="both"/>
        <w:rPr>
          <w:rFonts w:ascii="Arial" w:hAnsi="Arial" w:cs="Arial"/>
          <w:bCs/>
          <w:sz w:val="20"/>
        </w:rPr>
      </w:pPr>
      <w:r>
        <w:rPr>
          <w:rFonts w:ascii="Arial" w:hAnsi="Arial" w:cs="Arial"/>
          <w:bCs/>
          <w:sz w:val="20"/>
        </w:rPr>
        <w:tab/>
        <w:t>(b)</w:t>
      </w:r>
      <w:r>
        <w:rPr>
          <w:rFonts w:ascii="Arial" w:hAnsi="Arial" w:cs="Arial"/>
          <w:bCs/>
          <w:sz w:val="20"/>
        </w:rPr>
        <w:tab/>
        <w:t>are interlocutory proceedings or proceedings of a similar kind; or</w:t>
      </w:r>
    </w:p>
    <w:p w14:paraId="01C9ABEF" w14:textId="77777777" w:rsidR="002563EE" w:rsidRDefault="002563EE" w:rsidP="002563EE">
      <w:pPr>
        <w:ind w:left="924" w:right="567" w:hanging="357"/>
        <w:jc w:val="both"/>
        <w:rPr>
          <w:rFonts w:ascii="Arial" w:hAnsi="Arial" w:cs="Arial"/>
          <w:bCs/>
          <w:sz w:val="20"/>
        </w:rPr>
      </w:pPr>
      <w:r>
        <w:rPr>
          <w:rFonts w:ascii="Arial" w:hAnsi="Arial" w:cs="Arial"/>
          <w:bCs/>
          <w:sz w:val="20"/>
        </w:rPr>
        <w:tab/>
        <w:t>(c)</w:t>
      </w:r>
      <w:r>
        <w:rPr>
          <w:rFonts w:ascii="Arial" w:hAnsi="Arial" w:cs="Arial"/>
          <w:bCs/>
          <w:sz w:val="20"/>
        </w:rPr>
        <w:tab/>
        <w:t>are heard in chambers; or</w:t>
      </w:r>
    </w:p>
    <w:p w14:paraId="30D59C68" w14:textId="77777777" w:rsidR="002563EE" w:rsidRDefault="002563EE" w:rsidP="002563EE">
      <w:pPr>
        <w:ind w:left="924" w:right="567" w:hanging="357"/>
        <w:jc w:val="both"/>
        <w:rPr>
          <w:rFonts w:ascii="Arial" w:hAnsi="Arial" w:cs="Arial"/>
          <w:bCs/>
          <w:sz w:val="20"/>
        </w:rPr>
      </w:pPr>
      <w:r>
        <w:rPr>
          <w:rFonts w:ascii="Arial" w:hAnsi="Arial" w:cs="Arial"/>
          <w:bCs/>
          <w:sz w:val="20"/>
        </w:rPr>
        <w:tab/>
        <w:t>(d)</w:t>
      </w:r>
      <w:r>
        <w:rPr>
          <w:rFonts w:ascii="Arial" w:hAnsi="Arial" w:cs="Arial"/>
          <w:bCs/>
          <w:sz w:val="20"/>
        </w:rPr>
        <w:tab/>
        <w:t>subject to subsection (2) relate to sentencing.</w:t>
      </w:r>
    </w:p>
    <w:p w14:paraId="0DDE1E8C" w14:textId="77777777" w:rsidR="002563EE" w:rsidRDefault="002563EE" w:rsidP="002563EE">
      <w:pPr>
        <w:ind w:left="924" w:right="567" w:hanging="357"/>
        <w:jc w:val="both"/>
        <w:rPr>
          <w:rFonts w:ascii="Arial" w:hAnsi="Arial" w:cs="Arial"/>
          <w:bCs/>
          <w:sz w:val="20"/>
        </w:rPr>
      </w:pPr>
      <w:r>
        <w:rPr>
          <w:rFonts w:ascii="Arial" w:hAnsi="Arial" w:cs="Arial"/>
          <w:bCs/>
          <w:sz w:val="20"/>
        </w:rPr>
        <w:t>(2)</w:t>
      </w:r>
      <w:r>
        <w:rPr>
          <w:rFonts w:ascii="Arial" w:hAnsi="Arial" w:cs="Arial"/>
          <w:bCs/>
          <w:sz w:val="20"/>
        </w:rPr>
        <w:tab/>
        <w:t>If such a proceeding relates to sentencing-</w:t>
      </w:r>
    </w:p>
    <w:p w14:paraId="1D46A665" w14:textId="77777777" w:rsidR="002563EE" w:rsidRDefault="002563EE" w:rsidP="002563EE">
      <w:pPr>
        <w:ind w:left="1287" w:right="567" w:hanging="363"/>
        <w:jc w:val="both"/>
        <w:rPr>
          <w:rFonts w:ascii="Arial" w:hAnsi="Arial" w:cs="Arial"/>
          <w:bCs/>
          <w:sz w:val="20"/>
        </w:rPr>
      </w:pPr>
      <w:r>
        <w:rPr>
          <w:rFonts w:ascii="Arial" w:hAnsi="Arial" w:cs="Arial"/>
          <w:bCs/>
          <w:sz w:val="20"/>
        </w:rPr>
        <w:t>(a)</w:t>
      </w:r>
      <w:r>
        <w:rPr>
          <w:rFonts w:ascii="Arial" w:hAnsi="Arial" w:cs="Arial"/>
          <w:bCs/>
          <w:sz w:val="20"/>
        </w:rPr>
        <w:tab/>
        <w:t>this Act applies only if the court directs that the law of evidence applies in the proceeding; and</w:t>
      </w:r>
    </w:p>
    <w:p w14:paraId="3A6A39BF" w14:textId="77777777" w:rsidR="002563EE" w:rsidRDefault="002563EE" w:rsidP="002563EE">
      <w:pPr>
        <w:ind w:left="1287" w:right="567" w:hanging="363"/>
        <w:jc w:val="both"/>
        <w:rPr>
          <w:rFonts w:ascii="Arial" w:hAnsi="Arial" w:cs="Arial"/>
          <w:bCs/>
          <w:sz w:val="20"/>
        </w:rPr>
      </w:pPr>
      <w:r>
        <w:rPr>
          <w:rFonts w:ascii="Arial" w:hAnsi="Arial" w:cs="Arial"/>
          <w:bCs/>
          <w:sz w:val="20"/>
        </w:rPr>
        <w:t>(b)</w:t>
      </w:r>
      <w:r>
        <w:rPr>
          <w:rFonts w:ascii="Arial" w:hAnsi="Arial" w:cs="Arial"/>
          <w:bCs/>
          <w:sz w:val="20"/>
        </w:rPr>
        <w:tab/>
        <w:t>if the court specifies in the direction that the law of evidence applies only in relation to specified matters – the direction has effect accordingly.</w:t>
      </w:r>
      <w:r w:rsidR="00411BA1">
        <w:rPr>
          <w:rFonts w:ascii="Arial" w:hAnsi="Arial" w:cs="Arial"/>
          <w:bCs/>
          <w:sz w:val="20"/>
        </w:rPr>
        <w:t>”</w:t>
      </w:r>
    </w:p>
    <w:p w14:paraId="1836320D" w14:textId="77777777" w:rsidR="002563EE" w:rsidRDefault="002563EE" w:rsidP="002563EE">
      <w:pPr>
        <w:jc w:val="both"/>
        <w:rPr>
          <w:rFonts w:ascii="Arial" w:hAnsi="Arial" w:cs="Arial"/>
          <w:sz w:val="20"/>
        </w:rPr>
      </w:pPr>
    </w:p>
    <w:p w14:paraId="722AD225" w14:textId="77777777" w:rsidR="0014387F" w:rsidRDefault="002563EE">
      <w:pPr>
        <w:jc w:val="both"/>
        <w:rPr>
          <w:rFonts w:ascii="Arial" w:hAnsi="Arial" w:cs="Arial"/>
          <w:sz w:val="20"/>
        </w:rPr>
      </w:pPr>
      <w:r>
        <w:rPr>
          <w:rFonts w:ascii="Arial" w:hAnsi="Arial" w:cs="Arial"/>
          <w:sz w:val="20"/>
        </w:rPr>
        <w:lastRenderedPageBreak/>
        <w:t xml:space="preserve">However, s.8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“This Act does not affect the operation of the provisions of any other Act.”  Note 4 to s.4 states: “Provisions in other Victorian Acts which relieve courts from the obligation to apply the rules of evidence in certain proceedings are preserved by s.8 of this Act.  These include s.215 of the </w:t>
      </w:r>
      <w:r w:rsidR="00411BA1" w:rsidRPr="00411BA1">
        <w:rPr>
          <w:rFonts w:ascii="Arial" w:hAnsi="Arial" w:cs="Arial"/>
          <w:b/>
          <w:sz w:val="20"/>
        </w:rPr>
        <w:t>Children, Youth and Families Act 2005</w:t>
      </w:r>
      <w:r w:rsidR="00411BA1">
        <w:rPr>
          <w:rFonts w:ascii="Arial" w:hAnsi="Arial" w:cs="Arial"/>
          <w:sz w:val="20"/>
        </w:rPr>
        <w:t>.”</w:t>
      </w:r>
      <w:r w:rsidR="00E223F2">
        <w:rPr>
          <w:rFonts w:ascii="Arial" w:hAnsi="Arial" w:cs="Arial"/>
          <w:sz w:val="20"/>
        </w:rPr>
        <w:t xml:space="preserve">  It follows from all of this that the </w:t>
      </w:r>
      <w:r w:rsidR="00E223F2" w:rsidRPr="00E223F2">
        <w:rPr>
          <w:rFonts w:ascii="Arial" w:hAnsi="Arial" w:cs="Arial"/>
          <w:sz w:val="20"/>
          <w:u w:val="single"/>
        </w:rPr>
        <w:t>Evidence Act 2008</w:t>
      </w:r>
      <w:r w:rsidR="00E223F2">
        <w:rPr>
          <w:rFonts w:ascii="Arial" w:hAnsi="Arial" w:cs="Arial"/>
          <w:sz w:val="20"/>
        </w:rPr>
        <w:t xml:space="preserve"> does not alter the power of the Family Division of the Children’s Court to “inform itself on a matter in such manner as it thinks fit, despite any rules of evidence to the contrary”.</w:t>
      </w:r>
    </w:p>
    <w:p w14:paraId="6FCCC2D6" w14:textId="77777777" w:rsidR="00E223F2" w:rsidRDefault="00E223F2">
      <w:pPr>
        <w:jc w:val="both"/>
        <w:rPr>
          <w:rFonts w:ascii="Arial" w:hAnsi="Arial" w:cs="Arial"/>
          <w:sz w:val="16"/>
        </w:rPr>
      </w:pPr>
    </w:p>
    <w:p w14:paraId="1D5B6D14" w14:textId="77777777" w:rsidR="00061CF0" w:rsidRDefault="002A72C0">
      <w:pPr>
        <w:jc w:val="both"/>
        <w:rPr>
          <w:rFonts w:ascii="Arial" w:hAnsi="Arial" w:cs="Arial"/>
          <w:sz w:val="20"/>
        </w:rPr>
      </w:pPr>
      <w:r>
        <w:rPr>
          <w:rFonts w:ascii="Arial" w:hAnsi="Arial" w:cs="Arial"/>
          <w:sz w:val="20"/>
        </w:rPr>
        <w:t>T</w:t>
      </w:r>
      <w:r w:rsidR="00061CF0">
        <w:rPr>
          <w:rFonts w:ascii="Arial" w:hAnsi="Arial" w:cs="Arial"/>
          <w:sz w:val="20"/>
        </w:rPr>
        <w:t xml:space="preserve">he Less Adversarial Trial </w:t>
      </w:r>
      <w:r>
        <w:rPr>
          <w:rFonts w:ascii="Arial" w:hAnsi="Arial" w:cs="Arial"/>
          <w:sz w:val="20"/>
        </w:rPr>
        <w:t xml:space="preserve">[‘LAT’] approach currently in operation in the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has as one of its cornerstones the amendments introduced in 2006 as </w:t>
      </w:r>
      <w:r>
        <w:rPr>
          <w:rFonts w:ascii="Arial" w:hAnsi="Arial" w:cs="Arial"/>
          <w:iCs/>
          <w:sz w:val="20"/>
        </w:rPr>
        <w:t xml:space="preserve">Division 12A of Part VII of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Pr>
          <w:rFonts w:ascii="Arial" w:hAnsi="Arial" w:cs="Arial"/>
          <w:iCs/>
          <w:sz w:val="20"/>
        </w:rPr>
        <w:t>.  One of these amendments is the insertion of s.69ZT which provides that in child-related proceedings:</w:t>
      </w:r>
    </w:p>
    <w:p w14:paraId="577449F1" w14:textId="77777777" w:rsidR="002A72C0" w:rsidRDefault="002A72C0" w:rsidP="00FB1EE3">
      <w:pPr>
        <w:numPr>
          <w:ilvl w:val="0"/>
          <w:numId w:val="62"/>
        </w:numPr>
        <w:ind w:left="419" w:hanging="357"/>
        <w:jc w:val="both"/>
        <w:rPr>
          <w:rFonts w:ascii="Arial" w:hAnsi="Arial" w:cs="Arial"/>
          <w:sz w:val="20"/>
        </w:rPr>
      </w:pPr>
      <w:r>
        <w:rPr>
          <w:rFonts w:ascii="Arial" w:hAnsi="Arial" w:cs="Arial"/>
          <w:sz w:val="20"/>
        </w:rPr>
        <w:t>certain of the rules of evidence do not apply unless – in exceptional circumstances - the Court decides to the contrary; the</w:t>
      </w:r>
      <w:r w:rsidR="00D451AD">
        <w:rPr>
          <w:rFonts w:ascii="Arial" w:hAnsi="Arial" w:cs="Arial"/>
          <w:sz w:val="20"/>
        </w:rPr>
        <w:t xml:space="preserve"> </w:t>
      </w:r>
      <w:r w:rsidR="00E96907">
        <w:rPr>
          <w:rFonts w:ascii="Arial" w:hAnsi="Arial" w:cs="Arial"/>
          <w:sz w:val="20"/>
        </w:rPr>
        <w:t xml:space="preserve">generally </w:t>
      </w:r>
      <w:r w:rsidR="00D451AD">
        <w:rPr>
          <w:rFonts w:ascii="Arial" w:hAnsi="Arial" w:cs="Arial"/>
          <w:sz w:val="20"/>
        </w:rPr>
        <w:t>inapplicable rules</w:t>
      </w:r>
      <w:r w:rsidR="00E96907">
        <w:rPr>
          <w:rFonts w:ascii="Arial" w:hAnsi="Arial" w:cs="Arial"/>
          <w:sz w:val="20"/>
        </w:rPr>
        <w:t xml:space="preserve"> include the traditional procedures for</w:t>
      </w:r>
      <w:r>
        <w:rPr>
          <w:rFonts w:ascii="Arial" w:hAnsi="Arial" w:cs="Arial"/>
          <w:sz w:val="20"/>
        </w:rPr>
        <w:t xml:space="preserve"> giving </w:t>
      </w:r>
      <w:r w:rsidR="00E96907" w:rsidRPr="00E96907">
        <w:rPr>
          <w:rFonts w:ascii="Arial" w:hAnsi="Arial" w:cs="Arial"/>
          <w:i/>
          <w:sz w:val="20"/>
        </w:rPr>
        <w:t>viva voce</w:t>
      </w:r>
      <w:r w:rsidR="00E96907">
        <w:rPr>
          <w:rFonts w:ascii="Arial" w:hAnsi="Arial" w:cs="Arial"/>
          <w:sz w:val="20"/>
        </w:rPr>
        <w:t xml:space="preserve"> </w:t>
      </w:r>
      <w:r>
        <w:rPr>
          <w:rFonts w:ascii="Arial" w:hAnsi="Arial" w:cs="Arial"/>
          <w:sz w:val="20"/>
        </w:rPr>
        <w:t>evidence, rules dealing</w:t>
      </w:r>
      <w:r w:rsidR="00D451AD">
        <w:rPr>
          <w:rFonts w:ascii="Arial" w:hAnsi="Arial" w:cs="Arial"/>
          <w:sz w:val="20"/>
        </w:rPr>
        <w:t xml:space="preserve"> with documents and </w:t>
      </w:r>
      <w:r>
        <w:rPr>
          <w:rFonts w:ascii="Arial" w:hAnsi="Arial" w:cs="Arial"/>
          <w:sz w:val="20"/>
        </w:rPr>
        <w:t>hearsay evidence, opinion evidence, evidence of judgments and convictions, tendency and coincidence evidence and evidence of credibility [ss.69</w:t>
      </w:r>
      <w:proofErr w:type="gramStart"/>
      <w:r>
        <w:rPr>
          <w:rFonts w:ascii="Arial" w:hAnsi="Arial" w:cs="Arial"/>
          <w:sz w:val="20"/>
        </w:rPr>
        <w:t>ZT(</w:t>
      </w:r>
      <w:proofErr w:type="gramEnd"/>
      <w:r>
        <w:rPr>
          <w:rFonts w:ascii="Arial" w:hAnsi="Arial" w:cs="Arial"/>
          <w:sz w:val="20"/>
        </w:rPr>
        <w:t>1) &amp; 69ZT(3)]; and</w:t>
      </w:r>
    </w:p>
    <w:p w14:paraId="23458CCD" w14:textId="77777777" w:rsidR="002A72C0" w:rsidRDefault="002A72C0" w:rsidP="00FB1EE3">
      <w:pPr>
        <w:numPr>
          <w:ilvl w:val="0"/>
          <w:numId w:val="62"/>
        </w:numPr>
        <w:jc w:val="both"/>
        <w:rPr>
          <w:rFonts w:ascii="Arial" w:hAnsi="Arial" w:cs="Arial"/>
          <w:sz w:val="20"/>
        </w:rPr>
      </w:pPr>
      <w:r>
        <w:rPr>
          <w:rFonts w:ascii="Arial" w:hAnsi="Arial" w:cs="Arial"/>
          <w:sz w:val="20"/>
        </w:rPr>
        <w:t>the Court may give such weight (if any) as it thinks fit to evidence admitted either contrary to or in accord with the rules of evidence [ss.69</w:t>
      </w:r>
      <w:proofErr w:type="gramStart"/>
      <w:r>
        <w:rPr>
          <w:rFonts w:ascii="Arial" w:hAnsi="Arial" w:cs="Arial"/>
          <w:sz w:val="20"/>
        </w:rPr>
        <w:t>ZT(</w:t>
      </w:r>
      <w:proofErr w:type="gramEnd"/>
      <w:r>
        <w:rPr>
          <w:rFonts w:ascii="Arial" w:hAnsi="Arial" w:cs="Arial"/>
          <w:sz w:val="20"/>
        </w:rPr>
        <w:t>2) &amp; 69ZT(4)].</w:t>
      </w:r>
    </w:p>
    <w:p w14:paraId="3E375DAE" w14:textId="77777777" w:rsidR="002A72C0" w:rsidRDefault="002A72C0">
      <w:pPr>
        <w:jc w:val="both"/>
        <w:rPr>
          <w:rFonts w:ascii="Arial" w:hAnsi="Arial" w:cs="Arial"/>
          <w:sz w:val="20"/>
        </w:rPr>
      </w:pPr>
    </w:p>
    <w:p w14:paraId="6D11A171" w14:textId="77777777" w:rsidR="00061CF0" w:rsidRDefault="002A72C0" w:rsidP="00BB1A34">
      <w:pPr>
        <w:jc w:val="both"/>
        <w:rPr>
          <w:rFonts w:ascii="Arial" w:hAnsi="Arial" w:cs="Arial"/>
          <w:sz w:val="20"/>
        </w:rPr>
      </w:pPr>
      <w:bookmarkStart w:id="1241" w:name="_Toc30654120"/>
      <w:bookmarkStart w:id="1242" w:name="_Toc30654471"/>
      <w:bookmarkStart w:id="1243" w:name="_Toc30655090"/>
      <w:bookmarkStart w:id="1244" w:name="_Toc30655347"/>
      <w:bookmarkStart w:id="1245" w:name="_Toc30657025"/>
      <w:bookmarkStart w:id="1246" w:name="_Toc30661774"/>
      <w:bookmarkStart w:id="1247" w:name="_Toc30666462"/>
      <w:bookmarkStart w:id="1248" w:name="_Toc30666692"/>
      <w:bookmarkStart w:id="1249" w:name="_Toc30667867"/>
      <w:bookmarkStart w:id="1250" w:name="_Toc30669245"/>
      <w:bookmarkStart w:id="1251" w:name="_Toc30671461"/>
      <w:bookmarkStart w:id="1252" w:name="_Toc30673988"/>
      <w:bookmarkStart w:id="1253" w:name="_Toc30691210"/>
      <w:bookmarkStart w:id="1254" w:name="_Toc30691583"/>
      <w:bookmarkStart w:id="1255" w:name="_Toc30691963"/>
      <w:bookmarkStart w:id="1256" w:name="_Toc30692722"/>
      <w:bookmarkStart w:id="1257" w:name="_Toc30693101"/>
      <w:bookmarkStart w:id="1258" w:name="_Toc30693479"/>
      <w:bookmarkStart w:id="1259" w:name="_Toc30693857"/>
      <w:bookmarkStart w:id="1260" w:name="_Toc30694238"/>
      <w:bookmarkStart w:id="1261" w:name="_Toc30698827"/>
      <w:bookmarkStart w:id="1262" w:name="_Toc30699205"/>
      <w:bookmarkStart w:id="1263" w:name="_Toc30699590"/>
      <w:bookmarkStart w:id="1264" w:name="_Toc30700745"/>
      <w:bookmarkStart w:id="1265" w:name="_Toc30701132"/>
      <w:bookmarkStart w:id="1266" w:name="_Toc30743741"/>
      <w:bookmarkStart w:id="1267" w:name="_Toc30754564"/>
      <w:bookmarkStart w:id="1268" w:name="_Toc30757004"/>
      <w:bookmarkStart w:id="1269" w:name="_Toc30757553"/>
      <w:bookmarkStart w:id="1270" w:name="_Toc30757953"/>
      <w:bookmarkStart w:id="1271" w:name="_Toc30762714"/>
      <w:bookmarkStart w:id="1272" w:name="_Toc30767368"/>
      <w:bookmarkStart w:id="1273" w:name="_Toc34823383"/>
      <w:r>
        <w:rPr>
          <w:rFonts w:ascii="Arial" w:hAnsi="Arial" w:cs="Arial"/>
          <w:sz w:val="20"/>
        </w:rPr>
        <w:t xml:space="preserve">The </w:t>
      </w:r>
      <w:r w:rsidRPr="002A72C0">
        <w:rPr>
          <w:rFonts w:ascii="Arial" w:hAnsi="Arial" w:cs="Arial"/>
          <w:sz w:val="20"/>
          <w:u w:val="single"/>
        </w:rPr>
        <w:t>Family Violence Protection Act 2008 (Vic)</w:t>
      </w:r>
      <w:r>
        <w:rPr>
          <w:rFonts w:ascii="Arial" w:hAnsi="Arial" w:cs="Arial"/>
          <w:sz w:val="20"/>
        </w:rPr>
        <w:t xml:space="preserve"> </w:t>
      </w:r>
      <w:r w:rsidR="009F7EDF">
        <w:rPr>
          <w:rFonts w:ascii="Arial" w:hAnsi="Arial" w:cs="Arial"/>
          <w:sz w:val="20"/>
        </w:rPr>
        <w:t>came</w:t>
      </w:r>
      <w:r>
        <w:rPr>
          <w:rFonts w:ascii="Arial" w:hAnsi="Arial" w:cs="Arial"/>
          <w:sz w:val="20"/>
        </w:rPr>
        <w:t xml:space="preserve"> into operation in </w:t>
      </w:r>
      <w:r w:rsidR="00D451AD">
        <w:rPr>
          <w:rFonts w:ascii="Arial" w:hAnsi="Arial" w:cs="Arial"/>
          <w:sz w:val="20"/>
        </w:rPr>
        <w:t>both the Magistrates’ Co</w:t>
      </w:r>
      <w:r w:rsidR="009F7EDF">
        <w:rPr>
          <w:rFonts w:ascii="Arial" w:hAnsi="Arial" w:cs="Arial"/>
          <w:sz w:val="20"/>
        </w:rPr>
        <w:t>urt and the Children’s Court on 08/12/</w:t>
      </w:r>
      <w:r>
        <w:rPr>
          <w:rFonts w:ascii="Arial" w:hAnsi="Arial" w:cs="Arial"/>
          <w:sz w:val="20"/>
        </w:rPr>
        <w:t xml:space="preserve">2008.  Section 65 of that Act provides </w:t>
      </w:r>
      <w:r w:rsidR="00A07795">
        <w:rPr>
          <w:rFonts w:ascii="Arial" w:hAnsi="Arial" w:cs="Arial"/>
          <w:sz w:val="20"/>
        </w:rPr>
        <w:t>a broad but qualified dispensation from the rules of evidence:</w:t>
      </w:r>
    </w:p>
    <w:p w14:paraId="586B65F5"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“(1)</w:t>
      </w:r>
      <w:r>
        <w:rPr>
          <w:rFonts w:ascii="Arial" w:hAnsi="Arial" w:cs="Arial"/>
          <w:bCs/>
          <w:sz w:val="20"/>
        </w:rPr>
        <w:tab/>
        <w:t>Subje</w:t>
      </w:r>
      <w:r w:rsidR="00D451AD">
        <w:rPr>
          <w:rFonts w:ascii="Arial" w:hAnsi="Arial" w:cs="Arial"/>
          <w:bCs/>
          <w:sz w:val="20"/>
        </w:rPr>
        <w:t>ct to this Act, in a proceeding</w:t>
      </w:r>
      <w:r>
        <w:rPr>
          <w:rFonts w:ascii="Arial" w:hAnsi="Arial" w:cs="Arial"/>
          <w:bCs/>
          <w:sz w:val="20"/>
        </w:rPr>
        <w:t xml:space="preserve"> for a family violence intervention order the court may inform itself in any way it thinks fit, despite any rules of evidence to the contrary…</w:t>
      </w:r>
    </w:p>
    <w:p w14:paraId="2B33563A"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(3)</w:t>
      </w:r>
      <w:r>
        <w:rPr>
          <w:rFonts w:ascii="Arial" w:hAnsi="Arial" w:cs="Arial"/>
          <w:bCs/>
          <w:sz w:val="20"/>
        </w:rPr>
        <w:tab/>
        <w:t xml:space="preserve">The </w:t>
      </w:r>
      <w:r w:rsidR="00D451AD">
        <w:rPr>
          <w:rFonts w:ascii="Arial" w:hAnsi="Arial" w:cs="Arial"/>
          <w:bCs/>
          <w:sz w:val="20"/>
        </w:rPr>
        <w:t>c</w:t>
      </w:r>
      <w:r>
        <w:rPr>
          <w:rFonts w:ascii="Arial" w:hAnsi="Arial" w:cs="Arial"/>
          <w:bCs/>
          <w:sz w:val="20"/>
        </w:rPr>
        <w:t xml:space="preserve">ourt may refuse to admit, or may limit the use to be made of, evidence if the </w:t>
      </w:r>
      <w:r w:rsidR="00D451AD">
        <w:rPr>
          <w:rFonts w:ascii="Arial" w:hAnsi="Arial" w:cs="Arial"/>
          <w:bCs/>
          <w:sz w:val="20"/>
        </w:rPr>
        <w:t>court is satisfied-</w:t>
      </w:r>
    </w:p>
    <w:p w14:paraId="6B7FA9F6" w14:textId="77777777" w:rsidR="00A07795" w:rsidRDefault="00A07795" w:rsidP="00033D59">
      <w:pPr>
        <w:tabs>
          <w:tab w:val="left" w:pos="284"/>
        </w:tabs>
        <w:ind w:left="1650" w:right="567" w:hanging="720"/>
        <w:jc w:val="both"/>
        <w:rPr>
          <w:rFonts w:ascii="Arial" w:hAnsi="Arial" w:cs="Arial"/>
          <w:sz w:val="20"/>
        </w:rPr>
      </w:pPr>
      <w:r>
        <w:rPr>
          <w:rFonts w:ascii="Arial" w:hAnsi="Arial" w:cs="Arial"/>
          <w:sz w:val="20"/>
        </w:rPr>
        <w:t>(a)   it is just and equitable to do so; or</w:t>
      </w:r>
    </w:p>
    <w:p w14:paraId="1BA839BB" w14:textId="77777777" w:rsidR="00A07795" w:rsidRDefault="00A07795" w:rsidP="00A07795">
      <w:pPr>
        <w:tabs>
          <w:tab w:val="left" w:pos="363"/>
          <w:tab w:val="left" w:pos="1083"/>
        </w:tabs>
        <w:ind w:left="1293" w:right="567" w:hanging="363"/>
        <w:jc w:val="both"/>
        <w:rPr>
          <w:rFonts w:ascii="Arial" w:hAnsi="Arial" w:cs="Arial"/>
          <w:sz w:val="20"/>
        </w:rPr>
      </w:pPr>
      <w:r>
        <w:rPr>
          <w:rFonts w:ascii="Arial" w:hAnsi="Arial" w:cs="Arial"/>
          <w:sz w:val="20"/>
        </w:rPr>
        <w:t>(b)  the probative value of the evidence is substantially outweighed by the danger that the evidence may be unfairly prejudicial to a party or misleading or confusing.”</w:t>
      </w:r>
    </w:p>
    <w:p w14:paraId="1FBB7C0C" w14:textId="77777777" w:rsidR="00A07795" w:rsidRDefault="00A07795" w:rsidP="00A07795">
      <w:pPr>
        <w:jc w:val="both"/>
        <w:rPr>
          <w:rFonts w:ascii="Arial" w:hAnsi="Arial" w:cs="Arial"/>
          <w:sz w:val="20"/>
        </w:rPr>
      </w:pPr>
    </w:p>
    <w:p w14:paraId="7692AC47" w14:textId="77777777" w:rsidR="004E7B22" w:rsidRDefault="004E7B22" w:rsidP="00A07795">
      <w:pPr>
        <w:jc w:val="both"/>
        <w:rPr>
          <w:rFonts w:ascii="Arial" w:hAnsi="Arial" w:cs="Arial"/>
          <w:bCs/>
          <w:sz w:val="20"/>
        </w:rPr>
      </w:pPr>
      <w:r>
        <w:rPr>
          <w:rFonts w:ascii="Arial" w:hAnsi="Arial" w:cs="Arial"/>
          <w:bCs/>
          <w:sz w:val="20"/>
        </w:rPr>
        <w:t xml:space="preserve">See also s.47 of the </w:t>
      </w:r>
      <w:r w:rsidRPr="004E7B22">
        <w:rPr>
          <w:rFonts w:ascii="Arial" w:hAnsi="Arial" w:cs="Arial"/>
          <w:bCs/>
          <w:sz w:val="20"/>
          <w:u w:val="single"/>
        </w:rPr>
        <w:t>Personal Safety Intervention Orders Act 2010 (Vic)</w:t>
      </w:r>
      <w:r>
        <w:rPr>
          <w:rFonts w:ascii="Arial" w:hAnsi="Arial" w:cs="Arial"/>
          <w:bCs/>
          <w:sz w:val="20"/>
        </w:rPr>
        <w:t xml:space="preserve"> to like effect.</w:t>
      </w:r>
    </w:p>
    <w:p w14:paraId="73E80A6A" w14:textId="77777777" w:rsidR="004E7B22" w:rsidRDefault="004E7B22" w:rsidP="00A07795">
      <w:pPr>
        <w:jc w:val="both"/>
        <w:rPr>
          <w:rFonts w:ascii="Arial" w:hAnsi="Arial" w:cs="Arial"/>
          <w:bCs/>
          <w:sz w:val="20"/>
        </w:rPr>
      </w:pPr>
    </w:p>
    <w:p w14:paraId="27E470A2" w14:textId="77777777" w:rsidR="00D741BD" w:rsidRPr="00A07795" w:rsidRDefault="00A07795" w:rsidP="00A07795">
      <w:pPr>
        <w:jc w:val="both"/>
        <w:rPr>
          <w:rFonts w:ascii="Arial" w:hAnsi="Arial" w:cs="Arial"/>
          <w:sz w:val="20"/>
        </w:rPr>
      </w:pPr>
      <w:r>
        <w:rPr>
          <w:rFonts w:ascii="Arial" w:hAnsi="Arial" w:cs="Arial"/>
          <w:bCs/>
          <w:sz w:val="20"/>
        </w:rPr>
        <w:t xml:space="preserve">In </w:t>
      </w:r>
      <w:r w:rsidRPr="00A07795">
        <w:rPr>
          <w:rFonts w:ascii="Arial" w:hAnsi="Arial" w:cs="Arial"/>
          <w:bCs/>
          <w:i/>
          <w:sz w:val="20"/>
        </w:rPr>
        <w:t>H v H</w:t>
      </w:r>
      <w:r>
        <w:rPr>
          <w:rFonts w:ascii="Arial" w:hAnsi="Arial" w:cs="Arial"/>
          <w:bCs/>
          <w:sz w:val="20"/>
        </w:rPr>
        <w:t xml:space="preserve"> [2008] </w:t>
      </w:r>
      <w:proofErr w:type="spellStart"/>
      <w:r>
        <w:rPr>
          <w:rFonts w:ascii="Arial" w:hAnsi="Arial" w:cs="Arial"/>
          <w:bCs/>
          <w:sz w:val="20"/>
        </w:rPr>
        <w:t>FMCAfam</w:t>
      </w:r>
      <w:proofErr w:type="spellEnd"/>
      <w:r>
        <w:rPr>
          <w:rFonts w:ascii="Arial" w:hAnsi="Arial" w:cs="Arial"/>
          <w:bCs/>
          <w:sz w:val="20"/>
        </w:rPr>
        <w:t xml:space="preserve"> 884 the Federal Magistrates’ Court held that where family violence is a serious issue in proceedings under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sidRPr="00A07795">
        <w:rPr>
          <w:rFonts w:ascii="Arial" w:hAnsi="Arial" w:cs="Arial"/>
          <w:iCs/>
          <w:sz w:val="20"/>
        </w:rPr>
        <w:t xml:space="preserve"> “</w:t>
      </w:r>
      <w:r>
        <w:rPr>
          <w:rFonts w:ascii="Arial" w:hAnsi="Arial" w:cs="Arial"/>
          <w:iCs/>
          <w:sz w:val="20"/>
        </w:rPr>
        <w:t>the Court should be careful in admitting into evidence…only that evidence which each of the parties has had an appropriate opportunity to test”.</w:t>
      </w:r>
    </w:p>
    <w:p w14:paraId="01C1AE87" w14:textId="77777777" w:rsidR="00E04070" w:rsidRPr="00785E1A" w:rsidRDefault="00E04070" w:rsidP="00BB1A34">
      <w:pPr>
        <w:jc w:val="both"/>
        <w:rPr>
          <w:rFonts w:ascii="Arial" w:hAnsi="Arial" w:cs="Arial"/>
          <w:color w:val="000000"/>
          <w:sz w:val="20"/>
        </w:rPr>
      </w:pPr>
    </w:p>
    <w:p w14:paraId="7E5122F1" w14:textId="77777777" w:rsidR="007D2F69" w:rsidRPr="003D5DFA" w:rsidRDefault="00C75CA9" w:rsidP="007D2F69">
      <w:pPr>
        <w:pStyle w:val="Heading3"/>
        <w:keepNext/>
        <w:keepLines/>
        <w:spacing w:after="120" w:line="240" w:lineRule="auto"/>
        <w:rPr>
          <w:rFonts w:ascii="Arial" w:hAnsi="Arial" w:cs="Arial"/>
          <w:b/>
          <w:bCs/>
          <w:color w:val="000000"/>
          <w:sz w:val="20"/>
        </w:rPr>
      </w:pPr>
      <w:bookmarkStart w:id="1274" w:name="_4.8.3_Impact_of"/>
      <w:bookmarkStart w:id="1275" w:name="B483"/>
      <w:bookmarkEnd w:id="1274"/>
      <w:bookmarkEnd w:id="1275"/>
      <w:r w:rsidRPr="00785E1A">
        <w:rPr>
          <w:rFonts w:ascii="Arial" w:hAnsi="Arial" w:cs="Arial"/>
          <w:b/>
          <w:bCs/>
          <w:color w:val="000000"/>
          <w:sz w:val="20"/>
        </w:rPr>
        <w:t>4.8.3</w:t>
      </w:r>
      <w:r w:rsidRPr="00785E1A">
        <w:rPr>
          <w:rFonts w:ascii="Arial" w:hAnsi="Arial" w:cs="Arial"/>
          <w:b/>
          <w:bCs/>
          <w:color w:val="000000"/>
          <w:sz w:val="20"/>
        </w:rPr>
        <w:tab/>
        <w:t>Impact of the “best interests” principle on the Court’s procedure</w:t>
      </w:r>
    </w:p>
    <w:p w14:paraId="09B676B6" w14:textId="77777777" w:rsidR="00192251" w:rsidRDefault="00192251" w:rsidP="00192251">
      <w:pPr>
        <w:jc w:val="both"/>
        <w:rPr>
          <w:rFonts w:ascii="Arial" w:hAnsi="Arial" w:cs="Arial"/>
          <w:color w:val="000000"/>
          <w:sz w:val="20"/>
        </w:rPr>
      </w:pPr>
      <w:r w:rsidRPr="00785E1A">
        <w:rPr>
          <w:rFonts w:ascii="Arial" w:hAnsi="Arial" w:cs="Arial"/>
          <w:bCs/>
          <w:i/>
          <w:color w:val="000000"/>
          <w:sz w:val="20"/>
        </w:rPr>
        <w:t>DOHS v Sanding</w:t>
      </w:r>
      <w:r w:rsidRPr="00785E1A">
        <w:rPr>
          <w:rFonts w:ascii="Arial" w:hAnsi="Arial" w:cs="Arial"/>
          <w:bCs/>
          <w:color w:val="000000"/>
          <w:sz w:val="20"/>
        </w:rPr>
        <w:t xml:space="preserve"> [2011] VSC 42</w:t>
      </w:r>
      <w:r>
        <w:rPr>
          <w:rFonts w:ascii="Arial" w:hAnsi="Arial" w:cs="Arial"/>
          <w:bCs/>
          <w:color w:val="000000"/>
          <w:sz w:val="20"/>
        </w:rPr>
        <w:t>; (2011) 36 VR 221</w:t>
      </w:r>
      <w:r w:rsidRPr="00785E1A">
        <w:rPr>
          <w:rFonts w:ascii="Arial" w:hAnsi="Arial" w:cs="Arial"/>
          <w:bCs/>
          <w:color w:val="000000"/>
          <w:sz w:val="20"/>
        </w:rPr>
        <w:t xml:space="preserve"> is in many ways a watershed Supreme Court decision on the relationship between the “best interests” principle, the court’s procedural discretion and the rules of natural justice</w:t>
      </w:r>
      <w:r>
        <w:rPr>
          <w:rFonts w:ascii="Arial" w:hAnsi="Arial" w:cs="Arial"/>
          <w:bCs/>
          <w:color w:val="000000"/>
          <w:sz w:val="20"/>
        </w:rPr>
        <w:t>/procedural fairness</w:t>
      </w:r>
      <w:r w:rsidRPr="00785E1A">
        <w:rPr>
          <w:rFonts w:ascii="Arial" w:hAnsi="Arial" w:cs="Arial"/>
          <w:bCs/>
          <w:color w:val="000000"/>
          <w:sz w:val="20"/>
        </w:rPr>
        <w:t xml:space="preserve">.  In that case </w:t>
      </w:r>
      <w:r w:rsidRPr="00785E1A">
        <w:rPr>
          <w:rFonts w:ascii="Arial" w:hAnsi="Arial" w:cs="Arial"/>
          <w:color w:val="000000"/>
          <w:sz w:val="20"/>
        </w:rPr>
        <w:t xml:space="preserve">four Aboriginal children aged 9, 7, 4 &amp; 2 had been residing in the care of their maternal grandmother under custody to Secretary orders.  At [279] Bell J described “the real risk to the wellbeing of the children” as “the drug-taking activity of their mother and her disturbance of the home of the grandmother in which the family was living”.  Nine weeks after the custody to Secretary orders were made by consent, the Department removed the children from the care of their grandmother and placed them separately in out of home care with non-Aboriginal families.  No family was available to take the four children together and no Aboriginal family was available to take any of them.  Within a week of their separation, the behaviour of the two oldest children substantially regressed.  The mother made applications to revoke each of the custody to Secretary orders on the basis that the children would live with her mother and that she would not live in the home.  A Children’s Court magistrate conducted a “submissions contest” in which he obtained information, but not </w:t>
      </w:r>
      <w:r w:rsidRPr="00365FFA">
        <w:rPr>
          <w:rFonts w:ascii="Arial" w:hAnsi="Arial" w:cs="Arial"/>
          <w:i/>
          <w:iCs/>
          <w:color w:val="000000"/>
          <w:sz w:val="20"/>
        </w:rPr>
        <w:t>viva voce</w:t>
      </w:r>
      <w:r w:rsidRPr="00785E1A">
        <w:rPr>
          <w:rFonts w:ascii="Arial" w:hAnsi="Arial" w:cs="Arial"/>
          <w:color w:val="000000"/>
          <w:sz w:val="20"/>
        </w:rPr>
        <w:t xml:space="preserve"> evidence, from </w:t>
      </w:r>
      <w:r>
        <w:rPr>
          <w:rFonts w:ascii="Arial" w:hAnsi="Arial" w:cs="Arial"/>
          <w:color w:val="000000"/>
          <w:sz w:val="20"/>
        </w:rPr>
        <w:t>DOHS’</w:t>
      </w:r>
      <w:r w:rsidRPr="00785E1A">
        <w:rPr>
          <w:rFonts w:ascii="Arial" w:hAnsi="Arial" w:cs="Arial"/>
          <w:color w:val="000000"/>
          <w:sz w:val="20"/>
        </w:rPr>
        <w:t xml:space="preserve"> reports and the legal representatives of </w:t>
      </w:r>
      <w:r>
        <w:rPr>
          <w:rFonts w:ascii="Arial" w:hAnsi="Arial" w:cs="Arial"/>
          <w:color w:val="000000"/>
          <w:sz w:val="20"/>
        </w:rPr>
        <w:t>DOHS</w:t>
      </w:r>
      <w:r w:rsidRPr="00785E1A">
        <w:rPr>
          <w:rFonts w:ascii="Arial" w:hAnsi="Arial" w:cs="Arial"/>
          <w:color w:val="000000"/>
          <w:sz w:val="20"/>
        </w:rPr>
        <w:t xml:space="preserve">, the grandmother and the mother.  He then revoked the custody to Secretary orders and placed the children on interim accommodation orders in the grandmother’s care with various conditions.  The Department appealed, submitting that the magistrate should have conducted a formal hearing at which at least some formal </w:t>
      </w:r>
      <w:r w:rsidRPr="00365FFA">
        <w:rPr>
          <w:rFonts w:ascii="Arial" w:hAnsi="Arial" w:cs="Arial"/>
          <w:i/>
          <w:iCs/>
          <w:color w:val="000000"/>
          <w:sz w:val="20"/>
        </w:rPr>
        <w:t>viva voce</w:t>
      </w:r>
      <w:r>
        <w:rPr>
          <w:rFonts w:ascii="Arial" w:hAnsi="Arial" w:cs="Arial"/>
          <w:color w:val="000000"/>
          <w:sz w:val="20"/>
        </w:rPr>
        <w:t xml:space="preserve"> </w:t>
      </w:r>
      <w:r w:rsidRPr="00785E1A">
        <w:rPr>
          <w:rFonts w:ascii="Arial" w:hAnsi="Arial" w:cs="Arial"/>
          <w:color w:val="000000"/>
          <w:sz w:val="20"/>
        </w:rPr>
        <w:t>evidence was taken.  The appeal was dismissed.</w:t>
      </w:r>
      <w:r>
        <w:rPr>
          <w:rFonts w:ascii="Arial" w:hAnsi="Arial" w:cs="Arial"/>
          <w:color w:val="000000"/>
          <w:sz w:val="20"/>
        </w:rPr>
        <w:t xml:space="preserve">  </w:t>
      </w:r>
    </w:p>
    <w:p w14:paraId="37F4D199" w14:textId="77777777" w:rsidR="00192251" w:rsidRPr="00785E1A" w:rsidRDefault="00192251" w:rsidP="00192251">
      <w:pPr>
        <w:jc w:val="both"/>
        <w:rPr>
          <w:rFonts w:ascii="Arial" w:hAnsi="Arial" w:cs="Arial"/>
          <w:caps/>
          <w:color w:val="000000"/>
          <w:sz w:val="20"/>
        </w:rPr>
      </w:pPr>
    </w:p>
    <w:p w14:paraId="4619BE3D" w14:textId="77777777" w:rsidR="00192251" w:rsidRDefault="00192251" w:rsidP="00192251">
      <w:pPr>
        <w:jc w:val="both"/>
        <w:rPr>
          <w:rFonts w:ascii="Arial" w:hAnsi="Arial" w:cs="Arial"/>
          <w:color w:val="000000"/>
          <w:sz w:val="20"/>
        </w:rPr>
      </w:pPr>
      <w:r w:rsidRPr="00785E1A">
        <w:rPr>
          <w:rFonts w:ascii="Arial" w:hAnsi="Arial" w:cs="Arial"/>
          <w:color w:val="000000"/>
          <w:sz w:val="20"/>
        </w:rPr>
        <w:t xml:space="preserve">This was the first Supreme Court endorsement of which the writer is aware of the approval of a “submissions contest” procedure in a case involving anything other than an initial hearing on a protection application by apprehension.  In the writer’s view it extends the procedure approved by the Supreme Court in cases such as </w:t>
      </w:r>
      <w:r w:rsidRPr="00785E1A">
        <w:rPr>
          <w:rFonts w:ascii="Arial" w:hAnsi="Arial" w:cs="Arial"/>
          <w:i/>
          <w:iCs/>
          <w:color w:val="000000"/>
          <w:sz w:val="20"/>
        </w:rPr>
        <w:t>G v H [No 2]</w:t>
      </w:r>
      <w:r w:rsidRPr="00785E1A">
        <w:rPr>
          <w:rFonts w:ascii="Arial" w:hAnsi="Arial" w:cs="Arial"/>
          <w:color w:val="000000"/>
          <w:sz w:val="20"/>
        </w:rPr>
        <w:t xml:space="preserve"> [Supreme Court of Victoria-Beach J, unreported, 10/08/1994], </w:t>
      </w:r>
      <w:r w:rsidRPr="00785E1A">
        <w:rPr>
          <w:rFonts w:ascii="Arial" w:hAnsi="Arial" w:cs="Arial"/>
          <w:i/>
          <w:iCs/>
          <w:color w:val="000000"/>
          <w:sz w:val="20"/>
        </w:rPr>
        <w:t>The Secretary DOHS v R &amp; Anor</w:t>
      </w:r>
      <w:r w:rsidRPr="00785E1A">
        <w:rPr>
          <w:rFonts w:ascii="Arial" w:hAnsi="Arial" w:cs="Arial"/>
          <w:color w:val="000000"/>
          <w:sz w:val="20"/>
        </w:rPr>
        <w:t xml:space="preserve"> [2003] VSC 172 at [11] per Ashley J and </w:t>
      </w:r>
      <w:r w:rsidRPr="00785E1A">
        <w:rPr>
          <w:rFonts w:ascii="Arial" w:hAnsi="Arial" w:cs="Arial"/>
          <w:i/>
          <w:iCs/>
          <w:color w:val="000000"/>
          <w:sz w:val="20"/>
        </w:rPr>
        <w:t xml:space="preserve">P v RM &amp; </w:t>
      </w:r>
      <w:proofErr w:type="spellStart"/>
      <w:r w:rsidRPr="00785E1A">
        <w:rPr>
          <w:rFonts w:ascii="Arial" w:hAnsi="Arial" w:cs="Arial"/>
          <w:i/>
          <w:iCs/>
          <w:color w:val="000000"/>
          <w:sz w:val="20"/>
        </w:rPr>
        <w:t>Ors</w:t>
      </w:r>
      <w:proofErr w:type="spellEnd"/>
      <w:r w:rsidRPr="00785E1A">
        <w:rPr>
          <w:rFonts w:ascii="Arial" w:hAnsi="Arial" w:cs="Arial"/>
          <w:color w:val="000000"/>
          <w:sz w:val="20"/>
        </w:rPr>
        <w:t xml:space="preserve"> [2004] VSC 14 per Gillard J.</w:t>
      </w:r>
    </w:p>
    <w:p w14:paraId="64A3F3F6" w14:textId="77777777" w:rsidR="00192251" w:rsidRDefault="00192251" w:rsidP="00192251">
      <w:pPr>
        <w:jc w:val="both"/>
        <w:rPr>
          <w:rFonts w:ascii="Arial" w:hAnsi="Arial" w:cs="Arial"/>
          <w:color w:val="000000"/>
          <w:sz w:val="20"/>
        </w:rPr>
      </w:pPr>
    </w:p>
    <w:p w14:paraId="00D3215A" w14:textId="77777777" w:rsidR="00192251" w:rsidRDefault="00192251" w:rsidP="00192251">
      <w:pPr>
        <w:jc w:val="both"/>
        <w:rPr>
          <w:rFonts w:ascii="Arial" w:hAnsi="Arial" w:cs="Arial"/>
          <w:bCs/>
          <w:color w:val="000000"/>
          <w:sz w:val="20"/>
        </w:rPr>
      </w:pPr>
      <w:r w:rsidRPr="00785E1A">
        <w:rPr>
          <w:rFonts w:ascii="Arial" w:hAnsi="Arial" w:cs="Arial"/>
          <w:bCs/>
          <w:color w:val="000000"/>
          <w:sz w:val="20"/>
        </w:rPr>
        <w:t>In the course of his extensive judgment</w:t>
      </w:r>
      <w:r>
        <w:rPr>
          <w:rFonts w:ascii="Arial" w:hAnsi="Arial" w:cs="Arial"/>
          <w:bCs/>
          <w:color w:val="000000"/>
          <w:sz w:val="20"/>
        </w:rPr>
        <w:t xml:space="preserve">, Bell J discussed the impact of the best interests of the child on the court’s procedural discretion, saying </w:t>
      </w:r>
      <w:r w:rsidRPr="00A24DDE">
        <w:rPr>
          <w:rFonts w:ascii="Arial" w:hAnsi="Arial" w:cs="Arial"/>
          <w:bCs/>
          <w:i/>
          <w:iCs/>
          <w:color w:val="000000"/>
          <w:sz w:val="20"/>
        </w:rPr>
        <w:t>inter alia</w:t>
      </w:r>
      <w:r>
        <w:rPr>
          <w:rFonts w:ascii="Arial" w:hAnsi="Arial" w:cs="Arial"/>
          <w:bCs/>
          <w:color w:val="000000"/>
          <w:sz w:val="20"/>
        </w:rPr>
        <w:t xml:space="preserve"> at [129]-[130], [135]-[137] &amp; [146]-[147]:</w:t>
      </w:r>
    </w:p>
    <w:p w14:paraId="3EB32C46" w14:textId="77777777" w:rsidR="00192251" w:rsidRDefault="00192251" w:rsidP="00192251">
      <w:pPr>
        <w:spacing w:before="60"/>
        <w:ind w:left="567" w:right="567"/>
        <w:jc w:val="both"/>
        <w:rPr>
          <w:rFonts w:ascii="Arial" w:hAnsi="Arial" w:cs="Arial"/>
          <w:sz w:val="20"/>
          <w:szCs w:val="20"/>
          <w:lang w:eastAsia="en-AU"/>
        </w:rPr>
      </w:pPr>
      <w:r w:rsidRPr="00365FFA">
        <w:rPr>
          <w:rFonts w:ascii="Arial" w:hAnsi="Arial" w:cs="Arial"/>
          <w:sz w:val="20"/>
          <w:szCs w:val="20"/>
          <w:lang w:eastAsia="en-AU"/>
        </w:rPr>
        <w:t xml:space="preserve">[129] “By the established principles, any statutory exclusion of the rules of natural justice must be by express words or plain intendment: see </w:t>
      </w:r>
      <w:r w:rsidRPr="00365FFA">
        <w:rPr>
          <w:rFonts w:ascii="Arial" w:hAnsi="Arial" w:cs="Arial"/>
          <w:i/>
          <w:sz w:val="20"/>
          <w:szCs w:val="20"/>
          <w:lang w:eastAsia="en-AU"/>
        </w:rPr>
        <w:t xml:space="preserve">Commissioner of Police v </w:t>
      </w:r>
      <w:proofErr w:type="spellStart"/>
      <w:r w:rsidRPr="00365FFA">
        <w:rPr>
          <w:rFonts w:ascii="Arial" w:hAnsi="Arial" w:cs="Arial"/>
          <w:i/>
          <w:sz w:val="20"/>
          <w:szCs w:val="20"/>
          <w:lang w:eastAsia="en-AU"/>
        </w:rPr>
        <w:t>Tanos</w:t>
      </w:r>
      <w:proofErr w:type="spellEnd"/>
      <w:r w:rsidRPr="00365FFA">
        <w:rPr>
          <w:rFonts w:ascii="Arial" w:hAnsi="Arial" w:cs="Arial"/>
          <w:sz w:val="20"/>
          <w:szCs w:val="20"/>
          <w:lang w:eastAsia="en-AU"/>
        </w:rPr>
        <w:t xml:space="preserve"> (1958) 98 CLR 383 at 395, per Dixon CJ and Webb J and </w:t>
      </w:r>
      <w:proofErr w:type="spellStart"/>
      <w:r w:rsidRPr="00365FFA">
        <w:rPr>
          <w:rFonts w:ascii="Arial" w:hAnsi="Arial" w:cs="Arial"/>
          <w:i/>
          <w:sz w:val="20"/>
          <w:szCs w:val="20"/>
          <w:lang w:eastAsia="en-AU"/>
        </w:rPr>
        <w:t>Annetts</w:t>
      </w:r>
      <w:proofErr w:type="spellEnd"/>
      <w:r w:rsidRPr="00365FFA">
        <w:rPr>
          <w:rFonts w:ascii="Arial" w:hAnsi="Arial" w:cs="Arial"/>
          <w:i/>
          <w:sz w:val="20"/>
          <w:szCs w:val="20"/>
          <w:lang w:eastAsia="en-AU"/>
        </w:rPr>
        <w:t xml:space="preserve"> v </w:t>
      </w:r>
      <w:r w:rsidRPr="00365FFA">
        <w:rPr>
          <w:rFonts w:ascii="Arial" w:hAnsi="Arial" w:cs="Arial"/>
          <w:sz w:val="20"/>
          <w:szCs w:val="20"/>
          <w:lang w:eastAsia="en-AU"/>
        </w:rPr>
        <w:t xml:space="preserve">McCann (1990) 170 CLR 596, 598 per Mason CJ, Deane &amp; McHugh JJ.  There are no such express words and there is no such plain intendment in s 215(1) of the </w:t>
      </w:r>
      <w:r w:rsidRPr="00365FFA">
        <w:rPr>
          <w:rFonts w:ascii="Arial" w:hAnsi="Arial" w:cs="Arial"/>
          <w:i/>
          <w:sz w:val="20"/>
          <w:szCs w:val="20"/>
          <w:lang w:eastAsia="en-AU"/>
        </w:rPr>
        <w:t>Children, Youth &amp; Families Act</w:t>
      </w:r>
      <w:r w:rsidRPr="00365FFA">
        <w:rPr>
          <w:rFonts w:ascii="Arial" w:hAnsi="Arial" w:cs="Arial"/>
          <w:sz w:val="20"/>
          <w:szCs w:val="20"/>
          <w:lang w:eastAsia="en-AU"/>
        </w:rPr>
        <w:t>.   Therefore the obligation of the Children’s Court to observe the rules of natural justice has not been overridden.</w:t>
      </w:r>
    </w:p>
    <w:p w14:paraId="7AB64435" w14:textId="77777777" w:rsidR="00192251" w:rsidRDefault="00192251" w:rsidP="00192251">
      <w:pPr>
        <w:spacing w:before="60"/>
        <w:ind w:left="567" w:right="567"/>
        <w:jc w:val="both"/>
        <w:rPr>
          <w:rFonts w:ascii="Arial" w:hAnsi="Arial" w:cs="Arial"/>
          <w:color w:val="000000"/>
          <w:sz w:val="20"/>
          <w:szCs w:val="20"/>
          <w:bdr w:val="none" w:sz="0" w:space="0" w:color="auto" w:frame="1"/>
        </w:rPr>
      </w:pPr>
      <w:r>
        <w:rPr>
          <w:rFonts w:ascii="Arial" w:hAnsi="Arial" w:cs="Arial"/>
          <w:sz w:val="20"/>
          <w:szCs w:val="20"/>
          <w:lang w:eastAsia="en-AU"/>
        </w:rPr>
        <w:t xml:space="preserve">[130] While </w:t>
      </w:r>
      <w:r w:rsidRPr="00A24DDE">
        <w:rPr>
          <w:rFonts w:ascii="Arial" w:hAnsi="Arial" w:cs="Arial"/>
          <w:color w:val="000000"/>
          <w:sz w:val="20"/>
          <w:szCs w:val="20"/>
        </w:rPr>
        <w:t>a court or tribunal operating under flexible procedural provisions must</w:t>
      </w:r>
      <w:r w:rsidRPr="00A24DDE">
        <w:rPr>
          <w:rFonts w:ascii="Arial" w:hAnsi="Arial" w:cs="Arial"/>
          <w:color w:val="000000"/>
          <w:sz w:val="20"/>
          <w:szCs w:val="20"/>
          <w:bdr w:val="none" w:sz="0" w:space="0" w:color="auto" w:frame="1"/>
        </w:rPr>
        <w:t xml:space="preserve"> observe the rules of natural justice, this does not mean that those rules can be used to admit the rules of evidence through a side door or, as Brennan J put it in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Calibri" w:hAnsi="Calibri" w:cs="Calibri"/>
          <w:color w:val="000000"/>
          <w:sz w:val="20"/>
          <w:szCs w:val="20"/>
        </w:rPr>
        <w:t> </w:t>
      </w:r>
      <w:r w:rsidRPr="00A24DDE">
        <w:rPr>
          <w:rFonts w:ascii="Arial" w:hAnsi="Arial" w:cs="Arial"/>
          <w:color w:val="000000"/>
          <w:sz w:val="20"/>
          <w:szCs w:val="20"/>
          <w:bdr w:val="none" w:sz="0" w:space="0" w:color="auto" w:frame="1"/>
        </w:rPr>
        <w:t>(1979) 36 FLR 482, 492 to allow the rules of evidence to ‘creep back in through a domestic procedural rule’.  </w:t>
      </w:r>
      <w:r w:rsidRPr="00A24DDE">
        <w:rPr>
          <w:rFonts w:ascii="Arial" w:hAnsi="Arial" w:cs="Arial"/>
          <w:b/>
          <w:bCs/>
          <w:color w:val="000000"/>
          <w:sz w:val="20"/>
          <w:szCs w:val="20"/>
          <w:bdr w:val="none" w:sz="0" w:space="0" w:color="auto" w:frame="1"/>
        </w:rPr>
        <w:t>It is well</w:t>
      </w:r>
      <w:r w:rsidRPr="00A24DDE">
        <w:rPr>
          <w:rFonts w:ascii="Arial" w:hAnsi="Arial" w:cs="Arial"/>
          <w:b/>
          <w:bCs/>
          <w:color w:val="000000"/>
          <w:sz w:val="20"/>
          <w:szCs w:val="20"/>
          <w:bdr w:val="none" w:sz="0" w:space="0" w:color="auto" w:frame="1"/>
        </w:rPr>
        <w:noBreakHyphen/>
        <w:t>established that the rules of evidence ‘form no part of the rules of natural justice’</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 xml:space="preserve">R v Deputy Industrial Injuries Commissioner;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Moore</w:t>
      </w:r>
      <w:r w:rsidRPr="00A24DDE">
        <w:rPr>
          <w:rFonts w:ascii="Arial" w:hAnsi="Arial" w:cs="Arial"/>
          <w:color w:val="000000"/>
          <w:sz w:val="20"/>
          <w:szCs w:val="20"/>
          <w:bdr w:val="none" w:sz="0" w:space="0" w:color="auto" w:frame="1"/>
        </w:rPr>
        <w:t> [1965] 1 QB 456, 488 per Diplock LJ; see also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249 per Starke J and 252 per Evatt J; </w:t>
      </w:r>
      <w:r w:rsidRPr="00A24DDE">
        <w:rPr>
          <w:rFonts w:ascii="Arial" w:hAnsi="Arial" w:cs="Arial"/>
          <w:i/>
          <w:iCs/>
          <w:color w:val="000000"/>
          <w:sz w:val="20"/>
          <w:szCs w:val="20"/>
          <w:bdr w:val="none" w:sz="0" w:space="0" w:color="auto" w:frame="1"/>
        </w:rPr>
        <w:t>Mahon v Air New Zealand</w:t>
      </w:r>
      <w:r w:rsidRPr="00A24DDE">
        <w:rPr>
          <w:rFonts w:ascii="Arial" w:hAnsi="Arial" w:cs="Arial"/>
          <w:color w:val="000000"/>
          <w:sz w:val="20"/>
          <w:szCs w:val="20"/>
          <w:bdr w:val="none" w:sz="0" w:space="0" w:color="auto" w:frame="1"/>
        </w:rPr>
        <w:t> [1984] 1 AC 808, 821; </w:t>
      </w:r>
      <w:r w:rsidRPr="00A24DDE">
        <w:rPr>
          <w:rFonts w:ascii="Arial" w:hAnsi="Arial" w:cs="Arial"/>
          <w:i/>
          <w:iCs/>
          <w:color w:val="000000"/>
          <w:sz w:val="20"/>
          <w:szCs w:val="20"/>
          <w:bdr w:val="none" w:sz="0" w:space="0" w:color="auto" w:frame="1"/>
        </w:rPr>
        <w:t>Hayward v Minister for Immigration and Citizenship</w:t>
      </w:r>
      <w:r w:rsidRPr="00A24DDE">
        <w:rPr>
          <w:rFonts w:ascii="Arial" w:hAnsi="Arial" w:cs="Arial"/>
          <w:color w:val="000000"/>
          <w:sz w:val="20"/>
          <w:szCs w:val="20"/>
          <w:bdr w:val="none" w:sz="0" w:space="0" w:color="auto" w:frame="1"/>
        </w:rPr>
        <w:t> [2009] FCA 1313, [64].  </w:t>
      </w:r>
      <w:r w:rsidRPr="00A24DDE">
        <w:rPr>
          <w:rFonts w:ascii="Arial" w:hAnsi="Arial" w:cs="Arial"/>
          <w:b/>
          <w:bCs/>
          <w:color w:val="000000"/>
          <w:sz w:val="20"/>
          <w:szCs w:val="20"/>
          <w:bdr w:val="none" w:sz="0" w:space="0" w:color="auto" w:frame="1"/>
        </w:rPr>
        <w:t>Certainly the rules of evidence may be valuable and should not be lightly discarded, particularly where there is a serious dispute over a matter which may be of importance to the outcome of the proceeding</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256 per Evatt J; </w:t>
      </w:r>
      <w:r w:rsidRPr="00A24DDE">
        <w:rPr>
          <w:rFonts w:ascii="Arial" w:hAnsi="Arial" w:cs="Arial"/>
          <w:i/>
          <w:iCs/>
          <w:color w:val="000000"/>
          <w:sz w:val="20"/>
          <w:szCs w:val="20"/>
          <w:bdr w:val="none" w:sz="0" w:space="0" w:color="auto" w:frame="1"/>
        </w:rPr>
        <w:t>Kostas v HIA Insurance Services Pty Ltd</w:t>
      </w:r>
      <w:r w:rsidRPr="00A24DDE">
        <w:rPr>
          <w:rFonts w:ascii="Arial" w:hAnsi="Arial" w:cs="Arial"/>
          <w:color w:val="000000"/>
          <w:sz w:val="20"/>
          <w:szCs w:val="20"/>
          <w:bdr w:val="none" w:sz="0" w:space="0" w:color="auto" w:frame="1"/>
        </w:rPr>
        <w:t> (2010) 84 ALJR 228 [17] per French CJ;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Arial" w:hAnsi="Arial" w:cs="Arial"/>
          <w:color w:val="000000"/>
          <w:sz w:val="20"/>
          <w:szCs w:val="20"/>
          <w:bdr w:val="none" w:sz="0" w:space="0" w:color="auto" w:frame="1"/>
        </w:rPr>
        <w:t> (1979) 36 FLR 482, 493 per Brennan J; </w:t>
      </w:r>
      <w:r w:rsidRPr="00A24DDE">
        <w:rPr>
          <w:rFonts w:ascii="Arial" w:hAnsi="Arial" w:cs="Arial"/>
          <w:i/>
          <w:iCs/>
          <w:color w:val="000000"/>
          <w:sz w:val="20"/>
          <w:szCs w:val="20"/>
          <w:bdr w:val="none" w:sz="0" w:space="0" w:color="auto" w:frame="1"/>
        </w:rPr>
        <w:t>Martin v Medical Complaints Tribunal</w:t>
      </w:r>
      <w:r w:rsidRPr="00A24DDE">
        <w:rPr>
          <w:rFonts w:ascii="Arial" w:hAnsi="Arial" w:cs="Arial"/>
          <w:color w:val="000000"/>
          <w:sz w:val="20"/>
          <w:szCs w:val="20"/>
          <w:bdr w:val="none" w:sz="0" w:space="0" w:color="auto" w:frame="1"/>
        </w:rPr>
        <w:t> (2006) 15 Tas R 413, [14]; </w:t>
      </w:r>
      <w:r w:rsidRPr="00A24DDE">
        <w:rPr>
          <w:rFonts w:ascii="Arial" w:hAnsi="Arial" w:cs="Arial"/>
          <w:i/>
          <w:iCs/>
          <w:color w:val="000000"/>
          <w:sz w:val="20"/>
          <w:szCs w:val="20"/>
          <w:bdr w:val="none" w:sz="0" w:space="0" w:color="auto" w:frame="1"/>
        </w:rPr>
        <w:t>A and B v Director of Family Services </w:t>
      </w:r>
      <w:r w:rsidRPr="00A24DDE">
        <w:rPr>
          <w:rFonts w:ascii="Arial" w:hAnsi="Arial" w:cs="Arial"/>
          <w:color w:val="000000"/>
          <w:sz w:val="20"/>
          <w:szCs w:val="20"/>
          <w:bdr w:val="none" w:sz="0" w:space="0" w:color="auto" w:frame="1"/>
        </w:rPr>
        <w:t>(1996) 20 Fam LR 549, 553; </w:t>
      </w:r>
      <w:r w:rsidRPr="00A24DDE">
        <w:rPr>
          <w:rFonts w:ascii="Arial" w:hAnsi="Arial" w:cs="Arial"/>
          <w:i/>
          <w:iCs/>
          <w:color w:val="000000"/>
          <w:sz w:val="20"/>
          <w:szCs w:val="20"/>
          <w:bdr w:val="none" w:sz="0" w:space="0" w:color="auto" w:frame="1"/>
        </w:rPr>
        <w:t>Pearce v Button</w:t>
      </w:r>
      <w:r w:rsidRPr="00A24DDE">
        <w:rPr>
          <w:rFonts w:ascii="Arial" w:hAnsi="Arial" w:cs="Arial"/>
          <w:color w:val="000000"/>
          <w:sz w:val="20"/>
          <w:szCs w:val="20"/>
          <w:bdr w:val="none" w:sz="0" w:space="0" w:color="auto" w:frame="1"/>
        </w:rPr>
        <w:t> (1985) 8 FCR 408, 422; </w:t>
      </w:r>
      <w:r w:rsidRPr="00A24DDE">
        <w:rPr>
          <w:rFonts w:ascii="Arial" w:hAnsi="Arial" w:cs="Arial"/>
          <w:i/>
          <w:iCs/>
          <w:color w:val="000000"/>
          <w:sz w:val="20"/>
          <w:szCs w:val="20"/>
          <w:bdr w:val="none" w:sz="0" w:space="0" w:color="auto" w:frame="1"/>
        </w:rPr>
        <w:t>Clean Ocean Foundation v Environment Protection Authority</w:t>
      </w:r>
      <w:r w:rsidRPr="00A24DDE">
        <w:rPr>
          <w:rFonts w:ascii="Arial" w:hAnsi="Arial" w:cs="Arial"/>
          <w:color w:val="000000"/>
          <w:sz w:val="20"/>
          <w:szCs w:val="20"/>
          <w:bdr w:val="none" w:sz="0" w:space="0" w:color="auto" w:frame="1"/>
        </w:rPr>
        <w:t> (2003) 20 VAR 227, 235.  But courts or tribunals operating under such provisions are not required to apply court</w:t>
      </w:r>
      <w:r w:rsidRPr="00A24DDE">
        <w:rPr>
          <w:rFonts w:ascii="Arial" w:hAnsi="Arial" w:cs="Arial"/>
          <w:color w:val="000000"/>
          <w:sz w:val="20"/>
          <w:szCs w:val="20"/>
          <w:bdr w:val="none" w:sz="0" w:space="0" w:color="auto" w:frame="1"/>
        </w:rPr>
        <w:noBreakHyphen/>
        <w:t>like rules or to act on evidence alone: </w:t>
      </w:r>
      <w:r w:rsidRPr="00A24DDE">
        <w:rPr>
          <w:rFonts w:ascii="Arial" w:hAnsi="Arial" w:cs="Arial"/>
          <w:i/>
          <w:iCs/>
          <w:color w:val="000000"/>
          <w:sz w:val="20"/>
          <w:szCs w:val="20"/>
          <w:bdr w:val="none" w:sz="0" w:space="0" w:color="auto" w:frame="1"/>
        </w:rPr>
        <w:t xml:space="preserve">R v War Pensions Entitlement Appeal Tribunal; ex </w:t>
      </w:r>
      <w:proofErr w:type="spellStart"/>
      <w:r w:rsidRPr="00A24DDE">
        <w:rPr>
          <w:rFonts w:ascii="Arial" w:hAnsi="Arial" w:cs="Arial"/>
          <w:i/>
          <w:iCs/>
          <w:color w:val="000000"/>
          <w:sz w:val="20"/>
          <w:szCs w:val="20"/>
          <w:bdr w:val="none" w:sz="0" w:space="0" w:color="auto" w:frame="1"/>
        </w:rPr>
        <w:t>parte</w:t>
      </w:r>
      <w:proofErr w:type="spellEnd"/>
      <w:r w:rsidRPr="00A24DDE">
        <w:rPr>
          <w:rFonts w:ascii="Arial" w:hAnsi="Arial" w:cs="Arial"/>
          <w:i/>
          <w:iCs/>
          <w:color w:val="000000"/>
          <w:sz w:val="20"/>
          <w:szCs w:val="20"/>
          <w:bdr w:val="none" w:sz="0" w:space="0" w:color="auto" w:frame="1"/>
        </w:rPr>
        <w:t xml:space="preserve"> Bott</w:t>
      </w:r>
      <w:r w:rsidRPr="00A24DDE">
        <w:rPr>
          <w:rFonts w:ascii="Arial" w:hAnsi="Arial" w:cs="Arial"/>
          <w:color w:val="000000"/>
          <w:sz w:val="20"/>
          <w:szCs w:val="20"/>
          <w:bdr w:val="none" w:sz="0" w:space="0" w:color="auto" w:frame="1"/>
        </w:rPr>
        <w:t> (1933) 50 CLR 228, 248 per Starke J and 256 per Evatt J; </w:t>
      </w:r>
      <w:proofErr w:type="spellStart"/>
      <w:r w:rsidRPr="00A24DDE">
        <w:rPr>
          <w:rFonts w:ascii="Arial" w:hAnsi="Arial" w:cs="Arial"/>
          <w:i/>
          <w:iCs/>
          <w:color w:val="000000"/>
          <w:sz w:val="20"/>
          <w:szCs w:val="20"/>
          <w:bdr w:val="none" w:sz="0" w:space="0" w:color="auto" w:frame="1"/>
        </w:rPr>
        <w:t>Wajnberg</w:t>
      </w:r>
      <w:proofErr w:type="spellEnd"/>
      <w:r w:rsidRPr="00A24DDE">
        <w:rPr>
          <w:rFonts w:ascii="Arial" w:hAnsi="Arial" w:cs="Arial"/>
          <w:i/>
          <w:iCs/>
          <w:color w:val="000000"/>
          <w:sz w:val="20"/>
          <w:szCs w:val="20"/>
          <w:bdr w:val="none" w:sz="0" w:space="0" w:color="auto" w:frame="1"/>
        </w:rPr>
        <w:t xml:space="preserve"> v Raynor and Melbourne Metropolitan Board of Works</w:t>
      </w:r>
      <w:r w:rsidRPr="00A24DDE">
        <w:rPr>
          <w:rFonts w:ascii="Arial" w:hAnsi="Arial" w:cs="Arial"/>
          <w:color w:val="000000"/>
          <w:sz w:val="20"/>
          <w:szCs w:val="20"/>
          <w:bdr w:val="none" w:sz="0" w:space="0" w:color="auto" w:frame="1"/>
        </w:rPr>
        <w:t> [1971] VR 665, 678.  The provisions are intended to be ‘facultative, not restrictive’ (</w:t>
      </w:r>
      <w:proofErr w:type="spellStart"/>
      <w:r w:rsidRPr="00A24DDE">
        <w:rPr>
          <w:rFonts w:ascii="Arial" w:hAnsi="Arial" w:cs="Arial"/>
          <w:i/>
          <w:iCs/>
          <w:color w:val="000000"/>
          <w:sz w:val="20"/>
          <w:szCs w:val="20"/>
          <w:bdr w:val="none" w:sz="0" w:space="0" w:color="auto" w:frame="1"/>
        </w:rPr>
        <w:t>Wecker</w:t>
      </w:r>
      <w:proofErr w:type="spellEnd"/>
      <w:r w:rsidRPr="00A24DDE">
        <w:rPr>
          <w:rFonts w:ascii="Arial" w:hAnsi="Arial" w:cs="Arial"/>
          <w:i/>
          <w:iCs/>
          <w:color w:val="000000"/>
          <w:sz w:val="20"/>
          <w:szCs w:val="20"/>
          <w:bdr w:val="none" w:sz="0" w:space="0" w:color="auto" w:frame="1"/>
        </w:rPr>
        <w:t xml:space="preserve"> v Secretary, Department of Education, Science and Training</w:t>
      </w:r>
      <w:r w:rsidRPr="00A24DDE">
        <w:rPr>
          <w:rFonts w:ascii="Arial" w:hAnsi="Arial" w:cs="Arial"/>
          <w:color w:val="000000"/>
          <w:sz w:val="20"/>
          <w:szCs w:val="20"/>
          <w:bdr w:val="none" w:sz="0" w:space="0" w:color="auto" w:frame="1"/>
        </w:rPr>
        <w:t> (2008) 168 FCR 272, [95] per Greenwood J) and are intended to free a court or tribunal ‘from constraints otherwise applicable to courts of law and regarded as in appropriate’: </w:t>
      </w:r>
      <w:r w:rsidRPr="00A24DDE">
        <w:rPr>
          <w:rFonts w:ascii="Arial" w:hAnsi="Arial" w:cs="Arial"/>
          <w:i/>
          <w:iCs/>
          <w:color w:val="000000"/>
          <w:sz w:val="20"/>
          <w:szCs w:val="20"/>
          <w:bdr w:val="none" w:sz="0" w:space="0" w:color="auto" w:frame="1"/>
        </w:rPr>
        <w:t>Minister for Immigration and Multicultural Affairs</w:t>
      </w:r>
      <w:r w:rsidRPr="00A24DDE">
        <w:rPr>
          <w:rFonts w:ascii="Arial" w:hAnsi="Arial" w:cs="Arial"/>
          <w:color w:val="000000"/>
          <w:sz w:val="20"/>
          <w:szCs w:val="20"/>
          <w:bdr w:val="none" w:sz="0" w:space="0" w:color="auto" w:frame="1"/>
        </w:rPr>
        <w:t> v </w:t>
      </w:r>
      <w:r w:rsidRPr="00A24DDE">
        <w:rPr>
          <w:rFonts w:ascii="Arial" w:hAnsi="Arial" w:cs="Arial"/>
          <w:i/>
          <w:iCs/>
          <w:color w:val="000000"/>
          <w:sz w:val="20"/>
          <w:szCs w:val="20"/>
          <w:bdr w:val="none" w:sz="0" w:space="0" w:color="auto" w:frame="1"/>
        </w:rPr>
        <w:t>Eshetu </w:t>
      </w:r>
      <w:r w:rsidRPr="00A24DDE">
        <w:rPr>
          <w:rFonts w:ascii="Arial" w:hAnsi="Arial" w:cs="Arial"/>
          <w:color w:val="000000"/>
          <w:sz w:val="20"/>
          <w:szCs w:val="20"/>
          <w:bdr w:val="none" w:sz="0" w:space="0" w:color="auto" w:frame="1"/>
        </w:rPr>
        <w:t>(1999) 197 CLR 611, [49] per Gleeson CJ and McHugh J. As Davies J said as the president of the federal tribunal in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Barbaro</w:t>
      </w:r>
      <w:proofErr w:type="spellEnd"/>
      <w:r w:rsidRPr="00A24DDE">
        <w:rPr>
          <w:rFonts w:ascii="Arial" w:hAnsi="Arial" w:cs="Arial"/>
          <w:i/>
          <w:iCs/>
          <w:color w:val="000000"/>
          <w:sz w:val="20"/>
          <w:szCs w:val="20"/>
          <w:bdr w:val="none" w:sz="0" w:space="0" w:color="auto" w:frame="1"/>
        </w:rPr>
        <w:t xml:space="preserve"> and Minister for Immigration and Ethnic Affairs </w:t>
      </w:r>
      <w:r w:rsidRPr="00A24DDE">
        <w:rPr>
          <w:rFonts w:ascii="Arial" w:hAnsi="Arial" w:cs="Arial"/>
          <w:color w:val="000000"/>
          <w:sz w:val="20"/>
          <w:szCs w:val="20"/>
          <w:bdr w:val="none" w:sz="0" w:space="0" w:color="auto" w:frame="1"/>
        </w:rPr>
        <w:t>[(1980) 3 ALD 1, 5], flexible procedural provisions allow ‘the nature of the procedures adopted at the hearing and the nature of the evidence which is received … [to] be adapted to the functions which [the tribunal] performs.’” discretion.”</w:t>
      </w:r>
    </w:p>
    <w:p w14:paraId="3D639533"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305F8764" w14:textId="77777777" w:rsidR="00192251" w:rsidRDefault="00192251" w:rsidP="00192251">
      <w:pPr>
        <w:pBdr>
          <w:top w:val="single" w:sz="8" w:space="1" w:color="auto"/>
        </w:pBdr>
        <w:ind w:left="567" w:right="567"/>
        <w:jc w:val="both"/>
        <w:rPr>
          <w:rFonts w:ascii="Arial" w:hAnsi="Arial" w:cs="Arial"/>
          <w:sz w:val="12"/>
          <w:szCs w:val="12"/>
        </w:rPr>
      </w:pPr>
    </w:p>
    <w:p w14:paraId="5BD9D434" w14:textId="77777777" w:rsidR="00192251" w:rsidRDefault="00192251" w:rsidP="00192251">
      <w:pPr>
        <w:pBdr>
          <w:top w:val="single" w:sz="8" w:space="1" w:color="auto"/>
        </w:pBdr>
        <w:ind w:left="567" w:right="567"/>
        <w:jc w:val="both"/>
        <w:rPr>
          <w:rFonts w:ascii="Arial" w:hAnsi="Arial" w:cs="Arial"/>
          <w:sz w:val="12"/>
          <w:szCs w:val="12"/>
        </w:rPr>
      </w:pPr>
      <w:r>
        <w:rPr>
          <w:rFonts w:ascii="Arial" w:hAnsi="Arial" w:cs="Arial"/>
          <w:sz w:val="20"/>
          <w:szCs w:val="20"/>
        </w:rPr>
        <w:t>[135] “</w:t>
      </w:r>
      <w:r w:rsidRPr="00E10917">
        <w:rPr>
          <w:rFonts w:ascii="Arial" w:hAnsi="Arial" w:cs="Arial"/>
          <w:sz w:val="20"/>
          <w:szCs w:val="20"/>
          <w:lang w:eastAsia="en-AU"/>
        </w:rPr>
        <w:t>What is the relationship between the paramountcy principle, the court’s procedural discretion and the rules of natural justice which apply?  The well</w:t>
      </w:r>
      <w:r w:rsidRPr="00E10917">
        <w:rPr>
          <w:rFonts w:ascii="Arial" w:hAnsi="Arial" w:cs="Arial"/>
          <w:sz w:val="20"/>
          <w:szCs w:val="20"/>
          <w:lang w:eastAsia="en-AU"/>
        </w:rPr>
        <w:noBreakHyphen/>
        <w:t xml:space="preserve">established general principle is that the content of the rules of natural justice must take into account the </w:t>
      </w:r>
      <w:r w:rsidRPr="00964079">
        <w:rPr>
          <w:rFonts w:ascii="Arial" w:hAnsi="Arial" w:cs="Arial"/>
          <w:sz w:val="20"/>
          <w:szCs w:val="20"/>
          <w:lang w:eastAsia="en-AU"/>
        </w:rPr>
        <w:t xml:space="preserve">nature of the jurisdiction being exercised: </w:t>
      </w:r>
      <w:proofErr w:type="spellStart"/>
      <w:r w:rsidRPr="00964079">
        <w:rPr>
          <w:rFonts w:ascii="Arial" w:hAnsi="Arial" w:cs="Arial"/>
          <w:i/>
          <w:sz w:val="20"/>
          <w:szCs w:val="20"/>
        </w:rPr>
        <w:t>Kioa</w:t>
      </w:r>
      <w:proofErr w:type="spellEnd"/>
      <w:r w:rsidRPr="00964079">
        <w:rPr>
          <w:rFonts w:ascii="Arial" w:hAnsi="Arial" w:cs="Arial"/>
          <w:i/>
          <w:sz w:val="20"/>
          <w:szCs w:val="20"/>
        </w:rPr>
        <w:t xml:space="preserve"> v West</w:t>
      </w:r>
      <w:r w:rsidRPr="00964079">
        <w:rPr>
          <w:rFonts w:ascii="Arial" w:hAnsi="Arial" w:cs="Arial"/>
          <w:sz w:val="20"/>
          <w:szCs w:val="20"/>
        </w:rPr>
        <w:t xml:space="preserve"> (1985) 159 CLR 550, 615, 633-634.</w:t>
      </w:r>
      <w:r w:rsidRPr="00964079">
        <w:rPr>
          <w:rFonts w:ascii="Arial" w:hAnsi="Arial" w:cs="Arial"/>
          <w:sz w:val="20"/>
          <w:szCs w:val="20"/>
          <w:lang w:eastAsia="en-AU"/>
        </w:rPr>
        <w:t xml:space="preserve">  Where the jurisdiction is one in which the interests of the child are paramount, the particular content and application of the </w:t>
      </w:r>
      <w:r w:rsidRPr="00964079">
        <w:rPr>
          <w:rFonts w:ascii="Arial" w:hAnsi="Arial" w:cs="Arial"/>
          <w:sz w:val="20"/>
          <w:szCs w:val="20"/>
          <w:lang w:eastAsia="en-AU"/>
        </w:rPr>
        <w:lastRenderedPageBreak/>
        <w:t>rules of natural justice will reflect the nature of that jurisdiction.  Likewise, the principle will influence the exercise of the court’s procedural discretion.</w:t>
      </w:r>
    </w:p>
    <w:p w14:paraId="4EAEB6AA" w14:textId="77777777" w:rsidR="00192251" w:rsidRPr="00964079" w:rsidRDefault="00192251" w:rsidP="00192251">
      <w:pPr>
        <w:spacing w:before="60"/>
        <w:ind w:left="567" w:right="567"/>
        <w:jc w:val="both"/>
      </w:pPr>
      <w:r>
        <w:rPr>
          <w:rFonts w:ascii="Arial" w:hAnsi="Arial" w:cs="Arial"/>
          <w:sz w:val="20"/>
          <w:szCs w:val="20"/>
          <w:lang w:eastAsia="en-AU"/>
        </w:rPr>
        <w:t xml:space="preserve">[136] </w:t>
      </w:r>
      <w:r w:rsidRPr="00E10917">
        <w:rPr>
          <w:rFonts w:ascii="Arial" w:hAnsi="Arial" w:cs="Arial"/>
          <w:sz w:val="20"/>
          <w:szCs w:val="20"/>
          <w:lang w:eastAsia="en-AU"/>
        </w:rPr>
        <w:t xml:space="preserve">Thus, in </w:t>
      </w:r>
      <w:r w:rsidRPr="00E10917">
        <w:rPr>
          <w:rFonts w:ascii="Arial" w:hAnsi="Arial" w:cs="Arial"/>
          <w:i/>
          <w:sz w:val="20"/>
          <w:szCs w:val="20"/>
          <w:lang w:eastAsia="en-AU"/>
        </w:rPr>
        <w:t xml:space="preserve">J v </w:t>
      </w:r>
      <w:proofErr w:type="spellStart"/>
      <w:r w:rsidRPr="00E10917">
        <w:rPr>
          <w:rFonts w:ascii="Arial" w:hAnsi="Arial" w:cs="Arial"/>
          <w:i/>
          <w:sz w:val="20"/>
          <w:szCs w:val="20"/>
          <w:lang w:eastAsia="en-AU"/>
        </w:rPr>
        <w:t>Leischke</w:t>
      </w:r>
      <w:proofErr w:type="spellEnd"/>
      <w:r>
        <w:rPr>
          <w:rFonts w:ascii="Arial" w:hAnsi="Arial" w:cs="Arial"/>
          <w:i/>
          <w:sz w:val="20"/>
          <w:szCs w:val="20"/>
          <w:lang w:eastAsia="en-AU"/>
        </w:rPr>
        <w:t xml:space="preserve"> </w:t>
      </w:r>
      <w:r w:rsidRPr="00964079">
        <w:rPr>
          <w:rFonts w:ascii="Arial" w:hAnsi="Arial" w:cs="Arial"/>
          <w:sz w:val="20"/>
          <w:szCs w:val="20"/>
        </w:rPr>
        <w:t>(1987) 162 CLR 447</w:t>
      </w:r>
      <w:r>
        <w:rPr>
          <w:rFonts w:ascii="Arial" w:hAnsi="Arial" w:cs="Arial"/>
          <w:sz w:val="20"/>
          <w:szCs w:val="20"/>
        </w:rPr>
        <w:t xml:space="preserve"> at 457</w:t>
      </w:r>
      <w:r w:rsidRPr="00964079">
        <w:rPr>
          <w:rFonts w:ascii="Arial" w:hAnsi="Arial" w:cs="Arial"/>
          <w:sz w:val="20"/>
          <w:szCs w:val="20"/>
          <w:lang w:eastAsia="en-AU"/>
        </w:rPr>
        <w:t>, it</w:t>
      </w:r>
      <w:r w:rsidRPr="00E10917">
        <w:rPr>
          <w:rFonts w:ascii="Arial" w:hAnsi="Arial" w:cs="Arial"/>
          <w:sz w:val="20"/>
          <w:szCs w:val="20"/>
          <w:lang w:eastAsia="en-AU"/>
        </w:rPr>
        <w:t xml:space="preserve"> was held by Brennan J </w:t>
      </w:r>
      <w:r>
        <w:rPr>
          <w:rFonts w:ascii="Arial" w:hAnsi="Arial" w:cs="Arial"/>
          <w:sz w:val="20"/>
          <w:szCs w:val="20"/>
          <w:lang w:eastAsia="en-AU"/>
        </w:rPr>
        <w:t>(with whom Mason, Wilson, Deane &amp; Dawson JJ agreed) t</w:t>
      </w:r>
      <w:r w:rsidRPr="00E10917">
        <w:rPr>
          <w:rFonts w:ascii="Arial" w:hAnsi="Arial" w:cs="Arial"/>
          <w:sz w:val="20"/>
          <w:szCs w:val="20"/>
          <w:lang w:eastAsia="en-AU"/>
        </w:rPr>
        <w:t xml:space="preserve">hat in </w:t>
      </w:r>
      <w:r>
        <w:rPr>
          <w:rFonts w:ascii="Arial" w:hAnsi="Arial" w:cs="Arial"/>
          <w:sz w:val="20"/>
          <w:szCs w:val="20"/>
          <w:lang w:eastAsia="en-AU"/>
        </w:rPr>
        <w:t>‘</w:t>
      </w:r>
      <w:r w:rsidRPr="00E10917">
        <w:rPr>
          <w:rFonts w:ascii="Arial" w:hAnsi="Arial" w:cs="Arial"/>
          <w:sz w:val="20"/>
          <w:szCs w:val="20"/>
          <w:lang w:eastAsia="en-AU"/>
        </w:rPr>
        <w:t>some custody proceedings, some qualification of the principles of natural justice may be necessary in order to ensure paramountcy of the welfare of the child</w:t>
      </w:r>
      <w:r>
        <w:rPr>
          <w:rFonts w:ascii="Arial" w:hAnsi="Arial" w:cs="Arial"/>
          <w:sz w:val="20"/>
          <w:szCs w:val="20"/>
          <w:lang w:eastAsia="en-AU"/>
        </w:rPr>
        <w:t>’</w:t>
      </w:r>
      <w:r w:rsidRPr="00E10917">
        <w:rPr>
          <w:rFonts w:ascii="Arial" w:hAnsi="Arial" w:cs="Arial"/>
          <w:sz w:val="20"/>
          <w:szCs w:val="20"/>
          <w:lang w:eastAsia="en-AU"/>
        </w:rPr>
        <w:t xml:space="preserve">, but only </w:t>
      </w:r>
      <w:r>
        <w:rPr>
          <w:rFonts w:ascii="Arial" w:hAnsi="Arial" w:cs="Arial"/>
          <w:sz w:val="20"/>
          <w:szCs w:val="20"/>
          <w:lang w:eastAsia="en-AU"/>
        </w:rPr>
        <w:t>‘</w:t>
      </w:r>
      <w:r w:rsidRPr="00E10917">
        <w:rPr>
          <w:rFonts w:ascii="Arial" w:hAnsi="Arial" w:cs="Arial"/>
          <w:sz w:val="20"/>
          <w:szCs w:val="20"/>
          <w:lang w:eastAsia="en-AU"/>
        </w:rPr>
        <w:t>so far as necessary to avoid frustration of the purpose for which the jurisdiction is conferred</w:t>
      </w:r>
      <w:r>
        <w:rPr>
          <w:rFonts w:ascii="Arial" w:hAnsi="Arial" w:cs="Arial"/>
          <w:sz w:val="20"/>
          <w:szCs w:val="20"/>
          <w:lang w:eastAsia="en-AU"/>
        </w:rPr>
        <w:t>’</w:t>
      </w:r>
      <w:r w:rsidRPr="00E10917">
        <w:rPr>
          <w:rFonts w:ascii="Arial" w:hAnsi="Arial" w:cs="Arial"/>
          <w:sz w:val="20"/>
          <w:szCs w:val="20"/>
          <w:lang w:eastAsia="en-AU"/>
        </w:rPr>
        <w:t>.</w:t>
      </w:r>
      <w:r>
        <w:t xml:space="preserve">  </w:t>
      </w:r>
      <w:r w:rsidRPr="00E10917">
        <w:rPr>
          <w:rFonts w:ascii="Arial" w:hAnsi="Arial" w:cs="Arial"/>
          <w:sz w:val="20"/>
          <w:szCs w:val="20"/>
          <w:lang w:eastAsia="en-AU"/>
        </w:rPr>
        <w:t xml:space="preserve">That principle was applied in the Family Court of Australia in </w:t>
      </w:r>
      <w:r w:rsidRPr="00E10917">
        <w:rPr>
          <w:rFonts w:ascii="Arial" w:hAnsi="Arial" w:cs="Arial"/>
          <w:i/>
          <w:sz w:val="20"/>
          <w:szCs w:val="20"/>
          <w:lang w:eastAsia="en-AU"/>
        </w:rPr>
        <w:t>Separate Representative v E</w:t>
      </w:r>
      <w:r w:rsidRPr="00E10917">
        <w:rPr>
          <w:rFonts w:ascii="Arial" w:hAnsi="Arial" w:cs="Arial"/>
          <w:sz w:val="20"/>
          <w:szCs w:val="20"/>
          <w:lang w:eastAsia="en-AU"/>
        </w:rPr>
        <w:t xml:space="preserve"> </w:t>
      </w:r>
      <w:r w:rsidRPr="00964079">
        <w:rPr>
          <w:rFonts w:ascii="Arial" w:hAnsi="Arial" w:cs="Arial"/>
          <w:sz w:val="20"/>
          <w:szCs w:val="20"/>
        </w:rPr>
        <w:t>(1993) 114 FLR 1</w:t>
      </w:r>
      <w:r>
        <w:rPr>
          <w:rFonts w:ascii="Arial" w:hAnsi="Arial" w:cs="Arial"/>
          <w:sz w:val="20"/>
          <w:szCs w:val="20"/>
        </w:rPr>
        <w:t xml:space="preserve"> </w:t>
      </w:r>
      <w:r w:rsidRPr="00964079">
        <w:rPr>
          <w:rFonts w:ascii="Arial" w:hAnsi="Arial" w:cs="Arial"/>
          <w:sz w:val="20"/>
          <w:szCs w:val="20"/>
          <w:lang w:eastAsia="en-AU"/>
        </w:rPr>
        <w:t xml:space="preserve">by </w:t>
      </w:r>
      <w:r w:rsidRPr="00E10917">
        <w:rPr>
          <w:rFonts w:ascii="Arial" w:hAnsi="Arial" w:cs="Arial"/>
          <w:sz w:val="20"/>
          <w:szCs w:val="20"/>
          <w:lang w:eastAsia="en-AU"/>
        </w:rPr>
        <w:t>Nicholson CJ and Fogarty J, who held</w:t>
      </w:r>
      <w:r>
        <w:rPr>
          <w:rFonts w:ascii="Arial" w:hAnsi="Arial" w:cs="Arial"/>
          <w:sz w:val="20"/>
          <w:szCs w:val="20"/>
          <w:lang w:eastAsia="en-AU"/>
        </w:rPr>
        <w:t xml:space="preserve"> at 14</w:t>
      </w:r>
      <w:r w:rsidRPr="00E10917">
        <w:rPr>
          <w:rFonts w:ascii="Arial" w:hAnsi="Arial" w:cs="Arial"/>
          <w:sz w:val="20"/>
          <w:szCs w:val="20"/>
          <w:lang w:eastAsia="en-AU"/>
        </w:rPr>
        <w:t>:</w:t>
      </w:r>
    </w:p>
    <w:p w14:paraId="1FA2878E" w14:textId="77777777" w:rsidR="00192251" w:rsidRPr="00E10917" w:rsidRDefault="00192251" w:rsidP="00192251">
      <w:pPr>
        <w:pStyle w:val="Quote1"/>
        <w:widowControl/>
        <w:spacing w:before="60" w:after="0" w:line="240" w:lineRule="auto"/>
        <w:ind w:left="1021" w:right="1021" w:firstLine="0"/>
        <w:rPr>
          <w:rFonts w:ascii="Arial" w:hAnsi="Arial" w:cs="Arial"/>
          <w:sz w:val="20"/>
          <w:lang w:eastAsia="en-AU"/>
        </w:rPr>
      </w:pPr>
      <w:r>
        <w:rPr>
          <w:rFonts w:ascii="Arial" w:hAnsi="Arial" w:cs="Arial"/>
          <w:sz w:val="20"/>
          <w:lang w:eastAsia="en-AU"/>
        </w:rPr>
        <w:t>‘</w:t>
      </w:r>
      <w:r w:rsidRPr="00E10917">
        <w:rPr>
          <w:rFonts w:ascii="Arial" w:hAnsi="Arial" w:cs="Arial"/>
          <w:sz w:val="20"/>
          <w:lang w:eastAsia="en-AU"/>
        </w:rPr>
        <w:t>In the exercise of its jurisdiction to determine disputes relating to the custody, guardianship or welfare of, or access to a child, the Family Court has obligations to regard the child’s welfare as paramount (s 64(1)(a)), to protect the child from harm (s 64(1)(b)(a)), and to make ‘such order in respect of those matters as it considers proper’ (s 64(1)(c)).  The rights of the disputants to natural justice are therefore qualified to the extent that those rights encroach on or are in conflict with these obligations.</w:t>
      </w:r>
      <w:r>
        <w:rPr>
          <w:rFonts w:ascii="Arial" w:hAnsi="Arial" w:cs="Arial"/>
          <w:sz w:val="20"/>
          <w:lang w:eastAsia="en-AU"/>
        </w:rPr>
        <w:t>’</w:t>
      </w:r>
    </w:p>
    <w:p w14:paraId="3937065D" w14:textId="77777777" w:rsidR="00192251" w:rsidRPr="005960F3" w:rsidRDefault="00192251" w:rsidP="00192251">
      <w:pPr>
        <w:spacing w:before="60"/>
        <w:ind w:left="567" w:right="567"/>
        <w:jc w:val="both"/>
        <w:rPr>
          <w:rFonts w:ascii="Arial" w:hAnsi="Arial" w:cs="Arial"/>
          <w:sz w:val="20"/>
          <w:szCs w:val="20"/>
        </w:rPr>
      </w:pPr>
      <w:r w:rsidRPr="005960F3">
        <w:rPr>
          <w:rFonts w:ascii="Arial" w:hAnsi="Arial" w:cs="Arial"/>
          <w:sz w:val="20"/>
          <w:szCs w:val="20"/>
        </w:rPr>
        <w:t>[137]</w:t>
      </w:r>
      <w:r>
        <w:rPr>
          <w:rFonts w:ascii="Arial" w:hAnsi="Arial" w:cs="Arial"/>
          <w:sz w:val="20"/>
          <w:szCs w:val="20"/>
        </w:rPr>
        <w:t xml:space="preserve"> </w:t>
      </w:r>
      <w:r w:rsidRPr="00E10917">
        <w:rPr>
          <w:rFonts w:ascii="Arial" w:hAnsi="Arial" w:cs="Arial"/>
          <w:sz w:val="20"/>
          <w:szCs w:val="20"/>
          <w:lang w:eastAsia="en-AU"/>
        </w:rPr>
        <w:t>Accordingly, the rules of natural justice do not prevent a court, when exercising a wardship, guardianship, protection or like jurisdiction in the best interests of the child, from exercising its discretion to adopt fair procedures which will suit that purpose.</w:t>
      </w:r>
      <w:r>
        <w:rPr>
          <w:rFonts w:ascii="Arial" w:hAnsi="Arial" w:cs="Arial"/>
          <w:sz w:val="20"/>
          <w:szCs w:val="20"/>
          <w:lang w:eastAsia="en-AU"/>
        </w:rPr>
        <w:t>”</w:t>
      </w:r>
    </w:p>
    <w:p w14:paraId="0EFBE4F8"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708BC6FF" w14:textId="77777777" w:rsidR="00192251" w:rsidRDefault="00192251" w:rsidP="00192251">
      <w:pPr>
        <w:pBdr>
          <w:top w:val="single" w:sz="8" w:space="1" w:color="auto"/>
        </w:pBdr>
        <w:ind w:left="567" w:right="567"/>
        <w:jc w:val="both"/>
        <w:rPr>
          <w:rFonts w:ascii="Arial" w:hAnsi="Arial" w:cs="Arial"/>
          <w:sz w:val="12"/>
          <w:szCs w:val="12"/>
        </w:rPr>
      </w:pPr>
    </w:p>
    <w:p w14:paraId="3D5E1AB9"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[146] </w:t>
      </w:r>
      <w:r>
        <w:rPr>
          <w:rFonts w:ascii="Arial" w:hAnsi="Arial" w:cs="Arial"/>
          <w:bCs/>
          <w:color w:val="000000"/>
          <w:sz w:val="20"/>
        </w:rPr>
        <w:t>“</w:t>
      </w:r>
      <w:r w:rsidRPr="00785E1A">
        <w:rPr>
          <w:rFonts w:ascii="Arial" w:hAnsi="Arial" w:cs="Arial"/>
          <w:bCs/>
          <w:color w:val="000000"/>
          <w:sz w:val="20"/>
        </w:rPr>
        <w:t xml:space="preserve">While the natural justice afforded to parties, and the procedures followed by the court, may be influenced by the overriding consideration of the best interests of the child, the parties must still be afforded procedural fairness.  So it was that, in </w:t>
      </w:r>
      <w:r w:rsidRPr="00785E1A">
        <w:rPr>
          <w:rFonts w:ascii="Arial" w:hAnsi="Arial" w:cs="Arial"/>
          <w:bCs/>
          <w:i/>
          <w:color w:val="000000"/>
          <w:sz w:val="20"/>
        </w:rPr>
        <w:t>T v T</w:t>
      </w:r>
      <w:r w:rsidRPr="00785E1A">
        <w:rPr>
          <w:rFonts w:ascii="Arial" w:hAnsi="Arial" w:cs="Arial"/>
          <w:bCs/>
          <w:color w:val="000000"/>
          <w:sz w:val="20"/>
        </w:rPr>
        <w:t xml:space="preserve"> (2008) 38 Fam LR 614, the Full Court of the Family Court of Australia held that trials conducted under the new less adversarial trial arrangements must conform to that requirement.  Similarly, in </w:t>
      </w:r>
      <w:r w:rsidRPr="00785E1A">
        <w:rPr>
          <w:rFonts w:ascii="Arial" w:hAnsi="Arial" w:cs="Arial"/>
          <w:bCs/>
          <w:i/>
          <w:color w:val="000000"/>
          <w:sz w:val="20"/>
        </w:rPr>
        <w:t>Re Timothy</w:t>
      </w:r>
      <w:r w:rsidRPr="00785E1A">
        <w:rPr>
          <w:rFonts w:ascii="Arial" w:hAnsi="Arial" w:cs="Arial"/>
          <w:bCs/>
          <w:color w:val="000000"/>
          <w:sz w:val="20"/>
        </w:rPr>
        <w:t xml:space="preserve"> (2010) 43 Fam LR 234 at [32], a magistrate of the Children’s Court of New South Wales was held to have breached the rules of natural justice by not disqualifying herself from making orders when she had followed a procedure, in the best interests of the child, which created a reasonable apprehension of bias.</w:t>
      </w:r>
    </w:p>
    <w:p w14:paraId="5E340F3C"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[147] The principle of the best interests of the child cannot override a legislative prohibition.  For example, the principle cannot be employed to make admissible in evidence admissions made in a counselling session which is confidential under a specific legislative provision: </w:t>
      </w:r>
      <w:r w:rsidRPr="00785E1A">
        <w:rPr>
          <w:rFonts w:ascii="Arial" w:hAnsi="Arial" w:cs="Arial"/>
          <w:bCs/>
          <w:i/>
          <w:color w:val="000000"/>
          <w:sz w:val="20"/>
        </w:rPr>
        <w:t>Centacare Central Queensland v G</w:t>
      </w:r>
      <w:r w:rsidRPr="00785E1A">
        <w:rPr>
          <w:rFonts w:ascii="Arial" w:hAnsi="Arial" w:cs="Arial"/>
          <w:bCs/>
          <w:color w:val="000000"/>
          <w:sz w:val="20"/>
        </w:rPr>
        <w:t xml:space="preserve"> (1998) 146 FLR 252, 264; approved </w:t>
      </w:r>
      <w:r w:rsidRPr="00785E1A">
        <w:rPr>
          <w:rFonts w:ascii="Arial" w:hAnsi="Arial" w:cs="Arial"/>
          <w:bCs/>
          <w:i/>
          <w:color w:val="000000"/>
          <w:sz w:val="20"/>
        </w:rPr>
        <w:t>Northern Territory v GPAO</w:t>
      </w:r>
      <w:r w:rsidRPr="00785E1A">
        <w:rPr>
          <w:rFonts w:ascii="Arial" w:hAnsi="Arial" w:cs="Arial"/>
          <w:bCs/>
          <w:color w:val="000000"/>
          <w:sz w:val="20"/>
        </w:rPr>
        <w:t xml:space="preserve"> (1999) 196 CLR 553, 585 per Gleeson CJ and </w:t>
      </w:r>
      <w:proofErr w:type="spellStart"/>
      <w:r w:rsidRPr="00785E1A">
        <w:rPr>
          <w:rFonts w:ascii="Arial" w:hAnsi="Arial" w:cs="Arial"/>
          <w:bCs/>
          <w:color w:val="000000"/>
          <w:sz w:val="20"/>
        </w:rPr>
        <w:t>Gummow</w:t>
      </w:r>
      <w:proofErr w:type="spellEnd"/>
      <w:r w:rsidRPr="00785E1A">
        <w:rPr>
          <w:rFonts w:ascii="Arial" w:hAnsi="Arial" w:cs="Arial"/>
          <w:bCs/>
          <w:color w:val="000000"/>
          <w:sz w:val="20"/>
        </w:rPr>
        <w:t xml:space="preserve"> J.”</w:t>
      </w:r>
    </w:p>
    <w:p w14:paraId="0E395D72" w14:textId="77777777" w:rsidR="00046C07" w:rsidRPr="00785E1A" w:rsidRDefault="00046C07" w:rsidP="00046C07">
      <w:pPr>
        <w:jc w:val="both"/>
        <w:rPr>
          <w:rFonts w:ascii="Arial" w:hAnsi="Arial" w:cs="Arial"/>
          <w:bCs/>
          <w:color w:val="000000"/>
          <w:sz w:val="20"/>
        </w:rPr>
      </w:pPr>
    </w:p>
    <w:p w14:paraId="49C2A06D" w14:textId="77777777" w:rsidR="00563451" w:rsidRPr="00785E1A" w:rsidRDefault="00562644" w:rsidP="00046C07">
      <w:pPr>
        <w:jc w:val="both"/>
        <w:rPr>
          <w:rFonts w:ascii="Arial" w:hAnsi="Arial" w:cs="Arial"/>
          <w:bCs/>
          <w:color w:val="000000"/>
          <w:sz w:val="20"/>
        </w:rPr>
      </w:pPr>
      <w:r w:rsidRPr="00785E1A">
        <w:rPr>
          <w:rFonts w:ascii="Arial" w:hAnsi="Arial" w:cs="Arial"/>
          <w:bCs/>
          <w:color w:val="000000"/>
          <w:sz w:val="20"/>
        </w:rPr>
        <w:t xml:space="preserve">In </w:t>
      </w:r>
      <w:r w:rsidRPr="00785E1A">
        <w:rPr>
          <w:rFonts w:ascii="Arial" w:hAnsi="Arial" w:cs="Arial"/>
          <w:color w:val="000000"/>
          <w:sz w:val="20"/>
        </w:rPr>
        <w:t>endorsing the decision of the Children’s Court Magistrate to revoke the custody to Secretary orders without hearing evidence in the traditional way</w:t>
      </w:r>
      <w:r w:rsidRPr="00785E1A">
        <w:rPr>
          <w:rFonts w:ascii="Arial" w:hAnsi="Arial" w:cs="Arial"/>
          <w:bCs/>
          <w:color w:val="000000"/>
          <w:sz w:val="20"/>
        </w:rPr>
        <w:t xml:space="preserve">, </w:t>
      </w:r>
      <w:r w:rsidR="00563451" w:rsidRPr="00785E1A">
        <w:rPr>
          <w:rFonts w:ascii="Arial" w:hAnsi="Arial" w:cs="Arial"/>
          <w:bCs/>
          <w:color w:val="000000"/>
          <w:sz w:val="20"/>
        </w:rPr>
        <w:t>his Honour concluded</w:t>
      </w:r>
      <w:r w:rsidRPr="00785E1A">
        <w:rPr>
          <w:rFonts w:ascii="Arial" w:hAnsi="Arial" w:cs="Arial"/>
          <w:bCs/>
          <w:color w:val="000000"/>
          <w:sz w:val="20"/>
        </w:rPr>
        <w:t xml:space="preserve"> at [280]-[283]</w:t>
      </w:r>
      <w:r w:rsidR="00563451" w:rsidRPr="00785E1A">
        <w:rPr>
          <w:rFonts w:ascii="Arial" w:hAnsi="Arial" w:cs="Arial"/>
          <w:bCs/>
          <w:color w:val="000000"/>
          <w:sz w:val="20"/>
        </w:rPr>
        <w:t>:</w:t>
      </w:r>
    </w:p>
    <w:p w14:paraId="4A915069" w14:textId="77777777" w:rsidR="00562644" w:rsidRPr="00785E1A" w:rsidRDefault="00562644"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[280] “</w:t>
      </w:r>
      <w:r w:rsidR="00CF2B7F" w:rsidRPr="00785E1A">
        <w:rPr>
          <w:rFonts w:ascii="Arial" w:hAnsi="Arial" w:cs="Arial"/>
          <w:bCs/>
          <w:color w:val="000000"/>
          <w:sz w:val="20"/>
        </w:rPr>
        <w:t>[T]he information [before the magistrate] was sufficiently reliable and probative to form a proper basis for the magistrate’s decision.</w:t>
      </w:r>
    </w:p>
    <w:p w14:paraId="43C6ABAE" w14:textId="77777777" w:rsidR="00563451"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[281] </w:t>
      </w:r>
      <w:r w:rsidR="00563451" w:rsidRPr="00785E1A">
        <w:rPr>
          <w:rFonts w:ascii="Arial" w:hAnsi="Arial" w:cs="Arial"/>
          <w:bCs/>
          <w:color w:val="000000"/>
          <w:sz w:val="20"/>
        </w:rPr>
        <w:t xml:space="preserve">The </w:t>
      </w:r>
      <w:r w:rsidR="00563451" w:rsidRPr="00785E1A">
        <w:rPr>
          <w:rFonts w:ascii="Arial" w:hAnsi="Arial" w:cs="Arial"/>
          <w:bCs/>
          <w:i/>
          <w:color w:val="000000"/>
          <w:sz w:val="20"/>
        </w:rPr>
        <w:t>Children, Youth and Families Act 2005</w:t>
      </w:r>
      <w:r w:rsidR="00563451" w:rsidRPr="00785E1A">
        <w:rPr>
          <w:rFonts w:ascii="Arial" w:hAnsi="Arial" w:cs="Arial"/>
          <w:bCs/>
          <w:color w:val="000000"/>
          <w:sz w:val="20"/>
        </w:rPr>
        <w:t xml:space="preserve"> requires the court to have regard to the best interests of the child as the paramount consideration.  In my view, that consideration not only governs the orders which the court can make in the Family Division.  It also governs the procedures which should be followed in protection proceedings in that division, which must also be fair to all of the parties.”</w:t>
      </w:r>
    </w:p>
    <w:p w14:paraId="37B4FC64" w14:textId="77777777" w:rsidR="00EE02FD"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[282] </w:t>
      </w:r>
      <w:r w:rsidR="00397F16" w:rsidRPr="00785E1A">
        <w:rPr>
          <w:rFonts w:ascii="Arial" w:hAnsi="Arial" w:cs="Arial"/>
          <w:bCs/>
          <w:color w:val="000000"/>
          <w:sz w:val="20"/>
        </w:rPr>
        <w:t xml:space="preserve">The legislation gives the court a wide discretion as to the procedure which can be adopted in protection proceedings.  </w:t>
      </w:r>
      <w:r w:rsidR="00562644" w:rsidRPr="00785E1A">
        <w:rPr>
          <w:rFonts w:ascii="Arial" w:hAnsi="Arial" w:cs="Arial"/>
          <w:bCs/>
          <w:color w:val="000000"/>
          <w:sz w:val="20"/>
        </w:rPr>
        <w:t xml:space="preserve">The court is required to conduct </w:t>
      </w:r>
      <w:r w:rsidR="00CF2B7F" w:rsidRPr="00785E1A">
        <w:rPr>
          <w:rFonts w:ascii="Arial" w:hAnsi="Arial" w:cs="Arial"/>
          <w:bCs/>
          <w:color w:val="000000"/>
          <w:sz w:val="20"/>
        </w:rPr>
        <w:t>such proceedings in an informal manner and is permitted to inform itself as it sees fit, despite any rules of evidence to the contrary.  These procedural powers enable the court, in its discretion, to conduct protection proceedings in a flexible manner, without legal forms and in the best interest of the child.  In appropriate cases, including in revocation proceedings, conducting a submissions contest hearing which is fair to all of the parties falls within the zone of that discretion.</w:t>
      </w:r>
    </w:p>
    <w:p w14:paraId="35435B6D" w14:textId="77777777" w:rsidR="00CF2B7F" w:rsidRPr="00785E1A" w:rsidRDefault="00CF2B7F"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lastRenderedPageBreak/>
        <w:t xml:space="preserve">[283] The procedural powers of the court are not absolute.  The court must observe the rules of natural justice and act compatibly with the human right of children, parents and potentially others to a fair hearing </w:t>
      </w:r>
      <w:r w:rsidR="003D6604" w:rsidRPr="00785E1A">
        <w:rPr>
          <w:rFonts w:ascii="Arial" w:hAnsi="Arial" w:cs="Arial"/>
          <w:bCs/>
          <w:color w:val="000000"/>
          <w:sz w:val="20"/>
        </w:rPr>
        <w:t xml:space="preserve">under s.24(1) of the </w:t>
      </w:r>
      <w:r w:rsidR="003D6604" w:rsidRPr="00785E1A">
        <w:rPr>
          <w:rFonts w:ascii="Arial" w:hAnsi="Arial" w:cs="Arial"/>
          <w:bCs/>
          <w:i/>
          <w:color w:val="000000"/>
          <w:sz w:val="20"/>
        </w:rPr>
        <w:t>Charter of Human Rights and Responsibilities Act 2006</w:t>
      </w:r>
      <w:r w:rsidR="003D6604" w:rsidRPr="00785E1A">
        <w:rPr>
          <w:rFonts w:ascii="Arial" w:hAnsi="Arial" w:cs="Arial"/>
          <w:bCs/>
          <w:color w:val="000000"/>
          <w:sz w:val="20"/>
        </w:rPr>
        <w:t xml:space="preserve">.  It must respect the </w:t>
      </w:r>
      <w:r w:rsidR="005D33AE" w:rsidRPr="00785E1A">
        <w:rPr>
          <w:rFonts w:ascii="Arial" w:hAnsi="Arial" w:cs="Arial"/>
          <w:bCs/>
          <w:color w:val="000000"/>
          <w:sz w:val="20"/>
        </w:rPr>
        <w:t>important function of the Secretary under the Children, Youth and Families Act, including her role as a protective intervener, and her position as a statutory party.  In the present case, adopting the submissions contest procedure was open to the court in the best interests of the children and did not breach the procedural rights of the Secretary or any other party.”</w:t>
      </w:r>
    </w:p>
    <w:p w14:paraId="741728EE" w14:textId="77777777" w:rsidR="00D6007D" w:rsidRPr="00D00CAA" w:rsidRDefault="00D6007D" w:rsidP="00C75CA9">
      <w:pPr>
        <w:jc w:val="both"/>
        <w:rPr>
          <w:rFonts w:ascii="Arial" w:hAnsi="Arial" w:cs="Arial"/>
          <w:bCs/>
          <w:color w:val="000000"/>
          <w:sz w:val="20"/>
        </w:rPr>
      </w:pPr>
    </w:p>
    <w:p w14:paraId="378A257A" w14:textId="77777777" w:rsidR="00C46E65" w:rsidRPr="009E171F" w:rsidRDefault="00E53F32" w:rsidP="00C75CA9">
      <w:pPr>
        <w:jc w:val="both"/>
        <w:rPr>
          <w:rFonts w:ascii="Arial" w:hAnsi="Arial" w:cs="Arial"/>
          <w:bCs/>
          <w:color w:val="000000"/>
          <w:sz w:val="20"/>
        </w:rPr>
      </w:pPr>
      <w:r w:rsidRPr="009E171F">
        <w:rPr>
          <w:rFonts w:ascii="Arial" w:hAnsi="Arial" w:cs="Arial"/>
          <w:bCs/>
          <w:color w:val="000000"/>
          <w:sz w:val="20"/>
        </w:rPr>
        <w:t>However, i</w:t>
      </w:r>
      <w:r w:rsidR="00C46E65" w:rsidRPr="009E171F">
        <w:rPr>
          <w:rFonts w:ascii="Arial" w:hAnsi="Arial" w:cs="Arial"/>
          <w:bCs/>
          <w:color w:val="000000"/>
          <w:sz w:val="20"/>
        </w:rPr>
        <w:t xml:space="preserve">n </w:t>
      </w:r>
      <w:r w:rsidR="00C46E65" w:rsidRPr="009E171F">
        <w:rPr>
          <w:rFonts w:ascii="Arial" w:hAnsi="Arial" w:cs="Arial"/>
          <w:bCs/>
          <w:i/>
          <w:color w:val="000000"/>
          <w:sz w:val="20"/>
        </w:rPr>
        <w:t>DOHS v Children’s Court</w:t>
      </w:r>
      <w:r w:rsidR="009E171F" w:rsidRPr="009E171F">
        <w:rPr>
          <w:rFonts w:ascii="Arial" w:hAnsi="Arial" w:cs="Arial"/>
          <w:bCs/>
          <w:i/>
          <w:color w:val="000000"/>
          <w:sz w:val="20"/>
        </w:rPr>
        <w:t xml:space="preserve"> of Victoria</w:t>
      </w:r>
      <w:r w:rsidR="00C46E65" w:rsidRPr="009E171F">
        <w:rPr>
          <w:rFonts w:ascii="Arial" w:hAnsi="Arial" w:cs="Arial"/>
          <w:bCs/>
          <w:i/>
          <w:color w:val="000000"/>
          <w:sz w:val="20"/>
        </w:rPr>
        <w:t xml:space="preserve"> &amp; Ors</w:t>
      </w:r>
      <w:r w:rsidR="00C46E65" w:rsidRPr="009E171F">
        <w:rPr>
          <w:rFonts w:ascii="Arial" w:hAnsi="Arial" w:cs="Arial"/>
          <w:bCs/>
          <w:color w:val="000000"/>
          <w:sz w:val="20"/>
        </w:rPr>
        <w:t xml:space="preserve"> [2012] VSC </w:t>
      </w:r>
      <w:r w:rsidR="00F81051" w:rsidRPr="009E171F">
        <w:rPr>
          <w:rFonts w:ascii="Arial" w:hAnsi="Arial" w:cs="Arial"/>
          <w:bCs/>
          <w:color w:val="000000"/>
          <w:sz w:val="20"/>
        </w:rPr>
        <w:t xml:space="preserve">422 </w:t>
      </w:r>
      <w:r w:rsidR="0051174D" w:rsidRPr="009E171F">
        <w:rPr>
          <w:rFonts w:ascii="Arial" w:hAnsi="Arial" w:cs="Arial"/>
          <w:bCs/>
          <w:color w:val="000000"/>
          <w:sz w:val="20"/>
        </w:rPr>
        <w:t xml:space="preserve">a magistrate </w:t>
      </w:r>
      <w:r w:rsidRPr="009E171F">
        <w:rPr>
          <w:rFonts w:ascii="Arial" w:hAnsi="Arial" w:cs="Arial"/>
          <w:bCs/>
          <w:color w:val="000000"/>
          <w:sz w:val="20"/>
        </w:rPr>
        <w:t xml:space="preserve">had </w:t>
      </w:r>
      <w:r w:rsidR="0051174D" w:rsidRPr="009E171F">
        <w:rPr>
          <w:rFonts w:ascii="Arial" w:hAnsi="Arial" w:cs="Arial"/>
          <w:bCs/>
          <w:color w:val="000000"/>
          <w:sz w:val="20"/>
        </w:rPr>
        <w:t>varied a custody to Secretary orde</w:t>
      </w:r>
      <w:r w:rsidR="000E7A31" w:rsidRPr="009E171F">
        <w:rPr>
          <w:rFonts w:ascii="Arial" w:hAnsi="Arial" w:cs="Arial"/>
          <w:bCs/>
          <w:color w:val="000000"/>
          <w:sz w:val="20"/>
        </w:rPr>
        <w:t xml:space="preserve">r by adding conditions for </w:t>
      </w:r>
      <w:r w:rsidR="00502296" w:rsidRPr="001E38BA">
        <w:rPr>
          <w:rFonts w:ascii="Arial" w:hAnsi="Arial" w:cs="Arial"/>
          <w:bCs/>
          <w:color w:val="000000"/>
          <w:sz w:val="20"/>
        </w:rPr>
        <w:t>contact</w:t>
      </w:r>
      <w:r w:rsidR="0051174D" w:rsidRPr="001E38BA">
        <w:rPr>
          <w:rFonts w:ascii="Arial" w:hAnsi="Arial" w:cs="Arial"/>
          <w:bCs/>
          <w:color w:val="000000"/>
          <w:sz w:val="20"/>
        </w:rPr>
        <w:t xml:space="preserve"> by a cousin and a grandmother after </w:t>
      </w:r>
      <w:r w:rsidR="001B168F" w:rsidRPr="001E38BA">
        <w:rPr>
          <w:rFonts w:ascii="Arial" w:hAnsi="Arial" w:cs="Arial"/>
          <w:bCs/>
          <w:color w:val="000000"/>
          <w:sz w:val="20"/>
        </w:rPr>
        <w:t xml:space="preserve">a submissions </w:t>
      </w:r>
      <w:r w:rsidR="0051174D" w:rsidRPr="001E38BA">
        <w:rPr>
          <w:rFonts w:ascii="Arial" w:hAnsi="Arial" w:cs="Arial"/>
          <w:bCs/>
          <w:color w:val="000000"/>
          <w:sz w:val="20"/>
        </w:rPr>
        <w:t xml:space="preserve">hearing.  Counsel for </w:t>
      </w:r>
      <w:r w:rsidR="001B168F" w:rsidRPr="001E38BA">
        <w:rPr>
          <w:rFonts w:ascii="Arial" w:hAnsi="Arial" w:cs="Arial"/>
          <w:bCs/>
          <w:color w:val="000000"/>
          <w:sz w:val="20"/>
        </w:rPr>
        <w:t xml:space="preserve">DOHS </w:t>
      </w:r>
      <w:r w:rsidR="0051174D" w:rsidRPr="001E38BA">
        <w:rPr>
          <w:rFonts w:ascii="Arial" w:hAnsi="Arial" w:cs="Arial"/>
          <w:bCs/>
          <w:color w:val="000000"/>
          <w:sz w:val="20"/>
        </w:rPr>
        <w:t xml:space="preserve">had </w:t>
      </w:r>
      <w:r w:rsidR="001B168F" w:rsidRPr="001E38BA">
        <w:rPr>
          <w:rFonts w:ascii="Arial" w:hAnsi="Arial" w:cs="Arial"/>
          <w:bCs/>
          <w:color w:val="000000"/>
          <w:sz w:val="20"/>
        </w:rPr>
        <w:t>forcefully</w:t>
      </w:r>
      <w:r w:rsidR="0051174D" w:rsidRPr="001E38BA">
        <w:rPr>
          <w:rFonts w:ascii="Arial" w:hAnsi="Arial" w:cs="Arial"/>
          <w:bCs/>
          <w:color w:val="000000"/>
          <w:sz w:val="20"/>
        </w:rPr>
        <w:t xml:space="preserve"> opposed this course, noting that she had two witnesses in court who could give relevant evidence.  The pressure of other court business did not permit this case to be heard by evidence that day or indeed for some months.  In</w:t>
      </w:r>
      <w:r w:rsidR="00A976E1" w:rsidRPr="001E38BA">
        <w:rPr>
          <w:rFonts w:ascii="Arial" w:hAnsi="Arial" w:cs="Arial"/>
          <w:bCs/>
          <w:color w:val="000000"/>
          <w:sz w:val="20"/>
        </w:rPr>
        <w:t> </w:t>
      </w:r>
      <w:r w:rsidR="0051174D" w:rsidRPr="001E38BA">
        <w:rPr>
          <w:rFonts w:ascii="Arial" w:hAnsi="Arial" w:cs="Arial"/>
          <w:bCs/>
          <w:color w:val="000000"/>
          <w:sz w:val="20"/>
        </w:rPr>
        <w:t xml:space="preserve">allowing the Department’s application for judicial review, </w:t>
      </w:r>
      <w:r w:rsidR="00F81051" w:rsidRPr="001E38BA">
        <w:rPr>
          <w:rFonts w:ascii="Arial" w:hAnsi="Arial" w:cs="Arial"/>
          <w:bCs/>
          <w:color w:val="000000"/>
          <w:sz w:val="20"/>
        </w:rPr>
        <w:t xml:space="preserve">Dixon J distinguished </w:t>
      </w:r>
      <w:r w:rsidR="00F81051" w:rsidRPr="001E38BA">
        <w:rPr>
          <w:rFonts w:ascii="Arial" w:hAnsi="Arial" w:cs="Arial"/>
          <w:bCs/>
          <w:i/>
          <w:color w:val="000000"/>
          <w:sz w:val="20"/>
        </w:rPr>
        <w:t>Sanding’s Case</w:t>
      </w:r>
      <w:r w:rsidR="00F81051" w:rsidRPr="001E38BA">
        <w:rPr>
          <w:rFonts w:ascii="Arial" w:hAnsi="Arial" w:cs="Arial"/>
          <w:bCs/>
          <w:color w:val="000000"/>
          <w:sz w:val="20"/>
        </w:rPr>
        <w:t xml:space="preserve">, holding that </w:t>
      </w:r>
      <w:r w:rsidR="001B168F" w:rsidRPr="001E38BA">
        <w:rPr>
          <w:rFonts w:ascii="Arial" w:hAnsi="Arial" w:cs="Arial"/>
          <w:bCs/>
          <w:color w:val="000000"/>
          <w:sz w:val="20"/>
        </w:rPr>
        <w:t xml:space="preserve">the Department had been denied procedural fairness and adding that there </w:t>
      </w:r>
      <w:r w:rsidR="000E7A31" w:rsidRPr="001E38BA">
        <w:rPr>
          <w:rFonts w:ascii="Arial" w:hAnsi="Arial" w:cs="Arial"/>
          <w:bCs/>
          <w:color w:val="000000"/>
          <w:sz w:val="20"/>
        </w:rPr>
        <w:t>“</w:t>
      </w:r>
      <w:r w:rsidR="001B168F" w:rsidRPr="001E38BA">
        <w:rPr>
          <w:rFonts w:ascii="Arial" w:hAnsi="Arial" w:cs="Arial"/>
          <w:bCs/>
          <w:color w:val="000000"/>
          <w:sz w:val="20"/>
        </w:rPr>
        <w:t>was clearly a significant risk for the child’s welfare through destabilization of his pla</w:t>
      </w:r>
      <w:r w:rsidR="000E7A31" w:rsidRPr="001E38BA">
        <w:rPr>
          <w:rFonts w:ascii="Arial" w:hAnsi="Arial" w:cs="Arial"/>
          <w:bCs/>
          <w:color w:val="000000"/>
          <w:sz w:val="20"/>
        </w:rPr>
        <w:t>c</w:t>
      </w:r>
      <w:r w:rsidR="001B168F" w:rsidRPr="001E38BA">
        <w:rPr>
          <w:rFonts w:ascii="Arial" w:hAnsi="Arial" w:cs="Arial"/>
          <w:bCs/>
          <w:color w:val="000000"/>
          <w:sz w:val="20"/>
        </w:rPr>
        <w:t xml:space="preserve">ement </w:t>
      </w:r>
      <w:r w:rsidR="000E7A31" w:rsidRPr="001E38BA">
        <w:rPr>
          <w:rFonts w:ascii="Arial" w:hAnsi="Arial" w:cs="Arial"/>
          <w:bCs/>
          <w:color w:val="000000"/>
          <w:sz w:val="20"/>
        </w:rPr>
        <w:t xml:space="preserve">with a long term carer through extended </w:t>
      </w:r>
      <w:r w:rsidR="00502296" w:rsidRPr="001E38BA">
        <w:rPr>
          <w:rFonts w:ascii="Arial" w:hAnsi="Arial" w:cs="Arial"/>
          <w:bCs/>
          <w:color w:val="000000"/>
          <w:sz w:val="20"/>
        </w:rPr>
        <w:t>[contact with]</w:t>
      </w:r>
      <w:r w:rsidR="000E7A31" w:rsidRPr="009E171F">
        <w:rPr>
          <w:rFonts w:ascii="Arial" w:hAnsi="Arial" w:cs="Arial"/>
          <w:bCs/>
          <w:color w:val="000000"/>
          <w:sz w:val="20"/>
        </w:rPr>
        <w:t xml:space="preserve"> different family members other than in accordance with a properly considered approach”.</w:t>
      </w:r>
    </w:p>
    <w:p w14:paraId="49CC8C44" w14:textId="77777777" w:rsidR="00C46E65" w:rsidRPr="009E171F" w:rsidRDefault="00C46E65" w:rsidP="00C75CA9">
      <w:pPr>
        <w:jc w:val="both"/>
        <w:rPr>
          <w:rFonts w:ascii="Arial" w:hAnsi="Arial" w:cs="Arial"/>
          <w:bCs/>
          <w:color w:val="000000"/>
          <w:sz w:val="20"/>
        </w:rPr>
      </w:pPr>
    </w:p>
    <w:p w14:paraId="472DE977" w14:textId="77777777" w:rsidR="00693223" w:rsidRPr="00785E1A" w:rsidRDefault="00693223">
      <w:pPr>
        <w:pStyle w:val="Heading3"/>
        <w:keepNext/>
        <w:keepLines/>
        <w:spacing w:after="120" w:line="240" w:lineRule="auto"/>
        <w:rPr>
          <w:rFonts w:ascii="Arial" w:hAnsi="Arial" w:cs="Arial"/>
          <w:color w:val="000000"/>
          <w:sz w:val="20"/>
        </w:rPr>
      </w:pPr>
      <w:bookmarkStart w:id="1276" w:name="_4.8.4_Findings_on"/>
      <w:bookmarkStart w:id="1277" w:name="B484"/>
      <w:bookmarkEnd w:id="1276"/>
      <w:bookmarkEnd w:id="1277"/>
      <w:r w:rsidRPr="00785E1A">
        <w:rPr>
          <w:rFonts w:ascii="Arial" w:hAnsi="Arial" w:cs="Arial"/>
          <w:b/>
          <w:bCs/>
          <w:color w:val="000000"/>
          <w:sz w:val="20"/>
        </w:rPr>
        <w:t>4.8.</w:t>
      </w:r>
      <w:r w:rsidR="0048483D" w:rsidRPr="00785E1A">
        <w:rPr>
          <w:rFonts w:ascii="Arial" w:hAnsi="Arial" w:cs="Arial"/>
          <w:b/>
          <w:bCs/>
          <w:color w:val="000000"/>
          <w:sz w:val="20"/>
        </w:rPr>
        <w:t>4</w:t>
      </w:r>
      <w:r w:rsidRPr="00785E1A">
        <w:rPr>
          <w:rFonts w:ascii="Arial" w:hAnsi="Arial" w:cs="Arial"/>
          <w:b/>
          <w:bCs/>
          <w:color w:val="000000"/>
          <w:sz w:val="20"/>
        </w:rPr>
        <w:tab/>
        <w:t>Findings on balance of probabilities</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6B8253D4" w14:textId="193DE7E1" w:rsidR="00135B61" w:rsidRPr="00135B61" w:rsidRDefault="00771977" w:rsidP="00135B61">
      <w:pPr>
        <w:spacing w:before="20" w:after="20"/>
        <w:jc w:val="both"/>
        <w:rPr>
          <w:rFonts w:ascii="Arial" w:hAnsi="Arial" w:cs="Arial"/>
        </w:rPr>
      </w:pPr>
      <w:r>
        <w:rPr>
          <w:rFonts w:ascii="Arial" w:hAnsi="Arial" w:cs="Arial"/>
          <w:sz w:val="20"/>
        </w:rPr>
        <w:t xml:space="preserve">Section </w:t>
      </w:r>
      <w:r w:rsidR="001E38BA">
        <w:rPr>
          <w:rFonts w:ascii="Arial" w:hAnsi="Arial" w:cs="Arial"/>
          <w:sz w:val="20"/>
        </w:rPr>
        <w:t>215A of the CYFA – which replace</w:t>
      </w:r>
      <w:r>
        <w:rPr>
          <w:rFonts w:ascii="Arial" w:hAnsi="Arial" w:cs="Arial"/>
          <w:sz w:val="20"/>
        </w:rPr>
        <w:t>d</w:t>
      </w:r>
      <w:r w:rsidR="001E38BA">
        <w:rPr>
          <w:rFonts w:ascii="Arial" w:hAnsi="Arial" w:cs="Arial"/>
          <w:sz w:val="20"/>
        </w:rPr>
        <w:t xml:space="preserve"> s.215(1)(c)</w:t>
      </w:r>
      <w:r>
        <w:rPr>
          <w:rFonts w:ascii="Arial" w:hAnsi="Arial" w:cs="Arial"/>
          <w:sz w:val="20"/>
        </w:rPr>
        <w:t xml:space="preserve"> in 2013</w:t>
      </w:r>
      <w:r w:rsidR="001E38BA">
        <w:rPr>
          <w:rFonts w:ascii="Arial" w:hAnsi="Arial" w:cs="Arial"/>
          <w:sz w:val="20"/>
        </w:rPr>
        <w:t xml:space="preserve"> – provides that the </w:t>
      </w:r>
      <w:r w:rsidR="003C09B3">
        <w:rPr>
          <w:rFonts w:ascii="Arial" w:hAnsi="Arial" w:cs="Arial"/>
          <w:sz w:val="20"/>
        </w:rPr>
        <w:t>“</w:t>
      </w:r>
      <w:r w:rsidR="001E38BA">
        <w:rPr>
          <w:rFonts w:ascii="Arial" w:hAnsi="Arial" w:cs="Arial"/>
          <w:sz w:val="20"/>
        </w:rPr>
        <w:t xml:space="preserve">standard of proof of any fact in an application under </w:t>
      </w:r>
      <w:r w:rsidR="003C09B3">
        <w:rPr>
          <w:rFonts w:ascii="Arial" w:hAnsi="Arial" w:cs="Arial"/>
          <w:sz w:val="20"/>
        </w:rPr>
        <w:t>[</w:t>
      </w:r>
      <w:r w:rsidR="001E38BA">
        <w:rPr>
          <w:rFonts w:ascii="Arial" w:hAnsi="Arial" w:cs="Arial"/>
          <w:sz w:val="20"/>
        </w:rPr>
        <w:t>the CYFA</w:t>
      </w:r>
      <w:r w:rsidR="003C09B3">
        <w:rPr>
          <w:rFonts w:ascii="Arial" w:hAnsi="Arial" w:cs="Arial"/>
          <w:sz w:val="20"/>
        </w:rPr>
        <w:t>]</w:t>
      </w:r>
      <w:r w:rsidR="001E38BA">
        <w:rPr>
          <w:rFonts w:ascii="Arial" w:hAnsi="Arial" w:cs="Arial"/>
          <w:sz w:val="20"/>
        </w:rPr>
        <w:t xml:space="preserve"> in the Family Division i</w:t>
      </w:r>
      <w:r w:rsidR="003C09B3">
        <w:rPr>
          <w:rFonts w:ascii="Arial" w:hAnsi="Arial" w:cs="Arial"/>
          <w:sz w:val="20"/>
          <w:szCs w:val="20"/>
        </w:rPr>
        <w:t>s the balance of probabilities.”</w:t>
      </w:r>
      <w:r>
        <w:rPr>
          <w:rFonts w:ascii="Arial" w:hAnsi="Arial" w:cs="Arial"/>
          <w:sz w:val="20"/>
          <w:szCs w:val="20"/>
        </w:rPr>
        <w:t xml:space="preserve">  For </w:t>
      </w:r>
      <w:r w:rsidR="00135B61">
        <w:rPr>
          <w:rFonts w:ascii="Arial" w:hAnsi="Arial" w:cs="Arial"/>
          <w:sz w:val="20"/>
          <w:szCs w:val="20"/>
        </w:rPr>
        <w:t xml:space="preserve">a </w:t>
      </w:r>
      <w:r>
        <w:rPr>
          <w:rFonts w:ascii="Arial" w:hAnsi="Arial" w:cs="Arial"/>
          <w:sz w:val="20"/>
          <w:szCs w:val="20"/>
        </w:rPr>
        <w:t xml:space="preserve">discussion of </w:t>
      </w:r>
      <w:r w:rsidR="00135B61">
        <w:rPr>
          <w:rFonts w:ascii="Arial" w:hAnsi="Arial" w:cs="Arial"/>
          <w:sz w:val="20"/>
          <w:szCs w:val="20"/>
        </w:rPr>
        <w:t xml:space="preserve">some of the caselaw on “balance of probabilities” see </w:t>
      </w:r>
      <w:r w:rsidR="00135B61">
        <w:rPr>
          <w:rFonts w:ascii="Arial" w:hAnsi="Arial" w:cs="Arial"/>
          <w:sz w:val="20"/>
        </w:rPr>
        <w:t>subsections 3.5.3.7 &amp; 3.5.6.1.</w:t>
      </w:r>
    </w:p>
    <w:p w14:paraId="218250C0" w14:textId="77777777" w:rsidR="003C09B3" w:rsidRDefault="003C09B3">
      <w:pPr>
        <w:jc w:val="both"/>
        <w:rPr>
          <w:rFonts w:ascii="Arial" w:hAnsi="Arial" w:cs="Arial"/>
          <w:sz w:val="20"/>
          <w:szCs w:val="20"/>
        </w:rPr>
      </w:pPr>
    </w:p>
    <w:p w14:paraId="1F608C3A" w14:textId="77777777" w:rsidR="003C09B3" w:rsidRDefault="003C09B3">
      <w:pPr>
        <w:jc w:val="both"/>
        <w:rPr>
          <w:rFonts w:ascii="Arial" w:hAnsi="Arial" w:cs="Arial"/>
          <w:sz w:val="20"/>
          <w:szCs w:val="20"/>
        </w:rPr>
      </w:pPr>
      <w:r w:rsidRPr="003C09B3">
        <w:rPr>
          <w:rFonts w:ascii="Arial" w:hAnsi="Arial" w:cs="Arial"/>
          <w:color w:val="000000"/>
          <w:sz w:val="20"/>
          <w:szCs w:val="20"/>
        </w:rPr>
        <w:t>Applications under the</w:t>
      </w:r>
      <w:r>
        <w:rPr>
          <w:rFonts w:ascii="Arial" w:hAnsi="Arial" w:cs="Arial"/>
          <w:color w:val="000000"/>
          <w:sz w:val="20"/>
          <w:szCs w:val="20"/>
        </w:rPr>
        <w:t xml:space="preserve"> </w:t>
      </w:r>
      <w:r w:rsidRPr="006C72B1">
        <w:rPr>
          <w:rFonts w:ascii="Arial" w:hAnsi="Arial" w:cs="Arial"/>
          <w:color w:val="000000"/>
          <w:sz w:val="20"/>
          <w:szCs w:val="20"/>
          <w:u w:val="single"/>
        </w:rPr>
        <w:t>Family Violence Protection Act 2008 (Vic)</w:t>
      </w:r>
      <w:r>
        <w:rPr>
          <w:rFonts w:ascii="Arial" w:hAnsi="Arial" w:cs="Arial"/>
          <w:color w:val="000000"/>
          <w:sz w:val="20"/>
          <w:szCs w:val="20"/>
        </w:rPr>
        <w:t xml:space="preserve"> and the </w:t>
      </w:r>
      <w:r w:rsidRPr="006C72B1">
        <w:rPr>
          <w:rFonts w:ascii="Arial" w:hAnsi="Arial" w:cs="Arial"/>
          <w:color w:val="000000"/>
          <w:sz w:val="20"/>
          <w:szCs w:val="20"/>
          <w:u w:val="single"/>
        </w:rPr>
        <w:t>Personal Safety Intervention Orders Act 2010 (Vic)</w:t>
      </w:r>
      <w:r>
        <w:rPr>
          <w:rFonts w:ascii="Arial" w:hAnsi="Arial" w:cs="Arial"/>
          <w:color w:val="000000"/>
          <w:sz w:val="20"/>
          <w:szCs w:val="20"/>
        </w:rPr>
        <w:t xml:space="preserve"> [excluding contravention applications] are also heard in the Family Division.  </w:t>
      </w:r>
      <w:r w:rsidR="006C72B1">
        <w:rPr>
          <w:rFonts w:ascii="Arial" w:hAnsi="Arial" w:cs="Arial"/>
          <w:color w:val="000000"/>
          <w:sz w:val="20"/>
          <w:szCs w:val="20"/>
        </w:rPr>
        <w:t xml:space="preserve">Although s.215A of the CYFA does not in its terms apply to them, the balance of probabilities test </w:t>
      </w:r>
      <w:r w:rsidRPr="003C09B3">
        <w:rPr>
          <w:rFonts w:ascii="Arial" w:hAnsi="Arial" w:cs="Arial"/>
          <w:color w:val="000000"/>
          <w:sz w:val="20"/>
          <w:szCs w:val="20"/>
        </w:rPr>
        <w:t xml:space="preserve">is enshrined in all of the substantive provisions relating to the making or extension of intervention orders: see, for example, </w:t>
      </w:r>
      <w:r w:rsidR="006C72B1">
        <w:rPr>
          <w:rFonts w:ascii="Arial" w:hAnsi="Arial" w:cs="Arial"/>
          <w:color w:val="000000"/>
          <w:sz w:val="20"/>
          <w:szCs w:val="20"/>
        </w:rPr>
        <w:t>ss.53(1)(a), 74(1), 76(1)(b), 77(2) &amp; 106(2) of the FVPA and ss.35(1)(a), 61(1) &amp; 83(2) of the PSIA.</w:t>
      </w:r>
    </w:p>
    <w:p w14:paraId="55F04291" w14:textId="77777777" w:rsidR="003C09B3" w:rsidRDefault="003C09B3">
      <w:pPr>
        <w:jc w:val="both"/>
        <w:rPr>
          <w:rFonts w:ascii="Arial" w:hAnsi="Arial" w:cs="Arial"/>
          <w:sz w:val="20"/>
          <w:szCs w:val="20"/>
        </w:rPr>
      </w:pPr>
    </w:p>
    <w:p w14:paraId="7D36A909" w14:textId="77777777" w:rsidR="00315D52" w:rsidRDefault="003C09B3">
      <w:pPr>
        <w:jc w:val="both"/>
        <w:rPr>
          <w:rFonts w:ascii="Arial" w:hAnsi="Arial" w:cs="Arial"/>
          <w:sz w:val="20"/>
        </w:rPr>
      </w:pPr>
      <w:r>
        <w:rPr>
          <w:rFonts w:ascii="Arial" w:hAnsi="Arial" w:cs="Arial"/>
          <w:sz w:val="20"/>
          <w:szCs w:val="20"/>
        </w:rPr>
        <w:t>It is said that t</w:t>
      </w:r>
      <w:r w:rsidR="001E38BA" w:rsidRPr="001E38BA">
        <w:rPr>
          <w:rFonts w:ascii="Arial" w:hAnsi="Arial" w:cs="Arial"/>
          <w:sz w:val="20"/>
          <w:szCs w:val="20"/>
        </w:rPr>
        <w:t xml:space="preserve">he </w:t>
      </w:r>
      <w:r w:rsidR="001E38BA" w:rsidRPr="001E38BA">
        <w:rPr>
          <w:rFonts w:ascii="Arial" w:hAnsi="Arial" w:cs="Arial"/>
          <w:color w:val="000000"/>
          <w:sz w:val="20"/>
          <w:szCs w:val="20"/>
        </w:rPr>
        <w:t xml:space="preserve">purpose of the </w:t>
      </w:r>
      <w:r>
        <w:rPr>
          <w:rFonts w:ascii="Arial" w:hAnsi="Arial" w:cs="Arial"/>
          <w:color w:val="000000"/>
          <w:sz w:val="20"/>
          <w:szCs w:val="20"/>
        </w:rPr>
        <w:t xml:space="preserve">introduction of s.215A </w:t>
      </w:r>
      <w:r w:rsidR="001E38BA" w:rsidRPr="001E38BA">
        <w:rPr>
          <w:rFonts w:ascii="Arial" w:hAnsi="Arial" w:cs="Arial"/>
          <w:color w:val="000000"/>
          <w:sz w:val="20"/>
          <w:szCs w:val="20"/>
        </w:rPr>
        <w:t xml:space="preserve">is to remove any suggestion that dicta from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i/>
          <w:color w:val="000000"/>
          <w:sz w:val="20"/>
          <w:szCs w:val="20"/>
        </w:rPr>
        <w:t xml:space="preserve"> v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color w:val="000000"/>
          <w:sz w:val="20"/>
          <w:szCs w:val="20"/>
        </w:rPr>
        <w:t xml:space="preserve"> (1938) 60 CLR 336 requires a higher standard of proof to be applied in certain child protection cases</w:t>
      </w:r>
      <w:r w:rsidR="006C72B1">
        <w:rPr>
          <w:rFonts w:ascii="Arial" w:hAnsi="Arial" w:cs="Arial"/>
          <w:color w:val="000000"/>
          <w:sz w:val="20"/>
          <w:szCs w:val="20"/>
        </w:rPr>
        <w:t xml:space="preserve">, especially cases in which it is alleged that </w:t>
      </w:r>
      <w:r w:rsidR="006C72B1">
        <w:rPr>
          <w:rFonts w:ascii="Arial" w:hAnsi="Arial" w:cs="Arial"/>
          <w:sz w:val="20"/>
        </w:rPr>
        <w:t xml:space="preserve">a child has suffered actual physical and/or sexual harm at the hands of some person.  </w:t>
      </w:r>
      <w:r w:rsidR="001E38BA">
        <w:rPr>
          <w:rFonts w:ascii="Arial" w:hAnsi="Arial" w:cs="Arial"/>
          <w:sz w:val="20"/>
        </w:rPr>
        <w:t>At p.362 Dixon J (as he then was) said-</w:t>
      </w:r>
    </w:p>
    <w:p w14:paraId="34FFC1D8"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52BC53CF" w14:textId="77777777" w:rsidR="001E38BA" w:rsidRDefault="001E38BA" w:rsidP="001E38BA">
      <w:pPr>
        <w:spacing w:before="120"/>
        <w:jc w:val="both"/>
        <w:rPr>
          <w:rFonts w:ascii="Arial" w:hAnsi="Arial" w:cs="Arial"/>
          <w:bCs/>
          <w:sz w:val="20"/>
        </w:rPr>
      </w:pPr>
      <w:r>
        <w:rPr>
          <w:rFonts w:ascii="Arial" w:hAnsi="Arial" w:cs="Arial"/>
          <w:sz w:val="20"/>
        </w:rPr>
        <w:t>And at p.343 Latham CJ said-</w:t>
      </w:r>
    </w:p>
    <w:p w14:paraId="1DE80BF6"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smartTag w:uri="urn:schemas-microsoft-com:office:smarttags" w:element="address">
        <w:smartTag w:uri="urn:schemas-microsoft-com:office:smarttags" w:element="Street">
          <w:r>
            <w:rPr>
              <w:rFonts w:ascii="Arial" w:hAnsi="Arial" w:cs="Arial"/>
              <w:sz w:val="20"/>
            </w:rPr>
            <w:t>No Court</w:t>
          </w:r>
        </w:smartTag>
      </w:smartTag>
      <w:r>
        <w:rPr>
          <w:rFonts w:ascii="Arial" w:hAnsi="Arial" w:cs="Arial"/>
          <w:sz w:val="20"/>
        </w:rPr>
        <w:t xml:space="preserve"> should act upon mere suspicion, surmise or guesswork in any case.  In a civil case fair inference may justify a finding upon the basis of preponderance of probability.  The standard of proof required by a cautious and responsible tribunal will naturally vary in accordance with the seriousness or importance of the issue.”</w:t>
      </w:r>
    </w:p>
    <w:p w14:paraId="6A1F9516" w14:textId="77777777" w:rsidR="001E38BA" w:rsidRDefault="001E38BA" w:rsidP="001E38BA">
      <w:pPr>
        <w:jc w:val="both"/>
        <w:rPr>
          <w:rFonts w:ascii="Arial" w:hAnsi="Arial" w:cs="Arial"/>
          <w:sz w:val="20"/>
        </w:rPr>
      </w:pPr>
    </w:p>
    <w:p w14:paraId="58A75A16" w14:textId="77777777" w:rsidR="004872EE" w:rsidRDefault="003C09B3">
      <w:pPr>
        <w:jc w:val="both"/>
        <w:rPr>
          <w:rFonts w:ascii="Arial" w:hAnsi="Arial" w:cs="Arial"/>
          <w:sz w:val="20"/>
        </w:rPr>
      </w:pPr>
      <w:r>
        <w:rPr>
          <w:rFonts w:ascii="Arial" w:hAnsi="Arial" w:cs="Arial"/>
          <w:sz w:val="20"/>
        </w:rPr>
        <w:t>But the writer firmly believes that</w:t>
      </w:r>
      <w:r w:rsidR="006421A8">
        <w:rPr>
          <w:rFonts w:ascii="Arial" w:hAnsi="Arial" w:cs="Arial"/>
          <w:sz w:val="20"/>
        </w:rPr>
        <w:t xml:space="preserve"> the</w:t>
      </w:r>
      <w:r>
        <w:rPr>
          <w:rFonts w:ascii="Arial" w:hAnsi="Arial" w:cs="Arial"/>
          <w:sz w:val="20"/>
        </w:rPr>
        <w:t xml:space="preserve"> </w:t>
      </w:r>
      <w:proofErr w:type="spellStart"/>
      <w:r w:rsidRPr="003C09B3">
        <w:rPr>
          <w:rFonts w:ascii="Arial" w:hAnsi="Arial" w:cs="Arial"/>
          <w:i/>
          <w:sz w:val="20"/>
        </w:rPr>
        <w:t>Briginshaw</w:t>
      </w:r>
      <w:proofErr w:type="spellEnd"/>
      <w:r w:rsidR="006421A8">
        <w:rPr>
          <w:rFonts w:ascii="Arial" w:hAnsi="Arial" w:cs="Arial"/>
          <w:sz w:val="20"/>
        </w:rPr>
        <w:t xml:space="preserve"> dicta </w:t>
      </w:r>
      <w:r>
        <w:rPr>
          <w:rFonts w:ascii="Arial" w:hAnsi="Arial" w:cs="Arial"/>
          <w:sz w:val="20"/>
        </w:rPr>
        <w:t xml:space="preserve">is not and never has been authority for the proposition that there is some intermediate standard of proof between the civil standard of “balance of probabilities” and the criminal standard of “beyond reasonable doubt”.  </w:t>
      </w:r>
      <w:r w:rsidR="006C72B1">
        <w:rPr>
          <w:rFonts w:ascii="Arial" w:hAnsi="Arial" w:cs="Arial"/>
          <w:sz w:val="20"/>
        </w:rPr>
        <w:t xml:space="preserve">A number of superior courts have made it abundantly clear that in civil litigation </w:t>
      </w:r>
      <w:bookmarkStart w:id="1278" w:name="_Ref30606325"/>
      <w:bookmarkStart w:id="1279" w:name="_Toc30607533"/>
      <w:bookmarkStart w:id="1280" w:name="_Toc30607662"/>
      <w:bookmarkStart w:id="1281" w:name="_Toc30607987"/>
      <w:bookmarkStart w:id="1282" w:name="_Toc30608820"/>
      <w:bookmarkStart w:id="1283" w:name="_Toc30610034"/>
      <w:bookmarkStart w:id="1284" w:name="_Toc30610278"/>
      <w:bookmarkStart w:id="1285" w:name="_Toc30638432"/>
      <w:bookmarkStart w:id="1286" w:name="_Toc30644245"/>
      <w:bookmarkStart w:id="1287" w:name="_Toc30644652"/>
      <w:bookmarkStart w:id="1288" w:name="_Toc30645202"/>
      <w:bookmarkStart w:id="1289" w:name="_Toc30646414"/>
      <w:bookmarkStart w:id="1290" w:name="_Toc30646709"/>
      <w:bookmarkStart w:id="1291" w:name="_Toc30646820"/>
      <w:bookmarkStart w:id="1292" w:name="_Toc30648182"/>
      <w:bookmarkStart w:id="1293" w:name="_Toc30649083"/>
      <w:bookmarkStart w:id="1294" w:name="_Toc30649159"/>
      <w:bookmarkStart w:id="1295" w:name="_Toc30649420"/>
      <w:bookmarkStart w:id="1296" w:name="_Toc30649745"/>
      <w:bookmarkStart w:id="1297" w:name="_Toc30651685"/>
      <w:bookmarkStart w:id="1298" w:name="_Toc30652675"/>
      <w:bookmarkStart w:id="1299" w:name="_Toc30652771"/>
      <w:bookmarkStart w:id="1300" w:name="_Toc30654121"/>
      <w:bookmarkStart w:id="1301" w:name="_Toc30654472"/>
      <w:bookmarkStart w:id="1302" w:name="_Toc30655091"/>
      <w:bookmarkStart w:id="1303" w:name="_Toc30655348"/>
      <w:bookmarkStart w:id="1304" w:name="_Toc30657026"/>
      <w:bookmarkStart w:id="1305" w:name="_Toc30661775"/>
      <w:bookmarkStart w:id="1306" w:name="_Toc30666463"/>
      <w:bookmarkStart w:id="1307" w:name="_Toc30666693"/>
      <w:bookmarkStart w:id="1308" w:name="_Toc30667868"/>
      <w:bookmarkStart w:id="1309" w:name="_Toc30669246"/>
      <w:bookmarkStart w:id="1310" w:name="_Toc30671462"/>
      <w:bookmarkStart w:id="1311" w:name="_Toc30673989"/>
      <w:bookmarkStart w:id="1312" w:name="_Toc30691211"/>
      <w:bookmarkStart w:id="1313" w:name="_Toc30691584"/>
      <w:bookmarkStart w:id="1314" w:name="_Toc30691964"/>
      <w:bookmarkStart w:id="1315" w:name="_Toc30692723"/>
      <w:bookmarkStart w:id="1316" w:name="_Toc30693102"/>
      <w:bookmarkStart w:id="1317" w:name="_Toc30693480"/>
      <w:bookmarkStart w:id="1318" w:name="_Toc30693858"/>
      <w:bookmarkStart w:id="1319" w:name="_Toc30694239"/>
      <w:bookmarkStart w:id="1320" w:name="_Toc30698828"/>
      <w:bookmarkStart w:id="1321" w:name="_Toc30699206"/>
      <w:bookmarkStart w:id="1322" w:name="_Toc30699591"/>
      <w:bookmarkStart w:id="1323" w:name="_Toc30700746"/>
      <w:bookmarkStart w:id="1324" w:name="_Toc30701133"/>
      <w:bookmarkStart w:id="1325" w:name="_Toc30743742"/>
      <w:bookmarkStart w:id="1326" w:name="_Toc30754565"/>
      <w:bookmarkStart w:id="1327" w:name="_Toc30757005"/>
      <w:bookmarkStart w:id="1328" w:name="_Toc30757554"/>
      <w:bookmarkStart w:id="1329" w:name="_Toc30757954"/>
      <w:bookmarkStart w:id="1330" w:name="_Toc30762715"/>
      <w:bookmarkStart w:id="1331" w:name="_Toc30767369"/>
      <w:bookmarkStart w:id="1332" w:name="_Toc34823384"/>
      <w:r w:rsidR="004872EE">
        <w:rPr>
          <w:rFonts w:ascii="Arial" w:hAnsi="Arial" w:cs="Arial"/>
          <w:sz w:val="20"/>
        </w:rPr>
        <w:t>the balance of probabilities remains the standard of proof even where serious or criminal allegations are made: see the judgement of the Court of Appeal in</w:t>
      </w:r>
      <w:r w:rsidR="004872EE" w:rsidRPr="004872EE">
        <w:rPr>
          <w:rFonts w:ascii="Arial" w:hAnsi="Arial" w:cs="Arial"/>
          <w:i/>
          <w:sz w:val="20"/>
        </w:rPr>
        <w:t xml:space="preserve"> Dr Selwyn Leeks v XY</w:t>
      </w:r>
      <w:r w:rsidR="004872EE">
        <w:rPr>
          <w:rFonts w:ascii="Arial" w:hAnsi="Arial" w:cs="Arial"/>
          <w:sz w:val="20"/>
        </w:rPr>
        <w:t xml:space="preserve"> [2008] VSCA 21 at [</w:t>
      </w:r>
      <w:r w:rsidR="00D613EE">
        <w:rPr>
          <w:rFonts w:ascii="Arial" w:hAnsi="Arial" w:cs="Arial"/>
          <w:sz w:val="20"/>
        </w:rPr>
        <w:t>9</w:t>
      </w:r>
      <w:r w:rsidR="004872EE">
        <w:rPr>
          <w:rFonts w:ascii="Arial" w:hAnsi="Arial" w:cs="Arial"/>
          <w:sz w:val="20"/>
        </w:rPr>
        <w:t xml:space="preserve">] citing </w:t>
      </w:r>
      <w:r w:rsidR="004872EE" w:rsidRPr="004872EE">
        <w:rPr>
          <w:rFonts w:ascii="Arial" w:hAnsi="Arial" w:cs="Arial"/>
          <w:i/>
          <w:sz w:val="20"/>
        </w:rPr>
        <w:t xml:space="preserve">Jones v Dunkel </w:t>
      </w:r>
      <w:r w:rsidR="004872EE">
        <w:rPr>
          <w:rFonts w:ascii="Arial" w:hAnsi="Arial" w:cs="Arial"/>
          <w:sz w:val="20"/>
        </w:rPr>
        <w:t xml:space="preserve">(1959) 101 CLR 298, 304-5; </w:t>
      </w:r>
      <w:r w:rsidR="004872EE" w:rsidRPr="004872EE">
        <w:rPr>
          <w:rFonts w:ascii="Arial" w:hAnsi="Arial" w:cs="Arial"/>
          <w:i/>
          <w:sz w:val="20"/>
        </w:rPr>
        <w:t>G v H</w:t>
      </w:r>
      <w:r w:rsidR="004872EE">
        <w:rPr>
          <w:rFonts w:ascii="Arial" w:hAnsi="Arial" w:cs="Arial"/>
          <w:sz w:val="20"/>
        </w:rPr>
        <w:t xml:space="preserve"> (1994) 181 CLR 387 &amp; </w:t>
      </w:r>
      <w:r w:rsidR="004872EE" w:rsidRPr="004872EE">
        <w:rPr>
          <w:rFonts w:ascii="Arial" w:hAnsi="Arial" w:cs="Arial"/>
          <w:i/>
          <w:sz w:val="20"/>
        </w:rPr>
        <w:t>Neat Holdings Pty Ltd v Karajan Holdings Pty Ltd</w:t>
      </w:r>
      <w:r w:rsidR="004872EE">
        <w:rPr>
          <w:rFonts w:ascii="Arial" w:hAnsi="Arial" w:cs="Arial"/>
          <w:sz w:val="20"/>
        </w:rPr>
        <w:t xml:space="preserve"> (1992) 67 ALJR 170.</w:t>
      </w:r>
      <w:r w:rsidR="00D613EE">
        <w:rPr>
          <w:rFonts w:ascii="Arial" w:hAnsi="Arial" w:cs="Arial"/>
          <w:sz w:val="20"/>
        </w:rPr>
        <w:t xml:space="preserve">  In the last mentioned case </w:t>
      </w:r>
      <w:r w:rsidR="004872EE">
        <w:rPr>
          <w:rFonts w:ascii="Arial" w:hAnsi="Arial" w:cs="Arial"/>
          <w:sz w:val="20"/>
        </w:rPr>
        <w:t xml:space="preserve">Mason CJ, Brennan, Deane &amp; </w:t>
      </w:r>
      <w:proofErr w:type="spellStart"/>
      <w:r w:rsidR="004872EE">
        <w:rPr>
          <w:rFonts w:ascii="Arial" w:hAnsi="Arial" w:cs="Arial"/>
          <w:sz w:val="20"/>
        </w:rPr>
        <w:t>Gaudron</w:t>
      </w:r>
      <w:proofErr w:type="spellEnd"/>
      <w:r w:rsidR="004872EE">
        <w:rPr>
          <w:rFonts w:ascii="Arial" w:hAnsi="Arial" w:cs="Arial"/>
          <w:sz w:val="20"/>
        </w:rPr>
        <w:t xml:space="preserve"> JJ said</w:t>
      </w:r>
      <w:r w:rsidR="00221FA6">
        <w:rPr>
          <w:rFonts w:ascii="Arial" w:hAnsi="Arial" w:cs="Arial"/>
          <w:sz w:val="20"/>
        </w:rPr>
        <w:t xml:space="preserve"> at 170-171</w:t>
      </w:r>
      <w:r w:rsidR="004872EE">
        <w:rPr>
          <w:rFonts w:ascii="Arial" w:hAnsi="Arial" w:cs="Arial"/>
          <w:sz w:val="20"/>
        </w:rPr>
        <w:t>:</w:t>
      </w:r>
    </w:p>
    <w:p w14:paraId="2737E9D1" w14:textId="77777777" w:rsidR="004872EE" w:rsidRDefault="004872EE" w:rsidP="00156362">
      <w:pPr>
        <w:spacing w:before="60"/>
        <w:ind w:left="567" w:right="567"/>
        <w:jc w:val="both"/>
        <w:rPr>
          <w:rFonts w:ascii="Arial" w:hAnsi="Arial" w:cs="Arial"/>
          <w:bCs/>
          <w:sz w:val="20"/>
        </w:rPr>
      </w:pPr>
      <w:r>
        <w:rPr>
          <w:rFonts w:ascii="Arial" w:hAnsi="Arial" w:cs="Arial"/>
          <w:bCs/>
          <w:sz w:val="20"/>
        </w:rPr>
        <w:lastRenderedPageBreak/>
        <w:t>“</w:t>
      </w:r>
      <w:r w:rsidRPr="004872EE">
        <w:rPr>
          <w:rFonts w:ascii="Arial" w:hAnsi="Arial" w:cs="Arial"/>
          <w:sz w:val="20"/>
          <w:szCs w:val="20"/>
        </w:rPr>
        <w:t xml:space="preserve">The ordinary standard of proof required of a party who bears the onus in civil litigation in this country is on the balance of probabilities.  That remains so even where the matter to be proved involves criminal conduct or fraud.  The strength of evidence necessary to establish a fact or facts on the balance of probabilities may vary according to the nature of what it is sought to be proved.  Thus authoritative statements have often been made to the effect that </w:t>
      </w:r>
      <w:r w:rsidRPr="004872EE">
        <w:rPr>
          <w:rFonts w:ascii="Arial" w:hAnsi="Arial" w:cs="Arial"/>
          <w:b/>
          <w:sz w:val="20"/>
          <w:szCs w:val="20"/>
          <w:u w:val="single"/>
        </w:rPr>
        <w:t xml:space="preserve">clear </w:t>
      </w:r>
      <w:r w:rsidRPr="004872EE">
        <w:rPr>
          <w:rFonts w:ascii="Arial" w:hAnsi="Arial" w:cs="Arial"/>
          <w:sz w:val="20"/>
          <w:szCs w:val="20"/>
        </w:rPr>
        <w:t>[</w:t>
      </w:r>
      <w:proofErr w:type="spellStart"/>
      <w:r w:rsidRPr="004872EE">
        <w:rPr>
          <w:rFonts w:ascii="Arial" w:hAnsi="Arial" w:cs="Arial"/>
          <w:i/>
          <w:sz w:val="20"/>
          <w:szCs w:val="20"/>
        </w:rPr>
        <w:t>Briginshaw</w:t>
      </w:r>
      <w:proofErr w:type="spellEnd"/>
      <w:r w:rsidRPr="004872EE">
        <w:rPr>
          <w:rFonts w:ascii="Arial" w:hAnsi="Arial" w:cs="Arial"/>
          <w:i/>
          <w:sz w:val="20"/>
          <w:szCs w:val="20"/>
        </w:rPr>
        <w:t xml:space="preserve"> v </w:t>
      </w:r>
      <w:proofErr w:type="spellStart"/>
      <w:r w:rsidRPr="004872EE">
        <w:rPr>
          <w:rFonts w:ascii="Arial" w:hAnsi="Arial" w:cs="Arial"/>
          <w:i/>
          <w:sz w:val="20"/>
          <w:szCs w:val="20"/>
        </w:rPr>
        <w:t>Briginshaw</w:t>
      </w:r>
      <w:proofErr w:type="spellEnd"/>
      <w:r w:rsidRPr="004872EE">
        <w:rPr>
          <w:rFonts w:ascii="Arial" w:hAnsi="Arial" w:cs="Arial"/>
          <w:sz w:val="20"/>
          <w:szCs w:val="20"/>
        </w:rPr>
        <w:t xml:space="preserve"> (1938) 60 CLR 336, 362; </w:t>
      </w:r>
      <w:r w:rsidRPr="004872EE">
        <w:rPr>
          <w:rFonts w:ascii="Arial" w:hAnsi="Arial" w:cs="Arial"/>
          <w:i/>
          <w:sz w:val="20"/>
          <w:szCs w:val="20"/>
        </w:rPr>
        <w:t>Helton v Allen</w:t>
      </w:r>
      <w:r w:rsidRPr="004872EE">
        <w:rPr>
          <w:rFonts w:ascii="Arial" w:hAnsi="Arial" w:cs="Arial"/>
          <w:sz w:val="20"/>
          <w:szCs w:val="20"/>
        </w:rPr>
        <w:t xml:space="preserve"> (1940) 63 CLR 691, 701; </w:t>
      </w:r>
      <w:r w:rsidRPr="004872EE">
        <w:rPr>
          <w:rFonts w:ascii="Arial" w:hAnsi="Arial" w:cs="Arial"/>
          <w:i/>
          <w:sz w:val="20"/>
          <w:szCs w:val="20"/>
        </w:rPr>
        <w:t>Hocking v Bell</w:t>
      </w:r>
      <w:r w:rsidRPr="004872EE">
        <w:rPr>
          <w:rFonts w:ascii="Arial" w:hAnsi="Arial" w:cs="Arial"/>
          <w:sz w:val="20"/>
          <w:szCs w:val="20"/>
        </w:rPr>
        <w:t xml:space="preserve"> (1944) 44 SR (NSW) 468, 477 </w:t>
      </w:r>
      <w:r>
        <w:rPr>
          <w:rFonts w:ascii="Arial" w:hAnsi="Arial" w:cs="Arial"/>
          <w:sz w:val="20"/>
          <w:szCs w:val="20"/>
        </w:rPr>
        <w:t>{</w:t>
      </w:r>
      <w:r w:rsidRPr="004872EE">
        <w:rPr>
          <w:rFonts w:ascii="Arial" w:hAnsi="Arial" w:cs="Arial"/>
          <w:sz w:val="20"/>
          <w:szCs w:val="20"/>
        </w:rPr>
        <w:t>affirmed in (1945) 71 CLR 430, 464, 500</w:t>
      </w:r>
      <w:r>
        <w:rPr>
          <w:rFonts w:ascii="Arial" w:hAnsi="Arial" w:cs="Arial"/>
          <w:sz w:val="20"/>
          <w:szCs w:val="20"/>
        </w:rPr>
        <w:t>}</w:t>
      </w:r>
      <w:r w:rsidRPr="004872EE">
        <w:rPr>
          <w:rFonts w:ascii="Arial" w:hAnsi="Arial" w:cs="Arial"/>
          <w:sz w:val="20"/>
          <w:szCs w:val="20"/>
        </w:rPr>
        <w:t xml:space="preserve">; </w:t>
      </w:r>
      <w:r w:rsidRPr="004872EE">
        <w:rPr>
          <w:rFonts w:ascii="Arial" w:hAnsi="Arial" w:cs="Arial"/>
          <w:i/>
          <w:sz w:val="20"/>
          <w:szCs w:val="20"/>
        </w:rPr>
        <w:t xml:space="preserve"> </w:t>
      </w:r>
      <w:proofErr w:type="spellStart"/>
      <w:r w:rsidRPr="004872EE">
        <w:rPr>
          <w:rFonts w:ascii="Arial" w:hAnsi="Arial" w:cs="Arial"/>
          <w:i/>
          <w:sz w:val="20"/>
          <w:szCs w:val="20"/>
        </w:rPr>
        <w:t>Rejfek</w:t>
      </w:r>
      <w:proofErr w:type="spellEnd"/>
      <w:r w:rsidRPr="004872EE">
        <w:rPr>
          <w:rFonts w:ascii="Arial" w:hAnsi="Arial" w:cs="Arial"/>
          <w:i/>
          <w:sz w:val="20"/>
          <w:szCs w:val="20"/>
        </w:rPr>
        <w:t xml:space="preserve"> v McElroy</w:t>
      </w:r>
      <w:r w:rsidRPr="004872EE">
        <w:rPr>
          <w:rFonts w:ascii="Arial" w:hAnsi="Arial" w:cs="Arial"/>
          <w:sz w:val="20"/>
          <w:szCs w:val="20"/>
        </w:rPr>
        <w:t xml:space="preserve"> (1965) 112 CLR 517, 521; </w:t>
      </w:r>
      <w:r w:rsidRPr="004872EE">
        <w:rPr>
          <w:rFonts w:ascii="Arial" w:hAnsi="Arial" w:cs="Arial"/>
          <w:i/>
          <w:sz w:val="20"/>
          <w:szCs w:val="20"/>
        </w:rPr>
        <w:t>Wentworth v Rogers (No.5)</w:t>
      </w:r>
      <w:r>
        <w:rPr>
          <w:rFonts w:ascii="Arial" w:hAnsi="Arial" w:cs="Arial"/>
          <w:sz w:val="20"/>
          <w:szCs w:val="20"/>
        </w:rPr>
        <w:t xml:space="preserve"> (1986) 6 NSWLR 534, 539] </w:t>
      </w:r>
      <w:r w:rsidRPr="004872EE">
        <w:rPr>
          <w:rFonts w:ascii="Arial" w:hAnsi="Arial" w:cs="Arial"/>
          <w:b/>
          <w:sz w:val="20"/>
          <w:szCs w:val="20"/>
          <w:u w:val="single"/>
        </w:rPr>
        <w:t>or cogent</w:t>
      </w:r>
      <w:r>
        <w:rPr>
          <w:rFonts w:ascii="Arial" w:hAnsi="Arial" w:cs="Arial"/>
          <w:sz w:val="20"/>
          <w:szCs w:val="20"/>
        </w:rPr>
        <w:t xml:space="preserve">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 xml:space="preserve">] </w:t>
      </w:r>
      <w:r w:rsidRPr="004872EE">
        <w:rPr>
          <w:rFonts w:ascii="Arial" w:hAnsi="Arial" w:cs="Arial"/>
          <w:b/>
          <w:sz w:val="20"/>
          <w:u w:val="single"/>
        </w:rPr>
        <w:t>or strict</w:t>
      </w:r>
      <w:r>
        <w:rPr>
          <w:rFonts w:ascii="Arial" w:hAnsi="Arial" w:cs="Arial"/>
          <w:sz w:val="20"/>
        </w:rPr>
        <w:t xml:space="preserve"> [</w:t>
      </w:r>
      <w:proofErr w:type="spellStart"/>
      <w:r w:rsidRPr="004872EE">
        <w:rPr>
          <w:rFonts w:ascii="Arial" w:hAnsi="Arial" w:cs="Arial"/>
          <w:i/>
          <w:sz w:val="20"/>
        </w:rPr>
        <w:t>Jonesco</w:t>
      </w:r>
      <w:proofErr w:type="spellEnd"/>
      <w:r w:rsidRPr="004872EE">
        <w:rPr>
          <w:rFonts w:ascii="Arial" w:hAnsi="Arial" w:cs="Arial"/>
          <w:i/>
          <w:sz w:val="20"/>
        </w:rPr>
        <w:t xml:space="preserve"> v Beard</w:t>
      </w:r>
      <w:r w:rsidRPr="004872EE">
        <w:rPr>
          <w:rFonts w:ascii="Arial" w:hAnsi="Arial" w:cs="Arial"/>
          <w:sz w:val="20"/>
        </w:rPr>
        <w:t xml:space="preserve"> (1930) AC 298, 300; </w:t>
      </w:r>
      <w:proofErr w:type="spellStart"/>
      <w:r w:rsidRPr="004872EE">
        <w:rPr>
          <w:rFonts w:ascii="Arial" w:hAnsi="Arial" w:cs="Arial"/>
          <w:i/>
          <w:sz w:val="20"/>
        </w:rPr>
        <w:t>Briginshaw</w:t>
      </w:r>
      <w:proofErr w:type="spellEnd"/>
      <w:r w:rsidRPr="004872EE">
        <w:rPr>
          <w:rFonts w:ascii="Arial" w:hAnsi="Arial" w:cs="Arial"/>
          <w:i/>
          <w:sz w:val="20"/>
        </w:rPr>
        <w:t xml:space="preserve"> v </w:t>
      </w:r>
      <w:proofErr w:type="spellStart"/>
      <w:r w:rsidRPr="004872EE">
        <w:rPr>
          <w:rFonts w:ascii="Arial" w:hAnsi="Arial" w:cs="Arial"/>
          <w:i/>
          <w:sz w:val="20"/>
        </w:rPr>
        <w:t>Briginshaw</w:t>
      </w:r>
      <w:proofErr w:type="spellEnd"/>
      <w:r w:rsidRPr="004872EE">
        <w:rPr>
          <w:rFonts w:ascii="Arial" w:hAnsi="Arial" w:cs="Arial"/>
          <w:sz w:val="20"/>
        </w:rPr>
        <w:t xml:space="preserve"> (1938) 60 CLR 336, 362; </w:t>
      </w:r>
      <w:r w:rsidRPr="004872EE">
        <w:rPr>
          <w:rFonts w:ascii="Arial" w:hAnsi="Arial" w:cs="Arial"/>
          <w:i/>
          <w:sz w:val="20"/>
        </w:rPr>
        <w:t>Helton v Allen</w:t>
      </w:r>
      <w:r w:rsidRPr="004872EE">
        <w:rPr>
          <w:rFonts w:ascii="Arial" w:hAnsi="Arial" w:cs="Arial"/>
          <w:sz w:val="20"/>
        </w:rPr>
        <w:t xml:space="preserve"> (1940) 63 CLR 691, 711;  </w:t>
      </w:r>
      <w:r w:rsidRPr="004872EE">
        <w:rPr>
          <w:rFonts w:ascii="Arial" w:hAnsi="Arial" w:cs="Arial"/>
          <w:i/>
          <w:sz w:val="20"/>
        </w:rPr>
        <w:t>Hocking v Bell</w:t>
      </w:r>
      <w:r w:rsidRPr="004872EE">
        <w:rPr>
          <w:rFonts w:ascii="Arial" w:hAnsi="Arial" w:cs="Arial"/>
          <w:sz w:val="20"/>
        </w:rPr>
        <w:t xml:space="preserve"> (1944) 44 SR (NSW) 468, 478 </w:t>
      </w:r>
      <w:r>
        <w:rPr>
          <w:rFonts w:ascii="Arial" w:hAnsi="Arial" w:cs="Arial"/>
          <w:sz w:val="20"/>
        </w:rPr>
        <w:t>{</w:t>
      </w:r>
      <w:r w:rsidRPr="004872EE">
        <w:rPr>
          <w:rFonts w:ascii="Arial" w:hAnsi="Arial" w:cs="Arial"/>
          <w:sz w:val="20"/>
        </w:rPr>
        <w:t>affirmed in (1945) 71 CLR 430, 464, 500</w:t>
      </w:r>
      <w:r>
        <w:rPr>
          <w:rFonts w:ascii="Arial" w:hAnsi="Arial" w:cs="Arial"/>
          <w:sz w:val="20"/>
        </w:rPr>
        <w:t>}</w:t>
      </w:r>
      <w:r w:rsidRPr="004872EE">
        <w:rPr>
          <w:rFonts w:ascii="Arial" w:hAnsi="Arial" w:cs="Arial"/>
          <w:sz w:val="20"/>
        </w:rPr>
        <w:t xml:space="preserve">; </w:t>
      </w:r>
      <w:r w:rsidRPr="004872EE">
        <w:rPr>
          <w:rFonts w:ascii="Arial" w:hAnsi="Arial" w:cs="Arial"/>
          <w:i/>
          <w:sz w:val="20"/>
        </w:rPr>
        <w:t>Wentworth v Rogers</w:t>
      </w:r>
      <w:r w:rsidRPr="004872EE">
        <w:rPr>
          <w:rFonts w:ascii="Arial" w:hAnsi="Arial" w:cs="Arial"/>
          <w:sz w:val="20"/>
        </w:rPr>
        <w:t xml:space="preserve"> </w:t>
      </w:r>
      <w:r w:rsidRPr="004872EE">
        <w:rPr>
          <w:rFonts w:ascii="Arial" w:hAnsi="Arial" w:cs="Arial"/>
          <w:i/>
          <w:sz w:val="20"/>
        </w:rPr>
        <w:t>(No.5)</w:t>
      </w:r>
      <w:r w:rsidRPr="004872EE">
        <w:rPr>
          <w:rFonts w:ascii="Arial" w:hAnsi="Arial" w:cs="Arial"/>
          <w:sz w:val="20"/>
        </w:rPr>
        <w:t xml:space="preserve"> (1986) 6 NSWLR 534, 538</w:t>
      </w:r>
      <w:r>
        <w:rPr>
          <w:rFonts w:ascii="Arial" w:hAnsi="Arial" w:cs="Arial"/>
          <w:sz w:val="20"/>
        </w:rPr>
        <w:t xml:space="preserve">] proof is necessary </w:t>
      </w:r>
      <w:r>
        <w:rPr>
          <w:rFonts w:ascii="Arial" w:hAnsi="Arial" w:cs="Arial"/>
          <w:sz w:val="20"/>
          <w:szCs w:val="20"/>
        </w:rPr>
        <w:t>‘</w:t>
      </w:r>
      <w:r w:rsidRPr="004872EE">
        <w:rPr>
          <w:rFonts w:ascii="Arial" w:hAnsi="Arial" w:cs="Arial"/>
          <w:sz w:val="20"/>
          <w:szCs w:val="20"/>
        </w:rPr>
        <w:t>where so serious a</w:t>
      </w:r>
      <w:r>
        <w:rPr>
          <w:rFonts w:ascii="Arial" w:hAnsi="Arial" w:cs="Arial"/>
          <w:sz w:val="20"/>
          <w:szCs w:val="20"/>
        </w:rPr>
        <w:t xml:space="preserve"> matter as fraud is to be found’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w:t>
      </w:r>
      <w:r w:rsidRPr="004872EE">
        <w:rPr>
          <w:rFonts w:ascii="Arial" w:hAnsi="Arial" w:cs="Arial"/>
          <w:sz w:val="20"/>
          <w:szCs w:val="20"/>
        </w:rPr>
        <w:t>.</w:t>
      </w:r>
      <w:r>
        <w:rPr>
          <w:rFonts w:ascii="Arial" w:hAnsi="Arial" w:cs="Arial"/>
          <w:sz w:val="20"/>
          <w:szCs w:val="20"/>
        </w:rPr>
        <w:t xml:space="preserve">  </w:t>
      </w:r>
      <w:r w:rsidRPr="004872EE">
        <w:rPr>
          <w:rFonts w:ascii="Arial" w:hAnsi="Arial" w:cs="Arial"/>
          <w:sz w:val="20"/>
          <w:szCs w:val="20"/>
        </w:rPr>
        <w:t>Statements to that effect should not, however, be understood as directed to the standard of proof.  Rather, they should be understood as merely reflecting a conventional perception that members of our society do not ordinarily engage in fraudulent or criminal conduct</w:t>
      </w:r>
      <w:r w:rsidR="00D613EE">
        <w:rPr>
          <w:rFonts w:ascii="Arial" w:hAnsi="Arial" w:cs="Arial"/>
          <w:sz w:val="20"/>
          <w:szCs w:val="20"/>
        </w:rPr>
        <w:t xml:space="preserve"> [see e.g. </w:t>
      </w:r>
      <w:proofErr w:type="spellStart"/>
      <w:r w:rsidR="00D613EE" w:rsidRPr="005A494E">
        <w:rPr>
          <w:rFonts w:ascii="Arial" w:hAnsi="Arial" w:cs="Arial"/>
          <w:i/>
          <w:sz w:val="20"/>
          <w:szCs w:val="20"/>
        </w:rPr>
        <w:t>Motchall</w:t>
      </w:r>
      <w:proofErr w:type="spellEnd"/>
      <w:r w:rsidR="00D613EE" w:rsidRPr="005A494E">
        <w:rPr>
          <w:rFonts w:ascii="Arial" w:hAnsi="Arial" w:cs="Arial"/>
          <w:i/>
          <w:sz w:val="20"/>
          <w:szCs w:val="20"/>
        </w:rPr>
        <w:t xml:space="preserve"> v </w:t>
      </w:r>
      <w:proofErr w:type="spellStart"/>
      <w:r w:rsidR="00D613EE" w:rsidRPr="005A494E">
        <w:rPr>
          <w:rFonts w:ascii="Arial" w:hAnsi="Arial" w:cs="Arial"/>
          <w:i/>
          <w:sz w:val="20"/>
          <w:szCs w:val="20"/>
        </w:rPr>
        <w:t>Massoud</w:t>
      </w:r>
      <w:proofErr w:type="spellEnd"/>
      <w:r w:rsidR="00D613EE">
        <w:rPr>
          <w:rFonts w:ascii="Arial" w:hAnsi="Arial" w:cs="Arial"/>
          <w:sz w:val="20"/>
          <w:szCs w:val="20"/>
        </w:rPr>
        <w:t xml:space="preserve"> (1926) VLR 273, 276]</w:t>
      </w:r>
      <w:r w:rsidRPr="004872EE">
        <w:rPr>
          <w:rFonts w:ascii="Arial" w:hAnsi="Arial" w:cs="Arial"/>
          <w:sz w:val="20"/>
          <w:szCs w:val="20"/>
        </w:rPr>
        <w:t xml:space="preserve"> and a judicial approach that a court should not lightly make a finding that, on the balance of probabilities, a party to civil litigation has been guilty of such conduct.</w:t>
      </w:r>
      <w:r>
        <w:rPr>
          <w:rFonts w:ascii="Arial" w:hAnsi="Arial" w:cs="Arial"/>
          <w:sz w:val="20"/>
          <w:szCs w:val="20"/>
        </w:rPr>
        <w:t>”</w:t>
      </w:r>
    </w:p>
    <w:p w14:paraId="2711B904" w14:textId="77777777" w:rsidR="004872EE" w:rsidRDefault="004872EE">
      <w:pPr>
        <w:jc w:val="both"/>
        <w:rPr>
          <w:rFonts w:ascii="Arial" w:hAnsi="Arial" w:cs="Arial"/>
          <w:sz w:val="20"/>
        </w:rPr>
      </w:pPr>
    </w:p>
    <w:p w14:paraId="6DF389DE" w14:textId="77777777" w:rsidR="00221FA6" w:rsidRDefault="008B696F">
      <w:pPr>
        <w:jc w:val="both"/>
        <w:rPr>
          <w:rFonts w:ascii="Arial" w:hAnsi="Arial" w:cs="Arial"/>
          <w:sz w:val="20"/>
        </w:rPr>
      </w:pPr>
      <w:r>
        <w:rPr>
          <w:rFonts w:ascii="Arial" w:hAnsi="Arial" w:cs="Arial"/>
          <w:sz w:val="20"/>
        </w:rPr>
        <w:t xml:space="preserve">There is nothing in </w:t>
      </w:r>
      <w:r w:rsidR="003D6315">
        <w:rPr>
          <w:rFonts w:ascii="Arial" w:hAnsi="Arial" w:cs="Arial"/>
          <w:sz w:val="20"/>
        </w:rPr>
        <w:t>Part 4.1</w:t>
      </w:r>
      <w:r>
        <w:rPr>
          <w:rFonts w:ascii="Arial" w:hAnsi="Arial" w:cs="Arial"/>
          <w:sz w:val="20"/>
        </w:rPr>
        <w:t xml:space="preserve"> of the </w:t>
      </w:r>
      <w:r w:rsidRPr="006421A8">
        <w:rPr>
          <w:rFonts w:ascii="Arial" w:hAnsi="Arial" w:cs="Arial"/>
          <w:sz w:val="20"/>
          <w:u w:val="single"/>
        </w:rPr>
        <w:t>Evidence Act 2008 (Vic)</w:t>
      </w:r>
      <w:r>
        <w:rPr>
          <w:rFonts w:ascii="Arial" w:hAnsi="Arial" w:cs="Arial"/>
          <w:sz w:val="20"/>
        </w:rPr>
        <w:t xml:space="preserve"> which leads to a different view.  Section 140(1) </w:t>
      </w:r>
      <w:r w:rsidR="00FD6029">
        <w:rPr>
          <w:rFonts w:ascii="Arial" w:hAnsi="Arial" w:cs="Arial"/>
          <w:sz w:val="20"/>
        </w:rPr>
        <w:t xml:space="preserve">unambiguously </w:t>
      </w:r>
      <w:r>
        <w:rPr>
          <w:rFonts w:ascii="Arial" w:hAnsi="Arial" w:cs="Arial"/>
          <w:sz w:val="20"/>
        </w:rPr>
        <w:t xml:space="preserve">defines the standard of proof in civil proceedings as “the balance of probabilities”.  Section 140(2) might be seen as reflecting the </w:t>
      </w:r>
      <w:proofErr w:type="spellStart"/>
      <w:r w:rsidRPr="008B696F">
        <w:rPr>
          <w:rFonts w:ascii="Arial" w:hAnsi="Arial" w:cs="Arial"/>
          <w:i/>
          <w:sz w:val="20"/>
        </w:rPr>
        <w:t>Briginshaw</w:t>
      </w:r>
      <w:proofErr w:type="spellEnd"/>
      <w:r>
        <w:rPr>
          <w:rFonts w:ascii="Arial" w:hAnsi="Arial" w:cs="Arial"/>
          <w:sz w:val="20"/>
        </w:rPr>
        <w:t xml:space="preserve"> dicta but it does not alter the standard defined in s.140(1).  </w:t>
      </w:r>
      <w:r w:rsidR="00221FA6">
        <w:rPr>
          <w:rFonts w:ascii="Arial" w:hAnsi="Arial" w:cs="Arial"/>
          <w:sz w:val="20"/>
        </w:rPr>
        <w:t xml:space="preserve">It follows that the </w:t>
      </w:r>
      <w:proofErr w:type="spellStart"/>
      <w:r w:rsidR="00221FA6" w:rsidRPr="00221FA6">
        <w:rPr>
          <w:rFonts w:ascii="Arial" w:hAnsi="Arial" w:cs="Arial"/>
          <w:i/>
          <w:sz w:val="20"/>
        </w:rPr>
        <w:t>Briginshaw</w:t>
      </w:r>
      <w:proofErr w:type="spellEnd"/>
      <w:r w:rsidR="00221FA6">
        <w:rPr>
          <w:rFonts w:ascii="Arial" w:hAnsi="Arial" w:cs="Arial"/>
          <w:sz w:val="20"/>
        </w:rPr>
        <w:t xml:space="preserve"> </w:t>
      </w:r>
      <w:r>
        <w:rPr>
          <w:rFonts w:ascii="Arial" w:hAnsi="Arial" w:cs="Arial"/>
          <w:sz w:val="20"/>
        </w:rPr>
        <w:t>dicta</w:t>
      </w:r>
      <w:r w:rsidR="00221FA6">
        <w:rPr>
          <w:rFonts w:ascii="Arial" w:hAnsi="Arial" w:cs="Arial"/>
          <w:sz w:val="20"/>
        </w:rPr>
        <w:t xml:space="preserve"> </w:t>
      </w:r>
      <w:r w:rsidR="001604BA">
        <w:rPr>
          <w:rFonts w:ascii="Arial" w:hAnsi="Arial" w:cs="Arial"/>
          <w:sz w:val="20"/>
        </w:rPr>
        <w:t>does not give rise to a third standard of proof.  It</w:t>
      </w:r>
      <w:r w:rsidR="0067232D">
        <w:rPr>
          <w:rFonts w:ascii="Arial" w:hAnsi="Arial" w:cs="Arial"/>
          <w:sz w:val="20"/>
        </w:rPr>
        <w:t> </w:t>
      </w:r>
      <w:r w:rsidR="001604BA">
        <w:rPr>
          <w:rFonts w:ascii="Arial" w:hAnsi="Arial" w:cs="Arial"/>
          <w:sz w:val="20"/>
        </w:rPr>
        <w:t xml:space="preserve">simply stands for the proposition that where a civil case involves allegations of criminal conduct, fraud or moral wrongdoing which may lead to grave consequences for the impugned party, the judicial approach should be a closer scrutiny of the evidence.  McHugh J put it pithily in an exchange with the NSW Solicitor-General during argument in </w:t>
      </w:r>
      <w:r w:rsidR="001604BA" w:rsidRPr="001604BA">
        <w:rPr>
          <w:rFonts w:ascii="Arial" w:hAnsi="Arial" w:cs="Arial"/>
          <w:i/>
          <w:sz w:val="20"/>
        </w:rPr>
        <w:t>Witham v Holloway</w:t>
      </w:r>
      <w:r w:rsidR="001604BA">
        <w:rPr>
          <w:rFonts w:ascii="Arial" w:hAnsi="Arial" w:cs="Arial"/>
          <w:sz w:val="20"/>
        </w:rPr>
        <w:t xml:space="preserve"> (1995) 183 CLR </w:t>
      </w:r>
      <w:r w:rsidR="00C32207">
        <w:rPr>
          <w:rFonts w:ascii="Arial" w:hAnsi="Arial" w:cs="Arial"/>
          <w:sz w:val="20"/>
        </w:rPr>
        <w:t xml:space="preserve">525 [Transcript of proceedings </w:t>
      </w:r>
      <w:smartTag w:uri="urn:schemas-microsoft-com:office:smarttags" w:element="date">
        <w:smartTagPr>
          <w:attr w:name="Year" w:val="1995"/>
          <w:attr w:name="Day" w:val="10"/>
          <w:attr w:name="Month" w:val="2"/>
        </w:smartTagPr>
        <w:r w:rsidR="00C32207">
          <w:rPr>
            <w:rFonts w:ascii="Arial" w:hAnsi="Arial" w:cs="Arial"/>
            <w:sz w:val="20"/>
          </w:rPr>
          <w:t>10/02/1995</w:t>
        </w:r>
      </w:smartTag>
      <w:r w:rsidR="00C32207">
        <w:rPr>
          <w:rFonts w:ascii="Arial" w:hAnsi="Arial" w:cs="Arial"/>
          <w:sz w:val="20"/>
        </w:rPr>
        <w:t>]:</w:t>
      </w:r>
    </w:p>
    <w:p w14:paraId="32FD0B6D" w14:textId="77777777" w:rsidR="001604BA" w:rsidRDefault="001604BA" w:rsidP="008A1184">
      <w:pPr>
        <w:spacing w:before="60"/>
        <w:ind w:left="567" w:right="567"/>
        <w:jc w:val="both"/>
        <w:rPr>
          <w:rFonts w:ascii="Arial" w:hAnsi="Arial" w:cs="Arial"/>
          <w:bCs/>
          <w:sz w:val="20"/>
        </w:rPr>
      </w:pPr>
      <w:r>
        <w:rPr>
          <w:rFonts w:ascii="Arial" w:hAnsi="Arial" w:cs="Arial"/>
          <w:bCs/>
          <w:sz w:val="20"/>
        </w:rPr>
        <w:t xml:space="preserve">“There are only two standards of proof: balance of probabilities and proof beyond reasonable doubt.  I know </w:t>
      </w:r>
      <w:proofErr w:type="spellStart"/>
      <w:r w:rsidRPr="001604BA">
        <w:rPr>
          <w:rFonts w:ascii="Arial" w:hAnsi="Arial" w:cs="Arial"/>
          <w:bCs/>
          <w:i/>
          <w:sz w:val="20"/>
        </w:rPr>
        <w:t>Briginshaw</w:t>
      </w:r>
      <w:proofErr w:type="spellEnd"/>
      <w:r>
        <w:rPr>
          <w:rFonts w:ascii="Arial" w:hAnsi="Arial" w:cs="Arial"/>
          <w:bCs/>
          <w:sz w:val="20"/>
        </w:rPr>
        <w:t xml:space="preserve"> is cited like it was some sort of ritual incantation</w:t>
      </w:r>
      <w:r w:rsidR="00C32207">
        <w:rPr>
          <w:rFonts w:ascii="Arial" w:hAnsi="Arial" w:cs="Arial"/>
          <w:bCs/>
          <w:sz w:val="20"/>
        </w:rPr>
        <w:t xml:space="preserve">.  It has never impressed me too much.  I mean, </w:t>
      </w:r>
      <w:r>
        <w:rPr>
          <w:rFonts w:ascii="Arial" w:hAnsi="Arial" w:cs="Arial"/>
          <w:bCs/>
          <w:sz w:val="20"/>
        </w:rPr>
        <w:t>it really means no more than ‘Oh, we had better look at this a bit more closely than we might otherwise’, but it is still a balance of probabilities in the end.”</w:t>
      </w:r>
    </w:p>
    <w:p w14:paraId="30AC1F27" w14:textId="77777777" w:rsidR="006421A8" w:rsidRPr="00BE78BC" w:rsidRDefault="006421A8" w:rsidP="00BE78BC">
      <w:pPr>
        <w:jc w:val="both"/>
        <w:rPr>
          <w:rFonts w:ascii="Arial" w:hAnsi="Arial" w:cs="Arial"/>
          <w:sz w:val="20"/>
        </w:rPr>
      </w:pPr>
    </w:p>
    <w:p w14:paraId="5633EABE" w14:textId="77777777" w:rsidR="00BE78BC" w:rsidRPr="001C5268" w:rsidRDefault="00BE78BC" w:rsidP="00BE78BC">
      <w:pPr>
        <w:jc w:val="both"/>
        <w:rPr>
          <w:rFonts w:ascii="Arial" w:hAnsi="Arial" w:cs="Arial"/>
          <w:color w:val="000000"/>
          <w:sz w:val="20"/>
        </w:rPr>
      </w:pPr>
      <w:r>
        <w:rPr>
          <w:rFonts w:ascii="Arial" w:hAnsi="Arial" w:cs="Arial"/>
          <w:color w:val="000000"/>
          <w:sz w:val="20"/>
        </w:rPr>
        <w:t>I</w:t>
      </w:r>
      <w:r w:rsidRPr="001C5268">
        <w:rPr>
          <w:rFonts w:ascii="Arial" w:hAnsi="Arial" w:cs="Arial"/>
          <w:color w:val="000000"/>
          <w:sz w:val="20"/>
        </w:rPr>
        <w:t xml:space="preserve">n </w:t>
      </w:r>
      <w:r w:rsidRPr="00BE78BC">
        <w:rPr>
          <w:rFonts w:ascii="Arial" w:hAnsi="Arial" w:cs="Arial"/>
          <w:i/>
          <w:color w:val="000000"/>
          <w:sz w:val="20"/>
        </w:rPr>
        <w:t>Douglass v The Queen</w:t>
      </w:r>
      <w:r w:rsidRPr="001C5268">
        <w:rPr>
          <w:rFonts w:ascii="Arial" w:hAnsi="Arial" w:cs="Arial"/>
          <w:color w:val="000000"/>
          <w:sz w:val="20"/>
        </w:rPr>
        <w:t xml:space="preserve"> [2012] HCA 34 </w:t>
      </w:r>
      <w:r>
        <w:rPr>
          <w:rFonts w:ascii="Arial" w:hAnsi="Arial" w:cs="Arial"/>
          <w:color w:val="000000"/>
          <w:sz w:val="20"/>
        </w:rPr>
        <w:t>t</w:t>
      </w:r>
      <w:r w:rsidRPr="001C5268">
        <w:rPr>
          <w:rFonts w:ascii="Arial" w:hAnsi="Arial" w:cs="Arial"/>
          <w:color w:val="000000"/>
          <w:sz w:val="20"/>
        </w:rPr>
        <w:t>he High Court of Australia highlighted the great difference between making a finding on the balance of probabilities and making a finding beyond reasonable doubt.  In that case</w:t>
      </w:r>
      <w:r>
        <w:rPr>
          <w:rFonts w:ascii="Arial" w:hAnsi="Arial" w:cs="Arial"/>
          <w:color w:val="000000"/>
          <w:sz w:val="20"/>
        </w:rPr>
        <w:t>,</w:t>
      </w:r>
      <w:r w:rsidRPr="001C5268">
        <w:rPr>
          <w:rFonts w:ascii="Arial" w:hAnsi="Arial" w:cs="Arial"/>
          <w:color w:val="000000"/>
          <w:sz w:val="20"/>
        </w:rPr>
        <w:t xml:space="preserve"> the accused was convicted of the aggravated indecent assault of his 3 year old granddaughter CD.  The only evidence of the offence came from CD and was to the effect that her grandfather had persuaded her to hold his penis while he was urinating on an occasion when the two were alone in a shed.  She had given inconsistent accounts as to the shed in which she said the offence occurred.  The accused gave evidence of his contact with CD on the day of the alleged offence.  He denied that they had been inside a shed or that she had touched his penis.  The trial was before a judge alone.  He found the offence proved and sentenced the accused to 3 years’ imprisonment with a non-parole period of 18 months.  The Court of Criminal Appeal of South Australia dismissed the accused’s appeal against his conviction.  The High Court allowed the appeal, quashed the conviction and sentence and ordered a verdict of acquittal.  At [48] of their joint judgment French CJ, Hayne, </w:t>
      </w:r>
      <w:proofErr w:type="spellStart"/>
      <w:r w:rsidRPr="001C5268">
        <w:rPr>
          <w:rFonts w:ascii="Arial" w:hAnsi="Arial" w:cs="Arial"/>
          <w:color w:val="000000"/>
          <w:sz w:val="20"/>
        </w:rPr>
        <w:t>Crennan</w:t>
      </w:r>
      <w:proofErr w:type="spellEnd"/>
      <w:r w:rsidRPr="001C5268">
        <w:rPr>
          <w:rFonts w:ascii="Arial" w:hAnsi="Arial" w:cs="Arial"/>
          <w:color w:val="000000"/>
          <w:sz w:val="20"/>
        </w:rPr>
        <w:t xml:space="preserve">, </w:t>
      </w:r>
      <w:proofErr w:type="spellStart"/>
      <w:r w:rsidRPr="001C5268">
        <w:rPr>
          <w:rFonts w:ascii="Arial" w:hAnsi="Arial" w:cs="Arial"/>
          <w:color w:val="000000"/>
          <w:sz w:val="20"/>
        </w:rPr>
        <w:t>Kiefel</w:t>
      </w:r>
      <w:proofErr w:type="spellEnd"/>
      <w:r w:rsidRPr="001C5268">
        <w:rPr>
          <w:rFonts w:ascii="Arial" w:hAnsi="Arial" w:cs="Arial"/>
          <w:color w:val="000000"/>
          <w:sz w:val="20"/>
        </w:rPr>
        <w:t xml:space="preserve"> &amp; Bell JJ said:</w:t>
      </w:r>
    </w:p>
    <w:p w14:paraId="20C1511E" w14:textId="77777777" w:rsidR="00BE78BC" w:rsidRPr="001C5268" w:rsidRDefault="00BE78BC" w:rsidP="00BE78BC">
      <w:pPr>
        <w:spacing w:before="60"/>
        <w:ind w:left="567" w:right="567"/>
        <w:jc w:val="both"/>
        <w:rPr>
          <w:rFonts w:ascii="Arial" w:hAnsi="Arial" w:cs="Arial"/>
          <w:color w:val="000000"/>
          <w:sz w:val="20"/>
        </w:rPr>
      </w:pPr>
      <w:r w:rsidRPr="001C5268">
        <w:rPr>
          <w:rFonts w:ascii="Arial" w:hAnsi="Arial" w:cs="Arial"/>
          <w:color w:val="000000"/>
          <w:sz w:val="20"/>
        </w:rPr>
        <w:t>“</w:t>
      </w:r>
      <w:r w:rsidRPr="001C5268">
        <w:rPr>
          <w:rFonts w:ascii="Arial" w:hAnsi="Arial" w:cs="Arial"/>
          <w:color w:val="000000"/>
          <w:sz w:val="20"/>
          <w:szCs w:val="20"/>
        </w:rPr>
        <w:t xml:space="preserve">The criminal standard of proof is a designedly exacting standard.  A different, lesser, standard is applied by courts dealing with contested issues involving the care and protection of children.  The civil standard of proof on the balance of probabilities applies to proceedings under Pt VII Div 13A of the </w:t>
      </w:r>
      <w:r w:rsidRPr="001C5268">
        <w:rPr>
          <w:rFonts w:ascii="Arial" w:hAnsi="Arial" w:cs="Arial"/>
          <w:i/>
          <w:color w:val="000000"/>
          <w:sz w:val="20"/>
          <w:szCs w:val="20"/>
        </w:rPr>
        <w:t xml:space="preserve">Family Law Act </w:t>
      </w:r>
      <w:r w:rsidRPr="001C5268">
        <w:rPr>
          <w:rFonts w:ascii="Arial" w:hAnsi="Arial" w:cs="Arial"/>
          <w:color w:val="000000"/>
          <w:sz w:val="20"/>
          <w:szCs w:val="20"/>
        </w:rPr>
        <w:t>1975 (</w:t>
      </w:r>
      <w:proofErr w:type="spellStart"/>
      <w:r w:rsidRPr="001C5268">
        <w:rPr>
          <w:rFonts w:ascii="Arial" w:hAnsi="Arial" w:cs="Arial"/>
          <w:color w:val="000000"/>
          <w:sz w:val="20"/>
          <w:szCs w:val="20"/>
        </w:rPr>
        <w:t>Cth</w:t>
      </w:r>
      <w:proofErr w:type="spellEnd"/>
      <w:r w:rsidRPr="001C5268">
        <w:rPr>
          <w:rFonts w:ascii="Arial" w:hAnsi="Arial" w:cs="Arial"/>
          <w:color w:val="000000"/>
          <w:sz w:val="20"/>
          <w:szCs w:val="20"/>
        </w:rPr>
        <w:t xml:space="preserve">) [and the] </w:t>
      </w:r>
      <w:r w:rsidRPr="001C5268">
        <w:rPr>
          <w:rFonts w:ascii="Arial" w:hAnsi="Arial" w:cs="Arial"/>
          <w:i/>
          <w:iCs/>
          <w:color w:val="000000"/>
          <w:sz w:val="20"/>
          <w:szCs w:val="20"/>
        </w:rPr>
        <w:t xml:space="preserve">Children, Youth and Families Act </w:t>
      </w:r>
      <w:r>
        <w:rPr>
          <w:rFonts w:ascii="Arial" w:hAnsi="Arial" w:cs="Arial"/>
          <w:color w:val="000000"/>
          <w:sz w:val="20"/>
          <w:szCs w:val="20"/>
        </w:rPr>
        <w:t>2005 (Vic), ss.</w:t>
      </w:r>
      <w:r w:rsidRPr="001C5268">
        <w:rPr>
          <w:rFonts w:ascii="Arial" w:hAnsi="Arial" w:cs="Arial"/>
          <w:color w:val="000000"/>
          <w:sz w:val="20"/>
          <w:szCs w:val="20"/>
        </w:rPr>
        <w:t xml:space="preserve">215, 551….  And see discussion in </w:t>
      </w:r>
      <w:r w:rsidRPr="001C5268">
        <w:rPr>
          <w:rFonts w:ascii="Arial" w:hAnsi="Arial" w:cs="Arial"/>
          <w:i/>
          <w:color w:val="000000"/>
          <w:sz w:val="20"/>
          <w:szCs w:val="20"/>
        </w:rPr>
        <w:t xml:space="preserve">M v M </w:t>
      </w:r>
      <w:r w:rsidRPr="001C5268">
        <w:rPr>
          <w:rFonts w:ascii="Arial" w:hAnsi="Arial" w:cs="Arial"/>
          <w:color w:val="000000"/>
          <w:sz w:val="20"/>
          <w:szCs w:val="20"/>
        </w:rPr>
        <w:t xml:space="preserve">(1988) 166 CLR 69 at 77; [1988] HCA 68; </w:t>
      </w:r>
      <w:r w:rsidRPr="001C5268">
        <w:rPr>
          <w:rFonts w:ascii="Arial" w:hAnsi="Arial" w:cs="Arial"/>
          <w:i/>
          <w:color w:val="000000"/>
          <w:sz w:val="20"/>
          <w:szCs w:val="20"/>
        </w:rPr>
        <w:t>Re W (Sex Abuse: Standard of Proof)</w:t>
      </w:r>
      <w:r w:rsidRPr="001C5268">
        <w:rPr>
          <w:rFonts w:ascii="Arial" w:hAnsi="Arial" w:cs="Arial"/>
          <w:color w:val="000000"/>
          <w:sz w:val="20"/>
          <w:szCs w:val="20"/>
        </w:rPr>
        <w:t xml:space="preserve"> (2004) FLC ¶93-192.  This was not such a proceeding.  In the circumstances of this trial, it was an error for the Court of Criminal Appeal to hold that it had been open to the trial judge to be satisfied of the </w:t>
      </w:r>
      <w:r w:rsidRPr="001C5268">
        <w:rPr>
          <w:rFonts w:ascii="Arial" w:hAnsi="Arial" w:cs="Arial"/>
          <w:i/>
          <w:color w:val="000000"/>
          <w:sz w:val="20"/>
          <w:szCs w:val="20"/>
        </w:rPr>
        <w:t>reliability</w:t>
      </w:r>
      <w:r w:rsidRPr="001C5268">
        <w:rPr>
          <w:rFonts w:ascii="Arial" w:hAnsi="Arial" w:cs="Arial"/>
          <w:color w:val="000000"/>
          <w:sz w:val="20"/>
          <w:szCs w:val="20"/>
        </w:rPr>
        <w:t xml:space="preserve"> of CD's statements in the interview and to reason from that, despite the appellant's denials, to a conclusion that his guilt had been proved beyond reasonable doubt.</w:t>
      </w:r>
      <w:r w:rsidRPr="001C5268">
        <w:rPr>
          <w:rFonts w:ascii="Arial" w:hAnsi="Arial" w:cs="Arial"/>
          <w:color w:val="000000"/>
          <w:sz w:val="20"/>
        </w:rPr>
        <w:t>”</w:t>
      </w:r>
    </w:p>
    <w:p w14:paraId="3351BA6D" w14:textId="77777777" w:rsidR="00BE78BC" w:rsidRDefault="00BE78BC">
      <w:pPr>
        <w:jc w:val="both"/>
        <w:rPr>
          <w:rFonts w:ascii="Arial" w:hAnsi="Arial" w:cs="Arial"/>
          <w:sz w:val="20"/>
        </w:rPr>
      </w:pPr>
    </w:p>
    <w:p w14:paraId="6169A8DC"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Re W (Sex Abuse: Standard of Proof)</w:t>
      </w:r>
      <w:r>
        <w:rPr>
          <w:rFonts w:ascii="Arial" w:hAnsi="Arial" w:cs="Arial"/>
          <w:sz w:val="20"/>
        </w:rPr>
        <w:t xml:space="preserve"> [2004] </w:t>
      </w:r>
      <w:proofErr w:type="spellStart"/>
      <w:r>
        <w:rPr>
          <w:rFonts w:ascii="Arial" w:hAnsi="Arial" w:cs="Arial"/>
          <w:sz w:val="20"/>
        </w:rPr>
        <w:t>FamCA</w:t>
      </w:r>
      <w:proofErr w:type="spellEnd"/>
      <w:r>
        <w:rPr>
          <w:rFonts w:ascii="Arial" w:hAnsi="Arial" w:cs="Arial"/>
          <w:sz w:val="20"/>
        </w:rPr>
        <w:t xml:space="preserve"> 768 a Full Court of the Family Court of Australia, comprising Kay, Holden &amp; O'Ryan JJ, set out in detail some principles applicable to sex</w:t>
      </w:r>
      <w:r w:rsidR="005A494E">
        <w:rPr>
          <w:rFonts w:ascii="Arial" w:hAnsi="Arial" w:cs="Arial"/>
          <w:sz w:val="20"/>
        </w:rPr>
        <w:t>ual</w:t>
      </w:r>
      <w:r>
        <w:rPr>
          <w:rFonts w:ascii="Arial" w:hAnsi="Arial" w:cs="Arial"/>
          <w:sz w:val="20"/>
        </w:rPr>
        <w:t xml:space="preserve"> abuse allegations</w:t>
      </w:r>
      <w:r w:rsidR="00BE78BC">
        <w:rPr>
          <w:rFonts w:ascii="Arial" w:hAnsi="Arial" w:cs="Arial"/>
          <w:sz w:val="20"/>
        </w:rPr>
        <w:t xml:space="preserve"> in civil proceedings</w:t>
      </w:r>
      <w:r w:rsidR="004952D3">
        <w:rPr>
          <w:rFonts w:ascii="Arial" w:hAnsi="Arial" w:cs="Arial"/>
          <w:sz w:val="20"/>
        </w:rPr>
        <w:t xml:space="preserve">.  </w:t>
      </w:r>
      <w:r>
        <w:rPr>
          <w:rFonts w:ascii="Arial" w:hAnsi="Arial" w:cs="Arial"/>
          <w:sz w:val="20"/>
        </w:rPr>
        <w:t xml:space="preserve">At [13]-[16] the </w:t>
      </w:r>
      <w:smartTag w:uri="urn:schemas-microsoft-com:office:smarttags" w:element="address">
        <w:smartTag w:uri="urn:schemas-microsoft-com:office:smarttags" w:element="Street">
          <w:r>
            <w:rPr>
              <w:rFonts w:ascii="Arial" w:hAnsi="Arial" w:cs="Arial"/>
              <w:sz w:val="20"/>
            </w:rPr>
            <w:t>Full Court</w:t>
          </w:r>
        </w:smartTag>
      </w:smartTag>
      <w:r>
        <w:rPr>
          <w:rFonts w:ascii="Arial" w:hAnsi="Arial" w:cs="Arial"/>
          <w:sz w:val="20"/>
        </w:rPr>
        <w:t xml:space="preserve"> said:</w:t>
      </w:r>
    </w:p>
    <w:p w14:paraId="2D7FE1C8" w14:textId="77777777" w:rsidR="00693223" w:rsidRDefault="00693223" w:rsidP="008A1184">
      <w:pPr>
        <w:spacing w:before="60"/>
        <w:ind w:left="567" w:right="567"/>
        <w:jc w:val="both"/>
        <w:rPr>
          <w:rFonts w:ascii="Arial" w:hAnsi="Arial" w:cs="Arial"/>
          <w:bCs/>
          <w:sz w:val="20"/>
        </w:rPr>
      </w:pPr>
      <w:r>
        <w:rPr>
          <w:rFonts w:ascii="Arial" w:hAnsi="Arial" w:cs="Arial"/>
          <w:bCs/>
          <w:sz w:val="20"/>
        </w:rPr>
        <w:t>"[13</w:t>
      </w:r>
      <w:proofErr w:type="gramStart"/>
      <w:r>
        <w:rPr>
          <w:rFonts w:ascii="Arial" w:hAnsi="Arial" w:cs="Arial"/>
          <w:bCs/>
          <w:sz w:val="20"/>
        </w:rPr>
        <w:t>]  [</w:t>
      </w:r>
      <w:proofErr w:type="gramEnd"/>
      <w:r>
        <w:rPr>
          <w:rFonts w:ascii="Arial" w:hAnsi="Arial" w:cs="Arial"/>
          <w:bCs/>
          <w:sz w:val="20"/>
        </w:rPr>
        <w:t>W]e believe it helpful to now briefly examine the principles applicable in cases involving difficult questions of sexual abuse where the only witnesses to the alleged abuse are the alleged perpetrator and the alleged victim.  This is particularly difficult where the victim is of tender years and does not give any direct testimony that can be the subject of forensic testing.</w:t>
      </w:r>
    </w:p>
    <w:p w14:paraId="1E0571AD" w14:textId="77777777" w:rsidR="00693223" w:rsidRDefault="00693223" w:rsidP="008A1184">
      <w:pPr>
        <w:spacing w:before="120"/>
        <w:ind w:left="567" w:right="567"/>
        <w:jc w:val="both"/>
        <w:rPr>
          <w:rFonts w:ascii="Arial" w:hAnsi="Arial" w:cs="Arial"/>
          <w:bCs/>
          <w:sz w:val="20"/>
        </w:rPr>
      </w:pPr>
      <w:r>
        <w:rPr>
          <w:rFonts w:ascii="Arial" w:hAnsi="Arial" w:cs="Arial"/>
          <w:bCs/>
          <w:sz w:val="20"/>
        </w:rPr>
        <w:t>[14</w:t>
      </w:r>
      <w:proofErr w:type="gramStart"/>
      <w:r>
        <w:rPr>
          <w:rFonts w:ascii="Arial" w:hAnsi="Arial" w:cs="Arial"/>
          <w:bCs/>
          <w:sz w:val="20"/>
        </w:rPr>
        <w:t>]  In</w:t>
      </w:r>
      <w:proofErr w:type="gramEnd"/>
      <w:r>
        <w:rPr>
          <w:rFonts w:ascii="Arial" w:hAnsi="Arial" w:cs="Arial"/>
          <w:bCs/>
          <w:sz w:val="20"/>
        </w:rPr>
        <w:t xml:space="preserve"> </w:t>
      </w:r>
      <w:r>
        <w:rPr>
          <w:rFonts w:ascii="Arial" w:hAnsi="Arial" w:cs="Arial"/>
          <w:bCs/>
          <w:i/>
          <w:iCs/>
          <w:sz w:val="20"/>
        </w:rPr>
        <w:t>M and M</w:t>
      </w:r>
      <w:r>
        <w:rPr>
          <w:rFonts w:ascii="Arial" w:hAnsi="Arial" w:cs="Arial"/>
          <w:bCs/>
          <w:sz w:val="20"/>
        </w:rPr>
        <w:t xml:space="preserve"> (1988) FLC 91-979; (1988) 12 Fam LR 606; </w:t>
      </w:r>
      <w:r>
        <w:rPr>
          <w:rFonts w:ascii="Arial" w:hAnsi="Arial" w:cs="Arial"/>
          <w:sz w:val="20"/>
        </w:rPr>
        <w:t xml:space="preserve">(1988) 166 CLR 69 </w:t>
      </w:r>
      <w:r>
        <w:rPr>
          <w:rFonts w:ascii="Arial" w:hAnsi="Arial" w:cs="Arial"/>
          <w:bCs/>
          <w:sz w:val="20"/>
        </w:rPr>
        <w:t xml:space="preserve">and </w:t>
      </w:r>
      <w:r>
        <w:rPr>
          <w:rFonts w:ascii="Arial" w:hAnsi="Arial" w:cs="Arial"/>
          <w:bCs/>
          <w:i/>
          <w:iCs/>
          <w:sz w:val="20"/>
        </w:rPr>
        <w:t>B and B</w:t>
      </w:r>
      <w:r>
        <w:rPr>
          <w:rFonts w:ascii="Arial" w:hAnsi="Arial" w:cs="Arial"/>
          <w:bCs/>
          <w:sz w:val="20"/>
        </w:rPr>
        <w:t xml:space="preserve"> (1988) </w:t>
      </w:r>
      <w:r w:rsidR="009E68B6">
        <w:rPr>
          <w:rFonts w:ascii="Arial" w:hAnsi="Arial" w:cs="Arial"/>
          <w:bCs/>
          <w:sz w:val="20"/>
        </w:rPr>
        <w:t>FLC 91-978; (1988) 12 Fam LR 61</w:t>
      </w:r>
      <w:r>
        <w:rPr>
          <w:rFonts w:ascii="Arial" w:hAnsi="Arial" w:cs="Arial"/>
          <w:sz w:val="20"/>
        </w:rPr>
        <w:t xml:space="preserve"> </w:t>
      </w:r>
      <w:r>
        <w:rPr>
          <w:rFonts w:ascii="Arial" w:hAnsi="Arial" w:cs="Arial"/>
          <w:bCs/>
          <w:sz w:val="20"/>
        </w:rPr>
        <w:t>the High Court considered the circumstances in which a trial judge should make a finding of sexual abuse when considering children's issues under Part VII of the Family Law Act.  The Court at FLC p.77,080-1, Fam LR p.610-1 said (citations omitted):</w:t>
      </w:r>
    </w:p>
    <w:p w14:paraId="51E6C048"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'But it is a mistake to think that the Family Court is under the same duty to resolve in a definitive way the disputed allegation of sexual abuse as a court exercising criminal jurisdiction would be if it were trying the party for the criminal offence.   Proceedings for custody or </w:t>
      </w:r>
      <w:r w:rsidR="007C5527" w:rsidRPr="007C5527">
        <w:rPr>
          <w:rFonts w:ascii="Arial" w:hAnsi="Arial" w:cs="Arial"/>
          <w:bCs/>
          <w:color w:val="000000"/>
          <w:sz w:val="20"/>
        </w:rPr>
        <w:t>access</w:t>
      </w:r>
      <w:r>
        <w:rPr>
          <w:rFonts w:ascii="Arial" w:hAnsi="Arial" w:cs="Arial"/>
          <w:bCs/>
          <w:sz w:val="20"/>
        </w:rPr>
        <w:t xml:space="preserve"> are not disputes </w:t>
      </w:r>
      <w:r>
        <w:rPr>
          <w:rFonts w:ascii="Arial" w:hAnsi="Arial" w:cs="Arial"/>
          <w:bCs/>
          <w:i/>
          <w:iCs/>
          <w:sz w:val="20"/>
        </w:rPr>
        <w:t>inter partes</w:t>
      </w:r>
      <w:r>
        <w:rPr>
          <w:rFonts w:ascii="Arial" w:hAnsi="Arial" w:cs="Arial"/>
          <w:bCs/>
          <w:sz w:val="20"/>
        </w:rPr>
        <w:t xml:space="preserve"> in the ordinary sense of that expression: </w:t>
      </w:r>
      <w:r>
        <w:rPr>
          <w:rFonts w:ascii="Arial" w:hAnsi="Arial" w:cs="Arial"/>
          <w:bCs/>
          <w:i/>
          <w:iCs/>
          <w:sz w:val="20"/>
        </w:rPr>
        <w:t>Reynolds v Reynolds</w:t>
      </w:r>
      <w:r>
        <w:rPr>
          <w:rFonts w:ascii="Arial" w:hAnsi="Arial" w:cs="Arial"/>
          <w:bCs/>
          <w:sz w:val="20"/>
        </w:rPr>
        <w:t xml:space="preserve">; </w:t>
      </w:r>
      <w:r>
        <w:rPr>
          <w:rFonts w:ascii="Arial" w:hAnsi="Arial" w:cs="Arial"/>
          <w:bCs/>
          <w:i/>
          <w:iCs/>
          <w:sz w:val="20"/>
        </w:rPr>
        <w:t>Mc Kee v McKee</w:t>
      </w:r>
      <w:r>
        <w:rPr>
          <w:rFonts w:ascii="Arial" w:hAnsi="Arial" w:cs="Arial"/>
          <w:bCs/>
          <w:sz w:val="20"/>
        </w:rPr>
        <w:t xml:space="preserve">.  In proceedings of that kind the court is not enforcing a parental right of custody or right to </w:t>
      </w:r>
      <w:r w:rsidR="007C5527" w:rsidRPr="007C5527">
        <w:rPr>
          <w:rFonts w:ascii="Arial" w:hAnsi="Arial" w:cs="Arial"/>
          <w:bCs/>
          <w:color w:val="000000"/>
          <w:sz w:val="20"/>
        </w:rPr>
        <w:t>access</w:t>
      </w:r>
      <w:r>
        <w:rPr>
          <w:rFonts w:ascii="Arial" w:hAnsi="Arial" w:cs="Arial"/>
          <w:bCs/>
          <w:sz w:val="20"/>
        </w:rPr>
        <w:t xml:space="preserve">.  The court is concerned to make such an order for custody or </w:t>
      </w:r>
      <w:r w:rsidR="007C5527" w:rsidRPr="007C5527">
        <w:rPr>
          <w:rFonts w:ascii="Arial" w:hAnsi="Arial" w:cs="Arial"/>
          <w:bCs/>
          <w:color w:val="000000"/>
          <w:sz w:val="20"/>
        </w:rPr>
        <w:t>access</w:t>
      </w:r>
      <w:r>
        <w:rPr>
          <w:rFonts w:ascii="Arial" w:hAnsi="Arial" w:cs="Arial"/>
          <w:bCs/>
          <w:sz w:val="20"/>
        </w:rPr>
        <w:t xml:space="preserve"> which will in the opinion of the court best promote and protect the best interests of the child.  In deciding what order it should make the court will give very great weight to the importance of maintaining parental ties, not so much because parents have a right to custody or </w:t>
      </w:r>
      <w:r w:rsidR="007C5527" w:rsidRPr="007C5527">
        <w:rPr>
          <w:rFonts w:ascii="Arial" w:hAnsi="Arial" w:cs="Arial"/>
          <w:bCs/>
          <w:color w:val="000000"/>
          <w:sz w:val="20"/>
        </w:rPr>
        <w:t>access</w:t>
      </w:r>
      <w:r>
        <w:rPr>
          <w:rFonts w:ascii="Arial" w:hAnsi="Arial" w:cs="Arial"/>
          <w:bCs/>
          <w:sz w:val="20"/>
        </w:rPr>
        <w:t xml:space="preserve">, but because it is </w:t>
      </w:r>
      <w:r>
        <w:rPr>
          <w:rFonts w:ascii="Arial" w:hAnsi="Arial" w:cs="Arial"/>
          <w:bCs/>
          <w:i/>
          <w:iCs/>
          <w:sz w:val="20"/>
        </w:rPr>
        <w:t>prima facie</w:t>
      </w:r>
      <w:r>
        <w:rPr>
          <w:rFonts w:ascii="Arial" w:hAnsi="Arial" w:cs="Arial"/>
          <w:bCs/>
          <w:sz w:val="20"/>
        </w:rPr>
        <w:t xml:space="preserve"> in a child's interests to maintain the filial relationship with both parents: cf. </w:t>
      </w:r>
      <w:r>
        <w:rPr>
          <w:rFonts w:ascii="Arial" w:hAnsi="Arial" w:cs="Arial"/>
          <w:bCs/>
          <w:i/>
          <w:iCs/>
          <w:sz w:val="20"/>
        </w:rPr>
        <w:t xml:space="preserve">J v </w:t>
      </w:r>
      <w:proofErr w:type="spellStart"/>
      <w:r>
        <w:rPr>
          <w:rFonts w:ascii="Arial" w:hAnsi="Arial" w:cs="Arial"/>
          <w:bCs/>
          <w:i/>
          <w:iCs/>
          <w:sz w:val="20"/>
        </w:rPr>
        <w:t>Lieschke</w:t>
      </w:r>
      <w:proofErr w:type="spellEnd"/>
      <w:r>
        <w:rPr>
          <w:rFonts w:ascii="Arial" w:hAnsi="Arial" w:cs="Arial"/>
          <w:bCs/>
          <w:sz w:val="20"/>
        </w:rPr>
        <w:t>.</w:t>
      </w:r>
    </w:p>
    <w:p w14:paraId="1C6B5A1B"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Viewed in this setting, the resolution of an allegation of sexual abuse against a parent is subservient and ancillary to the court's determination of what is in the best interests of the child.  The Family Court's consideration of the paramount issue which it is enjoined to decide cannot be diverted by the supposed need to arrive at a definitive conclusion on the allegation of sexual abuse.  The Family Court's wide ranging-discretion to decide what is in the child's best interests cannot be qualified by requiring the court to try the case as if it were no more than a contest between the parents to be decided solely by reference to the acceptance or rejection of the allegation of sexual abuse on the balance of probabilities. </w:t>
      </w:r>
    </w:p>
    <w:p w14:paraId="5D6C9061"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In considering an allegation of sexual abuse, the court should not make a positive finding that the allegation is true unless the court is so satisfied according to the civil standard of proof, with due regard to the factors mentioned in </w:t>
      </w:r>
      <w:r>
        <w:rPr>
          <w:rFonts w:ascii="Arial" w:hAnsi="Arial" w:cs="Arial"/>
          <w:bCs/>
          <w:i/>
          <w:iCs/>
          <w:sz w:val="20"/>
        </w:rPr>
        <w:t>Briginshaw v Briginshaw.</w:t>
      </w:r>
      <w:r>
        <w:rPr>
          <w:rFonts w:ascii="Arial" w:hAnsi="Arial" w:cs="Arial"/>
          <w:bCs/>
          <w:sz w:val="20"/>
        </w:rPr>
        <w:t xml:space="preserve">  There Dixon J said: </w:t>
      </w:r>
    </w:p>
    <w:p w14:paraId="28EBB986" w14:textId="77777777" w:rsidR="00693223" w:rsidRDefault="00693223" w:rsidP="003A279C">
      <w:pPr>
        <w:spacing w:before="60"/>
        <w:ind w:left="1474" w:right="1474"/>
        <w:jc w:val="both"/>
        <w:rPr>
          <w:rFonts w:ascii="Arial" w:hAnsi="Arial" w:cs="Arial"/>
          <w:bCs/>
          <w:sz w:val="20"/>
        </w:rPr>
      </w:pP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76390CD0"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His Honour's comments have a direct application to an allegation that a parent has sexually abused a child, an allegation which is often easy to make, but difficult to refute.  It does not follow that if an allegation of sexual abuse has not been made out, according to the civil onus as stated in </w:t>
      </w:r>
      <w:r>
        <w:rPr>
          <w:rFonts w:ascii="Arial" w:hAnsi="Arial" w:cs="Arial"/>
          <w:bCs/>
          <w:i/>
          <w:iCs/>
          <w:sz w:val="20"/>
        </w:rPr>
        <w:t>Briginshaw</w:t>
      </w:r>
      <w:r>
        <w:rPr>
          <w:rFonts w:ascii="Arial" w:hAnsi="Arial" w:cs="Arial"/>
          <w:bCs/>
          <w:sz w:val="20"/>
        </w:rPr>
        <w:t xml:space="preserve">, that conclusion determines the wider issue which confronts the court when it is called upon to decide what is in the best interests of the child. </w:t>
      </w:r>
    </w:p>
    <w:p w14:paraId="05AD7E2E"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No doubt there will be some cases in which the Court is able to come to a positive finding that the allegation is well-founded.  In all but the most extraordinary cases, that finding will have a decisive impact on the order to be made respecting custody and </w:t>
      </w:r>
      <w:r w:rsidR="007C5527" w:rsidRPr="007C5527">
        <w:rPr>
          <w:rFonts w:ascii="Arial" w:hAnsi="Arial" w:cs="Arial"/>
          <w:bCs/>
          <w:color w:val="000000"/>
          <w:sz w:val="20"/>
        </w:rPr>
        <w:t>access</w:t>
      </w:r>
      <w:r>
        <w:rPr>
          <w:rFonts w:ascii="Arial" w:hAnsi="Arial" w:cs="Arial"/>
          <w:bCs/>
          <w:sz w:val="20"/>
        </w:rPr>
        <w:t xml:space="preserve">.  There will be cases also in </w:t>
      </w:r>
      <w:r>
        <w:rPr>
          <w:rFonts w:ascii="Arial" w:hAnsi="Arial" w:cs="Arial"/>
          <w:bCs/>
          <w:sz w:val="20"/>
        </w:rPr>
        <w:lastRenderedPageBreak/>
        <w:t>which the Court has no hesitation in rejecting the allegation as groundless.  Again, in the nature of things there will be very many cases, such as the present case, in which the Court cannot confidently make a finding that sexual abuse has taken place.  And there are strong practical family reasons why the Court should refrain from making a positive finding that sexual abuse has actually taken place unless it is impelled by the particular circumstances of the case to do so.'</w:t>
      </w:r>
    </w:p>
    <w:p w14:paraId="6BCE4C80" w14:textId="77777777" w:rsidR="003A279C" w:rsidRDefault="00693223" w:rsidP="003A279C">
      <w:pPr>
        <w:spacing w:before="120"/>
        <w:ind w:left="567" w:right="567"/>
        <w:jc w:val="both"/>
        <w:rPr>
          <w:rFonts w:ascii="Arial" w:hAnsi="Arial" w:cs="Arial"/>
          <w:bCs/>
          <w:sz w:val="20"/>
        </w:rPr>
      </w:pPr>
      <w:r>
        <w:rPr>
          <w:rFonts w:ascii="Arial" w:hAnsi="Arial" w:cs="Arial"/>
          <w:bCs/>
          <w:sz w:val="20"/>
        </w:rPr>
        <w:t>[15</w:t>
      </w:r>
      <w:proofErr w:type="gramStart"/>
      <w:r>
        <w:rPr>
          <w:rFonts w:ascii="Arial" w:hAnsi="Arial" w:cs="Arial"/>
          <w:bCs/>
          <w:sz w:val="20"/>
        </w:rPr>
        <w:t>]  In</w:t>
      </w:r>
      <w:proofErr w:type="gramEnd"/>
      <w:r>
        <w:rPr>
          <w:rFonts w:ascii="Arial" w:hAnsi="Arial" w:cs="Arial"/>
          <w:bCs/>
          <w:sz w:val="20"/>
        </w:rPr>
        <w:t xml:space="preserve"> </w:t>
      </w:r>
      <w:r>
        <w:rPr>
          <w:rFonts w:ascii="Arial" w:hAnsi="Arial" w:cs="Arial"/>
          <w:bCs/>
          <w:i/>
          <w:iCs/>
          <w:sz w:val="20"/>
        </w:rPr>
        <w:t>WK v SR</w:t>
      </w:r>
      <w:r>
        <w:rPr>
          <w:rFonts w:ascii="Arial" w:hAnsi="Arial" w:cs="Arial"/>
          <w:bCs/>
          <w:sz w:val="20"/>
        </w:rPr>
        <w:t xml:space="preserve"> (1997) FLC 92-787; 22 Fam LR 592 the Full Court (Baker, Kay and Morgan JJ) examined the application of the principles set out in </w:t>
      </w:r>
      <w:r>
        <w:rPr>
          <w:rFonts w:ascii="Arial" w:hAnsi="Arial" w:cs="Arial"/>
          <w:bCs/>
          <w:i/>
          <w:iCs/>
          <w:sz w:val="20"/>
        </w:rPr>
        <w:t>M and M</w:t>
      </w:r>
      <w:r>
        <w:rPr>
          <w:rFonts w:ascii="Arial" w:hAnsi="Arial" w:cs="Arial"/>
          <w:bCs/>
          <w:sz w:val="20"/>
        </w:rPr>
        <w:t xml:space="preserve"> to a situation where the trial judge had found that the father had sexually molested both his step-daughter and his own daughter</w:t>
      </w:r>
      <w:r w:rsidR="003A279C">
        <w:rPr>
          <w:rFonts w:ascii="Arial" w:hAnsi="Arial" w:cs="Arial"/>
          <w:bCs/>
          <w:sz w:val="20"/>
        </w:rPr>
        <w:t>…</w:t>
      </w:r>
    </w:p>
    <w:p w14:paraId="6459C7A1" w14:textId="77777777" w:rsidR="00693223" w:rsidRDefault="00693223" w:rsidP="008A1184">
      <w:pPr>
        <w:spacing w:before="120"/>
        <w:ind w:left="567" w:right="567"/>
        <w:jc w:val="both"/>
        <w:rPr>
          <w:rFonts w:ascii="Arial" w:hAnsi="Arial" w:cs="Arial"/>
          <w:bCs/>
          <w:sz w:val="20"/>
        </w:rPr>
      </w:pPr>
      <w:r>
        <w:rPr>
          <w:rFonts w:ascii="Arial" w:hAnsi="Arial" w:cs="Arial"/>
          <w:bCs/>
          <w:sz w:val="20"/>
        </w:rPr>
        <w:t>[16</w:t>
      </w:r>
      <w:proofErr w:type="gramStart"/>
      <w:r>
        <w:rPr>
          <w:rFonts w:ascii="Arial" w:hAnsi="Arial" w:cs="Arial"/>
          <w:bCs/>
          <w:sz w:val="20"/>
        </w:rPr>
        <w:t>]  Although</w:t>
      </w:r>
      <w:proofErr w:type="gramEnd"/>
      <w:r>
        <w:rPr>
          <w:rFonts w:ascii="Arial" w:hAnsi="Arial" w:cs="Arial"/>
          <w:bCs/>
          <w:sz w:val="20"/>
        </w:rPr>
        <w:t xml:space="preserve"> this case was argued that irrespective of the finding of sexual abuse there should have been supervised contact, given his Honour's refusal to allow any supervised contact was clearly dependent upon his positive finding of sexual abuse, if that finding is unsafe then in our view we have no other option but to remit the question of supervised contact back to a Judge at first instance."</w:t>
      </w:r>
    </w:p>
    <w:p w14:paraId="634C5283" w14:textId="77777777" w:rsidR="00693223" w:rsidRDefault="00693223">
      <w:pPr>
        <w:jc w:val="both"/>
        <w:rPr>
          <w:rFonts w:ascii="Arial" w:hAnsi="Arial" w:cs="Arial"/>
          <w:sz w:val="20"/>
        </w:rPr>
      </w:pPr>
    </w:p>
    <w:p w14:paraId="0206626E" w14:textId="77777777" w:rsidR="004C65F0" w:rsidRDefault="003A279C" w:rsidP="00882C6A">
      <w:pPr>
        <w:jc w:val="both"/>
        <w:rPr>
          <w:rFonts w:ascii="Arial" w:hAnsi="Arial" w:cs="Arial"/>
          <w:sz w:val="20"/>
        </w:rPr>
      </w:pPr>
      <w:r>
        <w:rPr>
          <w:rFonts w:ascii="Arial" w:hAnsi="Arial" w:cs="Arial"/>
          <w:sz w:val="20"/>
        </w:rPr>
        <w:t xml:space="preserve">Section 215A </w:t>
      </w:r>
      <w:r w:rsidR="00882C6A">
        <w:rPr>
          <w:rFonts w:ascii="Arial" w:hAnsi="Arial" w:cs="Arial"/>
          <w:sz w:val="20"/>
        </w:rPr>
        <w:t xml:space="preserve">of the CYFA provides that the standard of proof </w:t>
      </w:r>
      <w:r w:rsidR="00882C6A" w:rsidRPr="00882C6A">
        <w:rPr>
          <w:rFonts w:ascii="Arial" w:hAnsi="Arial" w:cs="Arial"/>
          <w:b/>
          <w:sz w:val="20"/>
        </w:rPr>
        <w:t>“</w:t>
      </w:r>
      <w:r w:rsidR="00882C6A" w:rsidRPr="00882C6A">
        <w:rPr>
          <w:rFonts w:ascii="Arial" w:hAnsi="Arial" w:cs="Arial"/>
          <w:b/>
          <w:sz w:val="20"/>
          <w:u w:val="single"/>
        </w:rPr>
        <w:t>of any fact</w:t>
      </w:r>
      <w:r w:rsidR="00882C6A" w:rsidRPr="00882C6A">
        <w:rPr>
          <w:rFonts w:ascii="Arial" w:hAnsi="Arial" w:cs="Arial"/>
          <w:b/>
          <w:sz w:val="20"/>
        </w:rPr>
        <w:t>”</w:t>
      </w:r>
      <w:r w:rsidR="00882C6A">
        <w:rPr>
          <w:rFonts w:ascii="Arial" w:hAnsi="Arial" w:cs="Arial"/>
          <w:sz w:val="20"/>
        </w:rPr>
        <w:t xml:space="preserve"> in an application under the CYFA in the Family Division is the balance of probabilities.  By this is meant any </w:t>
      </w:r>
      <w:r w:rsidR="00882C6A" w:rsidRPr="00882C6A">
        <w:rPr>
          <w:rFonts w:ascii="Arial" w:hAnsi="Arial" w:cs="Arial"/>
          <w:b/>
          <w:sz w:val="20"/>
          <w:u w:val="single"/>
        </w:rPr>
        <w:t>past</w:t>
      </w:r>
      <w:r w:rsidR="00882C6A">
        <w:rPr>
          <w:rFonts w:ascii="Arial" w:hAnsi="Arial" w:cs="Arial"/>
          <w:sz w:val="20"/>
        </w:rPr>
        <w:t xml:space="preserve"> fact.  It is clear from the above extract from </w:t>
      </w:r>
      <w:r w:rsidR="00882C6A">
        <w:rPr>
          <w:rFonts w:ascii="Arial" w:hAnsi="Arial" w:cs="Arial"/>
          <w:i/>
          <w:iCs/>
          <w:sz w:val="20"/>
        </w:rPr>
        <w:t>Re W (Sex Abuse: Standard of Proof)</w:t>
      </w:r>
      <w:r w:rsidR="003D6315">
        <w:rPr>
          <w:rFonts w:ascii="Arial" w:hAnsi="Arial" w:cs="Arial"/>
          <w:sz w:val="20"/>
        </w:rPr>
        <w:t xml:space="preserve"> </w:t>
      </w:r>
      <w:r w:rsidR="001533B1">
        <w:rPr>
          <w:rFonts w:ascii="Arial" w:hAnsi="Arial" w:cs="Arial"/>
          <w:sz w:val="20"/>
        </w:rPr>
        <w:t xml:space="preserve">and from the cases discussed in section 5.10.4 </w:t>
      </w:r>
      <w:r w:rsidR="003D6315">
        <w:rPr>
          <w:rFonts w:ascii="Arial" w:hAnsi="Arial" w:cs="Arial"/>
          <w:sz w:val="20"/>
        </w:rPr>
        <w:t xml:space="preserve">that there is a strong </w:t>
      </w:r>
      <w:r w:rsidR="00882C6A">
        <w:rPr>
          <w:rFonts w:ascii="Arial" w:hAnsi="Arial" w:cs="Arial"/>
          <w:sz w:val="20"/>
        </w:rPr>
        <w:t xml:space="preserve">distinction to be drawn between a finding that abuse has occurred in the </w:t>
      </w:r>
      <w:r w:rsidR="00882C6A" w:rsidRPr="004C65F0">
        <w:rPr>
          <w:rFonts w:ascii="Arial" w:hAnsi="Arial" w:cs="Arial"/>
          <w:b/>
          <w:sz w:val="20"/>
          <w:u w:val="single"/>
        </w:rPr>
        <w:t>past</w:t>
      </w:r>
      <w:r w:rsidR="00882C6A">
        <w:rPr>
          <w:rFonts w:ascii="Arial" w:hAnsi="Arial" w:cs="Arial"/>
          <w:sz w:val="20"/>
        </w:rPr>
        <w:t xml:space="preserve"> and a finding that there is an unacceptable risk of it occurring in the </w:t>
      </w:r>
      <w:r w:rsidR="00882C6A" w:rsidRPr="004C65F0">
        <w:rPr>
          <w:rFonts w:ascii="Arial" w:hAnsi="Arial" w:cs="Arial"/>
          <w:b/>
          <w:sz w:val="20"/>
          <w:u w:val="single"/>
        </w:rPr>
        <w:t>future</w:t>
      </w:r>
      <w:r w:rsidR="00882C6A">
        <w:rPr>
          <w:rFonts w:ascii="Arial" w:hAnsi="Arial" w:cs="Arial"/>
          <w:sz w:val="20"/>
        </w:rPr>
        <w:t xml:space="preserve">.  That is </w:t>
      </w:r>
      <w:r w:rsidR="004C65F0">
        <w:rPr>
          <w:rFonts w:ascii="Arial" w:hAnsi="Arial" w:cs="Arial"/>
          <w:sz w:val="20"/>
        </w:rPr>
        <w:t xml:space="preserve">also </w:t>
      </w:r>
      <w:r w:rsidR="00882C6A">
        <w:rPr>
          <w:rFonts w:ascii="Arial" w:hAnsi="Arial" w:cs="Arial"/>
          <w:sz w:val="20"/>
        </w:rPr>
        <w:t xml:space="preserve">clear from new s.162(3) of the CYFA which </w:t>
      </w:r>
      <w:r w:rsidR="004C65F0">
        <w:rPr>
          <w:rFonts w:ascii="Arial" w:hAnsi="Arial" w:cs="Arial"/>
          <w:sz w:val="20"/>
        </w:rPr>
        <w:t>provides:</w:t>
      </w:r>
    </w:p>
    <w:p w14:paraId="49FACC95" w14:textId="77777777" w:rsidR="004C65F0" w:rsidRPr="006C72B1" w:rsidRDefault="004C65F0" w:rsidP="004C65F0">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358759EE" w14:textId="77777777" w:rsidR="004C65F0" w:rsidRPr="006C72B1" w:rsidRDefault="004C65F0" w:rsidP="00FB1EE3">
      <w:pPr>
        <w:numPr>
          <w:ilvl w:val="0"/>
          <w:numId w:val="47"/>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2491DC39" w14:textId="77777777" w:rsidR="004C65F0" w:rsidRPr="006C72B1" w:rsidRDefault="004C65F0" w:rsidP="00FB1EE3">
      <w:pPr>
        <w:numPr>
          <w:ilvl w:val="0"/>
          <w:numId w:val="47"/>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0ABA4B9B" w14:textId="77777777" w:rsidR="004C65F0" w:rsidRDefault="004C65F0" w:rsidP="00882C6A">
      <w:pPr>
        <w:jc w:val="both"/>
        <w:rPr>
          <w:rFonts w:ascii="Arial" w:hAnsi="Arial" w:cs="Arial"/>
          <w:sz w:val="20"/>
        </w:rPr>
      </w:pPr>
    </w:p>
    <w:p w14:paraId="27F32512" w14:textId="77777777" w:rsidR="00882C6A" w:rsidRDefault="004C65F0" w:rsidP="00882C6A">
      <w:pPr>
        <w:jc w:val="both"/>
        <w:rPr>
          <w:rFonts w:ascii="Arial" w:hAnsi="Arial" w:cs="Arial"/>
          <w:sz w:val="20"/>
        </w:rPr>
      </w:pPr>
      <w:r>
        <w:rPr>
          <w:rFonts w:ascii="Arial" w:hAnsi="Arial" w:cs="Arial"/>
          <w:sz w:val="20"/>
        </w:rPr>
        <w:t xml:space="preserve">So the balance of probabilities test in s.215A does </w:t>
      </w:r>
      <w:r w:rsidRPr="00AB2E0B">
        <w:rPr>
          <w:rFonts w:ascii="Arial" w:hAnsi="Arial" w:cs="Arial"/>
          <w:b/>
          <w:sz w:val="20"/>
          <w:u w:val="single"/>
        </w:rPr>
        <w:t>not</w:t>
      </w:r>
      <w:r>
        <w:rPr>
          <w:rFonts w:ascii="Arial" w:hAnsi="Arial" w:cs="Arial"/>
          <w:sz w:val="20"/>
        </w:rPr>
        <w:t xml:space="preserve"> apply to the </w:t>
      </w:r>
      <w:r w:rsidRPr="006C72B1">
        <w:rPr>
          <w:rFonts w:ascii="Arial" w:hAnsi="Arial" w:cs="Arial"/>
          <w:color w:val="000000"/>
          <w:sz w:val="20"/>
        </w:rPr>
        <w:t xml:space="preserve">determination of the likelihood or unlikelihood of the occurrence of a </w:t>
      </w:r>
      <w:r w:rsidRPr="00AB2E0B">
        <w:rPr>
          <w:rFonts w:ascii="Arial" w:hAnsi="Arial" w:cs="Arial"/>
          <w:b/>
          <w:color w:val="000000"/>
          <w:sz w:val="20"/>
          <w:u w:val="single"/>
        </w:rPr>
        <w:t>future</w:t>
      </w:r>
      <w:r w:rsidRPr="006C72B1">
        <w:rPr>
          <w:rFonts w:ascii="Arial" w:hAnsi="Arial" w:cs="Arial"/>
          <w:color w:val="000000"/>
          <w:sz w:val="20"/>
        </w:rPr>
        <w:t xml:space="preserve"> event for the purposes of proof of a protection application.</w:t>
      </w:r>
      <w:r>
        <w:rPr>
          <w:rFonts w:ascii="Arial" w:hAnsi="Arial" w:cs="Arial"/>
          <w:sz w:val="20"/>
        </w:rPr>
        <w:t xml:space="preserve">  For its part, s.162(3) leaves alive the less stringent </w:t>
      </w:r>
      <w:r w:rsidR="00882C6A" w:rsidRPr="006C72B1">
        <w:rPr>
          <w:rFonts w:ascii="Arial" w:hAnsi="Arial" w:cs="Arial"/>
          <w:color w:val="000000"/>
          <w:sz w:val="20"/>
        </w:rPr>
        <w:t xml:space="preserve">common law test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future, a test </w:t>
      </w:r>
      <w:r w:rsidR="00882C6A" w:rsidRPr="006C72B1">
        <w:rPr>
          <w:rFonts w:ascii="Arial" w:hAnsi="Arial" w:cs="Arial"/>
          <w:color w:val="000000"/>
          <w:sz w:val="20"/>
        </w:rPr>
        <w:t xml:space="preserve">enunciated by Lord Nicholls of Birkenhead </w:t>
      </w:r>
      <w:r>
        <w:rPr>
          <w:rFonts w:ascii="Arial" w:hAnsi="Arial" w:cs="Arial"/>
          <w:sz w:val="20"/>
        </w:rPr>
        <w:t xml:space="preserve">(with whom Lord Goff of Chiefly &amp; Lord Mustill agreed) </w:t>
      </w:r>
      <w:r w:rsidR="00882C6A" w:rsidRPr="006C72B1">
        <w:rPr>
          <w:rFonts w:ascii="Arial" w:hAnsi="Arial" w:cs="Arial"/>
          <w:color w:val="000000"/>
          <w:sz w:val="20"/>
        </w:rPr>
        <w:t xml:space="preserve">in </w:t>
      </w:r>
      <w:r w:rsidR="00882C6A" w:rsidRPr="006C72B1">
        <w:rPr>
          <w:rFonts w:ascii="Arial" w:hAnsi="Arial" w:cs="Arial"/>
          <w:i/>
          <w:iCs/>
          <w:sz w:val="20"/>
        </w:rPr>
        <w:t>In re H. &amp; Others (Minors)(Sexual Abuse: Standard of Proof)</w:t>
      </w:r>
      <w:r w:rsidR="00882C6A" w:rsidRPr="006C72B1">
        <w:rPr>
          <w:rFonts w:ascii="Arial" w:hAnsi="Arial" w:cs="Arial"/>
          <w:sz w:val="20"/>
        </w:rPr>
        <w:t xml:space="preserve"> [1996] AC 563 at 585</w:t>
      </w:r>
      <w:r>
        <w:rPr>
          <w:rFonts w:ascii="Arial" w:hAnsi="Arial" w:cs="Arial"/>
          <w:sz w:val="20"/>
        </w:rPr>
        <w:t xml:space="preserve"> in relation to English legislation </w:t>
      </w:r>
      <w:r w:rsidR="00AB2E0B">
        <w:rPr>
          <w:rFonts w:ascii="Arial" w:hAnsi="Arial" w:cs="Arial"/>
          <w:sz w:val="20"/>
        </w:rPr>
        <w:t>in</w:t>
      </w:r>
      <w:r>
        <w:rPr>
          <w:rFonts w:ascii="Arial" w:hAnsi="Arial" w:cs="Arial"/>
          <w:sz w:val="20"/>
        </w:rPr>
        <w:t xml:space="preserve"> similar </w:t>
      </w:r>
      <w:r w:rsidR="00AB2E0B">
        <w:rPr>
          <w:rFonts w:ascii="Arial" w:hAnsi="Arial" w:cs="Arial"/>
          <w:sz w:val="20"/>
        </w:rPr>
        <w:t xml:space="preserve">terms </w:t>
      </w:r>
      <w:r>
        <w:rPr>
          <w:rFonts w:ascii="Arial" w:hAnsi="Arial" w:cs="Arial"/>
          <w:sz w:val="20"/>
        </w:rPr>
        <w:t>to s.162</w:t>
      </w:r>
      <w:r w:rsidR="006421A8">
        <w:rPr>
          <w:rFonts w:ascii="Arial" w:hAnsi="Arial" w:cs="Arial"/>
          <w:sz w:val="20"/>
        </w:rPr>
        <w:t>(1)</w:t>
      </w:r>
      <w:r>
        <w:rPr>
          <w:rFonts w:ascii="Arial" w:hAnsi="Arial" w:cs="Arial"/>
          <w:sz w:val="20"/>
        </w:rPr>
        <w:t xml:space="preserve"> of the CYFA:</w:t>
      </w:r>
    </w:p>
    <w:p w14:paraId="35E1DA03" w14:textId="77777777" w:rsidR="00882C6A" w:rsidRDefault="00882C6A" w:rsidP="001F6EA3">
      <w:pPr>
        <w:spacing w:before="60"/>
        <w:ind w:left="567" w:right="567"/>
        <w:jc w:val="both"/>
        <w:rPr>
          <w:rFonts w:ascii="Arial" w:hAnsi="Arial" w:cs="Arial"/>
          <w:bCs/>
          <w:sz w:val="16"/>
        </w:rPr>
      </w:pPr>
      <w:bookmarkStart w:id="1333" w:name="_Toc34823415"/>
      <w:bookmarkStart w:id="1334" w:name="_Toc73499132"/>
      <w:r>
        <w:rPr>
          <w:rFonts w:ascii="Arial" w:hAnsi="Arial" w:cs="Arial"/>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not…[L]</w:t>
      </w:r>
      <w:proofErr w:type="spellStart"/>
      <w:r>
        <w:rPr>
          <w:rFonts w:ascii="Arial" w:hAnsi="Arial" w:cs="Arial"/>
          <w:sz w:val="20"/>
        </w:rPr>
        <w:t>ikely</w:t>
      </w:r>
      <w:proofErr w:type="spellEnd"/>
      <w:r>
        <w:rPr>
          <w:rFonts w:ascii="Arial" w:hAnsi="Arial" w:cs="Arial"/>
          <w:sz w:val="20"/>
        </w:rPr>
        <w:t xml:space="preserve"> is being used in the sense of a real possibility, a possibility that cannot sensibly be ignored having regard to the nature and gravity of the feared harm in the particular case."</w:t>
      </w:r>
    </w:p>
    <w:bookmarkEnd w:id="1333"/>
    <w:bookmarkEnd w:id="1334"/>
    <w:p w14:paraId="347580F4" w14:textId="77777777" w:rsidR="00882C6A" w:rsidRDefault="00882C6A" w:rsidP="00882C6A">
      <w:pPr>
        <w:jc w:val="both"/>
        <w:rPr>
          <w:rFonts w:ascii="Arial" w:hAnsi="Arial" w:cs="Arial"/>
          <w:sz w:val="20"/>
        </w:rPr>
      </w:pPr>
    </w:p>
    <w:p w14:paraId="1AE0DEA5" w14:textId="77777777" w:rsidR="00AB2E0B" w:rsidRDefault="00AB2E0B" w:rsidP="00882C6A">
      <w:pPr>
        <w:jc w:val="both"/>
        <w:rPr>
          <w:rFonts w:ascii="Arial" w:hAnsi="Arial" w:cs="Arial"/>
          <w:sz w:val="20"/>
        </w:rPr>
      </w:pPr>
      <w:r>
        <w:rPr>
          <w:rFonts w:ascii="Arial" w:hAnsi="Arial" w:cs="Arial"/>
          <w:sz w:val="20"/>
        </w:rPr>
        <w:t>However, it is also important to note that Lord Nicholls stressed at p.590:</w:t>
      </w:r>
    </w:p>
    <w:p w14:paraId="3FCA16CA" w14:textId="77777777" w:rsidR="00AB2E0B" w:rsidRDefault="00AB2E0B" w:rsidP="00033D59">
      <w:pPr>
        <w:spacing w:before="60"/>
        <w:ind w:left="567" w:right="567"/>
        <w:jc w:val="both"/>
        <w:rPr>
          <w:rFonts w:ascii="Arial" w:hAnsi="Arial" w:cs="Arial"/>
          <w:bCs/>
          <w:sz w:val="16"/>
        </w:rPr>
      </w:pPr>
      <w:r>
        <w:rPr>
          <w:rFonts w:ascii="Arial" w:hAnsi="Arial" w:cs="Arial"/>
          <w:bCs/>
          <w:sz w:val="16"/>
        </w:rPr>
        <w:t>“</w:t>
      </w:r>
      <w:r>
        <w:rPr>
          <w:rFonts w:ascii="Arial" w:hAnsi="Arial" w:cs="Arial"/>
          <w:sz w:val="20"/>
        </w:rPr>
        <w:t>A decision by the Court on the likelihood of a future happening must be founded on a basis of present facts and the inferences fairly to be drawn therefrom</w:t>
      </w:r>
      <w:proofErr w:type="gramStart"/>
      <w:r>
        <w:rPr>
          <w:rFonts w:ascii="Arial" w:hAnsi="Arial" w:cs="Arial"/>
          <w:sz w:val="20"/>
        </w:rPr>
        <w:t>….[</w:t>
      </w:r>
      <w:proofErr w:type="gramEnd"/>
      <w:r>
        <w:rPr>
          <w:rFonts w:ascii="Arial" w:hAnsi="Arial" w:cs="Arial"/>
          <w:sz w:val="20"/>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p>
    <w:p w14:paraId="46D91BB9" w14:textId="77777777" w:rsidR="00BE78BC" w:rsidRPr="00BE78BC" w:rsidRDefault="00BE78BC">
      <w:pPr>
        <w:jc w:val="both"/>
        <w:rPr>
          <w:rFonts w:ascii="Arial" w:hAnsi="Arial" w:cs="Arial"/>
          <w:color w:val="000000"/>
          <w:sz w:val="20"/>
        </w:rPr>
      </w:pPr>
    </w:p>
    <w:p w14:paraId="120967F8" w14:textId="77777777" w:rsidR="00A40D16" w:rsidRPr="00BE78BC" w:rsidRDefault="00BE78BC">
      <w:pPr>
        <w:jc w:val="both"/>
        <w:rPr>
          <w:rFonts w:ascii="Arial" w:hAnsi="Arial" w:cs="Arial"/>
          <w:color w:val="000000"/>
          <w:sz w:val="20"/>
        </w:rPr>
      </w:pPr>
      <w:r>
        <w:rPr>
          <w:rFonts w:ascii="Arial" w:hAnsi="Arial" w:cs="Arial"/>
          <w:color w:val="000000"/>
          <w:sz w:val="20"/>
        </w:rPr>
        <w:t>It is also important to note that</w:t>
      </w:r>
      <w:r w:rsidRPr="00BE78BC">
        <w:rPr>
          <w:rFonts w:ascii="Arial" w:hAnsi="Arial" w:cs="Arial"/>
          <w:color w:val="000000"/>
          <w:sz w:val="20"/>
        </w:rPr>
        <w:t xml:space="preserve"> i</w:t>
      </w:r>
      <w:r w:rsidR="00A40D16" w:rsidRPr="00BE78BC">
        <w:rPr>
          <w:rFonts w:ascii="Arial" w:hAnsi="Arial" w:cs="Arial"/>
          <w:color w:val="000000"/>
          <w:sz w:val="20"/>
        </w:rPr>
        <w:t xml:space="preserve">n weighing the evidence of witnesses, a judicial officer is not required to accept a witness’ evidence </w:t>
      </w:r>
      <w:r w:rsidR="00A40D16" w:rsidRPr="00BE78BC">
        <w:rPr>
          <w:rFonts w:ascii="Arial" w:hAnsi="Arial" w:cs="Arial"/>
          <w:i/>
          <w:color w:val="000000"/>
          <w:sz w:val="20"/>
        </w:rPr>
        <w:t>in toto</w:t>
      </w:r>
      <w:r w:rsidR="00A40D16" w:rsidRPr="00BE78BC">
        <w:rPr>
          <w:rFonts w:ascii="Arial" w:hAnsi="Arial" w:cs="Arial"/>
          <w:color w:val="000000"/>
          <w:sz w:val="20"/>
        </w:rPr>
        <w:t xml:space="preserve"> or reject it </w:t>
      </w:r>
      <w:r w:rsidR="00A40D16" w:rsidRPr="00BE78BC">
        <w:rPr>
          <w:rFonts w:ascii="Arial" w:hAnsi="Arial" w:cs="Arial"/>
          <w:i/>
          <w:color w:val="000000"/>
          <w:sz w:val="20"/>
        </w:rPr>
        <w:t>in toto</w:t>
      </w:r>
      <w:r w:rsidR="00A40D16" w:rsidRPr="00BE78BC">
        <w:rPr>
          <w:rFonts w:ascii="Arial" w:hAnsi="Arial" w:cs="Arial"/>
          <w:color w:val="000000"/>
          <w:sz w:val="20"/>
        </w:rPr>
        <w:t xml:space="preserve">.  It is open to a judicial officer in an appropriate case to accept part of a witness’ evidence and reject another part as Beach J noted in </w:t>
      </w:r>
      <w:proofErr w:type="spellStart"/>
      <w:r w:rsidR="00A40D16" w:rsidRPr="00BE78BC">
        <w:rPr>
          <w:rFonts w:ascii="Arial" w:hAnsi="Arial" w:cs="Arial"/>
          <w:i/>
          <w:color w:val="000000"/>
          <w:sz w:val="20"/>
        </w:rPr>
        <w:t>Helou</w:t>
      </w:r>
      <w:proofErr w:type="spellEnd"/>
      <w:r w:rsidR="00A40D16" w:rsidRPr="00BE78BC">
        <w:rPr>
          <w:rFonts w:ascii="Arial" w:hAnsi="Arial" w:cs="Arial"/>
          <w:i/>
          <w:color w:val="000000"/>
          <w:sz w:val="20"/>
        </w:rPr>
        <w:t xml:space="preserve"> v Shaya</w:t>
      </w:r>
      <w:r w:rsidR="00A40D16" w:rsidRPr="00BE78BC">
        <w:rPr>
          <w:rFonts w:ascii="Arial" w:hAnsi="Arial" w:cs="Arial"/>
          <w:color w:val="000000"/>
          <w:sz w:val="20"/>
        </w:rPr>
        <w:t xml:space="preserve"> [2013] VSC 297 at [22]:</w:t>
      </w:r>
    </w:p>
    <w:p w14:paraId="0DE64DD1" w14:textId="77777777" w:rsidR="00A40D16" w:rsidRPr="00BE78BC" w:rsidRDefault="00A40D16" w:rsidP="00A40D16">
      <w:pPr>
        <w:spacing w:before="60"/>
        <w:ind w:left="567" w:right="567"/>
        <w:jc w:val="both"/>
        <w:rPr>
          <w:rFonts w:ascii="Arial" w:hAnsi="Arial" w:cs="Arial"/>
          <w:color w:val="000000"/>
          <w:sz w:val="20"/>
          <w:szCs w:val="20"/>
        </w:rPr>
      </w:pPr>
      <w:r w:rsidRPr="00BE78BC">
        <w:rPr>
          <w:rFonts w:ascii="Arial" w:hAnsi="Arial" w:cs="Arial"/>
          <w:color w:val="000000"/>
          <w:sz w:val="20"/>
        </w:rPr>
        <w:t xml:space="preserve">“A magistrate (like any other trier of fact) is entitled to accept the evidence of a witness on one point and not accept the evidence of the same witness on another point.  Further, to the extent that the appellant’s arguments in this appeal was </w:t>
      </w:r>
      <w:r w:rsidRPr="00BE78BC">
        <w:rPr>
          <w:rFonts w:ascii="Arial" w:hAnsi="Arial" w:cs="Arial"/>
          <w:color w:val="000000"/>
          <w:sz w:val="20"/>
        </w:rPr>
        <w:lastRenderedPageBreak/>
        <w:t xml:space="preserve">premised on the proposition that the non-acceptance of the respondent’s evidence on a particular topic, or actual evidence given by the respondent inconsistent with the Court’s findings, mandated as a matter of law, a conclusion </w:t>
      </w:r>
      <w:r w:rsidRPr="00BE78BC">
        <w:rPr>
          <w:rFonts w:ascii="Arial" w:hAnsi="Arial" w:cs="Arial"/>
          <w:color w:val="000000"/>
          <w:sz w:val="20"/>
          <w:szCs w:val="20"/>
        </w:rPr>
        <w:t xml:space="preserve">in favour of the defendant, those arguments must be rejected: See generally, </w:t>
      </w:r>
      <w:r w:rsidRPr="00BE78BC">
        <w:rPr>
          <w:rFonts w:ascii="Arial" w:hAnsi="Arial" w:cs="Arial"/>
          <w:i/>
          <w:color w:val="000000"/>
          <w:sz w:val="20"/>
          <w:szCs w:val="20"/>
        </w:rPr>
        <w:t xml:space="preserve">Krum v Malaysian Airline Systems </w:t>
      </w:r>
      <w:proofErr w:type="spellStart"/>
      <w:r w:rsidRPr="00BE78BC">
        <w:rPr>
          <w:rFonts w:ascii="Arial" w:hAnsi="Arial" w:cs="Arial"/>
          <w:i/>
          <w:color w:val="000000"/>
          <w:sz w:val="20"/>
          <w:szCs w:val="20"/>
        </w:rPr>
        <w:t>Berhad</w:t>
      </w:r>
      <w:proofErr w:type="spellEnd"/>
      <w:r w:rsidRPr="00BE78BC">
        <w:rPr>
          <w:rFonts w:ascii="Arial" w:hAnsi="Arial" w:cs="Arial"/>
          <w:i/>
          <w:color w:val="000000"/>
          <w:sz w:val="20"/>
          <w:szCs w:val="20"/>
        </w:rPr>
        <w:t xml:space="preserve"> </w:t>
      </w:r>
      <w:r w:rsidRPr="00BE78BC">
        <w:rPr>
          <w:rFonts w:ascii="Arial" w:hAnsi="Arial" w:cs="Arial"/>
          <w:color w:val="000000"/>
          <w:sz w:val="20"/>
          <w:szCs w:val="20"/>
        </w:rPr>
        <w:t xml:space="preserve">[2004] VSC 185; </w:t>
      </w:r>
      <w:r w:rsidRPr="00BE78BC">
        <w:rPr>
          <w:rFonts w:ascii="Arial" w:hAnsi="Arial" w:cs="Arial"/>
          <w:i/>
          <w:color w:val="000000"/>
          <w:sz w:val="20"/>
          <w:szCs w:val="20"/>
        </w:rPr>
        <w:t xml:space="preserve">Malaysian Airline Systems </w:t>
      </w:r>
      <w:proofErr w:type="spellStart"/>
      <w:r w:rsidRPr="00BE78BC">
        <w:rPr>
          <w:rFonts w:ascii="Arial" w:hAnsi="Arial" w:cs="Arial"/>
          <w:i/>
          <w:color w:val="000000"/>
          <w:sz w:val="20"/>
          <w:szCs w:val="20"/>
        </w:rPr>
        <w:t>Berhad</w:t>
      </w:r>
      <w:proofErr w:type="spellEnd"/>
      <w:r w:rsidRPr="00BE78BC">
        <w:rPr>
          <w:rFonts w:ascii="Arial" w:hAnsi="Arial" w:cs="Arial"/>
          <w:i/>
          <w:color w:val="000000"/>
          <w:sz w:val="20"/>
          <w:szCs w:val="20"/>
        </w:rPr>
        <w:t xml:space="preserve"> v Krum</w:t>
      </w:r>
      <w:r w:rsidRPr="00BE78BC">
        <w:rPr>
          <w:rFonts w:ascii="Arial" w:hAnsi="Arial" w:cs="Arial"/>
          <w:color w:val="000000"/>
          <w:sz w:val="20"/>
          <w:szCs w:val="20"/>
        </w:rPr>
        <w:t xml:space="preserve"> [2005] VSCA 232; </w:t>
      </w:r>
      <w:proofErr w:type="spellStart"/>
      <w:r w:rsidRPr="00BE78BC">
        <w:rPr>
          <w:rFonts w:ascii="Arial" w:hAnsi="Arial" w:cs="Arial"/>
          <w:i/>
          <w:color w:val="000000"/>
          <w:sz w:val="20"/>
          <w:szCs w:val="20"/>
        </w:rPr>
        <w:t>Husson</w:t>
      </w:r>
      <w:proofErr w:type="spellEnd"/>
      <w:r w:rsidRPr="00BE78BC">
        <w:rPr>
          <w:rFonts w:ascii="Arial" w:hAnsi="Arial" w:cs="Arial"/>
          <w:i/>
          <w:color w:val="000000"/>
          <w:sz w:val="20"/>
          <w:szCs w:val="20"/>
        </w:rPr>
        <w:t xml:space="preserve"> v Keppel Prince Engineering Pty Ltd</w:t>
      </w:r>
      <w:r w:rsidRPr="00BE78BC">
        <w:rPr>
          <w:rFonts w:ascii="Arial" w:hAnsi="Arial" w:cs="Arial"/>
          <w:color w:val="000000"/>
          <w:sz w:val="20"/>
          <w:szCs w:val="20"/>
        </w:rPr>
        <w:t xml:space="preserve"> [2006] VSC 412;  </w:t>
      </w:r>
      <w:r w:rsidRPr="00BE78BC">
        <w:rPr>
          <w:rFonts w:ascii="Arial" w:hAnsi="Arial" w:cs="Arial"/>
          <w:i/>
          <w:color w:val="000000"/>
          <w:sz w:val="20"/>
          <w:szCs w:val="20"/>
        </w:rPr>
        <w:t xml:space="preserve">Alcoa Portland Aluminium Pty Ltd v </w:t>
      </w:r>
      <w:proofErr w:type="spellStart"/>
      <w:r w:rsidRPr="00BE78BC">
        <w:rPr>
          <w:rFonts w:ascii="Arial" w:hAnsi="Arial" w:cs="Arial"/>
          <w:i/>
          <w:color w:val="000000"/>
          <w:sz w:val="20"/>
          <w:szCs w:val="20"/>
        </w:rPr>
        <w:t>Husson</w:t>
      </w:r>
      <w:proofErr w:type="spellEnd"/>
      <w:r w:rsidRPr="00BE78BC">
        <w:rPr>
          <w:rFonts w:ascii="Arial" w:hAnsi="Arial" w:cs="Arial"/>
          <w:i/>
          <w:color w:val="000000"/>
          <w:sz w:val="20"/>
          <w:szCs w:val="20"/>
        </w:rPr>
        <w:t xml:space="preserve"> &amp; Anor</w:t>
      </w:r>
      <w:r w:rsidRPr="00BE78BC">
        <w:rPr>
          <w:rFonts w:ascii="Arial" w:hAnsi="Arial" w:cs="Arial"/>
          <w:color w:val="000000"/>
          <w:sz w:val="20"/>
          <w:szCs w:val="20"/>
        </w:rPr>
        <w:t xml:space="preserve"> (2007) 18 VR 112.  See further, </w:t>
      </w:r>
      <w:r w:rsidRPr="00BE78BC">
        <w:rPr>
          <w:rFonts w:ascii="Arial" w:hAnsi="Arial" w:cs="Arial"/>
          <w:i/>
          <w:color w:val="000000"/>
          <w:sz w:val="20"/>
          <w:szCs w:val="20"/>
        </w:rPr>
        <w:t xml:space="preserve">Transport Accident Commission v O’Reilly </w:t>
      </w:r>
      <w:r w:rsidRPr="00BE78BC">
        <w:rPr>
          <w:rFonts w:ascii="Arial" w:hAnsi="Arial" w:cs="Arial"/>
          <w:color w:val="000000"/>
          <w:sz w:val="20"/>
          <w:szCs w:val="20"/>
        </w:rPr>
        <w:t xml:space="preserve">[1999] 2 VR 436, 460 [58] (Callaway JA); </w:t>
      </w:r>
      <w:r w:rsidRPr="00BE78BC">
        <w:rPr>
          <w:rFonts w:ascii="Arial" w:hAnsi="Arial" w:cs="Arial"/>
          <w:i/>
          <w:color w:val="000000"/>
          <w:sz w:val="20"/>
          <w:szCs w:val="20"/>
        </w:rPr>
        <w:t xml:space="preserve">Thales Australia Ltd v The Coroners Court &amp; </w:t>
      </w:r>
      <w:r w:rsidR="0000786E" w:rsidRPr="00BE78BC">
        <w:rPr>
          <w:rFonts w:ascii="Arial" w:hAnsi="Arial" w:cs="Arial"/>
          <w:i/>
          <w:color w:val="000000"/>
          <w:sz w:val="20"/>
          <w:szCs w:val="20"/>
        </w:rPr>
        <w:t>O</w:t>
      </w:r>
      <w:r w:rsidRPr="00BE78BC">
        <w:rPr>
          <w:rFonts w:ascii="Arial" w:hAnsi="Arial" w:cs="Arial"/>
          <w:i/>
          <w:color w:val="000000"/>
          <w:sz w:val="20"/>
          <w:szCs w:val="20"/>
        </w:rPr>
        <w:t xml:space="preserve">rs </w:t>
      </w:r>
      <w:r w:rsidRPr="00BE78BC">
        <w:rPr>
          <w:rFonts w:ascii="Arial" w:hAnsi="Arial" w:cs="Arial"/>
          <w:color w:val="000000"/>
          <w:sz w:val="20"/>
          <w:szCs w:val="20"/>
        </w:rPr>
        <w:t>[2011] VSC 133 [60].”</w:t>
      </w:r>
    </w:p>
    <w:p w14:paraId="574411A8" w14:textId="77777777" w:rsidR="00A40D16" w:rsidRPr="00A40D16" w:rsidRDefault="00A40D16">
      <w:pPr>
        <w:jc w:val="both"/>
        <w:rPr>
          <w:rFonts w:ascii="Arial" w:hAnsi="Arial" w:cs="Arial"/>
          <w:color w:val="000000"/>
          <w:sz w:val="20"/>
          <w:szCs w:val="20"/>
        </w:rPr>
      </w:pPr>
    </w:p>
    <w:p w14:paraId="696645DA" w14:textId="77777777" w:rsidR="00693223" w:rsidRPr="00785E1A" w:rsidRDefault="00693223">
      <w:pPr>
        <w:pStyle w:val="Heading3"/>
        <w:keepNext/>
        <w:keepLines/>
        <w:spacing w:after="120" w:line="240" w:lineRule="auto"/>
        <w:rPr>
          <w:rFonts w:ascii="Arial" w:hAnsi="Arial" w:cs="Arial"/>
          <w:color w:val="000000"/>
          <w:sz w:val="20"/>
        </w:rPr>
      </w:pPr>
      <w:bookmarkStart w:id="1335" w:name="_4.8.5_Expert_evidence"/>
      <w:bookmarkStart w:id="1336" w:name="B485"/>
      <w:bookmarkEnd w:id="1335"/>
      <w:bookmarkEnd w:id="1336"/>
      <w:r w:rsidRPr="00785E1A">
        <w:rPr>
          <w:rFonts w:ascii="Arial" w:hAnsi="Arial" w:cs="Arial"/>
          <w:b/>
          <w:bCs/>
          <w:color w:val="000000"/>
          <w:sz w:val="20"/>
        </w:rPr>
        <w:t>4.8.</w:t>
      </w:r>
      <w:r w:rsidR="0048483D" w:rsidRPr="00785E1A">
        <w:rPr>
          <w:rFonts w:ascii="Arial" w:hAnsi="Arial" w:cs="Arial"/>
          <w:b/>
          <w:bCs/>
          <w:color w:val="000000"/>
          <w:sz w:val="20"/>
        </w:rPr>
        <w:t>5</w:t>
      </w:r>
      <w:r w:rsidRPr="00785E1A">
        <w:rPr>
          <w:rFonts w:ascii="Arial" w:hAnsi="Arial" w:cs="Arial"/>
          <w:b/>
          <w:bCs/>
          <w:color w:val="000000"/>
          <w:sz w:val="20"/>
        </w:rPr>
        <w:tab/>
        <w:t>Expert evidence</w:t>
      </w:r>
    </w:p>
    <w:p w14:paraId="1392A4A6" w14:textId="77777777" w:rsidR="00495449" w:rsidRPr="00BE2ABB" w:rsidRDefault="00693223">
      <w:pPr>
        <w:jc w:val="both"/>
        <w:rPr>
          <w:rFonts w:ascii="Arial" w:hAnsi="Arial" w:cs="Arial"/>
          <w:bCs/>
          <w:color w:val="000000"/>
          <w:sz w:val="20"/>
        </w:rPr>
      </w:pPr>
      <w:r>
        <w:rPr>
          <w:rFonts w:ascii="Arial" w:hAnsi="Arial" w:cs="Arial"/>
          <w:bCs/>
          <w:sz w:val="20"/>
        </w:rPr>
        <w:t xml:space="preserve">From early times courts have been accustomed to act on the opinions of experts.  The topic is dealt with in very great detail in "Expert Evidence", a 5 volume loose-leaf service by Ian </w:t>
      </w:r>
      <w:proofErr w:type="spellStart"/>
      <w:r>
        <w:rPr>
          <w:rFonts w:ascii="Arial" w:hAnsi="Arial" w:cs="Arial"/>
          <w:bCs/>
          <w:sz w:val="20"/>
        </w:rPr>
        <w:t>Freckleton</w:t>
      </w:r>
      <w:proofErr w:type="spellEnd"/>
      <w:r>
        <w:rPr>
          <w:rFonts w:ascii="Arial" w:hAnsi="Arial" w:cs="Arial"/>
          <w:bCs/>
          <w:sz w:val="20"/>
        </w:rPr>
        <w:t xml:space="preserve"> &amp; Hugh Selby.  </w:t>
      </w:r>
      <w:r w:rsidR="00495449">
        <w:rPr>
          <w:rFonts w:ascii="Arial" w:hAnsi="Arial" w:cs="Arial"/>
          <w:bCs/>
          <w:sz w:val="20"/>
        </w:rPr>
        <w:t>The relevant</w:t>
      </w:r>
      <w:r w:rsidR="008A1184">
        <w:rPr>
          <w:rFonts w:ascii="Arial" w:hAnsi="Arial" w:cs="Arial"/>
          <w:bCs/>
          <w:sz w:val="20"/>
        </w:rPr>
        <w:t xml:space="preserve"> principles are discussed and applied </w:t>
      </w:r>
      <w:r w:rsidR="00495449">
        <w:rPr>
          <w:rFonts w:ascii="Arial" w:hAnsi="Arial" w:cs="Arial"/>
          <w:bCs/>
          <w:sz w:val="20"/>
        </w:rPr>
        <w:t xml:space="preserve">in </w:t>
      </w:r>
      <w:r w:rsidR="00495449" w:rsidRPr="00495449">
        <w:rPr>
          <w:rFonts w:ascii="Arial" w:hAnsi="Arial" w:cs="Arial"/>
          <w:bCs/>
          <w:i/>
          <w:sz w:val="20"/>
        </w:rPr>
        <w:t>HG v R</w:t>
      </w:r>
      <w:r w:rsidR="00495449">
        <w:rPr>
          <w:rFonts w:ascii="Arial" w:hAnsi="Arial" w:cs="Arial"/>
          <w:bCs/>
          <w:sz w:val="20"/>
        </w:rPr>
        <w:t xml:space="preserve"> (1999) 197 CLR 414 at [39] &amp; [44] per Gleeson CJ; </w:t>
      </w:r>
      <w:r w:rsidR="00495449" w:rsidRPr="00495449">
        <w:rPr>
          <w:rFonts w:ascii="Arial" w:hAnsi="Arial" w:cs="Arial"/>
          <w:bCs/>
          <w:i/>
          <w:sz w:val="20"/>
        </w:rPr>
        <w:t xml:space="preserve">Makita Australia Pty Ltd v </w:t>
      </w:r>
      <w:proofErr w:type="spellStart"/>
      <w:r w:rsidR="00495449" w:rsidRPr="00495449">
        <w:rPr>
          <w:rFonts w:ascii="Arial" w:hAnsi="Arial" w:cs="Arial"/>
          <w:bCs/>
          <w:i/>
          <w:sz w:val="20"/>
        </w:rPr>
        <w:t>Sprowles</w:t>
      </w:r>
      <w:proofErr w:type="spellEnd"/>
      <w:r w:rsidR="00495449">
        <w:rPr>
          <w:rFonts w:ascii="Arial" w:hAnsi="Arial" w:cs="Arial"/>
          <w:bCs/>
          <w:sz w:val="20"/>
        </w:rPr>
        <w:t xml:space="preserve"> (2001) 52 NSWLR 705 at [85] per </w:t>
      </w:r>
      <w:proofErr w:type="spellStart"/>
      <w:r w:rsidR="00495449">
        <w:rPr>
          <w:rFonts w:ascii="Arial" w:hAnsi="Arial" w:cs="Arial"/>
          <w:bCs/>
          <w:sz w:val="20"/>
        </w:rPr>
        <w:t>Heydon</w:t>
      </w:r>
      <w:proofErr w:type="spellEnd"/>
      <w:r w:rsidR="00495449">
        <w:rPr>
          <w:rFonts w:ascii="Arial" w:hAnsi="Arial" w:cs="Arial"/>
          <w:bCs/>
          <w:sz w:val="20"/>
        </w:rPr>
        <w:t xml:space="preserve"> JA; </w:t>
      </w:r>
      <w:r w:rsidR="00495449" w:rsidRPr="00495449">
        <w:rPr>
          <w:rFonts w:ascii="Arial" w:hAnsi="Arial" w:cs="Arial"/>
          <w:bCs/>
          <w:i/>
          <w:sz w:val="20"/>
        </w:rPr>
        <w:t xml:space="preserve">Ocean Marine Mutual v </w:t>
      </w:r>
      <w:proofErr w:type="spellStart"/>
      <w:r w:rsidR="00495449" w:rsidRPr="00495449">
        <w:rPr>
          <w:rFonts w:ascii="Arial" w:hAnsi="Arial" w:cs="Arial"/>
          <w:bCs/>
          <w:i/>
          <w:sz w:val="20"/>
        </w:rPr>
        <w:t>Jetopay</w:t>
      </w:r>
      <w:proofErr w:type="spellEnd"/>
      <w:r w:rsidR="00495449" w:rsidRPr="00495449">
        <w:rPr>
          <w:rFonts w:ascii="Arial" w:hAnsi="Arial" w:cs="Arial"/>
          <w:bCs/>
          <w:i/>
          <w:sz w:val="20"/>
        </w:rPr>
        <w:t xml:space="preserve"> </w:t>
      </w:r>
      <w:r w:rsidR="00495449">
        <w:rPr>
          <w:rFonts w:ascii="Arial" w:hAnsi="Arial" w:cs="Arial"/>
          <w:bCs/>
          <w:sz w:val="20"/>
        </w:rPr>
        <w:t xml:space="preserve">(2000) 120 FCR 146 at [21]-[23] per Black CJ, Cooper &amp; Emmett JJ; </w:t>
      </w:r>
      <w:r w:rsidR="00495449" w:rsidRPr="00495449">
        <w:rPr>
          <w:rFonts w:ascii="Arial" w:hAnsi="Arial" w:cs="Arial"/>
          <w:bCs/>
          <w:i/>
          <w:sz w:val="20"/>
        </w:rPr>
        <w:t>Ronchi v Alcoa</w:t>
      </w:r>
      <w:r w:rsidR="00495449">
        <w:rPr>
          <w:rFonts w:ascii="Arial" w:hAnsi="Arial" w:cs="Arial"/>
          <w:bCs/>
          <w:sz w:val="20"/>
        </w:rPr>
        <w:t xml:space="preserve"> [2008] VSCA 83 at [54] per Eames JA; </w:t>
      </w:r>
      <w:r w:rsidR="00495449" w:rsidRPr="008A1184">
        <w:rPr>
          <w:rFonts w:ascii="Arial" w:hAnsi="Arial" w:cs="Arial"/>
          <w:bCs/>
          <w:i/>
          <w:sz w:val="20"/>
        </w:rPr>
        <w:t xml:space="preserve">Mackie &amp; Staff Pty Ltd v </w:t>
      </w:r>
      <w:proofErr w:type="spellStart"/>
      <w:r w:rsidR="00495449" w:rsidRPr="008A1184">
        <w:rPr>
          <w:rFonts w:ascii="Arial" w:hAnsi="Arial" w:cs="Arial"/>
          <w:bCs/>
          <w:i/>
          <w:sz w:val="20"/>
        </w:rPr>
        <w:t>Glengollan</w:t>
      </w:r>
      <w:proofErr w:type="spellEnd"/>
      <w:r w:rsidR="00495449" w:rsidRPr="008A1184">
        <w:rPr>
          <w:rFonts w:ascii="Arial" w:hAnsi="Arial" w:cs="Arial"/>
          <w:bCs/>
          <w:i/>
          <w:sz w:val="20"/>
        </w:rPr>
        <w:t xml:space="preserve"> Village for Aged People</w:t>
      </w:r>
      <w:r w:rsidR="00495449">
        <w:rPr>
          <w:rFonts w:ascii="Arial" w:hAnsi="Arial" w:cs="Arial"/>
          <w:bCs/>
          <w:sz w:val="20"/>
        </w:rPr>
        <w:t xml:space="preserve"> [2007] VSC </w:t>
      </w:r>
      <w:r w:rsidR="00D541BC">
        <w:rPr>
          <w:rFonts w:ascii="Arial" w:hAnsi="Arial" w:cs="Arial"/>
          <w:bCs/>
          <w:sz w:val="20"/>
        </w:rPr>
        <w:t xml:space="preserve">201 </w:t>
      </w:r>
      <w:r w:rsidR="00495449">
        <w:rPr>
          <w:rFonts w:ascii="Arial" w:hAnsi="Arial" w:cs="Arial"/>
          <w:bCs/>
          <w:sz w:val="20"/>
        </w:rPr>
        <w:t>at [11]</w:t>
      </w:r>
      <w:r w:rsidR="000547DB">
        <w:rPr>
          <w:rFonts w:ascii="Arial" w:hAnsi="Arial" w:cs="Arial"/>
          <w:bCs/>
          <w:sz w:val="20"/>
        </w:rPr>
        <w:t xml:space="preserve">-[14] &amp; [30] per </w:t>
      </w:r>
      <w:proofErr w:type="spellStart"/>
      <w:r w:rsidR="000547DB">
        <w:rPr>
          <w:rFonts w:ascii="Arial" w:hAnsi="Arial" w:cs="Arial"/>
          <w:bCs/>
          <w:sz w:val="20"/>
        </w:rPr>
        <w:t>Habersberger</w:t>
      </w:r>
      <w:proofErr w:type="spellEnd"/>
      <w:r w:rsidR="000547DB">
        <w:rPr>
          <w:rFonts w:ascii="Arial" w:hAnsi="Arial" w:cs="Arial"/>
          <w:bCs/>
          <w:sz w:val="20"/>
        </w:rPr>
        <w:t xml:space="preserve"> J; </w:t>
      </w:r>
      <w:r w:rsidR="000547DB" w:rsidRPr="000547DB">
        <w:rPr>
          <w:rFonts w:ascii="Arial" w:hAnsi="Arial" w:cs="Arial"/>
          <w:bCs/>
          <w:i/>
          <w:sz w:val="20"/>
        </w:rPr>
        <w:t>R v Dong Song Choi &amp; Ors</w:t>
      </w:r>
      <w:r w:rsidR="000547DB">
        <w:rPr>
          <w:rFonts w:ascii="Arial" w:hAnsi="Arial" w:cs="Arial"/>
          <w:bCs/>
          <w:sz w:val="20"/>
        </w:rPr>
        <w:t xml:space="preserve"> [aka </w:t>
      </w:r>
      <w:r w:rsidR="000547DB" w:rsidRPr="000547DB">
        <w:rPr>
          <w:rFonts w:ascii="Arial" w:hAnsi="Arial" w:cs="Arial"/>
          <w:bCs/>
          <w:i/>
          <w:sz w:val="20"/>
        </w:rPr>
        <w:t xml:space="preserve">In the Matter of </w:t>
      </w:r>
      <w:r w:rsidR="000547DB" w:rsidRPr="00BE2ABB">
        <w:rPr>
          <w:rFonts w:ascii="Arial" w:hAnsi="Arial" w:cs="Arial"/>
          <w:bCs/>
          <w:i/>
          <w:color w:val="000000"/>
          <w:sz w:val="20"/>
        </w:rPr>
        <w:t>the Pong Su (Ruling No. 19)</w:t>
      </w:r>
      <w:r w:rsidR="000547DB" w:rsidRPr="00BE2ABB">
        <w:rPr>
          <w:rFonts w:ascii="Arial" w:hAnsi="Arial" w:cs="Arial"/>
          <w:bCs/>
          <w:color w:val="000000"/>
          <w:sz w:val="20"/>
        </w:rPr>
        <w:t>] [2005] VSC 66 at [29]-[30] pe</w:t>
      </w:r>
      <w:r w:rsidR="007B5899" w:rsidRPr="00BE2ABB">
        <w:rPr>
          <w:rFonts w:ascii="Arial" w:hAnsi="Arial" w:cs="Arial"/>
          <w:bCs/>
          <w:color w:val="000000"/>
          <w:sz w:val="20"/>
        </w:rPr>
        <w:t xml:space="preserve">r Kellam J; </w:t>
      </w:r>
      <w:r w:rsidR="007B5899" w:rsidRPr="00BE2ABB">
        <w:rPr>
          <w:rFonts w:ascii="Arial" w:hAnsi="Arial" w:cs="Arial"/>
          <w:bCs/>
          <w:i/>
          <w:color w:val="000000"/>
          <w:sz w:val="20"/>
        </w:rPr>
        <w:t>R v Cox (Ruling No.1)</w:t>
      </w:r>
      <w:r w:rsidR="007B5899" w:rsidRPr="00BE2ABB">
        <w:rPr>
          <w:rFonts w:ascii="Arial" w:hAnsi="Arial" w:cs="Arial"/>
          <w:bCs/>
          <w:color w:val="000000"/>
          <w:sz w:val="20"/>
        </w:rPr>
        <w:t xml:space="preserve"> [2005] VSC </w:t>
      </w:r>
      <w:r w:rsidR="002D7330" w:rsidRPr="00BE2ABB">
        <w:rPr>
          <w:rFonts w:ascii="Arial" w:hAnsi="Arial" w:cs="Arial"/>
          <w:bCs/>
          <w:color w:val="000000"/>
          <w:sz w:val="20"/>
        </w:rPr>
        <w:t xml:space="preserve">157 at [11] </w:t>
      </w:r>
      <w:r w:rsidR="007B5899" w:rsidRPr="00BE2ABB">
        <w:rPr>
          <w:rFonts w:ascii="Arial" w:hAnsi="Arial" w:cs="Arial"/>
          <w:bCs/>
          <w:color w:val="000000"/>
          <w:sz w:val="20"/>
        </w:rPr>
        <w:t xml:space="preserve">&amp; </w:t>
      </w:r>
      <w:r w:rsidR="007B5899" w:rsidRPr="00BE2ABB">
        <w:rPr>
          <w:rFonts w:ascii="Arial" w:hAnsi="Arial" w:cs="Arial"/>
          <w:bCs/>
          <w:i/>
          <w:color w:val="000000"/>
          <w:sz w:val="20"/>
        </w:rPr>
        <w:t>(Ruling No.2)</w:t>
      </w:r>
      <w:r w:rsidR="007B5899" w:rsidRPr="00BE2ABB">
        <w:rPr>
          <w:rFonts w:ascii="Arial" w:hAnsi="Arial" w:cs="Arial"/>
          <w:bCs/>
          <w:color w:val="000000"/>
          <w:sz w:val="20"/>
        </w:rPr>
        <w:t xml:space="preserve"> [2005] VSC </w:t>
      </w:r>
      <w:r w:rsidR="002D7330" w:rsidRPr="00BE2ABB">
        <w:rPr>
          <w:rFonts w:ascii="Arial" w:hAnsi="Arial" w:cs="Arial"/>
          <w:bCs/>
          <w:color w:val="000000"/>
          <w:sz w:val="20"/>
        </w:rPr>
        <w:t xml:space="preserve">224 </w:t>
      </w:r>
      <w:r w:rsidR="007B5899" w:rsidRPr="00BE2ABB">
        <w:rPr>
          <w:rFonts w:ascii="Arial" w:hAnsi="Arial" w:cs="Arial"/>
          <w:bCs/>
          <w:color w:val="000000"/>
          <w:sz w:val="20"/>
        </w:rPr>
        <w:t xml:space="preserve">per Kaye J; </w:t>
      </w:r>
      <w:r w:rsidR="007B5899" w:rsidRPr="00BE2ABB">
        <w:rPr>
          <w:rFonts w:ascii="Arial" w:hAnsi="Arial" w:cs="Arial"/>
          <w:bCs/>
          <w:i/>
          <w:color w:val="000000"/>
          <w:sz w:val="20"/>
        </w:rPr>
        <w:t>R v Rich (Ruling No.1</w:t>
      </w:r>
      <w:r w:rsidR="002D7330" w:rsidRPr="00BE2ABB">
        <w:rPr>
          <w:rFonts w:ascii="Arial" w:hAnsi="Arial" w:cs="Arial"/>
          <w:bCs/>
          <w:i/>
          <w:color w:val="000000"/>
          <w:sz w:val="20"/>
        </w:rPr>
        <w:t>0</w:t>
      </w:r>
      <w:r w:rsidR="007B5899" w:rsidRPr="00BE2ABB">
        <w:rPr>
          <w:rFonts w:ascii="Arial" w:hAnsi="Arial" w:cs="Arial"/>
          <w:bCs/>
          <w:i/>
          <w:color w:val="000000"/>
          <w:sz w:val="20"/>
        </w:rPr>
        <w:t>)</w:t>
      </w:r>
      <w:r w:rsidR="007B5899" w:rsidRPr="00BE2ABB">
        <w:rPr>
          <w:rFonts w:ascii="Arial" w:hAnsi="Arial" w:cs="Arial"/>
          <w:bCs/>
          <w:color w:val="000000"/>
          <w:sz w:val="20"/>
        </w:rPr>
        <w:t xml:space="preserve"> [200</w:t>
      </w:r>
      <w:r w:rsidR="002D7330" w:rsidRPr="00BE2ABB">
        <w:rPr>
          <w:rFonts w:ascii="Arial" w:hAnsi="Arial" w:cs="Arial"/>
          <w:bCs/>
          <w:color w:val="000000"/>
          <w:sz w:val="20"/>
        </w:rPr>
        <w:t>9</w:t>
      </w:r>
      <w:r w:rsidR="007B5899" w:rsidRPr="00BE2ABB">
        <w:rPr>
          <w:rFonts w:ascii="Arial" w:hAnsi="Arial" w:cs="Arial"/>
          <w:bCs/>
          <w:color w:val="000000"/>
          <w:sz w:val="20"/>
        </w:rPr>
        <w:t>] VSC 10 at [</w:t>
      </w:r>
      <w:r w:rsidR="002D7330" w:rsidRPr="00BE2ABB">
        <w:rPr>
          <w:rFonts w:ascii="Arial" w:hAnsi="Arial" w:cs="Arial"/>
          <w:bCs/>
          <w:color w:val="000000"/>
          <w:sz w:val="20"/>
        </w:rPr>
        <w:t>26</w:t>
      </w:r>
      <w:r w:rsidR="007B5899" w:rsidRPr="00BE2ABB">
        <w:rPr>
          <w:rFonts w:ascii="Arial" w:hAnsi="Arial" w:cs="Arial"/>
          <w:bCs/>
          <w:color w:val="000000"/>
          <w:sz w:val="20"/>
        </w:rPr>
        <w:t>]-[</w:t>
      </w:r>
      <w:r w:rsidR="002D7330" w:rsidRPr="00BE2ABB">
        <w:rPr>
          <w:rFonts w:ascii="Arial" w:hAnsi="Arial" w:cs="Arial"/>
          <w:bCs/>
          <w:color w:val="000000"/>
          <w:sz w:val="20"/>
        </w:rPr>
        <w:t>34</w:t>
      </w:r>
      <w:r w:rsidR="007B5899" w:rsidRPr="00BE2ABB">
        <w:rPr>
          <w:rFonts w:ascii="Arial" w:hAnsi="Arial" w:cs="Arial"/>
          <w:bCs/>
          <w:color w:val="000000"/>
          <w:sz w:val="20"/>
        </w:rPr>
        <w:t>]</w:t>
      </w:r>
      <w:r w:rsidR="001D2A19" w:rsidRPr="00BE2ABB">
        <w:rPr>
          <w:rFonts w:ascii="Arial" w:hAnsi="Arial" w:cs="Arial"/>
          <w:bCs/>
          <w:color w:val="000000"/>
          <w:sz w:val="20"/>
        </w:rPr>
        <w:t xml:space="preserve"> per </w:t>
      </w:r>
      <w:proofErr w:type="spellStart"/>
      <w:r w:rsidR="001D2A19" w:rsidRPr="00BE2ABB">
        <w:rPr>
          <w:rFonts w:ascii="Arial" w:hAnsi="Arial" w:cs="Arial"/>
          <w:bCs/>
          <w:color w:val="000000"/>
          <w:sz w:val="20"/>
        </w:rPr>
        <w:t>Lasry</w:t>
      </w:r>
      <w:proofErr w:type="spellEnd"/>
      <w:r w:rsidR="001D2A19" w:rsidRPr="00BE2ABB">
        <w:rPr>
          <w:rFonts w:ascii="Arial" w:hAnsi="Arial" w:cs="Arial"/>
          <w:bCs/>
          <w:color w:val="000000"/>
          <w:sz w:val="20"/>
        </w:rPr>
        <w:t xml:space="preserve"> J; </w:t>
      </w:r>
      <w:r w:rsidR="001D2A19" w:rsidRPr="00BE2ABB">
        <w:rPr>
          <w:rFonts w:ascii="Arial" w:hAnsi="Arial" w:cs="Arial"/>
          <w:bCs/>
          <w:i/>
          <w:color w:val="000000"/>
          <w:sz w:val="20"/>
        </w:rPr>
        <w:t>MA v The Queen</w:t>
      </w:r>
      <w:r w:rsidR="001D2A19" w:rsidRPr="00BE2ABB">
        <w:rPr>
          <w:rFonts w:ascii="Arial" w:hAnsi="Arial" w:cs="Arial"/>
          <w:bCs/>
          <w:color w:val="000000"/>
          <w:sz w:val="20"/>
        </w:rPr>
        <w:t xml:space="preserve"> [2013] VSCA 20 at [57]-[77] per Osborn JA &amp; [89]-[100] per Redlich &amp; Whelan JJA.</w:t>
      </w:r>
    </w:p>
    <w:p w14:paraId="7BC32FB8" w14:textId="77777777" w:rsidR="000547DB" w:rsidRDefault="000547DB">
      <w:pPr>
        <w:jc w:val="both"/>
        <w:rPr>
          <w:rFonts w:ascii="Arial" w:hAnsi="Arial" w:cs="Arial"/>
          <w:bCs/>
          <w:sz w:val="20"/>
        </w:rPr>
      </w:pPr>
    </w:p>
    <w:p w14:paraId="0A0AA7A0" w14:textId="77777777" w:rsidR="00D541BC" w:rsidRDefault="00D541BC" w:rsidP="00CA2663">
      <w:pPr>
        <w:jc w:val="both"/>
        <w:rPr>
          <w:rFonts w:ascii="Arial" w:hAnsi="Arial" w:cs="Arial"/>
          <w:bCs/>
          <w:sz w:val="20"/>
        </w:rPr>
      </w:pPr>
      <w:r>
        <w:rPr>
          <w:rFonts w:ascii="Arial" w:hAnsi="Arial" w:cs="Arial"/>
          <w:bCs/>
          <w:sz w:val="20"/>
        </w:rPr>
        <w:t>Whether or not a witness is qualified to give opinion evidence is a matter for the judge or magistrate who must determine:</w:t>
      </w:r>
    </w:p>
    <w:p w14:paraId="55CD4950"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1.</w:t>
      </w:r>
      <w:r>
        <w:rPr>
          <w:rFonts w:ascii="Arial" w:hAnsi="Arial" w:cs="Arial"/>
          <w:bCs/>
          <w:sz w:val="20"/>
        </w:rPr>
        <w:tab/>
        <w:t>whether the field of knowledge in which the witness professes expertise is a recognized and organized body of knowledge (</w:t>
      </w:r>
      <w:r>
        <w:rPr>
          <w:rFonts w:ascii="Arial" w:hAnsi="Arial" w:cs="Arial"/>
          <w:bCs/>
          <w:i/>
          <w:iCs/>
          <w:sz w:val="20"/>
        </w:rPr>
        <w:t>R v Anderson</w:t>
      </w:r>
      <w:r>
        <w:rPr>
          <w:rFonts w:ascii="Arial" w:hAnsi="Arial" w:cs="Arial"/>
          <w:bCs/>
          <w:sz w:val="20"/>
        </w:rPr>
        <w:t xml:space="preserve"> (2000) 1 VR 1 per </w:t>
      </w:r>
      <w:proofErr w:type="spellStart"/>
      <w:r>
        <w:rPr>
          <w:rFonts w:ascii="Arial" w:hAnsi="Arial" w:cs="Arial"/>
          <w:bCs/>
          <w:sz w:val="20"/>
        </w:rPr>
        <w:t>Winneke</w:t>
      </w:r>
      <w:proofErr w:type="spellEnd"/>
      <w:r>
        <w:rPr>
          <w:rFonts w:ascii="Arial" w:hAnsi="Arial" w:cs="Arial"/>
          <w:bCs/>
          <w:sz w:val="20"/>
        </w:rPr>
        <w:t xml:space="preserve"> P at 22-3) which is outside the ordinary experiences of mankind (see e.g. </w:t>
      </w:r>
      <w:r>
        <w:rPr>
          <w:rFonts w:ascii="Arial" w:hAnsi="Arial" w:cs="Arial"/>
          <w:bCs/>
          <w:i/>
          <w:iCs/>
          <w:sz w:val="20"/>
        </w:rPr>
        <w:t>R v Smith</w:t>
      </w:r>
      <w:r>
        <w:rPr>
          <w:rFonts w:ascii="Arial" w:hAnsi="Arial" w:cs="Arial"/>
          <w:bCs/>
          <w:sz w:val="20"/>
        </w:rPr>
        <w:t xml:space="preserve"> [1987] VR 907 per Vincent J; </w:t>
      </w:r>
      <w:r>
        <w:rPr>
          <w:rFonts w:ascii="Arial" w:hAnsi="Arial" w:cs="Arial"/>
          <w:bCs/>
          <w:i/>
          <w:iCs/>
          <w:sz w:val="20"/>
        </w:rPr>
        <w:t>Murphy v The Queen</w:t>
      </w:r>
      <w:r>
        <w:rPr>
          <w:rFonts w:ascii="Arial" w:hAnsi="Arial" w:cs="Arial"/>
          <w:bCs/>
          <w:sz w:val="20"/>
        </w:rPr>
        <w:t xml:space="preserve"> (1989) 167 CLR 94 per Mason CJ &amp; Toohey J at 110, Deane J at 126 &amp; Dawson J at 130; </w:t>
      </w:r>
      <w:r>
        <w:rPr>
          <w:rFonts w:ascii="Arial" w:hAnsi="Arial" w:cs="Arial"/>
          <w:bCs/>
          <w:i/>
          <w:iCs/>
          <w:sz w:val="20"/>
        </w:rPr>
        <w:t>R v Perry</w:t>
      </w:r>
      <w:r>
        <w:rPr>
          <w:rFonts w:ascii="Arial" w:hAnsi="Arial" w:cs="Arial"/>
          <w:bCs/>
          <w:sz w:val="20"/>
        </w:rPr>
        <w:t xml:space="preserve"> (1990) 49 A Crim R 243 at 249 per Gleeson CJ, citing </w:t>
      </w:r>
      <w:r>
        <w:rPr>
          <w:rFonts w:ascii="Arial" w:hAnsi="Arial" w:cs="Arial"/>
          <w:bCs/>
          <w:i/>
          <w:iCs/>
          <w:sz w:val="20"/>
        </w:rPr>
        <w:t>Clark v Ryan</w:t>
      </w:r>
      <w:r>
        <w:rPr>
          <w:rFonts w:ascii="Arial" w:hAnsi="Arial" w:cs="Arial"/>
          <w:bCs/>
          <w:sz w:val="20"/>
        </w:rPr>
        <w:t xml:space="preserve"> (1960) 103 CLR 486); and</w:t>
      </w:r>
    </w:p>
    <w:p w14:paraId="3F827800"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2.</w:t>
      </w:r>
      <w:r>
        <w:rPr>
          <w:rFonts w:ascii="Arial" w:hAnsi="Arial" w:cs="Arial"/>
          <w:bCs/>
          <w:sz w:val="20"/>
        </w:rPr>
        <w:tab/>
        <w:t>whether the witness has sufficient expertise in such field as would enable him or her to assist the court (</w:t>
      </w:r>
      <w:r>
        <w:rPr>
          <w:rFonts w:ascii="Arial" w:hAnsi="Arial" w:cs="Arial"/>
          <w:bCs/>
          <w:i/>
          <w:iCs/>
          <w:sz w:val="20"/>
        </w:rPr>
        <w:t>Grace v Southern</w:t>
      </w:r>
      <w:r>
        <w:rPr>
          <w:rFonts w:ascii="Arial" w:hAnsi="Arial" w:cs="Arial"/>
          <w:bCs/>
          <w:sz w:val="20"/>
        </w:rPr>
        <w:t xml:space="preserve"> [1978] VR 75).</w:t>
      </w:r>
    </w:p>
    <w:p w14:paraId="0B426E19" w14:textId="77777777" w:rsidR="00D541BC" w:rsidRDefault="00D541BC">
      <w:pPr>
        <w:jc w:val="both"/>
        <w:rPr>
          <w:rFonts w:ascii="Arial" w:hAnsi="Arial" w:cs="Arial"/>
          <w:bCs/>
          <w:sz w:val="20"/>
        </w:rPr>
      </w:pPr>
    </w:p>
    <w:p w14:paraId="0E865D3F" w14:textId="77777777" w:rsidR="00495449" w:rsidRDefault="00495449" w:rsidP="00495449">
      <w:pPr>
        <w:jc w:val="both"/>
        <w:rPr>
          <w:rFonts w:ascii="Arial" w:hAnsi="Arial" w:cs="Arial"/>
          <w:bCs/>
          <w:sz w:val="20"/>
        </w:rPr>
      </w:pPr>
      <w:r>
        <w:rPr>
          <w:rFonts w:ascii="Arial" w:hAnsi="Arial" w:cs="Arial"/>
          <w:bCs/>
          <w:sz w:val="20"/>
        </w:rPr>
        <w:t xml:space="preserve">In </w:t>
      </w:r>
      <w:proofErr w:type="spellStart"/>
      <w:r w:rsidRPr="00495449">
        <w:rPr>
          <w:rFonts w:ascii="Arial" w:hAnsi="Arial" w:cs="Arial"/>
          <w:i/>
          <w:sz w:val="20"/>
        </w:rPr>
        <w:t>Baulch</w:t>
      </w:r>
      <w:proofErr w:type="spellEnd"/>
      <w:r w:rsidRPr="00495449">
        <w:rPr>
          <w:rFonts w:ascii="Arial" w:hAnsi="Arial" w:cs="Arial"/>
          <w:i/>
          <w:sz w:val="20"/>
        </w:rPr>
        <w:t xml:space="preserve"> v Lyndoch Warrnambool &amp; Anor (Ruling No. 3)</w:t>
      </w:r>
      <w:r>
        <w:rPr>
          <w:rFonts w:ascii="Arial" w:hAnsi="Arial" w:cs="Arial"/>
          <w:sz w:val="20"/>
        </w:rPr>
        <w:t xml:space="preserve"> [2008] VSC 420 at [10]-[14] Forrest J – after citing many of the above cases – </w:t>
      </w:r>
      <w:r w:rsidR="00AA176A">
        <w:rPr>
          <w:rFonts w:ascii="Arial" w:hAnsi="Arial" w:cs="Arial"/>
          <w:sz w:val="20"/>
        </w:rPr>
        <w:t>summarized</w:t>
      </w:r>
      <w:r>
        <w:rPr>
          <w:rFonts w:ascii="Arial" w:hAnsi="Arial" w:cs="Arial"/>
          <w:sz w:val="20"/>
        </w:rPr>
        <w:t xml:space="preserve"> the relevant principles </w:t>
      </w:r>
      <w:r w:rsidR="00AA176A">
        <w:rPr>
          <w:rFonts w:ascii="Arial" w:hAnsi="Arial" w:cs="Arial"/>
          <w:sz w:val="20"/>
        </w:rPr>
        <w:t>as follows:</w:t>
      </w:r>
    </w:p>
    <w:p w14:paraId="53B3FB26" w14:textId="77777777" w:rsidR="00495449" w:rsidRDefault="00D541BC" w:rsidP="00D541BC">
      <w:pPr>
        <w:tabs>
          <w:tab w:val="left" w:pos="363"/>
        </w:tabs>
        <w:ind w:left="363" w:hanging="363"/>
        <w:jc w:val="both"/>
        <w:rPr>
          <w:rFonts w:ascii="Arial" w:hAnsi="Arial" w:cs="Arial"/>
          <w:bCs/>
          <w:sz w:val="20"/>
        </w:rPr>
      </w:pPr>
      <w:r w:rsidRPr="00D541BC">
        <w:rPr>
          <w:rFonts w:ascii="Arial" w:hAnsi="Arial" w:cs="Arial"/>
          <w:bCs/>
          <w:sz w:val="20"/>
        </w:rPr>
        <w:t>(a</w:t>
      </w:r>
      <w:r>
        <w:rPr>
          <w:rFonts w:ascii="Arial" w:hAnsi="Arial" w:cs="Arial"/>
          <w:bCs/>
          <w:sz w:val="20"/>
        </w:rPr>
        <w:t>)</w:t>
      </w:r>
      <w:r>
        <w:rPr>
          <w:rFonts w:ascii="Arial" w:hAnsi="Arial" w:cs="Arial"/>
          <w:bCs/>
          <w:sz w:val="20"/>
        </w:rPr>
        <w:tab/>
        <w:t>a party wishing to call an expert witness must clearly identify the field of specialized knowledge in respect of which it is said the witness can proffer an opinion;</w:t>
      </w:r>
    </w:p>
    <w:p w14:paraId="3AB6C2A9"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(b)</w:t>
      </w:r>
      <w:r>
        <w:rPr>
          <w:rFonts w:ascii="Arial" w:hAnsi="Arial" w:cs="Arial"/>
          <w:bCs/>
          <w:sz w:val="20"/>
        </w:rPr>
        <w:tab/>
        <w:t xml:space="preserve">a party must then identify the expertise of the witness in that field; it must be </w:t>
      </w:r>
      <w:proofErr w:type="gramStart"/>
      <w:r>
        <w:rPr>
          <w:rFonts w:ascii="Arial" w:hAnsi="Arial" w:cs="Arial"/>
          <w:bCs/>
          <w:sz w:val="20"/>
        </w:rPr>
        <w:t>demonstrates</w:t>
      </w:r>
      <w:proofErr w:type="gramEnd"/>
      <w:r>
        <w:rPr>
          <w:rFonts w:ascii="Arial" w:hAnsi="Arial" w:cs="Arial"/>
          <w:bCs/>
          <w:sz w:val="20"/>
        </w:rPr>
        <w:t xml:space="preserve"> that by reason of specialized training, study or experience the witness is truly an expert in that area;</w:t>
      </w:r>
    </w:p>
    <w:p w14:paraId="1056AFC7"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(c)</w:t>
      </w:r>
      <w:r>
        <w:rPr>
          <w:rFonts w:ascii="Arial" w:hAnsi="Arial" w:cs="Arial"/>
          <w:bCs/>
          <w:sz w:val="20"/>
        </w:rPr>
        <w:tab/>
        <w:t>the opinion expressed by the witness must be either wholly or substantially based on that specialist knowledge and not on the everyday knowledge of the common person;</w:t>
      </w:r>
    </w:p>
    <w:p w14:paraId="68A22BB9"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(d)</w:t>
      </w:r>
      <w:r>
        <w:rPr>
          <w:rFonts w:ascii="Arial" w:hAnsi="Arial" w:cs="Arial"/>
          <w:bCs/>
          <w:sz w:val="20"/>
        </w:rPr>
        <w:tab/>
        <w:t>the opinion must be based on clearly identified facts; and</w:t>
      </w:r>
    </w:p>
    <w:p w14:paraId="30744E85"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(e)</w:t>
      </w:r>
      <w:r>
        <w:rPr>
          <w:rFonts w:ascii="Arial" w:hAnsi="Arial" w:cs="Arial"/>
          <w:bCs/>
          <w:sz w:val="20"/>
        </w:rPr>
        <w:tab/>
        <w:t>the onus rests on the party calling the witness to satisfied the above criteria.</w:t>
      </w:r>
    </w:p>
    <w:p w14:paraId="78F516E2" w14:textId="77777777" w:rsidR="00495449" w:rsidRDefault="00495449">
      <w:pPr>
        <w:jc w:val="both"/>
        <w:rPr>
          <w:rFonts w:ascii="Arial" w:hAnsi="Arial" w:cs="Arial"/>
          <w:bCs/>
          <w:sz w:val="20"/>
        </w:rPr>
      </w:pPr>
    </w:p>
    <w:p w14:paraId="6D7BE2BF" w14:textId="77777777" w:rsidR="00693223" w:rsidRDefault="00AA176A">
      <w:pPr>
        <w:jc w:val="both"/>
        <w:rPr>
          <w:rFonts w:ascii="Arial" w:hAnsi="Arial" w:cs="Arial"/>
          <w:bCs/>
          <w:sz w:val="20"/>
        </w:rPr>
      </w:pPr>
      <w:r>
        <w:rPr>
          <w:rFonts w:ascii="Arial" w:hAnsi="Arial" w:cs="Arial"/>
          <w:bCs/>
          <w:sz w:val="20"/>
        </w:rPr>
        <w:t>In</w:t>
      </w:r>
      <w:r w:rsidR="00693223">
        <w:rPr>
          <w:rFonts w:ascii="Arial" w:hAnsi="Arial" w:cs="Arial"/>
          <w:bCs/>
          <w:sz w:val="20"/>
        </w:rPr>
        <w:t xml:space="preserve"> </w:t>
      </w:r>
      <w:r w:rsidR="00693223">
        <w:rPr>
          <w:rFonts w:ascii="Arial" w:hAnsi="Arial" w:cs="Arial"/>
          <w:bCs/>
          <w:i/>
          <w:iCs/>
          <w:sz w:val="20"/>
        </w:rPr>
        <w:t xml:space="preserve">Re W and W: (Abuse allegations; Expert evidence) </w:t>
      </w:r>
      <w:r w:rsidR="00693223">
        <w:rPr>
          <w:rFonts w:ascii="Arial" w:hAnsi="Arial" w:cs="Arial"/>
          <w:bCs/>
          <w:sz w:val="20"/>
        </w:rPr>
        <w:t xml:space="preserve">[2001] </w:t>
      </w:r>
      <w:proofErr w:type="spellStart"/>
      <w:r w:rsidR="00693223">
        <w:rPr>
          <w:rFonts w:ascii="Arial" w:hAnsi="Arial" w:cs="Arial"/>
          <w:bCs/>
          <w:sz w:val="20"/>
        </w:rPr>
        <w:t>FamCA</w:t>
      </w:r>
      <w:proofErr w:type="spellEnd"/>
      <w:r w:rsidR="00693223">
        <w:rPr>
          <w:rFonts w:ascii="Arial" w:hAnsi="Arial" w:cs="Arial"/>
          <w:bCs/>
          <w:sz w:val="20"/>
        </w:rPr>
        <w:t xml:space="preserve"> 216 at [145]-[193] the Full Court of the Family Court of Australia:</w:t>
      </w:r>
    </w:p>
    <w:p w14:paraId="44B6A2F6" w14:textId="77777777" w:rsidR="00693223" w:rsidRDefault="00693223" w:rsidP="00033D59">
      <w:pPr>
        <w:numPr>
          <w:ilvl w:val="0"/>
          <w:numId w:val="17"/>
        </w:numPr>
        <w:jc w:val="both"/>
        <w:rPr>
          <w:rFonts w:ascii="Arial" w:hAnsi="Arial" w:cs="Arial"/>
          <w:bCs/>
          <w:sz w:val="20"/>
        </w:rPr>
      </w:pPr>
      <w:r>
        <w:rPr>
          <w:rFonts w:ascii="Arial" w:hAnsi="Arial" w:cs="Arial"/>
          <w:bCs/>
          <w:sz w:val="20"/>
        </w:rPr>
        <w:t xml:space="preserve">was very critical of a professional witness who "saw neither of the parties and none of the children and yet arrived at damaging conclusions about one of the parties, who happened to be on the opposite side to the party who commissioned him" (at [156]) and who had "stepped out of the role of an expert witness and assumed the role of advocate" (at [190]); </w:t>
      </w:r>
    </w:p>
    <w:p w14:paraId="2D968EA9" w14:textId="77777777" w:rsidR="00693223" w:rsidRDefault="00693223">
      <w:pPr>
        <w:numPr>
          <w:ilvl w:val="0"/>
          <w:numId w:val="17"/>
        </w:numPr>
        <w:jc w:val="both"/>
        <w:rPr>
          <w:rFonts w:ascii="Arial" w:hAnsi="Arial" w:cs="Arial"/>
          <w:bCs/>
          <w:sz w:val="20"/>
        </w:rPr>
      </w:pPr>
      <w:r>
        <w:rPr>
          <w:rFonts w:ascii="Arial" w:hAnsi="Arial" w:cs="Arial"/>
          <w:bCs/>
          <w:sz w:val="20"/>
        </w:rPr>
        <w:t>recommended significant reforms in the area of expert evidence (at [192]-[193]).</w:t>
      </w:r>
    </w:p>
    <w:p w14:paraId="03EBB454" w14:textId="77777777" w:rsidR="00693223" w:rsidRDefault="00693223">
      <w:pPr>
        <w:jc w:val="both"/>
        <w:rPr>
          <w:rFonts w:ascii="Arial" w:hAnsi="Arial" w:cs="Arial"/>
          <w:bCs/>
          <w:sz w:val="20"/>
        </w:rPr>
      </w:pPr>
    </w:p>
    <w:p w14:paraId="0471A035" w14:textId="77777777" w:rsidR="00693223" w:rsidRDefault="00693223">
      <w:pPr>
        <w:jc w:val="both"/>
        <w:rPr>
          <w:rFonts w:ascii="Arial" w:hAnsi="Arial" w:cs="Arial"/>
          <w:bCs/>
          <w:sz w:val="20"/>
        </w:rPr>
      </w:pPr>
      <w:r>
        <w:rPr>
          <w:rFonts w:ascii="Arial" w:hAnsi="Arial" w:cs="Arial"/>
          <w:bCs/>
          <w:sz w:val="20"/>
        </w:rPr>
        <w:t xml:space="preserve">Typical expert witnesses in the Children's Court include paediatricians, nurses, psychiatrists, psychologists, child protection or child welfare workers or persons working in the "helping professions" generally.  From such professional witnesses it is usual for </w:t>
      </w:r>
      <w:r w:rsidR="000C3AB4">
        <w:rPr>
          <w:rFonts w:ascii="Arial" w:hAnsi="Arial" w:cs="Arial"/>
          <w:bCs/>
          <w:sz w:val="20"/>
        </w:rPr>
        <w:t>two</w:t>
      </w:r>
      <w:r>
        <w:rPr>
          <w:rFonts w:ascii="Arial" w:hAnsi="Arial" w:cs="Arial"/>
          <w:bCs/>
          <w:sz w:val="20"/>
        </w:rPr>
        <w:t xml:space="preserve"> types of evidence to be adduced:</w:t>
      </w:r>
    </w:p>
    <w:p w14:paraId="161BD2BE" w14:textId="77777777" w:rsidR="00693223" w:rsidRDefault="00693223" w:rsidP="001F6EA3">
      <w:pPr>
        <w:numPr>
          <w:ilvl w:val="0"/>
          <w:numId w:val="16"/>
        </w:numPr>
        <w:jc w:val="both"/>
        <w:rPr>
          <w:rFonts w:ascii="Arial" w:hAnsi="Arial" w:cs="Arial"/>
          <w:bCs/>
          <w:sz w:val="20"/>
        </w:rPr>
      </w:pPr>
      <w:r>
        <w:rPr>
          <w:rFonts w:ascii="Arial" w:hAnsi="Arial" w:cs="Arial"/>
          <w:bCs/>
          <w:sz w:val="20"/>
        </w:rPr>
        <w:t>evidence of observed facts;</w:t>
      </w:r>
    </w:p>
    <w:p w14:paraId="4470936C" w14:textId="77777777" w:rsidR="00693223" w:rsidRDefault="00693223">
      <w:pPr>
        <w:numPr>
          <w:ilvl w:val="0"/>
          <w:numId w:val="16"/>
        </w:numPr>
        <w:jc w:val="both"/>
        <w:rPr>
          <w:rFonts w:ascii="Arial" w:hAnsi="Arial" w:cs="Arial"/>
          <w:bCs/>
          <w:sz w:val="20"/>
        </w:rPr>
      </w:pPr>
      <w:r>
        <w:rPr>
          <w:rFonts w:ascii="Arial" w:hAnsi="Arial" w:cs="Arial"/>
          <w:bCs/>
          <w:sz w:val="20"/>
        </w:rPr>
        <w:t>evidence in the form of opinion and/or inference.</w:t>
      </w:r>
    </w:p>
    <w:p w14:paraId="2DD46C41" w14:textId="77777777" w:rsidR="00495449" w:rsidRDefault="00495449">
      <w:pPr>
        <w:jc w:val="both"/>
        <w:rPr>
          <w:rFonts w:ascii="Arial" w:hAnsi="Arial" w:cs="Arial"/>
          <w:bCs/>
          <w:sz w:val="20"/>
        </w:rPr>
      </w:pPr>
    </w:p>
    <w:p w14:paraId="4949C12B" w14:textId="77777777" w:rsidR="00693223" w:rsidRDefault="00693223">
      <w:pPr>
        <w:jc w:val="both"/>
        <w:rPr>
          <w:rFonts w:ascii="Arial" w:hAnsi="Arial" w:cs="Arial"/>
          <w:sz w:val="20"/>
        </w:rPr>
      </w:pPr>
      <w:r>
        <w:rPr>
          <w:rFonts w:ascii="Arial" w:hAnsi="Arial" w:cs="Arial"/>
          <w:bCs/>
          <w:sz w:val="20"/>
        </w:rPr>
        <w:t xml:space="preserve">Most contested cases in the Family Division of the Court involve the receipt of evidence from one or more "expert witnesses".  Indeed, in </w:t>
      </w:r>
      <w:r>
        <w:rPr>
          <w:rFonts w:ascii="Arial" w:hAnsi="Arial" w:cs="Arial"/>
          <w:i/>
          <w:iCs/>
          <w:sz w:val="20"/>
        </w:rPr>
        <w:t xml:space="preserve">Director-General of Community Services </w:t>
      </w:r>
      <w:smartTag w:uri="urn:schemas-microsoft-com:office:smarttags" w:element="State">
        <w:smartTag w:uri="urn:schemas-microsoft-com:office:smarttags" w:element="place">
          <w:r>
            <w:rPr>
              <w:rFonts w:ascii="Arial" w:hAnsi="Arial" w:cs="Arial"/>
              <w:i/>
              <w:iCs/>
              <w:sz w:val="20"/>
            </w:rPr>
            <w:t>Victoria</w:t>
          </w:r>
        </w:smartTag>
      </w:smartTag>
      <w:r>
        <w:rPr>
          <w:rFonts w:ascii="Arial" w:hAnsi="Arial" w:cs="Arial"/>
          <w:i/>
          <w:iCs/>
          <w:sz w:val="20"/>
        </w:rPr>
        <w:t xml:space="preserve"> v Buckley &amp; Others</w:t>
      </w:r>
      <w:r>
        <w:rPr>
          <w:rFonts w:ascii="Arial" w:hAnsi="Arial" w:cs="Arial"/>
          <w:sz w:val="20"/>
        </w:rPr>
        <w:t xml:space="preserve"> [Supreme Court of Victoria, unreported, </w:t>
      </w:r>
      <w:smartTag w:uri="urn:schemas-microsoft-com:office:smarttags" w:element="date">
        <w:smartTagPr>
          <w:attr w:name="Year" w:val="1992"/>
          <w:attr w:name="Day" w:val="11"/>
          <w:attr w:name="Month" w:val="12"/>
        </w:smartTagPr>
        <w:r>
          <w:rPr>
            <w:rFonts w:ascii="Arial" w:hAnsi="Arial" w:cs="Arial"/>
            <w:sz w:val="20"/>
          </w:rPr>
          <w:t>11/12/1992</w:t>
        </w:r>
      </w:smartTag>
      <w:r>
        <w:rPr>
          <w:rFonts w:ascii="Arial" w:hAnsi="Arial" w:cs="Arial"/>
          <w:sz w:val="20"/>
        </w:rPr>
        <w:t>], O'Bryan J. commented (at p.6) that it would be very difficult for a court to find that a child has suffered significant harm from emotional abuse "in the absence of credible expert evidence".</w:t>
      </w:r>
    </w:p>
    <w:p w14:paraId="2D847A5F" w14:textId="77777777" w:rsidR="00693223" w:rsidRDefault="00693223">
      <w:pPr>
        <w:jc w:val="both"/>
        <w:rPr>
          <w:rFonts w:ascii="Arial" w:hAnsi="Arial" w:cs="Arial"/>
          <w:sz w:val="20"/>
        </w:rPr>
      </w:pPr>
    </w:p>
    <w:p w14:paraId="4E5749A1" w14:textId="77777777" w:rsidR="0041519A" w:rsidRDefault="0041519A">
      <w:pPr>
        <w:jc w:val="both"/>
        <w:rPr>
          <w:rFonts w:ascii="Arial" w:hAnsi="Arial" w:cs="Arial"/>
          <w:sz w:val="20"/>
        </w:rPr>
      </w:pPr>
      <w:r>
        <w:rPr>
          <w:rFonts w:ascii="Arial" w:hAnsi="Arial" w:cs="Arial"/>
          <w:sz w:val="20"/>
        </w:rPr>
        <w:t xml:space="preserve">In </w:t>
      </w:r>
      <w:r w:rsidRPr="0041519A">
        <w:rPr>
          <w:rFonts w:ascii="Arial" w:hAnsi="Arial" w:cs="Arial"/>
          <w:i/>
          <w:sz w:val="20"/>
        </w:rPr>
        <w:t>Re W (Sex Abuse: Standard of Proof)</w:t>
      </w:r>
      <w:r>
        <w:rPr>
          <w:rFonts w:ascii="Arial" w:hAnsi="Arial" w:cs="Arial"/>
          <w:sz w:val="20"/>
        </w:rPr>
        <w:t xml:space="preserve"> [2004] </w:t>
      </w:r>
      <w:proofErr w:type="spellStart"/>
      <w:r>
        <w:rPr>
          <w:rFonts w:ascii="Arial" w:hAnsi="Arial" w:cs="Arial"/>
          <w:sz w:val="20"/>
        </w:rPr>
        <w:t>FamCA</w:t>
      </w:r>
      <w:proofErr w:type="spellEnd"/>
      <w:r>
        <w:rPr>
          <w:rFonts w:ascii="Arial" w:hAnsi="Arial" w:cs="Arial"/>
          <w:sz w:val="20"/>
        </w:rPr>
        <w:t xml:space="preserve"> 768 </w:t>
      </w:r>
      <w:r w:rsidR="006D5042">
        <w:rPr>
          <w:rFonts w:ascii="Arial" w:hAnsi="Arial" w:cs="Arial"/>
          <w:sz w:val="20"/>
        </w:rPr>
        <w:t xml:space="preserve">the trial judge had accepted the evidence of a </w:t>
      </w:r>
      <w:r w:rsidR="005F6B53">
        <w:rPr>
          <w:rFonts w:ascii="Arial" w:hAnsi="Arial" w:cs="Arial"/>
          <w:sz w:val="20"/>
        </w:rPr>
        <w:t xml:space="preserve">child </w:t>
      </w:r>
      <w:r w:rsidR="006D5042">
        <w:rPr>
          <w:rFonts w:ascii="Arial" w:hAnsi="Arial" w:cs="Arial"/>
          <w:sz w:val="20"/>
        </w:rPr>
        <w:t>psychiatrist who was appointed by him as a Court expert to enquire into and report on:</w:t>
      </w:r>
    </w:p>
    <w:p w14:paraId="05B08B65" w14:textId="77777777" w:rsidR="006D5042" w:rsidRDefault="006D5042" w:rsidP="006D5042">
      <w:pPr>
        <w:numPr>
          <w:ilvl w:val="0"/>
          <w:numId w:val="16"/>
        </w:numPr>
        <w:jc w:val="both"/>
        <w:rPr>
          <w:rFonts w:ascii="Arial" w:hAnsi="Arial" w:cs="Arial"/>
          <w:bCs/>
          <w:sz w:val="20"/>
        </w:rPr>
      </w:pPr>
      <w:r>
        <w:rPr>
          <w:rFonts w:ascii="Arial" w:hAnsi="Arial" w:cs="Arial"/>
          <w:bCs/>
          <w:sz w:val="20"/>
        </w:rPr>
        <w:t>the nature and quality of the investigation into the allegations of child sexual abuse made in the case;</w:t>
      </w:r>
    </w:p>
    <w:p w14:paraId="60E0565D" w14:textId="77777777" w:rsidR="006D5042" w:rsidRDefault="006D5042" w:rsidP="006D5042">
      <w:pPr>
        <w:numPr>
          <w:ilvl w:val="0"/>
          <w:numId w:val="16"/>
        </w:numPr>
        <w:jc w:val="both"/>
        <w:rPr>
          <w:rFonts w:ascii="Arial" w:hAnsi="Arial" w:cs="Arial"/>
          <w:bCs/>
          <w:sz w:val="20"/>
        </w:rPr>
      </w:pPr>
      <w:r>
        <w:rPr>
          <w:rFonts w:ascii="Arial" w:hAnsi="Arial" w:cs="Arial"/>
          <w:bCs/>
          <w:sz w:val="20"/>
        </w:rPr>
        <w:t>whether and if so, in what ways (if any) the process of investigation may have affected the integrity of the information obtained through the investigation process; and</w:t>
      </w:r>
    </w:p>
    <w:p w14:paraId="195E223A" w14:textId="77777777" w:rsidR="006D5042" w:rsidRDefault="006D5042" w:rsidP="006D5042">
      <w:pPr>
        <w:numPr>
          <w:ilvl w:val="0"/>
          <w:numId w:val="16"/>
        </w:numPr>
        <w:jc w:val="both"/>
        <w:rPr>
          <w:rFonts w:ascii="Arial" w:hAnsi="Arial" w:cs="Arial"/>
          <w:bCs/>
          <w:sz w:val="20"/>
        </w:rPr>
      </w:pPr>
      <w:r>
        <w:rPr>
          <w:rFonts w:ascii="Arial" w:hAnsi="Arial" w:cs="Arial"/>
          <w:bCs/>
          <w:sz w:val="20"/>
        </w:rPr>
        <w:t>any consequences arising therefrom.</w:t>
      </w:r>
    </w:p>
    <w:p w14:paraId="4B53C8E3" w14:textId="77777777" w:rsidR="006D5042" w:rsidRDefault="005F6B53">
      <w:pPr>
        <w:jc w:val="both"/>
        <w:rPr>
          <w:rFonts w:ascii="Arial" w:hAnsi="Arial" w:cs="Arial"/>
          <w:sz w:val="20"/>
        </w:rPr>
      </w:pPr>
      <w:r>
        <w:rPr>
          <w:rFonts w:ascii="Arial" w:hAnsi="Arial" w:cs="Arial"/>
          <w:bCs/>
          <w:sz w:val="20"/>
        </w:rPr>
        <w:t xml:space="preserve">That psychiatrist gave evidence that while he had some criticisms of the procedures followed, it was his view that on the balance of probabilities there was sufficient evidence to have significant concerns that the father had sexually abused his daughter.  </w:t>
      </w:r>
      <w:r w:rsidR="001202B2">
        <w:rPr>
          <w:rFonts w:ascii="Arial" w:hAnsi="Arial" w:cs="Arial"/>
          <w:bCs/>
          <w:sz w:val="20"/>
        </w:rPr>
        <w:t xml:space="preserve">However, he had not seen either the parties or the children.  </w:t>
      </w:r>
      <w:r>
        <w:rPr>
          <w:rFonts w:ascii="Arial" w:hAnsi="Arial" w:cs="Arial"/>
          <w:bCs/>
          <w:sz w:val="20"/>
        </w:rPr>
        <w:t>A</w:t>
      </w:r>
      <w:r w:rsidR="00557433">
        <w:rPr>
          <w:rFonts w:ascii="Arial" w:hAnsi="Arial" w:cs="Arial"/>
          <w:bCs/>
          <w:sz w:val="20"/>
        </w:rPr>
        <w:t>t [37] a</w:t>
      </w:r>
      <w:r>
        <w:rPr>
          <w:rFonts w:ascii="Arial" w:hAnsi="Arial" w:cs="Arial"/>
          <w:bCs/>
          <w:sz w:val="20"/>
        </w:rPr>
        <w:t xml:space="preserve"> </w:t>
      </w:r>
      <w:r w:rsidR="006D5042">
        <w:rPr>
          <w:rFonts w:ascii="Arial" w:hAnsi="Arial" w:cs="Arial"/>
          <w:sz w:val="20"/>
        </w:rPr>
        <w:t xml:space="preserve">Full Court of the Family Court of Australia, comprising Kay, Holden &amp; </w:t>
      </w:r>
      <w:proofErr w:type="spellStart"/>
      <w:r w:rsidR="006D5042">
        <w:rPr>
          <w:rFonts w:ascii="Arial" w:hAnsi="Arial" w:cs="Arial"/>
          <w:sz w:val="20"/>
        </w:rPr>
        <w:t>O'Ryan</w:t>
      </w:r>
      <w:proofErr w:type="spellEnd"/>
      <w:r w:rsidR="006D5042">
        <w:rPr>
          <w:rFonts w:ascii="Arial" w:hAnsi="Arial" w:cs="Arial"/>
          <w:sz w:val="20"/>
        </w:rPr>
        <w:t xml:space="preserve"> JJ,</w:t>
      </w:r>
      <w:r>
        <w:rPr>
          <w:rFonts w:ascii="Arial" w:hAnsi="Arial" w:cs="Arial"/>
          <w:sz w:val="20"/>
        </w:rPr>
        <w:t xml:space="preserve"> </w:t>
      </w:r>
      <w:r w:rsidR="00557433">
        <w:rPr>
          <w:rFonts w:ascii="Arial" w:hAnsi="Arial" w:cs="Arial"/>
          <w:sz w:val="20"/>
        </w:rPr>
        <w:t>described the trial judge’s reliance on the evidence of the psychiatrist as “particularly troublesome”</w:t>
      </w:r>
      <w:r w:rsidR="001A4C03">
        <w:rPr>
          <w:rFonts w:ascii="Arial" w:hAnsi="Arial" w:cs="Arial"/>
          <w:sz w:val="20"/>
        </w:rPr>
        <w:t xml:space="preserve"> and at [38]-[40] it concluded that the psychiatrist’s “evidence concerning the probabilities of something untoward having occurred should have been given very little weight” especially as he had not seen the family members</w:t>
      </w:r>
      <w:r w:rsidR="00484481">
        <w:rPr>
          <w:rFonts w:ascii="Arial" w:hAnsi="Arial" w:cs="Arial"/>
          <w:sz w:val="20"/>
        </w:rPr>
        <w:t>:</w:t>
      </w:r>
    </w:p>
    <w:p w14:paraId="684E80AF" w14:textId="77777777" w:rsidR="000A38F6" w:rsidRDefault="000A38F6" w:rsidP="000A38F6">
      <w:pPr>
        <w:spacing w:before="60"/>
        <w:ind w:left="567" w:right="567"/>
        <w:jc w:val="both"/>
        <w:rPr>
          <w:rFonts w:ascii="Arial" w:hAnsi="Arial" w:cs="Arial"/>
          <w:sz w:val="20"/>
        </w:rPr>
      </w:pPr>
      <w:r>
        <w:rPr>
          <w:rFonts w:ascii="Arial" w:hAnsi="Arial" w:cs="Arial"/>
          <w:sz w:val="20"/>
        </w:rPr>
        <w:t>[38</w:t>
      </w:r>
      <w:proofErr w:type="gramStart"/>
      <w:r>
        <w:rPr>
          <w:rFonts w:ascii="Arial" w:hAnsi="Arial" w:cs="Arial"/>
          <w:sz w:val="20"/>
        </w:rPr>
        <w:t>]  “</w:t>
      </w:r>
      <w:proofErr w:type="gramEnd"/>
      <w:r>
        <w:rPr>
          <w:rFonts w:ascii="Arial" w:hAnsi="Arial" w:cs="Arial"/>
          <w:sz w:val="20"/>
        </w:rPr>
        <w:t xml:space="preserve">In </w:t>
      </w:r>
      <w:r w:rsidRPr="000A38F6">
        <w:rPr>
          <w:rFonts w:ascii="Arial" w:hAnsi="Arial" w:cs="Arial"/>
          <w:i/>
          <w:sz w:val="20"/>
        </w:rPr>
        <w:t>Re W Abuse Allegations; Expert Evidence</w:t>
      </w:r>
      <w:r>
        <w:rPr>
          <w:rFonts w:ascii="Arial" w:hAnsi="Arial" w:cs="Arial"/>
          <w:sz w:val="20"/>
        </w:rPr>
        <w:t xml:space="preserve"> (2001) FLC 93-085 Nicholson CJ and </w:t>
      </w:r>
      <w:proofErr w:type="spellStart"/>
      <w:r>
        <w:rPr>
          <w:rFonts w:ascii="Arial" w:hAnsi="Arial" w:cs="Arial"/>
          <w:sz w:val="20"/>
        </w:rPr>
        <w:t>O’Ryan</w:t>
      </w:r>
      <w:proofErr w:type="spellEnd"/>
      <w:r>
        <w:rPr>
          <w:rFonts w:ascii="Arial" w:hAnsi="Arial" w:cs="Arial"/>
          <w:sz w:val="20"/>
        </w:rPr>
        <w:t xml:space="preserve"> J (with whom Kay J agreed on this point) warned of giving weight to expert evidence of a psychiatrist who had not seen the parties nor the children but had reviewed the material.  Their Honours said at [147] ‘…there are grave dangers in reliance upon expert evidence given in such circumstances’.</w:t>
      </w:r>
    </w:p>
    <w:p w14:paraId="26AB99B6" w14:textId="77777777" w:rsidR="000A38F6" w:rsidRDefault="000A38F6" w:rsidP="000A38F6">
      <w:pPr>
        <w:spacing w:before="60"/>
        <w:ind w:left="567" w:right="567"/>
        <w:jc w:val="both"/>
        <w:rPr>
          <w:rFonts w:ascii="Arial" w:hAnsi="Arial" w:cs="Arial"/>
          <w:sz w:val="20"/>
        </w:rPr>
      </w:pPr>
      <w:r>
        <w:rPr>
          <w:rFonts w:ascii="Arial" w:hAnsi="Arial" w:cs="Arial"/>
          <w:sz w:val="20"/>
        </w:rPr>
        <w:t xml:space="preserve">[39]  Whilst much of their Honours’ rejection of the evidence of the psychiatrist in </w:t>
      </w:r>
      <w:r w:rsidRPr="000A38F6">
        <w:rPr>
          <w:rFonts w:ascii="Arial" w:hAnsi="Arial" w:cs="Arial"/>
          <w:i/>
          <w:sz w:val="20"/>
        </w:rPr>
        <w:t>Re W</w:t>
      </w:r>
      <w:r>
        <w:rPr>
          <w:rFonts w:ascii="Arial" w:hAnsi="Arial" w:cs="Arial"/>
          <w:sz w:val="20"/>
        </w:rPr>
        <w:t xml:space="preserve"> appears to turn on the fact that he was retained by one side and must have brought unconscious bias to his task, in our view the criticism of relying upon an opinion about the ultimate issue from a witness who has not seen the parties nor the children remains just as valid when the witness is called by the court.  If an expert witness still purports to give an opinion as to the ultimate issue then such opinion would be expected to be heavily qualified by the expert having regard to the fact that the expert had not seen the parties nor the children.”</w:t>
      </w:r>
    </w:p>
    <w:p w14:paraId="20349052" w14:textId="77777777" w:rsidR="006D5042" w:rsidRDefault="006D5042">
      <w:pPr>
        <w:jc w:val="both"/>
        <w:rPr>
          <w:rFonts w:ascii="Arial" w:hAnsi="Arial" w:cs="Arial"/>
          <w:sz w:val="20"/>
        </w:rPr>
      </w:pPr>
    </w:p>
    <w:p w14:paraId="1B914BEB" w14:textId="77777777" w:rsidR="00E14F02" w:rsidRDefault="00E14F02">
      <w:pPr>
        <w:jc w:val="both"/>
        <w:rPr>
          <w:rFonts w:ascii="Arial" w:hAnsi="Arial" w:cs="Arial"/>
          <w:sz w:val="20"/>
        </w:rPr>
      </w:pPr>
      <w:r>
        <w:rPr>
          <w:rFonts w:ascii="Arial" w:hAnsi="Arial" w:cs="Arial"/>
          <w:sz w:val="20"/>
        </w:rPr>
        <w:t xml:space="preserve">In </w:t>
      </w:r>
      <w:r w:rsidR="00ED0A0A">
        <w:rPr>
          <w:rFonts w:ascii="Arial" w:hAnsi="Arial" w:cs="Arial"/>
          <w:i/>
          <w:sz w:val="20"/>
        </w:rPr>
        <w:t>DOHS v Ms B &amp; Mr</w:t>
      </w:r>
      <w:r w:rsidR="00C16C56" w:rsidRPr="00C16C56">
        <w:rPr>
          <w:rFonts w:ascii="Arial" w:hAnsi="Arial" w:cs="Arial"/>
          <w:i/>
          <w:sz w:val="20"/>
        </w:rPr>
        <w:t xml:space="preserve"> </w:t>
      </w:r>
      <w:r w:rsidR="00ED0A0A">
        <w:rPr>
          <w:rFonts w:ascii="Arial" w:hAnsi="Arial" w:cs="Arial"/>
          <w:i/>
          <w:sz w:val="20"/>
        </w:rPr>
        <w:t>G</w:t>
      </w:r>
      <w:r w:rsidR="00C16C56">
        <w:rPr>
          <w:rFonts w:ascii="Arial" w:hAnsi="Arial" w:cs="Arial"/>
          <w:sz w:val="20"/>
        </w:rPr>
        <w:t xml:space="preserve"> </w:t>
      </w:r>
      <w:r w:rsidR="00076222">
        <w:rPr>
          <w:rFonts w:ascii="Arial" w:hAnsi="Arial" w:cs="Arial"/>
          <w:sz w:val="20"/>
        </w:rPr>
        <w:t xml:space="preserve">[2008] </w:t>
      </w:r>
      <w:proofErr w:type="spellStart"/>
      <w:r w:rsidR="00C74768">
        <w:rPr>
          <w:rFonts w:ascii="Arial" w:hAnsi="Arial" w:cs="Arial"/>
          <w:sz w:val="20"/>
        </w:rPr>
        <w:t>VChC</w:t>
      </w:r>
      <w:proofErr w:type="spellEnd"/>
      <w:r w:rsidR="00C74768">
        <w:rPr>
          <w:rFonts w:ascii="Arial" w:hAnsi="Arial" w:cs="Arial"/>
          <w:sz w:val="20"/>
        </w:rPr>
        <w:t xml:space="preserve"> 1 </w:t>
      </w:r>
      <w:r w:rsidR="00076222">
        <w:rPr>
          <w:rFonts w:ascii="Arial" w:hAnsi="Arial" w:cs="Arial"/>
          <w:sz w:val="20"/>
        </w:rPr>
        <w:t xml:space="preserve">Power M referred with approval to the above dicta from </w:t>
      </w:r>
      <w:r w:rsidR="00076222" w:rsidRPr="0041519A">
        <w:rPr>
          <w:rFonts w:ascii="Arial" w:hAnsi="Arial" w:cs="Arial"/>
          <w:i/>
          <w:sz w:val="20"/>
        </w:rPr>
        <w:t>Re W (Sex Abuse: Standard of Proof)</w:t>
      </w:r>
      <w:r w:rsidR="00076222">
        <w:rPr>
          <w:rFonts w:ascii="Arial" w:hAnsi="Arial" w:cs="Arial"/>
          <w:sz w:val="20"/>
        </w:rPr>
        <w:t xml:space="preserve"> [2004] </w:t>
      </w:r>
      <w:proofErr w:type="spellStart"/>
      <w:r w:rsidR="00076222">
        <w:rPr>
          <w:rFonts w:ascii="Arial" w:hAnsi="Arial" w:cs="Arial"/>
          <w:sz w:val="20"/>
        </w:rPr>
        <w:t>FamCA</w:t>
      </w:r>
      <w:proofErr w:type="spellEnd"/>
      <w:r w:rsidR="00076222">
        <w:rPr>
          <w:rFonts w:ascii="Arial" w:hAnsi="Arial" w:cs="Arial"/>
          <w:sz w:val="20"/>
        </w:rPr>
        <w:t xml:space="preserve"> 768 in a section discussing the limitations of the expert evidence </w:t>
      </w:r>
      <w:r w:rsidR="00C216B3">
        <w:rPr>
          <w:rFonts w:ascii="Arial" w:hAnsi="Arial" w:cs="Arial"/>
          <w:sz w:val="20"/>
        </w:rPr>
        <w:t>adduced</w:t>
      </w:r>
      <w:r w:rsidR="00076222">
        <w:rPr>
          <w:rFonts w:ascii="Arial" w:hAnsi="Arial" w:cs="Arial"/>
          <w:sz w:val="20"/>
        </w:rPr>
        <w:t xml:space="preserve"> in that case.  </w:t>
      </w:r>
      <w:r w:rsidR="00FC3025">
        <w:rPr>
          <w:rFonts w:ascii="Arial" w:hAnsi="Arial" w:cs="Arial"/>
          <w:sz w:val="20"/>
        </w:rPr>
        <w:t xml:space="preserve">Several clinical psychologists and an infant psychiatrist had been called to give expert evidence, part of which related to the ultimate issue, namely the frequency, duration and nature </w:t>
      </w:r>
      <w:r w:rsidR="00FC3025" w:rsidRPr="004E1436">
        <w:rPr>
          <w:rFonts w:ascii="Arial" w:hAnsi="Arial" w:cs="Arial"/>
          <w:color w:val="000000"/>
          <w:sz w:val="20"/>
        </w:rPr>
        <w:t xml:space="preserve">of </w:t>
      </w:r>
      <w:r w:rsidR="00502296" w:rsidRPr="004E1436">
        <w:rPr>
          <w:rFonts w:ascii="Arial" w:hAnsi="Arial" w:cs="Arial"/>
          <w:color w:val="000000"/>
          <w:sz w:val="20"/>
        </w:rPr>
        <w:t>contact</w:t>
      </w:r>
      <w:r w:rsidR="00FC3025" w:rsidRPr="004E1436">
        <w:rPr>
          <w:rFonts w:ascii="Arial" w:hAnsi="Arial" w:cs="Arial"/>
          <w:color w:val="000000"/>
          <w:sz w:val="20"/>
        </w:rPr>
        <w:t xml:space="preserve"> between</w:t>
      </w:r>
      <w:r w:rsidR="00FC3025">
        <w:rPr>
          <w:rFonts w:ascii="Arial" w:hAnsi="Arial" w:cs="Arial"/>
          <w:sz w:val="20"/>
        </w:rPr>
        <w:t xml:space="preserve"> the family members.  His Honour considered that “a major limitation of their evidence is that each of their observations involved only part of the overall factual matrix”.  Each of the experts had met and assessed a sub-set of the family members.  None had met and assessed the entire family.  </w:t>
      </w:r>
      <w:r w:rsidR="00C216B3">
        <w:rPr>
          <w:rFonts w:ascii="Arial" w:hAnsi="Arial" w:cs="Arial"/>
          <w:sz w:val="20"/>
        </w:rPr>
        <w:t xml:space="preserve">At pp.120-121 </w:t>
      </w:r>
      <w:r w:rsidR="00FC3025">
        <w:rPr>
          <w:rFonts w:ascii="Arial" w:hAnsi="Arial" w:cs="Arial"/>
          <w:sz w:val="20"/>
        </w:rPr>
        <w:t xml:space="preserve">His Honour also commented </w:t>
      </w:r>
      <w:r w:rsidR="00C216B3">
        <w:rPr>
          <w:rFonts w:ascii="Arial" w:hAnsi="Arial" w:cs="Arial"/>
          <w:sz w:val="20"/>
        </w:rPr>
        <w:t>on the weight to be given in any particular case to relevant general research and literature</w:t>
      </w:r>
      <w:r w:rsidR="00FC3025">
        <w:rPr>
          <w:rFonts w:ascii="Arial" w:hAnsi="Arial" w:cs="Arial"/>
          <w:sz w:val="20"/>
        </w:rPr>
        <w:t>:</w:t>
      </w:r>
    </w:p>
    <w:p w14:paraId="301A3DB4" w14:textId="77777777" w:rsidR="00FC3025" w:rsidRDefault="00FC3025" w:rsidP="00C216B3">
      <w:pPr>
        <w:spacing w:before="60"/>
        <w:ind w:left="567" w:right="567"/>
        <w:jc w:val="both"/>
        <w:rPr>
          <w:rFonts w:ascii="Arial" w:hAnsi="Arial" w:cs="Arial"/>
          <w:sz w:val="20"/>
        </w:rPr>
      </w:pPr>
      <w:r>
        <w:rPr>
          <w:rFonts w:ascii="Arial" w:hAnsi="Arial" w:cs="Arial"/>
          <w:sz w:val="20"/>
        </w:rPr>
        <w:t>“</w:t>
      </w:r>
      <w:r w:rsidRPr="00FC3025">
        <w:rPr>
          <w:rFonts w:ascii="Arial" w:hAnsi="Arial" w:cs="Arial"/>
          <w:sz w:val="20"/>
        </w:rPr>
        <w:t>Part o</w:t>
      </w:r>
      <w:r>
        <w:rPr>
          <w:rFonts w:ascii="Arial" w:hAnsi="Arial" w:cs="Arial"/>
          <w:sz w:val="20"/>
        </w:rPr>
        <w:t>f the evidence of Dr M and Dr P</w:t>
      </w:r>
      <w:r w:rsidRPr="00FC3025">
        <w:rPr>
          <w:rFonts w:ascii="Arial" w:hAnsi="Arial" w:cs="Arial"/>
          <w:sz w:val="20"/>
        </w:rPr>
        <w:t xml:space="preserve"> involved a discussion of the research and literature relating to infant development, with particular emphasis on the development of attachment in infants.  I found this evidence particularly interesting and of general assistance to me in my role as a magistrate allocated to the Children’s Court.  But it is important not to over-emphasize its usefulness when applied to any particular case.  The research and the literature do have an important role.  But it is not an independent role.  It provides the framework which enables observations of the behaviour of a particular person or persons to be evaluated and predictions to be made about the likelihood of future patterns of behaviour.  Absent subjective observations of a particular caregiver and/or parent and of a particular child, preferably over a period of time, the framework – standing alone – is much less useful for it exists in a factual vacuum.  Absent observations or other relevant evidence of the quality of the particular interactions or the characteristics - including the resilience - of the particular individuals, prediction of </w:t>
      </w:r>
      <w:r w:rsidRPr="00FC3025">
        <w:rPr>
          <w:rFonts w:ascii="Arial" w:hAnsi="Arial" w:cs="Arial"/>
          <w:sz w:val="20"/>
        </w:rPr>
        <w:lastRenderedPageBreak/>
        <w:t>risk of future harm and analysis of what is in the best interests of the particular child are inevitably much less certain</w:t>
      </w:r>
      <w:r>
        <w:rPr>
          <w:rFonts w:ascii="Arial" w:hAnsi="Arial" w:cs="Arial"/>
          <w:sz w:val="20"/>
        </w:rPr>
        <w:t>…</w:t>
      </w:r>
    </w:p>
    <w:p w14:paraId="79BDF93B" w14:textId="77777777" w:rsidR="00FC3025" w:rsidRDefault="00FC3025" w:rsidP="00033D59">
      <w:pPr>
        <w:spacing w:before="120"/>
        <w:ind w:left="567" w:right="567"/>
        <w:jc w:val="both"/>
        <w:rPr>
          <w:rFonts w:ascii="Arial" w:hAnsi="Arial" w:cs="Arial"/>
          <w:sz w:val="20"/>
        </w:rPr>
      </w:pPr>
      <w:r w:rsidRPr="00FC3025">
        <w:rPr>
          <w:rFonts w:ascii="Arial" w:hAnsi="Arial" w:cs="Arial"/>
          <w:sz w:val="20"/>
        </w:rPr>
        <w:t xml:space="preserve">An opinion about appropriate levels of contact between </w:t>
      </w:r>
      <w:r>
        <w:rPr>
          <w:rFonts w:ascii="Arial" w:hAnsi="Arial" w:cs="Arial"/>
          <w:sz w:val="20"/>
        </w:rPr>
        <w:t>[the two older children]</w:t>
      </w:r>
      <w:r w:rsidRPr="00FC3025">
        <w:rPr>
          <w:rFonts w:ascii="Arial" w:hAnsi="Arial" w:cs="Arial"/>
          <w:sz w:val="20"/>
        </w:rPr>
        <w:t xml:space="preserve"> and their mother and siblings based on objective criteria – theoretical criteria - but made without knowledge of subjective evidence of the children’s behaviour must be treated with considerable caution.  This conclusion also follows from the </w:t>
      </w:r>
      <w:r w:rsidRPr="005C0020">
        <w:rPr>
          <w:rFonts w:ascii="Arial" w:hAnsi="Arial" w:cs="Arial"/>
          <w:sz w:val="20"/>
        </w:rPr>
        <w:t>CYFA</w:t>
      </w:r>
      <w:r w:rsidRPr="00FC3025">
        <w:rPr>
          <w:rFonts w:ascii="Arial" w:hAnsi="Arial" w:cs="Arial"/>
          <w:sz w:val="20"/>
        </w:rPr>
        <w:t xml:space="preserve"> itself.  Section 10 requires the Court to focus on – and treat as paramount – the best interests of the child, not children generally as a group but on the particular child the subject of each application.</w:t>
      </w:r>
      <w:r>
        <w:rPr>
          <w:rFonts w:ascii="Arial" w:hAnsi="Arial" w:cs="Arial"/>
          <w:sz w:val="20"/>
        </w:rPr>
        <w:t>”</w:t>
      </w:r>
    </w:p>
    <w:p w14:paraId="080F3A48" w14:textId="77777777" w:rsidR="0073609F" w:rsidRPr="00801CD5" w:rsidRDefault="0073609F">
      <w:pPr>
        <w:jc w:val="both"/>
        <w:rPr>
          <w:rFonts w:ascii="Arial" w:hAnsi="Arial" w:cs="Arial"/>
          <w:color w:val="000000"/>
          <w:sz w:val="20"/>
        </w:rPr>
      </w:pPr>
    </w:p>
    <w:p w14:paraId="4B3B9AB9" w14:textId="77777777" w:rsidR="007D7E39" w:rsidRPr="00785E1A" w:rsidRDefault="00775DC6" w:rsidP="007D7E39">
      <w:pPr>
        <w:pStyle w:val="Heading3"/>
        <w:keepNext/>
        <w:keepLines/>
        <w:spacing w:after="120" w:line="240" w:lineRule="auto"/>
        <w:rPr>
          <w:rFonts w:ascii="Arial" w:hAnsi="Arial" w:cs="Arial"/>
          <w:color w:val="000000"/>
          <w:sz w:val="20"/>
        </w:rPr>
      </w:pPr>
      <w:bookmarkStart w:id="1337" w:name="_4.8.6_Attendance_of"/>
      <w:bookmarkStart w:id="1338" w:name="B486"/>
      <w:bookmarkEnd w:id="1337"/>
      <w:bookmarkEnd w:id="1338"/>
      <w:r w:rsidRPr="00801CD5">
        <w:rPr>
          <w:rFonts w:ascii="Arial" w:hAnsi="Arial" w:cs="Arial"/>
          <w:b/>
          <w:bCs/>
          <w:color w:val="000000"/>
          <w:sz w:val="20"/>
        </w:rPr>
        <w:t>4.8.6</w:t>
      </w:r>
      <w:r w:rsidRPr="00801CD5">
        <w:rPr>
          <w:rFonts w:ascii="Arial" w:hAnsi="Arial" w:cs="Arial"/>
          <w:b/>
          <w:bCs/>
          <w:color w:val="000000"/>
          <w:sz w:val="20"/>
        </w:rPr>
        <w:tab/>
        <w:t>Attendance of child at Court</w:t>
      </w:r>
    </w:p>
    <w:p w14:paraId="48AB7862" w14:textId="77777777" w:rsidR="00775DC6" w:rsidRDefault="00775DC6" w:rsidP="00775DC6">
      <w:pPr>
        <w:jc w:val="both"/>
        <w:rPr>
          <w:rFonts w:ascii="Arial" w:hAnsi="Arial" w:cs="Arial"/>
          <w:sz w:val="20"/>
        </w:rPr>
      </w:pPr>
      <w:r>
        <w:rPr>
          <w:rFonts w:ascii="Arial" w:hAnsi="Arial" w:cs="Arial"/>
          <w:color w:val="000000"/>
          <w:sz w:val="20"/>
        </w:rPr>
        <w:t>Prior to 01/12/2013 t</w:t>
      </w:r>
      <w:r w:rsidRPr="00BF4C4A">
        <w:rPr>
          <w:rFonts w:ascii="Arial" w:hAnsi="Arial" w:cs="Arial"/>
          <w:color w:val="000000"/>
          <w:sz w:val="20"/>
        </w:rPr>
        <w:t>he CYFA had required children to attend or be brought to Court for the majority of child protection proceedings, although they were rarely actually present in the courtroom.  The attendance of children at Court was commented on adversely in the Cummins report.  New</w:t>
      </w:r>
      <w:r>
        <w:rPr>
          <w:rFonts w:ascii="Arial" w:hAnsi="Arial" w:cs="Arial"/>
          <w:color w:val="000000"/>
          <w:sz w:val="20"/>
        </w:rPr>
        <w:t xml:space="preserve"> s.216A of the CYFA provides that </w:t>
      </w:r>
      <w:r w:rsidRPr="00BF4C4A">
        <w:rPr>
          <w:rFonts w:ascii="Arial" w:hAnsi="Arial" w:cs="Arial"/>
          <w:color w:val="000000"/>
          <w:sz w:val="20"/>
        </w:rPr>
        <w:t>in any proceeding before the Family Division under the</w:t>
      </w:r>
      <w:r w:rsidR="00D5405F">
        <w:rPr>
          <w:rFonts w:ascii="Arial" w:hAnsi="Arial" w:cs="Arial"/>
          <w:color w:val="000000"/>
          <w:sz w:val="20"/>
        </w:rPr>
        <w:t xml:space="preserve"> CYFA </w:t>
      </w:r>
      <w:r w:rsidRPr="00BF4C4A">
        <w:rPr>
          <w:rFonts w:ascii="Arial" w:hAnsi="Arial" w:cs="Arial"/>
          <w:color w:val="000000"/>
          <w:sz w:val="20"/>
        </w:rPr>
        <w:t>a</w:t>
      </w:r>
      <w:r w:rsidR="00D5405F">
        <w:rPr>
          <w:rFonts w:ascii="Arial" w:hAnsi="Arial" w:cs="Arial"/>
          <w:color w:val="000000"/>
          <w:sz w:val="20"/>
        </w:rPr>
        <w:t> </w:t>
      </w:r>
      <w:r w:rsidRPr="00BF4C4A">
        <w:rPr>
          <w:rFonts w:ascii="Arial" w:hAnsi="Arial" w:cs="Arial"/>
          <w:color w:val="000000"/>
          <w:sz w:val="20"/>
        </w:rPr>
        <w:t xml:space="preserve">child is not required to attend </w:t>
      </w:r>
      <w:r>
        <w:rPr>
          <w:rFonts w:ascii="Arial" w:hAnsi="Arial" w:cs="Arial"/>
          <w:color w:val="000000"/>
          <w:sz w:val="20"/>
        </w:rPr>
        <w:t xml:space="preserve">or be brought </w:t>
      </w:r>
      <w:r w:rsidR="00D5405F">
        <w:rPr>
          <w:rFonts w:ascii="Arial" w:hAnsi="Arial" w:cs="Arial"/>
          <w:color w:val="000000"/>
          <w:sz w:val="20"/>
        </w:rPr>
        <w:t>to</w:t>
      </w:r>
      <w:r w:rsidRPr="00BF4C4A">
        <w:rPr>
          <w:rFonts w:ascii="Arial" w:hAnsi="Arial" w:cs="Arial"/>
          <w:color w:val="000000"/>
          <w:sz w:val="20"/>
        </w:rPr>
        <w:t xml:space="preserve"> Court unless-</w:t>
      </w:r>
    </w:p>
    <w:p w14:paraId="753624E2" w14:textId="77777777" w:rsidR="00775DC6" w:rsidRDefault="00775DC6" w:rsidP="00FB1EE3">
      <w:pPr>
        <w:numPr>
          <w:ilvl w:val="0"/>
          <w:numId w:val="48"/>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child expresses a wish to attend; or</w:t>
      </w:r>
    </w:p>
    <w:p w14:paraId="3931F7C6" w14:textId="77777777" w:rsidR="00775DC6" w:rsidRDefault="00775DC6" w:rsidP="00FB1EE3">
      <w:pPr>
        <w:numPr>
          <w:ilvl w:val="0"/>
          <w:numId w:val="48"/>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Court orders that the child attend; or</w:t>
      </w:r>
    </w:p>
    <w:p w14:paraId="4CFB4291" w14:textId="77777777" w:rsidR="00775DC6" w:rsidRPr="00BF4C4A" w:rsidRDefault="00775DC6" w:rsidP="00FB1EE3">
      <w:pPr>
        <w:numPr>
          <w:ilvl w:val="0"/>
          <w:numId w:val="48"/>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 xml:space="preserve">the </w:t>
      </w:r>
      <w:r>
        <w:rPr>
          <w:rFonts w:ascii="Arial" w:hAnsi="Arial" w:cs="Arial"/>
          <w:color w:val="000000"/>
          <w:sz w:val="20"/>
        </w:rPr>
        <w:t xml:space="preserve">CYFA </w:t>
      </w:r>
      <w:r w:rsidRPr="00BF4C4A">
        <w:rPr>
          <w:rFonts w:ascii="Arial" w:hAnsi="Arial" w:cs="Arial"/>
          <w:color w:val="000000"/>
          <w:sz w:val="20"/>
        </w:rPr>
        <w:t>requires that the child attend.</w:t>
      </w:r>
    </w:p>
    <w:p w14:paraId="5E359422" w14:textId="77777777" w:rsidR="00775DC6" w:rsidRDefault="00D5405F" w:rsidP="00775DC6">
      <w:pPr>
        <w:jc w:val="both"/>
        <w:rPr>
          <w:rFonts w:ascii="Arial" w:hAnsi="Arial" w:cs="Arial"/>
          <w:sz w:val="20"/>
        </w:rPr>
      </w:pPr>
      <w:r>
        <w:rPr>
          <w:rFonts w:ascii="Arial" w:hAnsi="Arial" w:cs="Arial"/>
          <w:sz w:val="20"/>
        </w:rPr>
        <w:t xml:space="preserve">Section 216A is broad enough to include intervention order proceedings.  This new section and the large number of </w:t>
      </w:r>
      <w:r w:rsidR="00775DC6">
        <w:rPr>
          <w:rFonts w:ascii="Arial" w:hAnsi="Arial" w:cs="Arial"/>
          <w:sz w:val="20"/>
        </w:rPr>
        <w:t xml:space="preserve">associated amendments </w:t>
      </w:r>
      <w:r w:rsidR="00775DC6" w:rsidRPr="00BF4C4A">
        <w:rPr>
          <w:rFonts w:ascii="Arial" w:hAnsi="Arial" w:cs="Arial"/>
          <w:color w:val="000000"/>
          <w:sz w:val="20"/>
        </w:rPr>
        <w:t xml:space="preserve">have resulted in changes to many prescribed forms: see </w:t>
      </w:r>
      <w:r w:rsidR="00775DC6" w:rsidRPr="00BF4C4A">
        <w:rPr>
          <w:rFonts w:ascii="Arial" w:hAnsi="Arial" w:cs="Arial"/>
          <w:b/>
          <w:i/>
          <w:color w:val="000000"/>
          <w:sz w:val="20"/>
        </w:rPr>
        <w:t>Children, Youth and Families (Children’s Court Family Division) Rules 201</w:t>
      </w:r>
      <w:r w:rsidR="004C770E">
        <w:rPr>
          <w:rFonts w:ascii="Arial" w:hAnsi="Arial" w:cs="Arial"/>
          <w:b/>
          <w:i/>
          <w:color w:val="000000"/>
          <w:sz w:val="20"/>
        </w:rPr>
        <w:t>7</w:t>
      </w:r>
      <w:r w:rsidR="004C770E" w:rsidRPr="004C770E">
        <w:rPr>
          <w:rFonts w:ascii="Arial" w:hAnsi="Arial" w:cs="Arial"/>
          <w:color w:val="000000"/>
          <w:sz w:val="20"/>
        </w:rPr>
        <w:t xml:space="preserve"> [S.R. No.20/2017]</w:t>
      </w:r>
      <w:r w:rsidR="00775DC6" w:rsidRPr="00BF4C4A">
        <w:rPr>
          <w:rFonts w:ascii="Arial" w:hAnsi="Arial" w:cs="Arial"/>
          <w:color w:val="000000"/>
          <w:sz w:val="20"/>
        </w:rPr>
        <w:t>.</w:t>
      </w:r>
    </w:p>
    <w:p w14:paraId="4880C5ED" w14:textId="77777777" w:rsidR="00775DC6" w:rsidRDefault="00775DC6" w:rsidP="00775DC6">
      <w:pPr>
        <w:jc w:val="both"/>
        <w:rPr>
          <w:rFonts w:ascii="Arial" w:hAnsi="Arial" w:cs="Arial"/>
          <w:sz w:val="20"/>
        </w:rPr>
      </w:pPr>
    </w:p>
    <w:p w14:paraId="0F35EC51" w14:textId="77777777" w:rsidR="00775DC6" w:rsidRDefault="00775DC6" w:rsidP="00775DC6">
      <w:pPr>
        <w:jc w:val="both"/>
        <w:rPr>
          <w:rFonts w:ascii="Arial" w:hAnsi="Arial" w:cs="Arial"/>
          <w:sz w:val="20"/>
        </w:rPr>
      </w:pPr>
      <w:r w:rsidRPr="00BF4C4A">
        <w:rPr>
          <w:rFonts w:ascii="Arial" w:hAnsi="Arial" w:cs="Arial"/>
          <w:color w:val="000000"/>
          <w:sz w:val="20"/>
        </w:rPr>
        <w:t xml:space="preserve">The only applications for which the amended </w:t>
      </w:r>
      <w:r w:rsidR="00D5405F" w:rsidRPr="00D5405F">
        <w:rPr>
          <w:rFonts w:ascii="Arial" w:hAnsi="Arial" w:cs="Arial"/>
          <w:color w:val="000000"/>
          <w:sz w:val="20"/>
        </w:rPr>
        <w:t>CYFA</w:t>
      </w:r>
      <w:r w:rsidRPr="00BF4C4A">
        <w:rPr>
          <w:rFonts w:ascii="Arial" w:hAnsi="Arial" w:cs="Arial"/>
          <w:color w:val="000000"/>
          <w:sz w:val="20"/>
        </w:rPr>
        <w:t xml:space="preserve"> requires that the child attend Court are-</w:t>
      </w:r>
    </w:p>
    <w:p w14:paraId="22B7A363" w14:textId="77777777" w:rsidR="00775DC6" w:rsidRPr="00BF4C4A" w:rsidRDefault="00775DC6" w:rsidP="00FB1EE3">
      <w:pPr>
        <w:numPr>
          <w:ilvl w:val="0"/>
          <w:numId w:val="49"/>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-s.228</w:t>
      </w:r>
      <w:r w:rsidRPr="00BF4C4A">
        <w:rPr>
          <w:rFonts w:ascii="Arial" w:hAnsi="Arial" w:cs="Arial"/>
          <w:color w:val="000000"/>
          <w:sz w:val="20"/>
        </w:rPr>
        <w:t>: Application for Temporary Assessment Order by notice;</w:t>
      </w:r>
    </w:p>
    <w:p w14:paraId="7A03DD23" w14:textId="77777777" w:rsidR="00775DC6" w:rsidRPr="00BF4C4A" w:rsidRDefault="00775DC6" w:rsidP="00FB1EE3">
      <w:pPr>
        <w:numPr>
          <w:ilvl w:val="0"/>
          <w:numId w:val="49"/>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-s.246</w:t>
      </w:r>
      <w:r w:rsidRPr="00BF4C4A">
        <w:rPr>
          <w:rFonts w:ascii="Arial" w:hAnsi="Arial" w:cs="Arial"/>
          <w:color w:val="000000"/>
          <w:sz w:val="20"/>
        </w:rPr>
        <w:t>: Application for Therapeutic Treatment Order;</w:t>
      </w:r>
    </w:p>
    <w:p w14:paraId="01476F32"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2C817ECC"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EEA2356" w14:textId="77777777" w:rsidR="00775DC6" w:rsidRDefault="00775DC6" w:rsidP="00775DC6">
      <w:pPr>
        <w:jc w:val="both"/>
        <w:rPr>
          <w:rFonts w:ascii="Arial" w:hAnsi="Arial" w:cs="Arial"/>
          <w:sz w:val="20"/>
        </w:rPr>
      </w:pPr>
    </w:p>
    <w:p w14:paraId="775A8DAB" w14:textId="77777777" w:rsidR="00775DC6" w:rsidRPr="00BF4C4A" w:rsidRDefault="00775DC6" w:rsidP="00775DC6">
      <w:pPr>
        <w:tabs>
          <w:tab w:val="left" w:pos="363"/>
        </w:tabs>
        <w:spacing w:line="240" w:lineRule="exact"/>
        <w:jc w:val="both"/>
        <w:rPr>
          <w:rFonts w:ascii="Arial" w:hAnsi="Arial" w:cs="Arial"/>
          <w:color w:val="000000"/>
          <w:sz w:val="20"/>
        </w:rPr>
      </w:pPr>
      <w:r w:rsidRPr="00BF4C4A">
        <w:rPr>
          <w:rFonts w:ascii="Arial" w:hAnsi="Arial" w:cs="Arial"/>
          <w:color w:val="000000"/>
          <w:sz w:val="20"/>
        </w:rPr>
        <w:t>Unless a child wishes to attend or the Court orders that a child attend Court, the child is no longer required to attend or be brought before the Court for the hearing of any other child protection applications.  These include-</w:t>
      </w:r>
    </w:p>
    <w:p w14:paraId="67F9BF3F"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-s.235</w:t>
      </w:r>
      <w:r w:rsidRPr="00BF4C4A">
        <w:rPr>
          <w:rFonts w:ascii="Arial" w:hAnsi="Arial" w:cs="Arial"/>
          <w:color w:val="000000"/>
          <w:sz w:val="20"/>
        </w:rPr>
        <w:t>: Application to Vary or Revoke a Temporary Assessment Order;</w:t>
      </w:r>
    </w:p>
    <w:p w14:paraId="732AC3E7"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-ss.240(1), 240(3), 243</w:t>
      </w:r>
      <w:r w:rsidRPr="00BF4C4A">
        <w:rPr>
          <w:rFonts w:ascii="Arial" w:hAnsi="Arial" w:cs="Arial"/>
          <w:color w:val="000000"/>
          <w:sz w:val="20"/>
        </w:rPr>
        <w:t>: Protection Application;</w:t>
      </w:r>
    </w:p>
    <w:p w14:paraId="4AAA63F6"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-s.252</w:t>
      </w:r>
      <w:r w:rsidRPr="00BF4C4A">
        <w:rPr>
          <w:rFonts w:ascii="Arial" w:hAnsi="Arial" w:cs="Arial"/>
          <w:color w:val="000000"/>
          <w:sz w:val="20"/>
        </w:rPr>
        <w:t>: Application for a Therapeutic Treatment (Placement) Order;</w:t>
      </w:r>
    </w:p>
    <w:p w14:paraId="05C9B5B4"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-s.255</w:t>
      </w:r>
      <w:r w:rsidRPr="00BF4C4A">
        <w:rPr>
          <w:rFonts w:ascii="Arial" w:hAnsi="Arial" w:cs="Arial"/>
          <w:color w:val="000000"/>
          <w:sz w:val="20"/>
        </w:rPr>
        <w:t>: Application for Extension of Therapeutic Treatment Order or Therapeutic Treatment (Placement) Order;</w:t>
      </w:r>
    </w:p>
    <w:p w14:paraId="264C6BFF"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-ss.257-258</w:t>
      </w:r>
      <w:r w:rsidRPr="00BF4C4A">
        <w:rPr>
          <w:rFonts w:ascii="Arial" w:hAnsi="Arial" w:cs="Arial"/>
          <w:color w:val="000000"/>
          <w:sz w:val="20"/>
        </w:rPr>
        <w:t>: Application to Vary or Revoke a Therapeutic Treatment Order or Therapeutic Treatment (Placement) Order;</w:t>
      </w:r>
    </w:p>
    <w:p w14:paraId="5CD7D28D"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-ss.259-260</w:t>
      </w:r>
      <w:r w:rsidRPr="00BF4C4A">
        <w:rPr>
          <w:rFonts w:ascii="Arial" w:hAnsi="Arial" w:cs="Arial"/>
          <w:color w:val="000000"/>
          <w:sz w:val="20"/>
        </w:rPr>
        <w:t>: Irreconcilable Differences Application;</w:t>
      </w:r>
    </w:p>
    <w:p w14:paraId="5EB55EE9"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6F06FBDD"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9F94AB6"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-ss.273, 279</w:t>
      </w:r>
      <w:r w:rsidRPr="00BF4C4A">
        <w:rPr>
          <w:rFonts w:ascii="Arial" w:hAnsi="Arial" w:cs="Arial"/>
          <w:color w:val="000000"/>
          <w:sz w:val="20"/>
        </w:rPr>
        <w:t>: Application to Vary or Revoke an Undertaking;</w:t>
      </w:r>
    </w:p>
    <w:p w14:paraId="6BB42B04" w14:textId="77777777" w:rsidR="004C770E" w:rsidRPr="004C770E" w:rsidRDefault="004C770E" w:rsidP="00FB1EE3">
      <w:pPr>
        <w:numPr>
          <w:ilvl w:val="0"/>
          <w:numId w:val="49"/>
        </w:numPr>
        <w:tabs>
          <w:tab w:val="left" w:pos="363"/>
        </w:tabs>
        <w:spacing w:line="240" w:lineRule="exact"/>
        <w:ind w:left="357" w:hanging="357"/>
        <w:jc w:val="both"/>
        <w:rPr>
          <w:rFonts w:ascii="Arial" w:hAnsi="Arial" w:cs="Arial"/>
          <w:color w:val="000000"/>
          <w:sz w:val="20"/>
        </w:rPr>
      </w:pPr>
      <w:r w:rsidRPr="004C770E">
        <w:rPr>
          <w:rFonts w:ascii="Arial" w:hAnsi="Arial" w:cs="Arial"/>
          <w:b/>
          <w:color w:val="000000"/>
          <w:sz w:val="20"/>
          <w:u w:val="single"/>
        </w:rPr>
        <w:t>CYFA-ss.289(1A), 290(1A)</w:t>
      </w:r>
      <w:r>
        <w:rPr>
          <w:rFonts w:ascii="Arial" w:hAnsi="Arial" w:cs="Arial"/>
          <w:color w:val="000000"/>
          <w:sz w:val="20"/>
        </w:rPr>
        <w:t>: Applications for care by Sec Order/Long-term care Order</w:t>
      </w:r>
    </w:p>
    <w:p w14:paraId="79E31EE0"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-ss.293, 294</w:t>
      </w:r>
      <w:r w:rsidRPr="00BF4C4A">
        <w:rPr>
          <w:rFonts w:ascii="Arial" w:hAnsi="Arial" w:cs="Arial"/>
          <w:color w:val="000000"/>
          <w:sz w:val="20"/>
        </w:rPr>
        <w:t>: Application for Extension of a Protection Order;</w:t>
      </w:r>
    </w:p>
    <w:p w14:paraId="19248345"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-ss.300, 304</w:t>
      </w:r>
      <w:r w:rsidRPr="00BF4C4A">
        <w:rPr>
          <w:rFonts w:ascii="Arial" w:hAnsi="Arial" w:cs="Arial"/>
          <w:color w:val="000000"/>
          <w:sz w:val="20"/>
        </w:rPr>
        <w:t>: Application to Vary or Revoke a Protection Order;</w:t>
      </w:r>
    </w:p>
    <w:p w14:paraId="28CCA657"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-s.305</w:t>
      </w:r>
      <w:r w:rsidRPr="00BF4C4A">
        <w:rPr>
          <w:rFonts w:ascii="Arial" w:hAnsi="Arial" w:cs="Arial"/>
          <w:color w:val="000000"/>
          <w:sz w:val="20"/>
        </w:rPr>
        <w:t xml:space="preserve">: Application to Revoke a </w:t>
      </w:r>
      <w:r w:rsidR="004C770E">
        <w:rPr>
          <w:rFonts w:ascii="Arial" w:hAnsi="Arial" w:cs="Arial"/>
          <w:color w:val="000000"/>
          <w:sz w:val="20"/>
        </w:rPr>
        <w:t>c</w:t>
      </w:r>
      <w:r w:rsidR="004E1436">
        <w:rPr>
          <w:rFonts w:ascii="Arial" w:hAnsi="Arial" w:cs="Arial"/>
          <w:color w:val="000000"/>
          <w:sz w:val="20"/>
        </w:rPr>
        <w:t>are by</w:t>
      </w:r>
      <w:r w:rsidRPr="00BF4C4A">
        <w:rPr>
          <w:rFonts w:ascii="Arial" w:hAnsi="Arial" w:cs="Arial"/>
          <w:color w:val="000000"/>
          <w:sz w:val="20"/>
        </w:rPr>
        <w:t xml:space="preserve"> Secretary Order;</w:t>
      </w:r>
    </w:p>
    <w:p w14:paraId="4E161AE4"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-s.306</w:t>
      </w:r>
      <w:r w:rsidRPr="00BF4C4A">
        <w:rPr>
          <w:rFonts w:ascii="Arial" w:hAnsi="Arial" w:cs="Arial"/>
          <w:color w:val="000000"/>
          <w:sz w:val="20"/>
        </w:rPr>
        <w:t>: Application to Revoke a</w:t>
      </w:r>
      <w:r w:rsidR="004C770E">
        <w:rPr>
          <w:rFonts w:ascii="Arial" w:hAnsi="Arial" w:cs="Arial"/>
          <w:color w:val="000000"/>
          <w:sz w:val="20"/>
        </w:rPr>
        <w:t xml:space="preserve"> l</w:t>
      </w:r>
      <w:r w:rsidRPr="00BF4C4A">
        <w:rPr>
          <w:rFonts w:ascii="Arial" w:hAnsi="Arial" w:cs="Arial"/>
          <w:color w:val="000000"/>
          <w:sz w:val="20"/>
        </w:rPr>
        <w:t>ong-</w:t>
      </w:r>
      <w:r w:rsidR="004E1436">
        <w:rPr>
          <w:rFonts w:ascii="Arial" w:hAnsi="Arial" w:cs="Arial"/>
          <w:color w:val="000000"/>
          <w:sz w:val="20"/>
        </w:rPr>
        <w:t>t</w:t>
      </w:r>
      <w:r w:rsidRPr="00BF4C4A">
        <w:rPr>
          <w:rFonts w:ascii="Arial" w:hAnsi="Arial" w:cs="Arial"/>
          <w:color w:val="000000"/>
          <w:sz w:val="20"/>
        </w:rPr>
        <w:t xml:space="preserve">erm </w:t>
      </w:r>
      <w:r w:rsidR="004E1436">
        <w:rPr>
          <w:rFonts w:ascii="Arial" w:hAnsi="Arial" w:cs="Arial"/>
          <w:color w:val="000000"/>
          <w:sz w:val="20"/>
        </w:rPr>
        <w:t>Care</w:t>
      </w:r>
      <w:r w:rsidRPr="00BF4C4A">
        <w:rPr>
          <w:rFonts w:ascii="Arial" w:hAnsi="Arial" w:cs="Arial"/>
          <w:color w:val="000000"/>
          <w:sz w:val="20"/>
        </w:rPr>
        <w:t xml:space="preserve"> Order;</w:t>
      </w:r>
    </w:p>
    <w:p w14:paraId="41127B03"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-s.312</w:t>
      </w:r>
      <w:r w:rsidRPr="00BF4C4A">
        <w:rPr>
          <w:rFonts w:ascii="Arial" w:hAnsi="Arial" w:cs="Arial"/>
          <w:color w:val="000000"/>
          <w:sz w:val="20"/>
        </w:rPr>
        <w:t>: Application for Breach of Protection Order;</w:t>
      </w:r>
    </w:p>
    <w:p w14:paraId="7D06084A"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-s.320</w:t>
      </w:r>
      <w:r w:rsidRPr="00BF4C4A">
        <w:rPr>
          <w:rFonts w:ascii="Arial" w:hAnsi="Arial" w:cs="Arial"/>
          <w:color w:val="000000"/>
          <w:sz w:val="20"/>
        </w:rPr>
        <w:t>: Application for a Permanent Care Order;</w:t>
      </w:r>
    </w:p>
    <w:p w14:paraId="6B78F5CB" w14:textId="77777777" w:rsidR="00775DC6" w:rsidRPr="00BF4C4A" w:rsidRDefault="00775DC6" w:rsidP="00FB1EE3">
      <w:pPr>
        <w:numPr>
          <w:ilvl w:val="0"/>
          <w:numId w:val="49"/>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-s.326</w:t>
      </w:r>
      <w:r w:rsidRPr="00BF4C4A">
        <w:rPr>
          <w:rFonts w:ascii="Arial" w:hAnsi="Arial" w:cs="Arial"/>
          <w:color w:val="000000"/>
          <w:sz w:val="20"/>
        </w:rPr>
        <w:t>: Application to Vary or Revoke a Permanent Care Order;</w:t>
      </w:r>
    </w:p>
    <w:p w14:paraId="1A7A50C7" w14:textId="77777777" w:rsidR="00775DC6" w:rsidRDefault="00775DC6">
      <w:pPr>
        <w:jc w:val="both"/>
        <w:rPr>
          <w:rFonts w:ascii="Arial" w:hAnsi="Arial" w:cs="Arial"/>
          <w:sz w:val="20"/>
        </w:rPr>
      </w:pPr>
    </w:p>
    <w:p w14:paraId="6179A8A6" w14:textId="77777777" w:rsidR="003D6315" w:rsidRDefault="003D6315">
      <w:pPr>
        <w:jc w:val="both"/>
        <w:rPr>
          <w:rFonts w:ascii="Arial" w:hAnsi="Arial" w:cs="Arial"/>
          <w:sz w:val="20"/>
        </w:rPr>
      </w:pPr>
      <w:r>
        <w:rPr>
          <w:rFonts w:ascii="Arial" w:hAnsi="Arial" w:cs="Arial"/>
          <w:sz w:val="20"/>
        </w:rPr>
        <w:lastRenderedPageBreak/>
        <w:t>However, ss.243(3)</w:t>
      </w:r>
      <w:r w:rsidR="00A662CF">
        <w:rPr>
          <w:rFonts w:ascii="Arial" w:hAnsi="Arial" w:cs="Arial"/>
          <w:sz w:val="20"/>
        </w:rPr>
        <w:t>, 261(1),</w:t>
      </w:r>
      <w:r>
        <w:rPr>
          <w:rFonts w:ascii="Arial" w:hAnsi="Arial" w:cs="Arial"/>
          <w:sz w:val="20"/>
        </w:rPr>
        <w:t xml:space="preserve"> </w:t>
      </w:r>
      <w:r w:rsidR="00A662CF">
        <w:rPr>
          <w:rFonts w:ascii="Arial" w:hAnsi="Arial" w:cs="Arial"/>
          <w:sz w:val="20"/>
        </w:rPr>
        <w:t xml:space="preserve">268(5), 269(3), 270(5), </w:t>
      </w:r>
      <w:r w:rsidR="00DA02C6">
        <w:rPr>
          <w:rFonts w:ascii="Arial" w:hAnsi="Arial" w:cs="Arial"/>
          <w:sz w:val="20"/>
        </w:rPr>
        <w:t xml:space="preserve">291(4) &amp; 313 </w:t>
      </w:r>
      <w:r>
        <w:rPr>
          <w:rFonts w:ascii="Arial" w:hAnsi="Arial" w:cs="Arial"/>
          <w:sz w:val="20"/>
        </w:rPr>
        <w:t xml:space="preserve">empower the Court to issue a search warrant for the purpose of having a child </w:t>
      </w:r>
      <w:r w:rsidR="00A662CF">
        <w:rPr>
          <w:rFonts w:ascii="Arial" w:hAnsi="Arial" w:cs="Arial"/>
          <w:sz w:val="20"/>
        </w:rPr>
        <w:t xml:space="preserve">apprehended and </w:t>
      </w:r>
      <w:r>
        <w:rPr>
          <w:rFonts w:ascii="Arial" w:hAnsi="Arial" w:cs="Arial"/>
          <w:sz w:val="20"/>
        </w:rPr>
        <w:t xml:space="preserve">placed in emergency care </w:t>
      </w:r>
      <w:r w:rsidR="00A662CF">
        <w:rPr>
          <w:rFonts w:ascii="Arial" w:hAnsi="Arial" w:cs="Arial"/>
          <w:sz w:val="20"/>
        </w:rPr>
        <w:t xml:space="preserve">in certain circumstances </w:t>
      </w:r>
      <w:r>
        <w:rPr>
          <w:rFonts w:ascii="Arial" w:hAnsi="Arial" w:cs="Arial"/>
          <w:sz w:val="20"/>
        </w:rPr>
        <w:t xml:space="preserve">if the Court </w:t>
      </w:r>
      <w:r w:rsidR="00A662CF">
        <w:rPr>
          <w:rFonts w:ascii="Arial" w:hAnsi="Arial" w:cs="Arial"/>
          <w:sz w:val="20"/>
        </w:rPr>
        <w:t xml:space="preserve">has </w:t>
      </w:r>
      <w:r>
        <w:rPr>
          <w:rFonts w:ascii="Arial" w:hAnsi="Arial" w:cs="Arial"/>
          <w:sz w:val="20"/>
        </w:rPr>
        <w:t>order</w:t>
      </w:r>
      <w:r w:rsidR="00A662CF">
        <w:rPr>
          <w:rFonts w:ascii="Arial" w:hAnsi="Arial" w:cs="Arial"/>
          <w:sz w:val="20"/>
        </w:rPr>
        <w:t>ed</w:t>
      </w:r>
      <w:r>
        <w:rPr>
          <w:rFonts w:ascii="Arial" w:hAnsi="Arial" w:cs="Arial"/>
          <w:sz w:val="20"/>
        </w:rPr>
        <w:t xml:space="preserve"> that the child appear before the Court </w:t>
      </w:r>
      <w:r w:rsidR="00A662CF">
        <w:rPr>
          <w:rFonts w:ascii="Arial" w:hAnsi="Arial" w:cs="Arial"/>
          <w:sz w:val="20"/>
        </w:rPr>
        <w:t xml:space="preserve">for the hearing of the relevant </w:t>
      </w:r>
      <w:r>
        <w:rPr>
          <w:rFonts w:ascii="Arial" w:hAnsi="Arial" w:cs="Arial"/>
          <w:sz w:val="20"/>
        </w:rPr>
        <w:t>application and the child does not appear.</w:t>
      </w:r>
    </w:p>
    <w:p w14:paraId="1347D7A7" w14:textId="77777777" w:rsidR="003D6315" w:rsidRDefault="003D6315">
      <w:pPr>
        <w:jc w:val="both"/>
        <w:rPr>
          <w:rFonts w:ascii="Arial" w:hAnsi="Arial" w:cs="Arial"/>
          <w:sz w:val="20"/>
        </w:rPr>
      </w:pPr>
    </w:p>
    <w:p w14:paraId="4628D1FF" w14:textId="77777777" w:rsidR="00693223" w:rsidRDefault="00693223" w:rsidP="00CB1877">
      <w:pPr>
        <w:pStyle w:val="Heading2"/>
        <w:keepNext/>
        <w:keepLines/>
        <w:tabs>
          <w:tab w:val="left" w:pos="567"/>
        </w:tabs>
        <w:spacing w:line="240" w:lineRule="auto"/>
        <w:rPr>
          <w:rFonts w:ascii="Arial" w:hAnsi="Arial" w:cs="Arial"/>
          <w:b/>
          <w:bCs/>
        </w:rPr>
      </w:pPr>
      <w:bookmarkStart w:id="1339" w:name="_4.9_Family_Division"/>
      <w:bookmarkStart w:id="1340" w:name="B49"/>
      <w:bookmarkEnd w:id="1339"/>
      <w:bookmarkEnd w:id="1340"/>
      <w:smartTag w:uri="urn:schemas-microsoft-com:office:smarttags" w:element="address">
        <w:smartTag w:uri="urn:schemas-microsoft-com:office:smarttags" w:element="Street">
          <w:r>
            <w:rPr>
              <w:rFonts w:ascii="Arial" w:hAnsi="Arial" w:cs="Arial"/>
              <w:b/>
              <w:bCs/>
            </w:rPr>
            <w:t>4.9</w:t>
          </w:r>
          <w:r>
            <w:rPr>
              <w:rFonts w:ascii="Arial" w:hAnsi="Arial" w:cs="Arial"/>
              <w:b/>
              <w:bCs/>
            </w:rPr>
            <w:tab/>
            <w:t>Family Division Court</w:t>
          </w:r>
        </w:smartTag>
      </w:smartTag>
      <w:r>
        <w:rPr>
          <w:rFonts w:ascii="Arial" w:hAnsi="Arial" w:cs="Arial"/>
          <w:b/>
          <w:bCs/>
        </w:rPr>
        <w:t xml:space="preserve"> hearings</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270D038C" w14:textId="77777777" w:rsidR="00693223" w:rsidRDefault="00693223" w:rsidP="00CB1877">
      <w:pPr>
        <w:keepNext/>
        <w:keepLines/>
        <w:jc w:val="both"/>
        <w:rPr>
          <w:rFonts w:ascii="Arial" w:hAnsi="Arial" w:cs="Arial"/>
          <w:sz w:val="20"/>
        </w:rPr>
      </w:pPr>
    </w:p>
    <w:p w14:paraId="394DD884" w14:textId="77777777" w:rsidR="00693223" w:rsidRDefault="00693223">
      <w:pPr>
        <w:jc w:val="both"/>
        <w:rPr>
          <w:rFonts w:ascii="Arial" w:hAnsi="Arial" w:cs="Arial"/>
          <w:sz w:val="20"/>
        </w:rPr>
      </w:pPr>
      <w:r>
        <w:rPr>
          <w:rFonts w:ascii="Arial" w:hAnsi="Arial" w:cs="Arial"/>
          <w:sz w:val="20"/>
        </w:rPr>
        <w:t>The pr</w:t>
      </w:r>
      <w:r w:rsidR="00C32207">
        <w:rPr>
          <w:rFonts w:ascii="Arial" w:hAnsi="Arial" w:cs="Arial"/>
          <w:sz w:val="20"/>
        </w:rPr>
        <w:t xml:space="preserve">ocessing of each of the </w:t>
      </w:r>
      <w:r>
        <w:rPr>
          <w:rFonts w:ascii="Arial" w:hAnsi="Arial" w:cs="Arial"/>
          <w:sz w:val="20"/>
        </w:rPr>
        <w:t xml:space="preserve">Family Division applications </w:t>
      </w:r>
      <w:r w:rsidR="00C652C6">
        <w:rPr>
          <w:rFonts w:ascii="Arial" w:hAnsi="Arial" w:cs="Arial"/>
          <w:sz w:val="20"/>
        </w:rPr>
        <w:t>{</w:t>
      </w:r>
      <w:r>
        <w:rPr>
          <w:rFonts w:ascii="Arial" w:hAnsi="Arial" w:cs="Arial"/>
          <w:sz w:val="20"/>
        </w:rPr>
        <w:t>other than applications for intervention orders</w:t>
      </w:r>
      <w:r w:rsidR="002F113C">
        <w:rPr>
          <w:rFonts w:ascii="Arial" w:hAnsi="Arial" w:cs="Arial"/>
          <w:sz w:val="20"/>
        </w:rPr>
        <w:t xml:space="preserve">, </w:t>
      </w:r>
      <w:r w:rsidR="00C652C6">
        <w:rPr>
          <w:rFonts w:ascii="Arial" w:hAnsi="Arial" w:cs="Arial"/>
          <w:sz w:val="20"/>
        </w:rPr>
        <w:t>temporary assessment orders</w:t>
      </w:r>
      <w:r w:rsidR="002F113C">
        <w:rPr>
          <w:rFonts w:ascii="Arial" w:hAnsi="Arial" w:cs="Arial"/>
          <w:sz w:val="20"/>
        </w:rPr>
        <w:t>, therapeutic treatment orders &amp; therapeutic treatment (placement) orders</w:t>
      </w:r>
      <w:r w:rsidR="00C652C6">
        <w:rPr>
          <w:rFonts w:ascii="Arial" w:hAnsi="Arial" w:cs="Arial"/>
          <w:sz w:val="20"/>
        </w:rPr>
        <w:t>}</w:t>
      </w:r>
      <w:r>
        <w:rPr>
          <w:rFonts w:ascii="Arial" w:hAnsi="Arial" w:cs="Arial"/>
          <w:sz w:val="20"/>
        </w:rPr>
        <w:t xml:space="preserve"> involves one or more court hearings as this chart </w:t>
      </w:r>
      <w:r w:rsidR="00C32207">
        <w:rPr>
          <w:rFonts w:ascii="Arial" w:hAnsi="Arial" w:cs="Arial"/>
          <w:sz w:val="20"/>
        </w:rPr>
        <w:t>shows</w:t>
      </w:r>
      <w:r w:rsidR="00061DAE">
        <w:rPr>
          <w:rFonts w:ascii="Arial" w:hAnsi="Arial" w:cs="Arial"/>
          <w:sz w:val="20"/>
        </w:rPr>
        <w:t>.  The chart does not include Readiness Hearings introduced as a temporary COVID-19 measure.</w:t>
      </w:r>
    </w:p>
    <w:p w14:paraId="7A7824CE" w14:textId="77777777" w:rsidR="00BB5CD0" w:rsidRPr="00005E9C" w:rsidRDefault="00BB5CD0">
      <w:pPr>
        <w:jc w:val="both"/>
        <w:rPr>
          <w:rFonts w:ascii="Arial" w:hAnsi="Arial" w:cs="Arial"/>
          <w:sz w:val="20"/>
          <w:lang w:val="en-US"/>
        </w:rPr>
      </w:pPr>
    </w:p>
    <w:p w14:paraId="6E28DF68" w14:textId="7C71EE98" w:rsidR="00BB5CD0" w:rsidRDefault="002237AE">
      <w:pPr>
        <w:jc w:val="both"/>
        <w:rPr>
          <w:rFonts w:ascii="Arial" w:hAnsi="Arial" w:cs="Arial"/>
          <w:lang w:val="en-US"/>
        </w:rPr>
      </w:pPr>
      <w:r>
        <w:rPr>
          <w:rFonts w:ascii="Arial" w:hAnsi="Arial" w:cs="Arial"/>
          <w:noProof/>
          <w:lang w:eastAsia="en-AU"/>
        </w:rPr>
        <mc:AlternateContent>
          <mc:Choice Requires="wps">
            <w:drawing>
              <wp:anchor distT="0" distB="0" distL="114300" distR="114300" simplePos="0" relativeHeight="251656704" behindDoc="0" locked="0" layoutInCell="1" allowOverlap="1" wp14:anchorId="1C350CCB" wp14:editId="59BB2B1D">
                <wp:simplePos x="0" y="0"/>
                <wp:positionH relativeFrom="column">
                  <wp:posOffset>2341245</wp:posOffset>
                </wp:positionH>
                <wp:positionV relativeFrom="paragraph">
                  <wp:posOffset>4180840</wp:posOffset>
                </wp:positionV>
                <wp:extent cx="635" cy="158750"/>
                <wp:effectExtent l="62865" t="16510" r="60325" b="24765"/>
                <wp:wrapNone/>
                <wp:docPr id="4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D63F1" id="Line 14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329.2pt" to="184.4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2MxQEAAGwDAAAOAAAAZHJzL2Uyb0RvYy54bWysU01v2zAMvQ/YfxB0X+x0SJcZcXpI1126&#10;LUDbH8BIsi1MFgVKiZN/P0pNs6K7FYMBgV96fnykVjfH0YmDoWjRt3I+q6UwXqG2vm/l0+Pdp6UU&#10;MYHX4NCbVp5MlDfrjx9WU2jMFQ7otCHBID42U2jlkFJoqiqqwYwQZxiM52SHNEJil/pKE0yMPrrq&#10;qq6vqwlJB0JlYuTo7XNSrgt+1xmVfnVdNEm4VjK3VE4q5y6f1XoFTU8QBqvONOAdLEawnn96gbqF&#10;BGJP9h+o0SrCiF2aKRwr7DqrTOmBu5nXb7p5GCCY0guLE8NFpvj/YNXPw8ZvKVNXR/8Q7lH9jsLj&#10;ZgDfm0Lg8RR4cPMsVTWF2FyuZCeGLYnd9AM118A+YVHh2NGYIbk/cSxiny5im2MSioPXnxdSKI7P&#10;F8svizKJCpqXm4Fi+m5wFNlopbM+CwENHO5jykygeSnJYY931rkyTOfFxKBfa8bMqYjO6pwtDvW7&#10;jSNxgLwP9ZK/0tebMsK91wVtMKC/ne0E1rEtUhEkkWWJnJH5d6PRUjjDTyBbz/ycPwuWNcoLGZsd&#10;6tOWcjp7PNLSyHn98s689kvV30ey/gMAAP//AwBQSwMEFAAGAAgAAAAhACxwQBjeAAAACwEAAA8A&#10;AABkcnMvZG93bnJldi54bWxMj8tOwzAQRfdI/IM1SOyoU1pCFOJUgITYQqES7Nx4GgfscYjdNOXr&#10;GVawnDtH91GtJu/EiEPsAimYzzIQSE0wHbUKXl8eLgoQMWky2gVCBUeMsKpPTypdmnCgZxzXqRVs&#10;QrHUCmxKfSllbCx6HWehR+LfLgxeJz6HVppBH9jcO3mZZbn0uiNOsLrHe4vN53rvFbzt5Hvj0ojZ&#10;4xPdfX18z+1xs1Hq/Gy6vQGRcEp/MPzW5+pQc6dt2JOJwilY5MU1owryq2IJgglWeMyWlWKxBFlX&#10;8v+G+gcAAP//AwBQSwECLQAUAAYACAAAACEAtoM4kv4AAADhAQAAEwAAAAAAAAAAAAAAAAAAAAAA&#10;W0NvbnRlbnRfVHlwZXNdLnhtbFBLAQItABQABgAIAAAAIQA4/SH/1gAAAJQBAAALAAAAAAAAAAAA&#10;AAAAAC8BAABfcmVscy8ucmVsc1BLAQItABQABgAIAAAAIQBwfv2MxQEAAGwDAAAOAAAAAAAAAAAA&#10;AAAAAC4CAABkcnMvZTJvRG9jLnhtbFBLAQItABQABgAIAAAAIQAscEAY3gAAAAsBAAAPAAAAAAAA&#10;AAAAAAAAAB8EAABkcnMvZG93bnJldi54bWxQSwUGAAAAAAQABADzAAAAKgUAAAAA&#10;" strokecolor="teal" strokeweight="1.5pt">
                <v:stroke endarrow="block"/>
              </v:line>
            </w:pict>
          </mc:Fallback>
        </mc:AlternateContent>
      </w:r>
      <w:r>
        <w:rPr>
          <w:rFonts w:ascii="Arial" w:hAnsi="Arial" w:cs="Arial"/>
          <w:noProof/>
          <w:lang w:val="en-US"/>
        </w:rPr>
        <mc:AlternateContent>
          <mc:Choice Requires="wpc">
            <w:drawing>
              <wp:inline distT="0" distB="0" distL="0" distR="0" wp14:anchorId="3A3893CD" wp14:editId="4C5C49CB">
                <wp:extent cx="5278120" cy="4777105"/>
                <wp:effectExtent l="17145" t="26670" r="29210" b="0"/>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74"/>
                        <wps:cNvCnPr>
                          <a:cxnSpLocks noChangeShapeType="1"/>
                        </wps:cNvCnPr>
                        <wps:spPr bwMode="auto">
                          <a:xfrm flipH="1">
                            <a:off x="3168650" y="4030980"/>
                            <a:ext cx="757555" cy="460375"/>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2" name="Line 75"/>
                        <wps:cNvCnPr>
                          <a:cxnSpLocks noChangeShapeType="1"/>
                        </wps:cNvCnPr>
                        <wps:spPr bwMode="auto">
                          <a:xfrm>
                            <a:off x="2321560" y="3420110"/>
                            <a:ext cx="0" cy="745490"/>
                          </a:xfrm>
                          <a:prstGeom prst="line">
                            <a:avLst/>
                          </a:prstGeom>
                          <a:noFill/>
                          <a:ln w="19050">
                            <a:solidFill>
                              <a:srgbClr val="008080"/>
                            </a:solidFill>
                            <a:round/>
                            <a:headEnd/>
                            <a:tailEnd/>
                          </a:ln>
                          <a:extLst>
                            <a:ext uri="{909E8E84-426E-40DD-AFC4-6F175D3DCCD1}">
                              <a14:hiddenFill xmlns:a14="http://schemas.microsoft.com/office/drawing/2010/main">
                                <a:noFill/>
                              </a14:hiddenFill>
                            </a:ext>
                          </a:extLst>
                        </wps:spPr>
                        <wps:bodyPr/>
                      </wps:wsp>
                      <wps:wsp>
                        <wps:cNvPr id="3" name="Line 76"/>
                        <wps:cNvCnPr>
                          <a:cxnSpLocks noChangeShapeType="1"/>
                        </wps:cNvCnPr>
                        <wps:spPr bwMode="auto">
                          <a:xfrm>
                            <a:off x="2066290" y="1019175"/>
                            <a:ext cx="0" cy="866775"/>
                          </a:xfrm>
                          <a:prstGeom prst="line">
                            <a:avLst/>
                          </a:prstGeom>
                          <a:noFill/>
                          <a:ln w="190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s:wsp>
                        <wps:cNvPr id="4" name="Line 90"/>
                        <wps:cNvCnPr>
                          <a:cxnSpLocks noChangeShapeType="1"/>
                        </wps:cNvCnPr>
                        <wps:spPr bwMode="auto">
                          <a:xfrm>
                            <a:off x="4709795" y="1209040"/>
                            <a:ext cx="0" cy="18986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g:cNvPr id="6" name="Group 92"/>
                        <wpg:cNvGrpSpPr>
                          <a:grpSpLocks/>
                        </wpg:cNvGrpSpPr>
                        <wpg:grpSpPr bwMode="auto">
                          <a:xfrm>
                            <a:off x="1659890" y="560705"/>
                            <a:ext cx="3049905" cy="701040"/>
                            <a:chOff x="2064" y="527"/>
                            <a:chExt cx="2714" cy="624"/>
                          </a:xfrm>
                        </wpg:grpSpPr>
                        <wps:wsp>
                          <wps:cNvPr id="7" name="Line 93"/>
                          <wps:cNvCnPr>
                            <a:cxnSpLocks noChangeShapeType="1"/>
                          </wps:cNvCnPr>
                          <wps:spPr bwMode="auto">
                            <a:xfrm>
                              <a:off x="4778" y="674"/>
                              <a:ext cx="0" cy="226"/>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8" name="Line 94"/>
                          <wps:cNvCnPr>
                            <a:cxnSpLocks noChangeShapeType="1"/>
                          </wps:cNvCnPr>
                          <wps:spPr bwMode="auto">
                            <a:xfrm>
                              <a:off x="2594" y="925"/>
                              <a:ext cx="0" cy="226"/>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 name="Line 95"/>
                          <wps:cNvCnPr>
                            <a:cxnSpLocks noChangeShapeType="1"/>
                          </wps:cNvCnPr>
                          <wps:spPr bwMode="auto">
                            <a:xfrm>
                              <a:off x="3393" y="899"/>
                              <a:ext cx="943" cy="0"/>
                            </a:xfrm>
                            <a:prstGeom prst="line">
                              <a:avLst/>
                            </a:prstGeom>
                            <a:noFill/>
                            <a:ln w="190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0" name="Line 96"/>
                          <wps:cNvCnPr>
                            <a:cxnSpLocks noChangeShapeType="1"/>
                          </wps:cNvCnPr>
                          <wps:spPr bwMode="auto">
                            <a:xfrm>
                              <a:off x="3405" y="646"/>
                              <a:ext cx="325" cy="0"/>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11" name="Line 97"/>
                          <wps:cNvCnPr>
                            <a:cxnSpLocks noChangeShapeType="1"/>
                          </wps:cNvCnPr>
                          <wps:spPr bwMode="auto">
                            <a:xfrm>
                              <a:off x="2064" y="527"/>
                              <a:ext cx="0" cy="91"/>
                            </a:xfrm>
                            <a:prstGeom prst="line">
                              <a:avLst/>
                            </a:prstGeom>
                            <a:noFill/>
                            <a:ln w="19050">
                              <a:solidFill>
                                <a:srgbClr val="000066"/>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g:wgp>
                      <wps:wsp>
                        <wps:cNvPr id="12" name="Line 99"/>
                        <wps:cNvCnPr>
                          <a:cxnSpLocks noChangeShapeType="1"/>
                        </wps:cNvCnPr>
                        <wps:spPr bwMode="auto">
                          <a:xfrm>
                            <a:off x="2626360" y="1631315"/>
                            <a:ext cx="635" cy="26727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13" name="Line 100"/>
                        <wps:cNvCnPr>
                          <a:cxnSpLocks noChangeShapeType="1"/>
                        </wps:cNvCnPr>
                        <wps:spPr bwMode="auto">
                          <a:xfrm>
                            <a:off x="3166745" y="1612265"/>
                            <a:ext cx="1059815" cy="0"/>
                          </a:xfrm>
                          <a:prstGeom prst="line">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14" name="Line 101"/>
                        <wps:cNvCnPr>
                          <a:cxnSpLocks noChangeShapeType="1"/>
                        </wps:cNvCnPr>
                        <wps:spPr bwMode="auto">
                          <a:xfrm>
                            <a:off x="3168015" y="268668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5" name="Line 102"/>
                        <wps:cNvCnPr>
                          <a:cxnSpLocks noChangeShapeType="1"/>
                        </wps:cNvCnPr>
                        <wps:spPr bwMode="auto">
                          <a:xfrm>
                            <a:off x="3166745" y="2082165"/>
                            <a:ext cx="142494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6" name="Line 103"/>
                        <wps:cNvCnPr>
                          <a:cxnSpLocks noChangeShapeType="1"/>
                        </wps:cNvCnPr>
                        <wps:spPr bwMode="auto">
                          <a:xfrm>
                            <a:off x="4587875" y="1880870"/>
                            <a:ext cx="0" cy="1618615"/>
                          </a:xfrm>
                          <a:prstGeom prst="line">
                            <a:avLst/>
                          </a:prstGeom>
                          <a:noFill/>
                          <a:ln w="19050">
                            <a:solidFill>
                              <a:srgbClr val="FF00FF"/>
                            </a:solidFill>
                            <a:round/>
                            <a:headEnd type="triangle" w="med" len="med"/>
                            <a:tailEnd/>
                          </a:ln>
                          <a:extLst>
                            <a:ext uri="{909E8E84-426E-40DD-AFC4-6F175D3DCCD1}">
                              <a14:hiddenFill xmlns:a14="http://schemas.microsoft.com/office/drawing/2010/main">
                                <a:noFill/>
                              </a14:hiddenFill>
                            </a:ext>
                          </a:extLst>
                        </wps:spPr>
                        <wps:bodyPr/>
                      </wps:wsp>
                      <wps:wsp>
                        <wps:cNvPr id="17" name="Line 104"/>
                        <wps:cNvCnPr>
                          <a:cxnSpLocks noChangeShapeType="1"/>
                        </wps:cNvCnPr>
                        <wps:spPr bwMode="auto">
                          <a:xfrm>
                            <a:off x="3168015" y="322516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8" name="Line 105"/>
                        <wps:cNvCnPr>
                          <a:cxnSpLocks noChangeShapeType="1"/>
                        </wps:cNvCnPr>
                        <wps:spPr bwMode="auto">
                          <a:xfrm>
                            <a:off x="2526030" y="2217420"/>
                            <a:ext cx="635" cy="20885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19" name="Line 106"/>
                        <wps:cNvCnPr>
                          <a:cxnSpLocks noChangeShapeType="1"/>
                        </wps:cNvCnPr>
                        <wps:spPr bwMode="auto">
                          <a:xfrm>
                            <a:off x="2423160" y="2849880"/>
                            <a:ext cx="635" cy="146812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g:wgp>
                        <wpg:cNvPr id="20" name="Group 150"/>
                        <wpg:cNvGrpSpPr>
                          <a:grpSpLocks/>
                        </wpg:cNvGrpSpPr>
                        <wpg:grpSpPr bwMode="auto">
                          <a:xfrm>
                            <a:off x="0" y="0"/>
                            <a:ext cx="5278120" cy="4648835"/>
                            <a:chOff x="1827" y="7928"/>
                            <a:chExt cx="8312" cy="7321"/>
                          </a:xfrm>
                        </wpg:grpSpPr>
                        <wps:wsp>
                          <wps:cNvPr id="21" name="Rectangle 108"/>
                          <wps:cNvSpPr>
                            <a:spLocks noChangeArrowheads="1"/>
                          </wps:cNvSpPr>
                          <wps:spPr bwMode="auto">
                            <a:xfrm>
                              <a:off x="2772" y="10429"/>
                              <a:ext cx="883" cy="573"/>
                            </a:xfrm>
                            <a:prstGeom prst="rect">
                              <a:avLst/>
                            </a:prstGeom>
                            <a:solidFill>
                              <a:srgbClr val="FF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wps:txbx>
                          <wps:bodyPr rot="0" vert="horz" wrap="square" lIns="33814" tIns="18034" rIns="33814" bIns="18034" anchor="t" anchorCtr="0" upright="1">
                            <a:noAutofit/>
                          </wps:bodyPr>
                        </wps:wsp>
                        <wps:wsp>
                          <wps:cNvPr id="22" name="Line 109"/>
                          <wps:cNvCnPr>
                            <a:cxnSpLocks noChangeShapeType="1"/>
                          </wps:cNvCnPr>
                          <wps:spPr bwMode="auto">
                            <a:xfrm>
                              <a:off x="2662" y="9701"/>
                              <a:ext cx="1" cy="436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 name="Line 110"/>
                          <wps:cNvCnPr>
                            <a:cxnSpLocks noChangeShapeType="1"/>
                          </wps:cNvCnPr>
                          <wps:spPr bwMode="auto">
                            <a:xfrm>
                              <a:off x="7971" y="9832"/>
                              <a:ext cx="0" cy="363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24" name="Text Box 111"/>
                          <wps:cNvSpPr txBox="1">
                            <a:spLocks noChangeArrowheads="1"/>
                          </wps:cNvSpPr>
                          <wps:spPr bwMode="auto">
                            <a:xfrm>
                              <a:off x="3699" y="14698"/>
                              <a:ext cx="3115" cy="551"/>
                            </a:xfrm>
                            <a:prstGeom prst="rect">
                              <a:avLst/>
                            </a:prstGeom>
                            <a:solidFill>
                              <a:srgbClr val="C0C0C0">
                                <a:alpha val="50000"/>
                              </a:srgbClr>
                            </a:solidFill>
                            <a:ln w="9525">
                              <a:solidFill>
                                <a:srgbClr val="000000"/>
                              </a:solidFill>
                              <a:miter lim="800000"/>
                              <a:headEnd/>
                              <a:tailEnd/>
                            </a:ln>
                          </wps:spPr>
                          <wps:txbx>
                            <w:txbxContent>
                              <w:p w14:paraId="1E303BD8" w14:textId="77777777"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wps:txbx>
                          <wps:bodyPr rot="0" vert="horz" wrap="square" lIns="64922" tIns="12780" rIns="64922" bIns="25560" anchor="t" anchorCtr="0" upright="1">
                            <a:noAutofit/>
                          </wps:bodyPr>
                        </wps:wsp>
                        <wps:wsp>
                          <wps:cNvPr id="25" name="Line 112"/>
                          <wps:cNvCnPr>
                            <a:cxnSpLocks noChangeShapeType="1"/>
                          </wps:cNvCnPr>
                          <wps:spPr bwMode="auto">
                            <a:xfrm>
                              <a:off x="2641" y="10255"/>
                              <a:ext cx="10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113"/>
                          <wps:cNvSpPr>
                            <a:spLocks noChangeArrowheads="1"/>
                          </wps:cNvSpPr>
                          <wps:spPr bwMode="auto">
                            <a:xfrm>
                              <a:off x="1846" y="7928"/>
                              <a:ext cx="8293" cy="501"/>
                            </a:xfrm>
                            <a:prstGeom prst="rect">
                              <a:avLst/>
                            </a:prstGeom>
                            <a:solidFill>
                              <a:srgbClr val="000000"/>
                            </a:solidFill>
                            <a:ln w="508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wps:txbx>
                          <wps:bodyPr rot="0" vert="horz" wrap="square" lIns="65373" tIns="32687" rIns="65373" bIns="32687" anchor="ctr" anchorCtr="0" upright="1">
                            <a:noAutofit/>
                          </wps:bodyPr>
                        </wps:wsp>
                        <wps:wsp>
                          <wps:cNvPr id="27" name="Text Box 114"/>
                          <wps:cNvSpPr txBox="1">
                            <a:spLocks noChangeArrowheads="1"/>
                          </wps:cNvSpPr>
                          <wps:spPr bwMode="auto">
                            <a:xfrm>
                              <a:off x="7345" y="8563"/>
                              <a:ext cx="2782" cy="508"/>
                            </a:xfrm>
                            <a:prstGeom prst="rect">
                              <a:avLst/>
                            </a:prstGeom>
                            <a:solidFill>
                              <a:srgbClr val="00FF00"/>
                            </a:solidFill>
                            <a:ln w="9525">
                              <a:solidFill>
                                <a:srgbClr val="000000"/>
                              </a:solidFill>
                              <a:miter lim="800000"/>
                              <a:headEnd/>
                              <a:tailEnd/>
                            </a:ln>
                          </wps:spPr>
                          <wps:txbx>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wps:txbx>
                          <wps:bodyPr rot="0" vert="horz" wrap="square" lIns="64922" tIns="12780" rIns="64922" bIns="25560" anchor="t" anchorCtr="0" upright="1">
                            <a:noAutofit/>
                          </wps:bodyPr>
                        </wps:wsp>
                        <wps:wsp>
                          <wps:cNvPr id="28" name="Text Box 115"/>
                          <wps:cNvSpPr txBox="1">
                            <a:spLocks noChangeArrowheads="1"/>
                          </wps:cNvSpPr>
                          <wps:spPr bwMode="auto">
                            <a:xfrm>
                              <a:off x="7568" y="9430"/>
                              <a:ext cx="2472" cy="402"/>
                            </a:xfrm>
                            <a:prstGeom prst="rect">
                              <a:avLst/>
                            </a:prstGeom>
                            <a:solidFill>
                              <a:srgbClr val="FF0000"/>
                            </a:solidFill>
                            <a:ln w="9525">
                              <a:solidFill>
                                <a:srgbClr val="000000"/>
                              </a:solidFill>
                              <a:miter lim="800000"/>
                              <a:headEnd/>
                              <a:tailEnd/>
                            </a:ln>
                          </wps:spPr>
                          <wps:txbx>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wps:txbx>
                          <wps:bodyPr rot="0" vert="horz" wrap="square" lIns="64922" tIns="12780" rIns="64922" bIns="25560" anchor="t" anchorCtr="0" upright="1">
                            <a:noAutofit/>
                          </wps:bodyPr>
                        </wps:wsp>
                        <wps:wsp>
                          <wps:cNvPr id="29" name="Text Box 116"/>
                          <wps:cNvSpPr txBox="1">
                            <a:spLocks noChangeArrowheads="1"/>
                          </wps:cNvSpPr>
                          <wps:spPr bwMode="auto">
                            <a:xfrm>
                              <a:off x="1846" y="8986"/>
                              <a:ext cx="1545" cy="740"/>
                            </a:xfrm>
                            <a:prstGeom prst="rect">
                              <a:avLst/>
                            </a:prstGeom>
                            <a:solidFill>
                              <a:srgbClr val="C0C0C0">
                                <a:alpha val="50000"/>
                              </a:srgbClr>
                            </a:solidFill>
                            <a:ln w="9525">
                              <a:solidFill>
                                <a:srgbClr val="000000"/>
                              </a:solidFill>
                              <a:miter lim="800000"/>
                              <a:headEnd/>
                              <a:tailEnd/>
                            </a:ln>
                          </wps:spPr>
                          <wps:txbx>
                            <w:txbxContent>
                              <w:p w14:paraId="48F3E22F" w14:textId="77777777" w:rsidR="00BB5CD0" w:rsidRPr="00153EF7" w:rsidRDefault="00BB5CD0" w:rsidP="00BB5CD0">
                                <w:pPr>
                                  <w:autoSpaceDE w:val="0"/>
                                  <w:autoSpaceDN w:val="0"/>
                                  <w:adjustRightInd w:val="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wps:txbx>
                          <wps:bodyPr rot="0" vert="horz" wrap="square" lIns="64922" tIns="12780" rIns="64922" bIns="25560" anchor="t" anchorCtr="0" upright="1">
                            <a:noAutofit/>
                          </wps:bodyPr>
                        </wps:wsp>
                        <wps:wsp>
                          <wps:cNvPr id="30" name="Text Box 117"/>
                          <wps:cNvSpPr txBox="1">
                            <a:spLocks noChangeArrowheads="1"/>
                          </wps:cNvSpPr>
                          <wps:spPr bwMode="auto">
                            <a:xfrm>
                              <a:off x="8470" y="10105"/>
                              <a:ext cx="1568" cy="785"/>
                            </a:xfrm>
                            <a:prstGeom prst="rect">
                              <a:avLst/>
                            </a:prstGeom>
                            <a:solidFill>
                              <a:srgbClr val="FF00FF"/>
                            </a:solidFill>
                            <a:ln w="9525">
                              <a:solidFill>
                                <a:srgbClr val="000000"/>
                              </a:solidFill>
                              <a:miter lim="800000"/>
                              <a:headEnd/>
                              <a:tailEnd/>
                            </a:ln>
                          </wps:spPr>
                          <wps:txbx>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wps:txbx>
                          <wps:bodyPr rot="0" vert="horz" wrap="square" lIns="64922" tIns="12780" rIns="64922" bIns="25560" anchor="t" anchorCtr="0" upright="1">
                            <a:noAutofit/>
                          </wps:bodyPr>
                        </wps:wsp>
                        <wps:wsp>
                          <wps:cNvPr id="31" name="Line 118"/>
                          <wps:cNvCnPr>
                            <a:cxnSpLocks noChangeShapeType="1"/>
                          </wps:cNvCnPr>
                          <wps:spPr bwMode="auto">
                            <a:xfrm>
                              <a:off x="2641" y="12159"/>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 name="Line 119"/>
                          <wps:cNvCnPr>
                            <a:cxnSpLocks noChangeShapeType="1"/>
                          </wps:cNvCnPr>
                          <wps:spPr bwMode="auto">
                            <a:xfrm>
                              <a:off x="2641" y="11207"/>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Text Box 120"/>
                          <wps:cNvSpPr txBox="1">
                            <a:spLocks noChangeArrowheads="1"/>
                          </wps:cNvSpPr>
                          <wps:spPr bwMode="auto">
                            <a:xfrm>
                              <a:off x="7237" y="13430"/>
                              <a:ext cx="2780" cy="867"/>
                            </a:xfrm>
                            <a:prstGeom prst="rect">
                              <a:avLst/>
                            </a:prstGeom>
                            <a:solidFill>
                              <a:srgbClr val="000080"/>
                            </a:solidFill>
                            <a:ln w="9525">
                              <a:solidFill>
                                <a:srgbClr val="000000"/>
                              </a:solidFill>
                              <a:miter lim="800000"/>
                              <a:headEnd/>
                              <a:tailEnd/>
                            </a:ln>
                          </wps:spPr>
                          <wps:txbx>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wps:txbx>
                          <wps:bodyPr rot="0" vert="horz" wrap="square" lIns="64922" tIns="12780" rIns="64922" bIns="25560" anchor="t" anchorCtr="0" upright="1">
                            <a:noAutofit/>
                          </wps:bodyPr>
                        </wps:wsp>
                        <wps:wsp>
                          <wps:cNvPr id="34" name="Line 121"/>
                          <wps:cNvCnPr>
                            <a:cxnSpLocks noChangeShapeType="1"/>
                          </wps:cNvCnPr>
                          <wps:spPr bwMode="auto">
                            <a:xfrm>
                              <a:off x="9574" y="10844"/>
                              <a:ext cx="0" cy="259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35" name="Text Box 122"/>
                          <wps:cNvSpPr txBox="1">
                            <a:spLocks noChangeArrowheads="1"/>
                          </wps:cNvSpPr>
                          <wps:spPr bwMode="auto">
                            <a:xfrm>
                              <a:off x="1827" y="8367"/>
                              <a:ext cx="3863" cy="317"/>
                            </a:xfrm>
                            <a:prstGeom prst="rect">
                              <a:avLst/>
                            </a:prstGeom>
                            <a:solidFill>
                              <a:srgbClr val="000000"/>
                            </a:solidFill>
                            <a:ln w="9525">
                              <a:solidFill>
                                <a:srgbClr val="000000"/>
                              </a:solidFill>
                              <a:miter lim="800000"/>
                              <a:headEnd/>
                              <a:tailEnd/>
                            </a:ln>
                          </wps:spPr>
                          <wps:txbx>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wps:txbx>
                          <wps:bodyPr rot="0" vert="horz" wrap="square" lIns="64922" tIns="32461" rIns="64922" bIns="32461" anchor="t" anchorCtr="0" upright="1">
                            <a:noAutofit/>
                          </wps:bodyPr>
                        </wps:wsp>
                        <wps:wsp>
                          <wps:cNvPr id="36" name="Line 125"/>
                          <wps:cNvCnPr>
                            <a:cxnSpLocks noChangeShapeType="1"/>
                          </wps:cNvCnPr>
                          <wps:spPr bwMode="auto">
                            <a:xfrm>
                              <a:off x="5484" y="14467"/>
                              <a:ext cx="1" cy="25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37" name="Line 126"/>
                          <wps:cNvCnPr>
                            <a:cxnSpLocks noChangeShapeType="1"/>
                          </wps:cNvCnPr>
                          <wps:spPr bwMode="auto">
                            <a:xfrm>
                              <a:off x="2643" y="13111"/>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 name="Line 127"/>
                          <wps:cNvCnPr>
                            <a:cxnSpLocks noChangeShapeType="1"/>
                          </wps:cNvCnPr>
                          <wps:spPr bwMode="auto">
                            <a:xfrm>
                              <a:off x="2643" y="14063"/>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 name="Line 128"/>
                          <wps:cNvCnPr>
                            <a:cxnSpLocks noChangeShapeType="1"/>
                          </wps:cNvCnPr>
                          <wps:spPr bwMode="auto">
                            <a:xfrm>
                              <a:off x="3262" y="10255"/>
                              <a:ext cx="0" cy="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Line 129"/>
                          <wps:cNvCnPr>
                            <a:cxnSpLocks noChangeShapeType="1"/>
                          </wps:cNvCnPr>
                          <wps:spPr bwMode="auto">
                            <a:xfrm>
                              <a:off x="3262" y="11051"/>
                              <a:ext cx="0" cy="1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131"/>
                          <wps:cNvSpPr txBox="1">
                            <a:spLocks noChangeArrowheads="1"/>
                          </wps:cNvSpPr>
                          <wps:spPr bwMode="auto">
                            <a:xfrm>
                              <a:off x="3699" y="11842"/>
                              <a:ext cx="3115" cy="551"/>
                            </a:xfrm>
                            <a:prstGeom prst="rect">
                              <a:avLst/>
                            </a:prstGeom>
                            <a:solidFill>
                              <a:srgbClr val="339966"/>
                            </a:solidFill>
                            <a:ln w="9525">
                              <a:solidFill>
                                <a:srgbClr val="000000"/>
                              </a:solidFill>
                              <a:miter lim="800000"/>
                              <a:headEnd/>
                              <a:tailEnd/>
                            </a:ln>
                          </wps:spPr>
                          <wps:txbx>
                            <w:txbxContent>
                              <w:p w14:paraId="6131C596" w14:textId="77777777" w:rsidR="00BB5CD0" w:rsidRPr="00CB70D3" w:rsidRDefault="00BB5CD0" w:rsidP="00BB5CD0">
                                <w:pPr>
                                  <w:autoSpaceDE w:val="0"/>
                                  <w:autoSpaceDN w:val="0"/>
                                  <w:adjustRightInd w:val="0"/>
                                  <w:spacing w:before="60"/>
                                  <w:jc w:val="center"/>
                                  <w:rPr>
                                    <w:rFonts w:ascii="Arial Narrow" w:hAnsi="Arial Narrow" w:cs="Arial Narrow"/>
                                    <w:b/>
                                    <w:bCs/>
                                    <w:color w:val="FFFFFF"/>
                                    <w:sz w:val="25"/>
                                  </w:rPr>
                                </w:pPr>
                                <w:r w:rsidRPr="00CB70D3">
                                  <w:rPr>
                                    <w:rFonts w:ascii="Arial Narrow" w:hAnsi="Arial Narrow"/>
                                    <w:color w:val="FFFFFF"/>
                                    <w:sz w:val="28"/>
                                    <w:szCs w:val="28"/>
                                  </w:rPr>
                                  <w:sym w:font="Wingdings" w:char="F08E"/>
                                </w:r>
                                <w:r w:rsidR="000C49FD">
                                  <w:rPr>
                                    <w:rFonts w:ascii="Arial Narrow" w:hAnsi="Arial Narrow" w:cs="Arial Narrow"/>
                                    <w:b/>
                                    <w:bCs/>
                                    <w:color w:val="FFFFFF"/>
                                    <w:sz w:val="28"/>
                                    <w:szCs w:val="20"/>
                                  </w:rPr>
                                  <w:t>ADR [C</w:t>
                                </w:r>
                                <w:r w:rsidR="00CB70D3" w:rsidRPr="00CB70D3">
                                  <w:rPr>
                                    <w:rFonts w:ascii="Arial Narrow" w:hAnsi="Arial Narrow" w:cs="Arial Narrow"/>
                                    <w:b/>
                                    <w:bCs/>
                                    <w:color w:val="FFFFFF"/>
                                    <w:sz w:val="28"/>
                                    <w:szCs w:val="20"/>
                                  </w:rPr>
                                  <w:t>C, JRC]</w:t>
                                </w:r>
                              </w:p>
                            </w:txbxContent>
                          </wps:txbx>
                          <wps:bodyPr rot="0" vert="horz" wrap="square" lIns="64922" tIns="12780" rIns="64922" bIns="25560" anchor="t" anchorCtr="0" upright="1">
                            <a:noAutofit/>
                          </wps:bodyPr>
                        </wps:wsp>
                        <wps:wsp>
                          <wps:cNvPr id="42" name="Text Box 132"/>
                          <wps:cNvSpPr txBox="1">
                            <a:spLocks noChangeArrowheads="1"/>
                          </wps:cNvSpPr>
                          <wps:spPr bwMode="auto">
                            <a:xfrm>
                              <a:off x="3699" y="10890"/>
                              <a:ext cx="3115" cy="551"/>
                            </a:xfrm>
                            <a:prstGeom prst="rect">
                              <a:avLst/>
                            </a:prstGeom>
                            <a:solidFill>
                              <a:srgbClr val="339966"/>
                            </a:solidFill>
                            <a:ln w="9525">
                              <a:solidFill>
                                <a:srgbClr val="000000"/>
                              </a:solidFill>
                              <a:miter lim="800000"/>
                              <a:headEnd/>
                              <a:tailEnd/>
                            </a:ln>
                          </wps:spPr>
                          <wps:txbx>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wps:txbx>
                          <wps:bodyPr rot="0" vert="horz" wrap="square" lIns="64922" tIns="12780" rIns="64922" bIns="25560" anchor="t" anchorCtr="0" upright="1">
                            <a:noAutofit/>
                          </wps:bodyPr>
                        </wps:wsp>
                        <wps:wsp>
                          <wps:cNvPr id="43" name="Text Box 133"/>
                          <wps:cNvSpPr txBox="1">
                            <a:spLocks noChangeArrowheads="1"/>
                          </wps:cNvSpPr>
                          <wps:spPr bwMode="auto">
                            <a:xfrm>
                              <a:off x="3705" y="12795"/>
                              <a:ext cx="3112" cy="550"/>
                            </a:xfrm>
                            <a:prstGeom prst="rect">
                              <a:avLst/>
                            </a:prstGeom>
                            <a:solidFill>
                              <a:srgbClr val="339966"/>
                            </a:solidFill>
                            <a:ln w="9525">
                              <a:solidFill>
                                <a:srgbClr val="000000"/>
                              </a:solidFill>
                              <a:miter lim="800000"/>
                              <a:headEnd/>
                              <a:tailEnd/>
                            </a:ln>
                          </wps:spPr>
                          <wps:txbx>
                            <w:txbxContent>
                              <w:p w14:paraId="25C128D3" w14:textId="77777777"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0C49FD" w:rsidRPr="000C49FD">
                                  <w:rPr>
                                    <w:rFonts w:ascii="Arial Narrow" w:hAnsi="Arial Narrow" w:cs="Arial Narrow"/>
                                    <w:b/>
                                    <w:bCs/>
                                    <w:color w:val="FFFFFF"/>
                                    <w:szCs w:val="28"/>
                                  </w:rPr>
                                  <w:t>1</w:t>
                                </w:r>
                                <w:r w:rsidR="000C49FD" w:rsidRPr="000C49FD">
                                  <w:rPr>
                                    <w:rFonts w:ascii="Arial Narrow" w:hAnsi="Arial Narrow" w:cs="Arial Narrow"/>
                                    <w:b/>
                                    <w:bCs/>
                                    <w:color w:val="FFFFFF"/>
                                    <w:szCs w:val="28"/>
                                    <w:vertAlign w:val="superscript"/>
                                  </w:rPr>
                                  <w:t>st</w:t>
                                </w:r>
                                <w:r w:rsidR="000C49FD" w:rsidRPr="000C49FD">
                                  <w:rPr>
                                    <w:rFonts w:ascii="Arial Narrow" w:hAnsi="Arial Narrow" w:cs="Arial Narrow"/>
                                    <w:b/>
                                    <w:bCs/>
                                    <w:color w:val="FFFFFF"/>
                                    <w:szCs w:val="28"/>
                                  </w:rPr>
                                  <w:t xml:space="preserve"> </w:t>
                                </w:r>
                                <w:r w:rsidRPr="000C49FD">
                                  <w:rPr>
                                    <w:rFonts w:ascii="Arial Narrow" w:hAnsi="Arial Narrow" w:cs="Arial Narrow"/>
                                    <w:b/>
                                    <w:bCs/>
                                    <w:color w:val="FFFFFF"/>
                                    <w:szCs w:val="28"/>
                                  </w:rPr>
                                  <w:t>DIRECTIONS HEARING</w:t>
                                </w:r>
                              </w:p>
                            </w:txbxContent>
                          </wps:txbx>
                          <wps:bodyPr rot="0" vert="horz" wrap="square" lIns="64922" tIns="12780" rIns="64922" bIns="25560" anchor="t" anchorCtr="0" upright="1">
                            <a:noAutofit/>
                          </wps:bodyPr>
                        </wps:wsp>
                        <wps:wsp>
                          <wps:cNvPr id="44" name="Text Box 134"/>
                          <wps:cNvSpPr txBox="1">
                            <a:spLocks noChangeArrowheads="1"/>
                          </wps:cNvSpPr>
                          <wps:spPr bwMode="auto">
                            <a:xfrm>
                              <a:off x="3705" y="13747"/>
                              <a:ext cx="3112" cy="550"/>
                            </a:xfrm>
                            <a:prstGeom prst="rect">
                              <a:avLst/>
                            </a:prstGeom>
                            <a:solidFill>
                              <a:srgbClr val="339966"/>
                            </a:solidFill>
                            <a:ln w="9525">
                              <a:solidFill>
                                <a:srgbClr val="000000"/>
                              </a:solidFill>
                              <a:miter lim="800000"/>
                              <a:headEnd/>
                              <a:tailEnd/>
                            </a:ln>
                          </wps:spPr>
                          <wps:txbx>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wps:txbx>
                          <wps:bodyPr rot="0" vert="horz" wrap="square" lIns="64922" tIns="12780" rIns="64922" bIns="25560" anchor="t" anchorCtr="0" upright="1">
                            <a:noAutofit/>
                          </wps:bodyPr>
                        </wps:wsp>
                        <wps:wsp>
                          <wps:cNvPr id="45" name="Text Box 135"/>
                          <wps:cNvSpPr txBox="1">
                            <a:spLocks noChangeArrowheads="1"/>
                          </wps:cNvSpPr>
                          <wps:spPr bwMode="auto">
                            <a:xfrm>
                              <a:off x="3696" y="8961"/>
                              <a:ext cx="1467" cy="538"/>
                            </a:xfrm>
                            <a:prstGeom prst="rect">
                              <a:avLst/>
                            </a:prstGeom>
                            <a:solidFill>
                              <a:srgbClr val="00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wps:txbx>
                          <wps:bodyPr rot="0" vert="horz" wrap="square" lIns="64922" tIns="32461" rIns="64922" bIns="32461" anchor="t" anchorCtr="0" upright="1">
                            <a:noAutofit/>
                          </wps:bodyPr>
                        </wps:wsp>
                        <wps:wsp>
                          <wps:cNvPr id="46" name="Text Box 136"/>
                          <wps:cNvSpPr txBox="1">
                            <a:spLocks noChangeArrowheads="1"/>
                          </wps:cNvSpPr>
                          <wps:spPr bwMode="auto">
                            <a:xfrm>
                              <a:off x="5260" y="8961"/>
                              <a:ext cx="1549" cy="538"/>
                            </a:xfrm>
                            <a:prstGeom prst="rect">
                              <a:avLst/>
                            </a:prstGeom>
                            <a:solidFill>
                              <a:srgbClr val="FF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wps:txbx>
                          <wps:bodyPr rot="0" vert="horz" wrap="square" lIns="64922" tIns="32461" rIns="64922" bIns="32461" anchor="t" anchorCtr="0" upright="1">
                            <a:noAutofit/>
                          </wps:bodyPr>
                        </wps:wsp>
                        <wps:wsp>
                          <wps:cNvPr id="47" name="Text Box 137"/>
                          <wps:cNvSpPr txBox="1">
                            <a:spLocks noChangeArrowheads="1"/>
                          </wps:cNvSpPr>
                          <wps:spPr bwMode="auto">
                            <a:xfrm>
                              <a:off x="3699" y="9938"/>
                              <a:ext cx="3115" cy="551"/>
                            </a:xfrm>
                            <a:prstGeom prst="rect">
                              <a:avLst/>
                            </a:prstGeom>
                            <a:solidFill>
                              <a:srgbClr val="339966"/>
                            </a:solidFill>
                            <a:ln w="9525">
                              <a:solidFill>
                                <a:srgbClr val="000000"/>
                              </a:solidFill>
                              <a:miter lim="800000"/>
                              <a:headEnd/>
                              <a:tailEnd/>
                            </a:ln>
                          </wps:spPr>
                          <wps:txbx>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wps:txbx>
                          <wps:bodyPr rot="0" vert="horz" wrap="square" lIns="64922" tIns="12780" rIns="64922" bIns="25560" anchor="t" anchorCtr="0" upright="1">
                            <a:noAutofit/>
                          </wps:bodyPr>
                        </wps:wsp>
                      </wpg:wgp>
                    </wpc:wpc>
                  </a:graphicData>
                </a:graphic>
              </wp:inline>
            </w:drawing>
          </mc:Choice>
          <mc:Fallback>
            <w:pict>
              <v:group w14:anchorId="3A3893CD" id="Canvas 139" o:spid="_x0000_s1035" editas="canvas" style="width:415.6pt;height:376.15pt;mso-position-horizontal-relative:char;mso-position-vertical-relative:line" coordsize="52781,47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hVIwsAABprAAAOAAAAZHJzL2Uyb0RvYy54bWzsXe1y27gV/d+ZvgNH/xsTAD81cXa23nXa&#10;mbTNNOkD0BJlaSqRKklbzj59zwVA8ENSLNsRRDvKznglgyJp3It7zz33gHr/y8Nq6dynRbnIs8sR&#10;e+eOnDSb5NNFdns5+s/X679EI6eskmyaLPMsvRx9S8vRLx/+/Kf3m/U45fk8X07TwsFJsnK8WV+O&#10;5lW1Hl9clJN5ukrKd/k6zTA4y4tVUuFtcXsxLZINzr5aXnDXDS42eTFdF/kkLUv89jc1OPogzz+b&#10;pZPqX7NZmVbO8nKEe6vkz0L+vKGfFx/eJ+PbIlnPFxN9G8kz7mKVLDJc1Jzqt6RKnLtisXWq1WJS&#10;5GU+q95N8tVFPpstJqn8G/DXMLf311wl2X1Syj9mgtmpbxCvfuB5b27pvrP8erFcYjYucPYx/Y7+&#10;v4F9UhpeZt2D1G/ksfqYzRoGLNfGlOXLbvHLPFmn8i8vx5N/3n8unMUU/jVysmQFN/q0yFIn9Mh8&#10;dGEccZV9LugeJw/Zl/WnfPLf0snyq3mS3abyXF+/rfE5Rp/Abbc+Qm/KNS5ws/lHPsUxyV2VS1s+&#10;zIqVM1su1n+jD9LJYS/n4XIkWBAFPtzp2+XIc4UbR9qR0ofKmeCA0A993x85EzogcEXoy+smYzol&#10;nWhdlNXHNF859OJytMSfIy+Q3H8qK7rF5pDOxNO8OxvcTuzi+jRU5svFlGwn3xS3N1fLwrlPyN3x&#10;T90YztY5rMjvsimukoznaTL9PZs6lZydqlhgvpbpiC6xSqcjZ5liVdMreXSVLJY4Wt0fuYScSZo8&#10;ZYabfPrtc0HD2hvUr4/uFrzrFnKyOzb+4W5Bc6edgQvO/EA5g/CwilnPGTBEfhB6vhfLIZjDrh9E&#10;h/rBoK0sulYOyCftWdkNAg7z0ZJnLouZWtLJuF7y2spREIQnW+1u7V4HrfYMCVmu9HKlFzpetD1g&#10;V1ToHQtXVqkhlblWB686pJ42Kngdf1FLz5q/eKEbhzFSAPkLd2PX2x0VWBQjldC0W48KlB/0hQ/y&#10;l6Nkh9vx5rYBDcCMPQD4JLz0EYltjay4Wd+2QENQ+4EcdmKuAoc85GOx/iLTFyE3vJTAgYyhT2HG&#10;6b08Yh9QaGUEFvhxpGMFMkPoSvs2oUK4Xoz8rdMCYF/tG5M5wCoBDO4G8F64js9DtSQn8981tuAh&#10;wxhllIBLAGQcR960vklLmTes51YCslioqW2hq2NmXi8MUV3QRCgk2MywDsacyyRhJqgBVcfFXdfX&#10;A1hZFuA4Zr8Fx2MLcLy1yriPC5L1Y95bXye1Ptn+QOs/lmu3ELjOtgNB3XHX+nZRtxAINmT9KI5V&#10;hKyBWOxhgMJjndxsYu0nWH8XutqyeDIeas2FKqez+O3CceFR/qTQ78kLN6FfIBqczPyu+7OEftal&#10;YmIJU6yh6218VK9+HftjRfTYLrRBSNaI4yBIfcISTIJFYG9LQJF1ORoVtO35S8ADoTkaFggmWA8y&#10;BEJHDR6EANhy1DpsfBZNc1AaGRZwYF0mhym4ZM0ZwN6iYFDpgwUMRULPGZiL+g0+cLI0Qknk+ppg&#10;DQz3/UDyyjEklbKtEgLMmtUKkoh8lywNJMHB6QdR3xU8LoJQJ5VTAcpnuIJynQFR9DTJHUNrFsYS&#10;VdBe89yNOCiabtXAPO7F4GFe25ofnqEN3SYpIeZa5oT8KIxAwNOKZhEyKhavjJE9gIjAHwUnyfNP&#10;CO4H5fYBl4hddhA858mCu+Dc37Xmz8H93ZMY9j1t+S4RCPxk1dDc5+ixI3ZTFucsRBO2u+YbdO9G&#10;kX+SVU+t+AOb8a8d0nV5QebaZYY4EBvTpR6PvBg5YI8zMC+I0Jqj0Z+z1LPQe8P0atinmm8MqhXM&#10;d7+79iO7byoO9IyOPpq0tYR3XuBFEQp+udBMz41F6LVRCAljHtVjddMtEkRgSBkH5B4dlzlB1w13&#10;oGf13xC4ScmOw1x507qKrpuaZU8K9WtR5BsS/UCe1dFCqQ/Qp0nOs1sL1W6+hCHmgzCW6/EeAY+5&#10;VVPlhxL77V9cBe7+e7KnTulbtrVN+3l2pY9CxD9EHrW7UbNaVNAkLhcrdBeomaN9SWul2uFZhY5H&#10;FRDVw82D1K8ZLKyUUk6RK0EiBJR4Mc+LPyDIgBjxclT+7y4pUugy/p7BVEJEVClX8g2LXIE3RXvk&#10;pj2SZBOc6nJUjRz18qpSise7dbG4neNKSs2W5b9C6jZbSMEZmV7dlex+y+6hJW6Qd7lB5kqHssYH&#10;cSh7pC/HoaIfmmYC1hmteU/gCGVrm80k6Xt1fuqshTcn4OsxgkpCZ80DwjiEpWHoOBLS0I0HaEZA&#10;BEI65f5YdpZwHihq3l1CQMqiU9pXqtT/mj84DD0mLDrtBZSgnOoBA3X4OlZuEwG6EzK3eUGskUDN&#10;HghGRBbFBN/vwoAtbcnzk9uVS/+pxLhczxMl5/XrTEScsMqF2/ywyn6xjyYoZetO0Ogk0P2x5TnZ&#10;r6dIMPnOFPxPzHeBF1NS0PkO2A3LUOU7PaLyHfel8PbV5bseFwpo2fj5kXTsbewWeCraMRcTSJdu&#10;wh1QpM55dd4ZaMKTdz1UbQRkZ9v4HF2vxsrHxucsgi6iW8zUISzipJyRIUzBnf057fkhbH94URHK&#10;BxkyRIBuiKunBixfoNjRAUuglYRSUgcsNaIClh6pA9akKl4LRDdUbis9m+iO7Tf20nModO828gO5&#10;pJrohUSBrKFcWybu47j2Po3PwJKv4d2e6stvO/karrrlyWbZ2/VkP1D6ZUgWe3wV94hfkbWn+0jp&#10;+fwg/RiJMhgYacRlZ09u7WsA77ZdMplFb9WTDdyg3Sw9ROlTuCZPDtU2h2PE5LdTMRkS9+zqLVen&#10;5p5Sj7SCtokKVl09ws4uxQ5g406/epIBXfq6EhIdw9f36wcGhj8Mi3t25bYro75uC6GYWfFwY5vF&#10;P3Yt9xo3r6b4f5ou5qCjsVIHpJYDC911ErOWLDsJ+uN6A2JNH5ydZChPPRCmadIkRSVnsE6Zh1yo&#10;3jkT26WMZG8pKUaB9KVjJEXim3bLawaWFJvO1jkrtrOiaf8o1ajSWFhrAMY+dhArOUPkSVqrIZV0&#10;BxDbTc8dQP2YpqM824d24PQxPppAXc7cTgfQSIEi6EO75ayIQDrKclawo0az3dKUoUUz06F9STQT&#10;3AuAinc0+PRIzZe/FkGLMP0fHc3a/OLxMb7vRTqaeV7ff3V3jysd3v5UfCQ5w88igiU41K7y1IMo&#10;rOUzHtAmeEAu7HRUKoomn50B/GAAvGlF6DAhE8oJnMRz+520s5MMxkkMy6+dxC5fhI41uAiKJNti&#10;EY2M9aPQrOcSqvkInOHCHZ3Tljhy0FoR2nPYyRR2qZ7GvmCzJZprMkVtX+9Uhc+bsK/hexuWRhjY&#10;bLV10Qgb0a/r6VytCBvx0J549wMyhlbXmLrzJXUNe2vCRTjNVomuBNPWGcfGl1161J4M8TVFffZl&#10;7OUwGtxGd3j25RbjSAVSn24Co34KuknQEyIlxuL0yNC+L2shkP9Yyf58IdDrictGcnj25bYvG/a8&#10;hTHMVNnFGMaXRej1uVNWb6I8+zIKKkMKnn257cs72gBqr+4pMIYS0Ucx+OlOWMbecTB81NT0xRGV&#10;xvtKXAWXD/kSgGv5j26+XyZ/f5+PFk0c+oC6fcfhoofvjmVGvPiSFfHmugm0k2MLqZipshrd6UEb&#10;EqnsWBH4doOjr4jHFMtvbkUYRvi8Ito5wnRXWnjHTJXVFWHq0DhWiaChz85laKcMNbz1S1zZJqXS&#10;PCEVr/BdSOuJTKL6y6LoG57a7/G6/ZVWH/4PAAD//wMAUEsDBBQABgAIAAAAIQBQvfX43AAAAAUB&#10;AAAPAAAAZHJzL2Rvd25yZXYueG1sTI/NTsMwEITvSLyDtUjcqNOEQhWyqRCICz2loMLRjTc/wl5H&#10;sZuGt8dwKZeVRjOa+bbYzNaIiUbfO0ZYLhIQxLXTPbcI728vN2sQPijWyjgmhG/ysCkvLwqVa3fi&#10;iqZdaEUsYZ8rhC6EIZfS1x1Z5RduII5e40arQpRjK/WoTrHcGpkmyZ20que40KmBnjqqv3ZHi6Ar&#10;M/mP16aZtmm2rZ5Xn/tsf4t4fTU/PoAINIdzGH7xIzqUkengjqy9MAjxkfB3o7fOlimIA8L9Ks1A&#10;loX8T1/+AAAA//8DAFBLAQItABQABgAIAAAAIQC2gziS/gAAAOEBAAATAAAAAAAAAAAAAAAAAAAA&#10;AABbQ29udGVudF9UeXBlc10ueG1sUEsBAi0AFAAGAAgAAAAhADj9If/WAAAAlAEAAAsAAAAAAAAA&#10;AAAAAAAALwEAAF9yZWxzLy5yZWxzUEsBAi0AFAAGAAgAAAAhABnoWFUjCwAAGmsAAA4AAAAAAAAA&#10;AAAAAAAALgIAAGRycy9lMm9Eb2MueG1sUEsBAi0AFAAGAAgAAAAhAFC99fjcAAAABQEAAA8AAAAA&#10;AAAAAAAAAAAAfQ0AAGRycy9kb3ducmV2LnhtbFBLBQYAAAAABAAEAPMAAACGDgAAAAA=&#10;">
                <v:shape id="_x0000_s1036" type="#_x0000_t75" style="position:absolute;width:52781;height:47771;visibility:visible;mso-wrap-style:square">
                  <v:fill o:detectmouseclick="t"/>
                  <v:path o:connecttype="none"/>
                </v:shape>
                <v:line id="Line 74" o:spid="_x0000_s1037" style="position:absolute;flip:x;visibility:visible;mso-wrap-style:square" from="31686,40309" to="39262,4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XevQAAANoAAAAPAAAAZHJzL2Rvd25yZXYueG1sRE9Ni8Iw&#10;EL0v+B/CCHtb05Ui3WqURRC9truw16EZm2IzKUm09d8bYcHT8Hifs9lNthc38qFzrOBzkYEgbpzu&#10;uFXw+3P4KECEiKyxd0wK7hRgt529bbDUbuSKbnVsRQrhUKICE+NQShkaQxbDwg3EiTs7bzEm6Fup&#10;PY4p3PZymWUrabHj1GBwoL2h5lJfrQLKD0dZ//VfpjvVF5+3TYW2UOp9Pn2vQUSa4kv87z7pNB+e&#10;rzyv3D4AAAD//wMAUEsBAi0AFAAGAAgAAAAhANvh9svuAAAAhQEAABMAAAAAAAAAAAAAAAAAAAAA&#10;AFtDb250ZW50X1R5cGVzXS54bWxQSwECLQAUAAYACAAAACEAWvQsW78AAAAVAQAACwAAAAAAAAAA&#10;AAAAAAAfAQAAX3JlbHMvLnJlbHNQSwECLQAUAAYACAAAACEAHGRV3r0AAADaAAAADwAAAAAAAAAA&#10;AAAAAAAHAgAAZHJzL2Rvd25yZXYueG1sUEsFBgAAAAADAAMAtwAAAPECAAAAAA==&#10;" strokecolor="navy" strokeweight="1.5pt">
                  <v:stroke startarrow="block"/>
                </v:line>
                <v:line id="Line 75" o:spid="_x0000_s1038" style="position:absolute;visibility:visible;mso-wrap-style:square" from="23215,34201" to="23215,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7+wwAAANoAAAAPAAAAZHJzL2Rvd25yZXYueG1sRI9Ba8JA&#10;FITvhf6H5RW8FLOpB6sxq2hRkUIP1fb+yD6TkOzbsLvG+O9dodDjMDPfMPlqMK3oyfnasoK3JAVB&#10;XFhdc6ng57Qbz0D4gKyxtUwKbuRhtXx+yjHT9srf1B9DKSKEfYYKqhC6TEpfVGTQJ7Yjjt7ZOoMh&#10;SldK7fAa4aaVkzSdSoM1x4UKO/qoqGiOF6PgsPmdz91rvT/JXr/vGt18br8apUYvw3oBItAQ/sN/&#10;7YNWMIHHlXgD5PIOAAD//wMAUEsBAi0AFAAGAAgAAAAhANvh9svuAAAAhQEAABMAAAAAAAAAAAAA&#10;AAAAAAAAAFtDb250ZW50X1R5cGVzXS54bWxQSwECLQAUAAYACAAAACEAWvQsW78AAAAVAQAACwAA&#10;AAAAAAAAAAAAAAAfAQAAX3JlbHMvLnJlbHNQSwECLQAUAAYACAAAACEAaphu/sMAAADaAAAADwAA&#10;AAAAAAAAAAAAAAAHAgAAZHJzL2Rvd25yZXYueG1sUEsFBgAAAAADAAMAtwAAAPcCAAAAAA==&#10;" strokecolor="teal" strokeweight="1.5pt"/>
                <v:line id="Line 76" o:spid="_x0000_s1039" style="position:absolute;visibility:visible;mso-wrap-style:square" from="20662,10191" to="206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LEuwAAANoAAAAPAAAAZHJzL2Rvd25yZXYueG1sRE/JCsIw&#10;EL0L/kMYwZumrkg1igjicnP5gLEZ22ozKU3U+vdGEDw+3j5b1KYQT6pcbllBrxuBIE6szjlVcD6t&#10;OxMQziNrLCyTgjc5WMybjRnG2r74QM+jT0UIYRejgsz7MpbSJRkZdF1bEgfuaiuDPsAqlbrCVwg3&#10;hexH0VgazDk0ZFjSKqPkfnyYMGPzPgzLfjHqXZbRSuvBHne3sVLtVr2cgvBU+7/4595qBQP4Xgl+&#10;kPMPAAAA//8DAFBLAQItABQABgAIAAAAIQDb4fbL7gAAAIUBAAATAAAAAAAAAAAAAAAAAAAAAABb&#10;Q29udGVudF9UeXBlc10ueG1sUEsBAi0AFAAGAAgAAAAhAFr0LFu/AAAAFQEAAAsAAAAAAAAAAAAA&#10;AAAAHwEAAF9yZWxzLy5yZWxzUEsBAi0AFAAGAAgAAAAhANFZEsS7AAAA2gAAAA8AAAAAAAAAAAAA&#10;AAAABwIAAGRycy9kb3ducmV2LnhtbFBLBQYAAAAAAwADALcAAADvAgAAAAA=&#10;" strokeweight="1.5pt">
                  <v:stroke startarrowwidth="narrow" startarrowlength="short" endarrow="block" endarrowwidth="narrow" endarrowlength="short"/>
                  <v:shadow color="#a0a0a0"/>
                </v:line>
                <v:line id="Line 90" o:spid="_x0000_s1040" style="position:absolute;visibility:visible;mso-wrap-style:square" from="47097,12090" to="47097,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2s5wwAAANoAAAAPAAAAZHJzL2Rvd25yZXYueG1sRI9Bi8Iw&#10;FITvgv8hPGEvoukuIt1qFBGEBUVdW/D6aJ5tsXkpTVa7/94IgsdhZr5h5svO1OJGrassK/gcRyCI&#10;c6srLhRk6WYUg3AeWWNtmRT8k4Plot+bY6LtnX/pdvKFCBB2CSoovW8SKV1ekkE3tg1x8C62NeiD&#10;bAupW7wHuKnlVxRNpcGKw0KJDa1Lyq+nP6OgSLfH78O5yuKNXu0uk+t+m6VDpT4G3WoGwlPn3+FX&#10;+0crmMDzSrgBcvEAAAD//wMAUEsBAi0AFAAGAAgAAAAhANvh9svuAAAAhQEAABMAAAAAAAAAAAAA&#10;AAAAAAAAAFtDb250ZW50X1R5cGVzXS54bWxQSwECLQAUAAYACAAAACEAWvQsW78AAAAVAQAACwAA&#10;AAAAAAAAAAAAAAAfAQAAX3JlbHMvLnJlbHNQSwECLQAUAAYACAAAACEAXmtrOcMAAADaAAAADwAA&#10;AAAAAAAAAAAAAAAHAgAAZHJzL2Rvd25yZXYueG1sUEsFBgAAAAADAAMAtwAAAPcCAAAAAA==&#10;" strokeweight="1.5pt">
                  <v:stroke startarrow="block"/>
                </v:line>
                <v:group id="Group 92" o:spid="_x0000_s1041" style="position:absolute;left:16598;top:5607;width:30499;height:7010" coordorigin="2064,527" coordsize="2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93" o:spid="_x0000_s1042" style="position:absolute;visibility:visible;mso-wrap-style:square" from="4778,674" to="477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M/xQAAANoAAAAPAAAAZHJzL2Rvd25yZXYueG1sRI/dasJA&#10;FITvhb7DcgreFN2oYDW6ivgDBfGi0Qc4ZI/Z2OzZkN2a2KfvFgpeDjPzDbNcd7YSd2p86VjBaJiA&#10;IM6dLrlQcDkfBjMQPiBrrByTggd5WK9eektMtWv5k+5ZKESEsE9RgQmhTqX0uSGLfuhq4uhdXWMx&#10;RNkUUjfYRrit5DhJptJiyXHBYE1bQ/lX9m0VHN3krZhfTqPH9mb27TjZnTc/O6X6r91mASJQF57h&#10;//aHVvAOf1fiDZCrXwAAAP//AwBQSwECLQAUAAYACAAAACEA2+H2y+4AAACFAQAAEwAAAAAAAAAA&#10;AAAAAAAAAAAAW0NvbnRlbnRfVHlwZXNdLnhtbFBLAQItABQABgAIAAAAIQBa9CxbvwAAABUBAAAL&#10;AAAAAAAAAAAAAAAAAB8BAABfcmVscy8ucmVsc1BLAQItABQABgAIAAAAIQAMt8M/xQAAANoAAAAP&#10;AAAAAAAAAAAAAAAAAAcCAABkcnMvZG93bnJldi54bWxQSwUGAAAAAAMAAwC3AAAA+QIAAAAA&#10;" strokecolor="lime" strokeweight="1.5pt">
                    <v:stroke startarrow="block"/>
                  </v:line>
                  <v:line id="Line 94" o:spid="_x0000_s1043" style="position:absolute;visibility:visible;mso-wrap-style:square" from="2594,925" to="259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yEvQAAANoAAAAPAAAAZHJzL2Rvd25yZXYueG1sRE/NisIw&#10;EL4v+A5hBG9rqgeRahQRFD0o6u4DDM3YFJtJTaJWn94cBI8f3/903tpa3MmHyrGCQT8DQVw4XXGp&#10;4P9v9TsGESKyxtoxKXhSgPms8zPFXLsHH+l+iqVIIRxyVGBibHIpQ2HIYui7hjhxZ+ctxgR9KbXH&#10;Rwq3tRxm2UharDg1GGxoaai4nG5WwTb4kb9FzuTual6Hy/7wlOtSqV63XUxARGrjV/xxb7SCtDVd&#10;STdAzt4AAAD//wMAUEsBAi0AFAAGAAgAAAAhANvh9svuAAAAhQEAABMAAAAAAAAAAAAAAAAAAAAA&#10;AFtDb250ZW50X1R5cGVzXS54bWxQSwECLQAUAAYACAAAACEAWvQsW78AAAAVAQAACwAAAAAAAAAA&#10;AAAAAAAfAQAAX3JlbHMvLnJlbHNQSwECLQAUAAYACAAAACEAsU3MhL0AAADaAAAADwAAAAAAAAAA&#10;AAAAAAAHAgAAZHJzL2Rvd25yZXYueG1sUEsFBgAAAAADAAMAtwAAAPECAAAAAA==&#10;" strokecolor="red" strokeweight="1.5pt">
                    <v:stroke endarrow="block"/>
                  </v:line>
                  <v:line id="Line 95" o:spid="_x0000_s1044" style="position:absolute;visibility:visible;mso-wrap-style:square" from="3393,899" to="433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zYwgAAANoAAAAPAAAAZHJzL2Rvd25yZXYueG1sRI9Bi8Iw&#10;FITvC/6H8ARva6oui61GEUHw0oPdih4fzbMtNi+1iVr/vVlY2OMwM98wy3VvGvGgztWWFUzGEQji&#10;wuqaSwX5z+5zDsJ5ZI2NZVLwIgfr1eBjiYm2Tz7QI/OlCBB2CSqovG8TKV1RkUE3ti1x8C62M+iD&#10;7EqpO3wGuGnkNIq+pcGaw0KFLW0rKq7Z3Sgwp/S2M8c8nc4vs+xcpPFXnsdKjYb9ZgHCU+//w3/t&#10;vVYQw++VcAPk6g0AAP//AwBQSwECLQAUAAYACAAAACEA2+H2y+4AAACFAQAAEwAAAAAAAAAAAAAA&#10;AAAAAAAAW0NvbnRlbnRfVHlwZXNdLnhtbFBLAQItABQABgAIAAAAIQBa9CxbvwAAABUBAAALAAAA&#10;AAAAAAAAAAAAAB8BAABfcmVscy8ucmVsc1BLAQItABQABgAIAAAAIQDALqzYwgAAANoAAAAPAAAA&#10;AAAAAAAAAAAAAAcCAABkcnMvZG93bnJldi54bWxQSwUGAAAAAAMAAwC3AAAA9gIAAAAA&#10;" strokecolor="red" strokeweight="1.5pt">
                    <v:stroke startarrow="block"/>
                  </v:line>
                  <v:line id="Line 96" o:spid="_x0000_s1045" style="position:absolute;visibility:visible;mso-wrap-style:square" from="3405,646" to="373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crxgAAANsAAAAPAAAAZHJzL2Rvd25yZXYueG1sRI/dasJA&#10;EIXvC32HZQq9KXWjQmlTVxGtIEgv/HmAITtmY7OzIbs10ad3LgTvZjhnzvlmMut9rc7UxiqwgeEg&#10;A0VcBFtxaeCwX71/gooJ2WIdmAxcKMJs+vw0wdyGjrd03qVSSQjHHA24lJpc61g48hgHoSEW7Rha&#10;j0nWttS2xU7Cfa1HWfahPVYsDQ4bWjgq/nb/3sAmjN/Kr8Pv8LI4uZ9ulC338+vSmNeXfv4NKlGf&#10;Hub79doKvtDLLzKAnt4AAAD//wMAUEsBAi0AFAAGAAgAAAAhANvh9svuAAAAhQEAABMAAAAAAAAA&#10;AAAAAAAAAAAAAFtDb250ZW50X1R5cGVzXS54bWxQSwECLQAUAAYACAAAACEAWvQsW78AAAAVAQAA&#10;CwAAAAAAAAAAAAAAAAAfAQAAX3JlbHMvLnJlbHNQSwECLQAUAAYACAAAACEA8shXK8YAAADbAAAA&#10;DwAAAAAAAAAAAAAAAAAHAgAAZHJzL2Rvd25yZXYueG1sUEsFBgAAAAADAAMAtwAAAPoCAAAAAA==&#10;" strokecolor="lime" strokeweight="1.5pt">
                    <v:stroke startarrow="block"/>
                  </v:line>
                  <v:line id="Line 97" o:spid="_x0000_s1046" style="position:absolute;visibility:visible;mso-wrap-style:square" from="2064,527" to="206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jwQAAANsAAAAPAAAAZHJzL2Rvd25yZXYueG1sRE9NSwMx&#10;EL0X/A9hBG/tbD1IWZsWtQgW6qGth/U2bMbNYjJZNrFN/70pCN7m8T5nuc7eqROPsQ+iYT6rQLG0&#10;wfTSafg4vk4XoGIiMeSCsIYLR1ivbiZLqk04y55Ph9SpEiKxJg02paFGjK1lT3EWBpbCfYXRUypw&#10;7NCMdC7h3uF9VT2gp15Kg6WBXyy334cfr+ETtxs0726z3aUh759z49A2Wt/d5qdHUIlz+hf/ud9M&#10;mT+H6y/lAFz9AgAA//8DAFBLAQItABQABgAIAAAAIQDb4fbL7gAAAIUBAAATAAAAAAAAAAAAAAAA&#10;AAAAAABbQ29udGVudF9UeXBlc10ueG1sUEsBAi0AFAAGAAgAAAAhAFr0LFu/AAAAFQEAAAsAAAAA&#10;AAAAAAAAAAAAHwEAAF9yZWxzLy5yZWxzUEsBAi0AFAAGAAgAAAAhAO5r4aPBAAAA2wAAAA8AAAAA&#10;AAAAAAAAAAAABwIAAGRycy9kb3ducmV2LnhtbFBLBQYAAAAAAwADALcAAAD1AgAAAAA=&#10;" strokecolor="#006" strokeweight="1.5pt">
                    <v:stroke startarrowwidth="narrow" startarrowlength="short" endarrow="block" endarrowwidth="narrow" endarrowlength="short"/>
                    <v:shadow color="#a0a0a0"/>
                  </v:line>
                </v:group>
                <v:line id="Line 99" o:spid="_x0000_s1047" style="position:absolute;visibility:visible;mso-wrap-style:square" from="26263,16313" to="26269,4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Nm0uwAAANsAAAAPAAAAZHJzL2Rvd25yZXYueG1sRE9LCsIw&#10;EN0L3iGM4M6mikitRhFREFz52w/N2FabSWmi1tsbQXA3j/ed+bI1lXhS40rLCoZRDII4s7rkXMH5&#10;tB0kIJxH1lhZJgVvcrBcdDtzTLV98YGeR5+LEMIuRQWF93UqpcsKMugiWxMH7mobgz7AJpe6wVcI&#10;N5UcxfFEGiw5NBRY07qg7H58GAV0O+13/pJvxhrdNTG3aTK2U6X6vXY1A+Gp9X/xz73TYf4Ivr+E&#10;A+TiAwAA//8DAFBLAQItABQABgAIAAAAIQDb4fbL7gAAAIUBAAATAAAAAAAAAAAAAAAAAAAAAABb&#10;Q29udGVudF9UeXBlc10ueG1sUEsBAi0AFAAGAAgAAAAhAFr0LFu/AAAAFQEAAAsAAAAAAAAAAAAA&#10;AAAAHwEAAF9yZWxzLy5yZWxzUEsBAi0AFAAGAAgAAAAhAKnQ2bS7AAAA2wAAAA8AAAAAAAAAAAAA&#10;AAAABwIAAGRycy9kb3ducmV2LnhtbFBLBQYAAAAAAwADALcAAADvAgAAAAA=&#10;" strokecolor="teal" strokeweight="1.5pt">
                  <v:stroke endarrow="block"/>
                </v:line>
                <v:line id="Line 100" o:spid="_x0000_s1048" style="position:absolute;visibility:visible;mso-wrap-style:square" from="31667,16122" to="42265,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8+mwAAAANsAAAAPAAAAZHJzL2Rvd25yZXYueG1sRE9NawIx&#10;EL0X/A9hhN662VoqsjWKVgR7dPXgcUimu0s3kzVJ3fXfG0HwNo/3OfPlYFtxIR8axwresxwEsXam&#10;4UrB8bB9m4EIEdlg65gUXCnAcjF6mWNhXM97upSxEimEQ4EK6hi7Qsqga7IYMtcRJ+7XeYsxQV9J&#10;47FP4baVkzyfSosNp4YaO/quSf+V/1bBae0n1dBsdqY8n1a21/pz/zNT6nU8rL5ARBriU/xw70ya&#10;/wH3X9IBcnEDAAD//wMAUEsBAi0AFAAGAAgAAAAhANvh9svuAAAAhQEAABMAAAAAAAAAAAAAAAAA&#10;AAAAAFtDb250ZW50X1R5cGVzXS54bWxQSwECLQAUAAYACAAAACEAWvQsW78AAAAVAQAACwAAAAAA&#10;AAAAAAAAAAAfAQAAX3JlbHMvLnJlbHNQSwECLQAUAAYACAAAACEAfdfPpsAAAADbAAAADwAAAAAA&#10;AAAAAAAAAAAHAgAAZHJzL2Rvd25yZXYueG1sUEsFBgAAAAADAAMAtwAAAPQCAAAAAA==&#10;" strokecolor="fuchsia" strokeweight="1.5pt">
                  <v:stroke endarrow="block"/>
                </v:line>
                <v:line id="Line 101" o:spid="_x0000_s1049" style="position:absolute;visibility:visible;mso-wrap-style:square" from="31680,26866" to="45916,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KTvwAAANsAAAAPAAAAZHJzL2Rvd25yZXYueG1sRE9Ni8Iw&#10;EL0L+x/CLHjT1K5Y6RplEYQFvVj1PjSzTbGZdJuo9d8bQfA2j/c5i1VvG3GlzteOFUzGCQji0uma&#10;KwXHw2Y0B+EDssbGMSm4k4fV8mOwwFy7G+/pWoRKxBD2OSowIbS5lL40ZNGPXUscuT/XWQwRdpXU&#10;Hd5iuG1kmiQzabHm2GCwpbWh8lxcrIK+/s+a47b1u/mpSrNNaoqvbK/U8LP/+QYRqA9v8cv9q+P8&#10;KTx/iQfI5QMAAP//AwBQSwECLQAUAAYACAAAACEA2+H2y+4AAACFAQAAEwAAAAAAAAAAAAAAAAAA&#10;AAAAW0NvbnRlbnRfVHlwZXNdLnhtbFBLAQItABQABgAIAAAAIQBa9CxbvwAAABUBAAALAAAAAAAA&#10;AAAAAAAAAB8BAABfcmVscy8ucmVsc1BLAQItABQABgAIAAAAIQDGkmKTvwAAANsAAAAPAAAAAAAA&#10;AAAAAAAAAAcCAABkcnMvZG93bnJldi54bWxQSwUGAAAAAAMAAwC3AAAA8wIAAAAA&#10;" strokecolor="fuchsia" strokeweight="1.5pt"/>
                <v:line id="Line 102" o:spid="_x0000_s1050" style="position:absolute;visibility:visible;mso-wrap-style:square" from="31667,20821" to="45916,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cIvwAAANsAAAAPAAAAZHJzL2Rvd25yZXYueG1sRE9Ni8Iw&#10;EL0L+x/CLHjT1C5a6RplEYQFvVj1PjSzTbGZdJuo9d8bQfA2j/c5i1VvG3GlzteOFUzGCQji0uma&#10;KwXHw2Y0B+EDssbGMSm4k4fV8mOwwFy7G+/pWoRKxBD2OSowIbS5lL40ZNGPXUscuT/XWQwRdpXU&#10;Hd5iuG1kmiQzabHm2GCwpbWh8lxcrIK+/s+a47b1u/mpSrNNaoqvbK/U8LP/+QYRqA9v8cv9q+P8&#10;KTx/iQfI5QMAAP//AwBQSwECLQAUAAYACAAAACEA2+H2y+4AAACFAQAAEwAAAAAAAAAAAAAAAAAA&#10;AAAAW0NvbnRlbnRfVHlwZXNdLnhtbFBLAQItABQABgAIAAAAIQBa9CxbvwAAABUBAAALAAAAAAAA&#10;AAAAAAAAAB8BAABfcmVscy8ucmVsc1BLAQItABQABgAIAAAAIQCp3scIvwAAANsAAAAPAAAAAAAA&#10;AAAAAAAAAAcCAABkcnMvZG93bnJldi54bWxQSwUGAAAAAAMAAwC3AAAA8wIAAAAA&#10;" strokecolor="fuchsia" strokeweight="1.5pt"/>
                <v:line id="Line 103" o:spid="_x0000_s1051" style="position:absolute;visibility:visible;mso-wrap-style:square" from="45878,18808" to="45878,3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iD8wwAAANsAAAAPAAAAZHJzL2Rvd25yZXYueG1sRE9NawIx&#10;EL0L/ocwgpdSs3qQsjWKCIK9WNTSpbfpZroJ3UzWTepu/fWmUPA2j/c5i1XvanGhNljPCqaTDARx&#10;6bXlSsHbafv4BCJEZI21Z1LwSwFWy+Fggbn2HR/ocoyVSCEcclRgYmxyKUNpyGGY+IY4cV++dRgT&#10;bCupW+xSuKvlLMvm0qHl1GCwoY2h8vv44xTsr++22JxeXz4ePo0tuivvz9NCqfGoXz+DiNTHu/jf&#10;vdNp/hz+fkkHyOUNAAD//wMAUEsBAi0AFAAGAAgAAAAhANvh9svuAAAAhQEAABMAAAAAAAAAAAAA&#10;AAAAAAAAAFtDb250ZW50X1R5cGVzXS54bWxQSwECLQAUAAYACAAAACEAWvQsW78AAAAVAQAACwAA&#10;AAAAAAAAAAAAAAAfAQAAX3JlbHMvLnJlbHNQSwECLQAUAAYACAAAACEAe/Yg/MMAAADbAAAADwAA&#10;AAAAAAAAAAAAAAAHAgAAZHJzL2Rvd25yZXYueG1sUEsFBgAAAAADAAMAtwAAAPcCAAAAAA==&#10;" strokecolor="fuchsia" strokeweight="1.5pt">
                  <v:stroke startarrow="block"/>
                </v:line>
                <v:line id="Line 104" o:spid="_x0000_s1052" style="position:absolute;visibility:visible;mso-wrap-style:square" from="31680,32251" to="4591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zkwQAAANsAAAAPAAAAZHJzL2Rvd25yZXYueG1sRE9Na8JA&#10;EL0X+h+WKfTWbJpCE6KrSEEQ7MWo9yE7ZoPZ2TS7TeK/dwsFb/N4n7Ncz7YTIw2+dazgPUlBENdO&#10;t9woOB23bwUIH5A1do5JwY08rFfPT0sstZv4QGMVGhFD2JeowITQl1L62pBFn7ieOHIXN1gMEQ6N&#10;1ANOMdx2MkvTT2mx5dhgsKcvQ/W1+rUK5vYn70773n8X5ybLt5mpPvKDUq8v82YBItAcHuJ/907H&#10;+Tn8/RIPkKs7AAAA//8DAFBLAQItABQABgAIAAAAIQDb4fbL7gAAAIUBAAATAAAAAAAAAAAAAAAA&#10;AAAAAABbQ29udGVudF9UeXBlc10ueG1sUEsBAi0AFAAGAAgAAAAhAFr0LFu/AAAAFQEAAAsAAAAA&#10;AAAAAAAAAAAAHwEAAF9yZWxzLy5yZWxzUEsBAi0AFAAGAAgAAAAhADZA/OTBAAAA2wAAAA8AAAAA&#10;AAAAAAAAAAAABwIAAGRycy9kb3ducmV2LnhtbFBLBQYAAAAAAwADALcAAAD1AgAAAAA=&#10;" strokecolor="fuchsia" strokeweight="1.5pt"/>
                <v:line id="Line 105" o:spid="_x0000_s1053" style="position:absolute;visibility:visible;mso-wrap-style:square" from="25260,22174" to="2526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5ewAAAANsAAAAPAAAAZHJzL2Rvd25yZXYueG1sRI/NqsJA&#10;DIX3gu8wRHCnUy8itTqKyBUEV9effejEttrJlM6o9e3N4oK7hHNyzpflunO1elIbKs8GJuMEFHHu&#10;bcWFgfNpN0pBhYhssfZMBt4UYL3q95aYWf/iP3oeY6EkhEOGBsoYm0zrkJfkMIx9Qyza1bcOo6xt&#10;oW2LLwl3tf5Jkpl2WLE0lNjQtqT8fnw4A3Q7HfbxUvxOLYZr6m7zdOrnxgwH3WYBKlIXv+b/670V&#10;fIGVX2QAvfoAAAD//wMAUEsBAi0AFAAGAAgAAAAhANvh9svuAAAAhQEAABMAAAAAAAAAAAAAAAAA&#10;AAAAAFtDb250ZW50X1R5cGVzXS54bWxQSwECLQAUAAYACAAAACEAWvQsW78AAAAVAQAACwAAAAAA&#10;AAAAAAAAAAAfAQAAX3JlbHMvLnJlbHNQSwECLQAUAAYACAAAACEAyDjuXsAAAADbAAAADwAAAAAA&#10;AAAAAAAAAAAHAgAAZHJzL2Rvd25yZXYueG1sUEsFBgAAAAADAAMAtwAAAPQCAAAAAA==&#10;" strokecolor="teal" strokeweight="1.5pt">
                  <v:stroke endarrow="block"/>
                </v:line>
                <v:line id="Line 106" o:spid="_x0000_s1054" style="position:absolute;visibility:visible;mso-wrap-style:square" from="24231,28498" to="24237,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FuwAAANsAAAAPAAAAZHJzL2Rvd25yZXYueG1sRE9LCsIw&#10;EN0L3iGM4E5TRaStRhFREFz52w/N2FabSWmi1tsbQXA3j/ed+bI1lXhS40rLCkbDCARxZnXJuYLz&#10;aTuIQTiPrLGyTAre5GC56HbmmGr74gM9jz4XIYRdigoK7+tUSpcVZNANbU0cuKttDPoAm1zqBl8h&#10;3FRyHEVTabDk0FBgTeuCsvvxYRTQ7bTf+Uu+mWh019jcknhiE6X6vXY1A+Gp9X/xz73TYX4C31/C&#10;AXLxAQAA//8DAFBLAQItABQABgAIAAAAIQDb4fbL7gAAAIUBAAATAAAAAAAAAAAAAAAAAAAAAABb&#10;Q29udGVudF9UeXBlc10ueG1sUEsBAi0AFAAGAAgAAAAhAFr0LFu/AAAAFQEAAAsAAAAAAAAAAAAA&#10;AAAAHwEAAF9yZWxzLy5yZWxzUEsBAi0AFAAGAAgAAAAhAKd0S8W7AAAA2wAAAA8AAAAAAAAAAAAA&#10;AAAABwIAAGRycy9kb3ducmV2LnhtbFBLBQYAAAAAAwADALcAAADvAgAAAAA=&#10;" strokecolor="teal" strokeweight="1.5pt">
                  <v:stroke endarrow="block"/>
                </v:line>
                <v:group id="Group 150" o:spid="_x0000_s1055" style="position:absolute;width:52781;height:46488" coordorigin="1827,7928" coordsize="8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108" o:spid="_x0000_s1056" style="position:absolute;left:2772;top:10429;width:88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MmiwwAAANsAAAAPAAAAZHJzL2Rvd25yZXYueG1sRI9Ba8JA&#10;FITvBf/D8gRvdZNUmhJdQysUvBottLdn9pkEs2+X7Krx37uFQo/DzHzDrMrR9OJKg+8sK0jnCQji&#10;2uqOGwWH/efzGwgfkDX2lknBnTyU68nTCgttb7yjaxUaESHsC1TQhuAKKX3dkkE/t444eic7GAxR&#10;Do3UA94i3PQyS5JXabDjuNCio01L9bm6GAUntu7Fdt85fZ0X+UeVuuM+/1FqNh3flyACjeE//Nfe&#10;agVZCr9f4g+Q6wcAAAD//wMAUEsBAi0AFAAGAAgAAAAhANvh9svuAAAAhQEAABMAAAAAAAAAAAAA&#10;AAAAAAAAAFtDb250ZW50X1R5cGVzXS54bWxQSwECLQAUAAYACAAAACEAWvQsW78AAAAVAQAACwAA&#10;AAAAAAAAAAAAAAAfAQAAX3JlbHMvLnJlbHNQSwECLQAUAAYACAAAACEA/VTJosMAAADbAAAADwAA&#10;AAAAAAAAAAAAAAAHAgAAZHJzL2Rvd25yZXYueG1sUEsFBgAAAAADAAMAtwAAAPcCAAAAAA==&#10;" fillcolor="red" strokeweight=".5pt">
                    <v:shadow color="#a0a0a0"/>
                    <v:textbox inset=".93928mm,1.42pt,.93928mm,1.42pt">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v:textbox>
                  </v:rect>
                  <v:line id="Line 109" o:spid="_x0000_s1057" style="position:absolute;visibility:visible;mso-wrap-style:square" from="2662,9701" to="2663,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9CxAAAANsAAAAPAAAAZHJzL2Rvd25yZXYueG1sRI/disIw&#10;FITvBd8hnAVvljW1yKJdo4ggCMr608LeHppjW2xOShO1vr1ZELwcZuYbZrboTC1u1LrKsoLRMAJB&#10;nFtdcaEgS9dfExDOI2usLZOCBzlYzPu9GSba3vlIt5MvRICwS1BB6X2TSOnykgy6oW2Ig3e2rUEf&#10;ZFtI3eI9wE0t4yj6lgYrDgslNrQqKb+crkZBkW4P0/1flU3Werk7jy+/2yz9VGrw0S1/QHjq/Dv8&#10;am+0gjiG/y/hB8j5EwAA//8DAFBLAQItABQABgAIAAAAIQDb4fbL7gAAAIUBAAATAAAAAAAAAAAA&#10;AAAAAAAAAABbQ29udGVudF9UeXBlc10ueG1sUEsBAi0AFAAGAAgAAAAhAFr0LFu/AAAAFQEAAAsA&#10;AAAAAAAAAAAAAAAAHwEAAF9yZWxzLy5yZWxzUEsBAi0AFAAGAAgAAAAhAGnOD0LEAAAA2wAAAA8A&#10;AAAAAAAAAAAAAAAABwIAAGRycy9kb3ducmV2LnhtbFBLBQYAAAAAAwADALcAAAD4AgAAAAA=&#10;" strokeweight="1.5pt">
                    <v:stroke startarrow="block"/>
                  </v:line>
                  <v:line id="Line 110" o:spid="_x0000_s1058" style="position:absolute;visibility:visible;mso-wrap-style:square" from="7971,9832" to="797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9e5xAAAANsAAAAPAAAAZHJzL2Rvd25yZXYueG1sRI/disIw&#10;FITvhX2HcBa803T9qdI1yrIgiuCF1Qc4Nse2u81JaaJWn94IgpfDzHzDzBatqcSFGldaVvDVj0AQ&#10;Z1aXnCs47Je9KQjnkTVWlknBjRws5h+dGSbaXnlHl9TnIkDYJaig8L5OpHRZQQZd39bEwTvZxqAP&#10;ssmlbvAa4KaSgyiKpcGSw0KBNf0WlP2nZ6Ng5bbpdhRPzO5+/NvHm/HauuFIqe5n+/MNwlPr3+FX&#10;e60VDIbw/BJ+gJw/AAAA//8DAFBLAQItABQABgAIAAAAIQDb4fbL7gAAAIUBAAATAAAAAAAAAAAA&#10;AAAAAAAAAABbQ29udGVudF9UeXBlc10ueG1sUEsBAi0AFAAGAAgAAAAhAFr0LFu/AAAAFQEAAAsA&#10;AAAAAAAAAAAAAAAAHwEAAF9yZWxzLy5yZWxzUEsBAi0AFAAGAAgAAAAhAJ7L17nEAAAA2wAAAA8A&#10;AAAAAAAAAAAAAAAABwIAAGRycy9kb3ducmV2LnhtbFBLBQYAAAAAAwADALcAAAD4AgAAAAA=&#10;" strokecolor="navy" strokeweight="1.5pt">
                    <v:stroke startarrow="block"/>
                  </v:line>
                  <v:shape id="Text Box 111" o:spid="_x0000_s1059" type="#_x0000_t202" style="position:absolute;left:3699;top:1469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1MwgAAANsAAAAPAAAAZHJzL2Rvd25yZXYueG1sRI/dagIx&#10;FITvC75DOIJ3NauWIqtR/EG6vXT1AY6b425wc7JsoqZ9+qZQ6OUwM98wy3W0rXhQ741jBZNxBoK4&#10;ctpwreB8OrzOQfiArLF1TAq+yMN6NXhZYq7dk4/0KEMtEoR9jgqaELpcSl81ZNGPXUecvKvrLYYk&#10;+1rqHp8Jbls5zbJ3adFwWmiwo11D1a28WwXX8rvcHz8KIz8vGLfFxcTZwSg1GsbNAkSgGP7Df+1C&#10;K5i+we+X9APk6gcAAP//AwBQSwECLQAUAAYACAAAACEA2+H2y+4AAACFAQAAEwAAAAAAAAAAAAAA&#10;AAAAAAAAW0NvbnRlbnRfVHlwZXNdLnhtbFBLAQItABQABgAIAAAAIQBa9CxbvwAAABUBAAALAAAA&#10;AAAAAAAAAAAAAB8BAABfcmVscy8ucmVsc1BLAQItABQABgAIAAAAIQBfu51MwgAAANsAAAAPAAAA&#10;AAAAAAAAAAAAAAcCAABkcnMvZG93bnJldi54bWxQSwUGAAAAAAMAAwC3AAAA9gIAAAAA&#10;" fillcolor="silver">
                    <v:fill opacity="32896f"/>
                    <v:textbox inset="1.80339mm,.355mm,1.80339mm,.71mm">
                      <w:txbxContent>
                        <w:p w14:paraId="1E303BD8" w14:textId="77777777"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v:textbox>
                  </v:shape>
                  <v:line id="Line 112" o:spid="_x0000_s1060" style="position:absolute;visibility:visible;mso-wrap-style:square" from="2641,10255" to="3722,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1LwwAAANsAAAAPAAAAZHJzL2Rvd25yZXYueG1sRI9Ba8JA&#10;FITvBf/D8oTe6kZLi0RXEcEqvRlF8PbIPpOY7Nt0d6Px37uFQo/DzHzDzJe9acSNnK8sKxiPEhDE&#10;udUVFwqOh83bFIQPyBoby6TgQR6Wi8HLHFNt77ynWxYKESHsU1RQhtCmUvq8JIN+ZFvi6F2sMxii&#10;dIXUDu8Rbho5SZJPabDiuFBiS+uS8jrrjIJTl/H5Wm9cg93Xdns5/dT+/Vup12G/moEI1If/8F97&#10;pxVMPuD3S/wBcvEEAAD//wMAUEsBAi0AFAAGAAgAAAAhANvh9svuAAAAhQEAABMAAAAAAAAAAAAA&#10;AAAAAAAAAFtDb250ZW50X1R5cGVzXS54bWxQSwECLQAUAAYACAAAACEAWvQsW78AAAAVAQAACwAA&#10;AAAAAAAAAAAAAAAfAQAAX3JlbHMvLnJlbHNQSwECLQAUAAYACAAAACEA0D59S8MAAADbAAAADwAA&#10;AAAAAAAAAAAAAAAHAgAAZHJzL2Rvd25yZXYueG1sUEsFBgAAAAADAAMAtwAAAPcCAAAAAA==&#10;" strokeweight="1.5pt"/>
                  <v:rect id="Rectangle 113" o:spid="_x0000_s1061" style="position:absolute;left:1846;top:7928;width:8293;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2ZxAAAANsAAAAPAAAAZHJzL2Rvd25yZXYueG1sRI9Ba8JA&#10;FITvBf/D8gRvdRMPIaSuImJLKeRgGvH6yL4mwezbmF1j/PduodDjMDPfMOvtZDox0uBaywriZQSC&#10;uLK65VpB+f3+moJwHlljZ5kUPMjBdjN7WWOm7Z2PNBa+FgHCLkMFjfd9JqWrGjLolrYnDt6PHQz6&#10;IIda6gHvAW46uYqiRBpsOSw02NO+oepS3IyCj7w9Xcv4dvg6Oy7zyxifzmms1GI+7d5AeJr8f/iv&#10;/akVrBL4/RJ+gNw8AQAA//8DAFBLAQItABQABgAIAAAAIQDb4fbL7gAAAIUBAAATAAAAAAAAAAAA&#10;AAAAAAAAAABbQ29udGVudF9UeXBlc10ueG1sUEsBAi0AFAAGAAgAAAAhAFr0LFu/AAAAFQEAAAsA&#10;AAAAAAAAAAAAAAAAHwEAAF9yZWxzLy5yZWxzUEsBAi0AFAAGAAgAAAAhABC6rZnEAAAA2wAAAA8A&#10;AAAAAAAAAAAAAAAABwIAAGRycy9kb3ducmV2LnhtbFBLBQYAAAAAAwADALcAAAD4AgAAAAA=&#10;" fillcolor="black" strokeweight="4pt">
                    <v:shadow color="#a0a0a0"/>
                    <v:textbox inset="1.81592mm,.90797mm,1.81592mm,.90797mm">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v:textbox>
                  </v:rect>
                  <v:shape id="Text Box 114" o:spid="_x0000_s1062" type="#_x0000_t202" style="position:absolute;left:7345;top:8563;width:278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aLywwAAANsAAAAPAAAAZHJzL2Rvd25yZXYueG1sRI9BawIx&#10;FITvgv8hPMGbZlesLatRRBB7rbXQvT02z822m5clibr21zeFgsdhZr5hVpvetuJKPjSOFeTTDARx&#10;5XTDtYLT+37yAiJEZI2tY1JwpwCb9XCwwkK7G7/R9RhrkSAcClRgYuwKKUNlyGKYuo44eWfnLcYk&#10;fS21x1uC21bOsmwhLTacFgx2tDNUfR8vVsEnlfLrtGh+DuXT/l6XJvcf81yp8ajfLkFE6uMj/N9+&#10;1Qpmz/D3Jf0Auf4FAAD//wMAUEsBAi0AFAAGAAgAAAAhANvh9svuAAAAhQEAABMAAAAAAAAAAAAA&#10;AAAAAAAAAFtDb250ZW50X1R5cGVzXS54bWxQSwECLQAUAAYACAAAACEAWvQsW78AAAAVAQAACwAA&#10;AAAAAAAAAAAAAAAfAQAAX3JlbHMvLnJlbHNQSwECLQAUAAYACAAAACEAdiWi8sMAAADbAAAADwAA&#10;AAAAAAAAAAAAAAAHAgAAZHJzL2Rvd25yZXYueG1sUEsFBgAAAAADAAMAtwAAAPcCAAAAAA==&#10;" fillcolor="lime">
                    <v:textbox inset="1.80339mm,.355mm,1.80339mm,.71mm">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v:textbox>
                  </v:shape>
                  <v:shape id="Text Box 115" o:spid="_x0000_s1063" type="#_x0000_t202" style="position:absolute;left:7568;top:9430;width:247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RXxAAAANsAAAAPAAAAZHJzL2Rvd25yZXYueG1sRI9Na8Mw&#10;DIbvg/4Ho8Juq7MOQsnqljHox2GXpi3sqMVaHBbLIXbTbL9+OhR6FK/eR4+W69G3aqA+NoENPM8y&#10;UMRVsA3XBk7HzdMCVEzIFtvAZOCXIqxXk4clFjZc+UBDmWolEI4FGnApdYXWsXLkMc5CRyzZd+g9&#10;Jhn7WtserwL3rZ5nWa49NiwXHHb07qj6KS9eNNw57Moq5J8vWxqy/O/j63KMxjxOx7dXUInGdF++&#10;tffWwFxk5RcBgF79AwAA//8DAFBLAQItABQABgAIAAAAIQDb4fbL7gAAAIUBAAATAAAAAAAAAAAA&#10;AAAAAAAAAABbQ29udGVudF9UeXBlc10ueG1sUEsBAi0AFAAGAAgAAAAhAFr0LFu/AAAAFQEAAAsA&#10;AAAAAAAAAAAAAAAAHwEAAF9yZWxzLy5yZWxzUEsBAi0AFAAGAAgAAAAhAA3HNFfEAAAA2wAAAA8A&#10;AAAAAAAAAAAAAAAABwIAAGRycy9kb3ducmV2LnhtbFBLBQYAAAAAAwADALcAAAD4AgAAAAA=&#10;" fillcolor="red">
                    <v:textbox inset="1.80339mm,.355mm,1.80339mm,.71mm">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v:textbox>
                  </v:shape>
                  <v:shape id="Text Box 116" o:spid="_x0000_s1064" type="#_x0000_t202" style="position:absolute;left:1846;top:8986;width:15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LSwgAAANsAAAAPAAAAZHJzL2Rvd25yZXYueG1sRI/dagIx&#10;FITvC75DOIJ3NatCqatR/EG6vXT1AY6b425wc7JsoqZ9+qZQ6OUwM98wy3W0rXhQ741jBZNxBoK4&#10;ctpwreB8Ory+g/ABWWPrmBR8kYf1avCyxFy7Jx/pUYZaJAj7HBU0IXS5lL5qyKIfu444eVfXWwxJ&#10;9rXUPT4T3LZymmVv0qLhtNBgR7uGqlt5twqu5Xe5P34URn5eMG6Li4mzg1FqNIybBYhAMfyH/9qF&#10;VjCdw++X9APk6gcAAP//AwBQSwECLQAUAAYACAAAACEA2+H2y+4AAACFAQAAEwAAAAAAAAAAAAAA&#10;AAAAAAAAW0NvbnRlbnRfVHlwZXNdLnhtbFBLAQItABQABgAIAAAAIQBa9CxbvwAAABUBAAALAAAA&#10;AAAAAAAAAAAAAB8BAABfcmVscy8ucmVsc1BLAQItABQABgAIAAAAIQCxujLSwgAAANsAAAAPAAAA&#10;AAAAAAAAAAAAAAcCAABkcnMvZG93bnJldi54bWxQSwUGAAAAAAMAAwC3AAAA9gIAAAAA&#10;" fillcolor="silver">
                    <v:fill opacity="32896f"/>
                    <v:textbox inset="1.80339mm,.355mm,1.80339mm,.71mm">
                      <w:txbxContent>
                        <w:p w14:paraId="48F3E22F" w14:textId="77777777" w:rsidR="00BB5CD0" w:rsidRPr="00153EF7" w:rsidRDefault="00BB5CD0" w:rsidP="00BB5CD0">
                          <w:pPr>
                            <w:autoSpaceDE w:val="0"/>
                            <w:autoSpaceDN w:val="0"/>
                            <w:adjustRightInd w:val="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v:textbox>
                  </v:shape>
                  <v:shape id="Text Box 117" o:spid="_x0000_s1065" type="#_x0000_t202" style="position:absolute;left:8470;top:10105;width:1568;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PwgAAANsAAAAPAAAAZHJzL2Rvd25yZXYueG1sRI/BbsIw&#10;DIbvk/YOkZG4jRSQpq0QEEMa4obabZytxrSFxqmaDMLb48OkHa3f/2d/y3VynbrSEFrPBqaTDBRx&#10;5W3LtYHvr8+XN1AhIlvsPJOBOwVYr56flphbf+OCrmWslUA45GigibHPtQ5VQw7DxPfEkp384DDK&#10;ONTaDngTuOv0LMtetcOW5UKDPW0bqi7lrxNKWRRH2u4/Zgf/funPP2l3KpIx41HaLEBFSvF/+a+9&#10;twbm8r24iAfo1QMAAP//AwBQSwECLQAUAAYACAAAACEA2+H2y+4AAACFAQAAEwAAAAAAAAAAAAAA&#10;AAAAAAAAW0NvbnRlbnRfVHlwZXNdLnhtbFBLAQItABQABgAIAAAAIQBa9CxbvwAAABUBAAALAAAA&#10;AAAAAAAAAAAAAB8BAABfcmVscy8ucmVsc1BLAQItABQABgAIAAAAIQAwJ+fPwgAAANsAAAAPAAAA&#10;AAAAAAAAAAAAAAcCAABkcnMvZG93bnJldi54bWxQSwUGAAAAAAMAAwC3AAAA9gIAAAAA&#10;" fillcolor="fuchsia">
                    <v:textbox inset="1.80339mm,.355mm,1.80339mm,.71mm">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v:textbox>
                  </v:shape>
                  <v:line id="Line 118" o:spid="_x0000_s1066" style="position:absolute;visibility:visible;mso-wrap-style:square" from="2641,12159" to="3722,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cbxAAAANsAAAAPAAAAZHJzL2Rvd25yZXYueG1sRI/NagJB&#10;EITvAd9haMFbnDWCmI2jrIIiuWk86K3Z6f0hOz3L9kRXn94JBHIsquorarHqXaOu1Ent2cBknIAi&#10;zr2tuTRw+tq+zkFJQLbYeCYDdxJYLQcvC0ytv/GBrsdQqghhSdFAFUKbai15RQ5l7Fvi6BW+cxii&#10;7EptO7xFuGv0W5LMtMOa40KFLW0qyr+PP87A5366LsLhsZPTJTtn74XMapkbMxr22QeoQH34D/+1&#10;99bAdAK/X+IP0MsnAAAA//8DAFBLAQItABQABgAIAAAAIQDb4fbL7gAAAIUBAAATAAAAAAAAAAAA&#10;AAAAAAAAAABbQ29udGVudF9UeXBlc10ueG1sUEsBAi0AFAAGAAgAAAAhAFr0LFu/AAAAFQEAAAsA&#10;AAAAAAAAAAAAAAAAHwEAAF9yZWxzLy5yZWxzUEsBAi0AFAAGAAgAAAAhANFJlxvEAAAA2wAAAA8A&#10;AAAAAAAAAAAAAAAABwIAAGRycy9kb3ducmV2LnhtbFBLBQYAAAAAAwADALcAAAD4AgAAAAA=&#10;" strokeweight="1.5pt">
                    <v:stroke startarrow="block" endarrow="block"/>
                  </v:line>
                  <v:line id="Line 119" o:spid="_x0000_s1067" style="position:absolute;visibility:visible;mso-wrap-style:square" from="2641,11207" to="3722,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lsxAAAANsAAAAPAAAAZHJzL2Rvd25yZXYueG1sRI9LawJB&#10;EITvAf/D0AFvcTYKohtHWYUE8ebjkNyand4H2elZtkdd8+szguCxqKqvqMWqd426UCe1ZwPvowQU&#10;ce5tzaWB0/HzbQZKArLFxjMZuJHAajl4WWBq/ZX3dDmEUkUIS4oGqhDaVGvJK3IoI98SR6/wncMQ&#10;ZVdq2+E1wl2jx0ky1Q5rjgsVtrSpKP89nJ2B3XayLsL+70tOP9l3Ni9kWsvMmOFrn32ACtSHZ/jR&#10;3loDkzHcv8QfoJf/AAAA//8DAFBLAQItABQABgAIAAAAIQDb4fbL7gAAAIUBAAATAAAAAAAAAAAA&#10;AAAAAAAAAABbQ29udGVudF9UeXBlc10ueG1sUEsBAi0AFAAGAAgAAAAhAFr0LFu/AAAAFQEAAAsA&#10;AAAAAAAAAAAAAAAAHwEAAF9yZWxzLy5yZWxzUEsBAi0AFAAGAAgAAAAhACGbCWzEAAAA2wAAAA8A&#10;AAAAAAAAAAAAAAAABwIAAGRycy9kb3ducmV2LnhtbFBLBQYAAAAAAwADALcAAAD4AgAAAAA=&#10;" strokeweight="1.5pt">
                    <v:stroke startarrow="block" endarrow="block"/>
                  </v:line>
                  <v:shape id="Text Box 120" o:spid="_x0000_s1068" type="#_x0000_t202" style="position:absolute;left:7237;top:13430;width:278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7vwAAANsAAAAPAAAAZHJzL2Rvd25yZXYueG1sRI9bi8Iw&#10;EIXfhf0PYQTfNFVBpBpFXARBWK/4PDRjU2wmpYm2/vuNIPh4OJePM1+2thRPqn3hWMFwkIAgzpwu&#10;OFdwOW/6UxA+IGssHZOCF3lYLn46c0y1a/hIz1PIRRxhn6ICE0KVSukzQxb9wFXE0bu52mKIss6l&#10;rrGJ47aUoySZSIsFR4LBitaGsvvpYSPkag67/WXk+G/jaR1svvvNGqV63XY1AxGoDd/wp73VCsZj&#10;eH+JP0Au/gEAAP//AwBQSwECLQAUAAYACAAAACEA2+H2y+4AAACFAQAAEwAAAAAAAAAAAAAAAAAA&#10;AAAAW0NvbnRlbnRfVHlwZXNdLnhtbFBLAQItABQABgAIAAAAIQBa9CxbvwAAABUBAAALAAAAAAAA&#10;AAAAAAAAAB8BAABfcmVscy8ucmVsc1BLAQItABQABgAIAAAAIQA74O+7vwAAANsAAAAPAAAAAAAA&#10;AAAAAAAAAAcCAABkcnMvZG93bnJldi54bWxQSwUGAAAAAAMAAwC3AAAA8wIAAAAA&#10;" fillcolor="navy">
                    <v:textbox inset="1.80339mm,.355mm,1.80339mm,.71mm">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v:textbox>
                  </v:shape>
                  <v:line id="Line 121" o:spid="_x0000_s1069" style="position:absolute;visibility:visible;mso-wrap-style:square" from="9574,10844" to="9574,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kQxAAAANsAAAAPAAAAZHJzL2Rvd25yZXYueG1sRI/RasJA&#10;FETfC/2H5RZ8q5tqmkrqKkUQRfDBpB9wzd4m0ezdkF01+vVuQfBxmJkzzHTem0acqXO1ZQUfwwgE&#10;cWF1zaWC33z5PgHhPLLGxjIpuJKD+ez1ZYqpthfe0TnzpQgQdikqqLxvUyldUZFBN7QtcfD+bGfQ&#10;B9mVUnd4CXDTyFEUJdJgzWGhwpYWFRXH7GQUrNw228bJl9nd9oc82XyurRvHSg3e+p9vEJ56/ww/&#10;2mutYBzD/5fwA+TsDgAA//8DAFBLAQItABQABgAIAAAAIQDb4fbL7gAAAIUBAAATAAAAAAAAAAAA&#10;AAAAAAAAAABbQ29udGVudF9UeXBlc10ueG1sUEsBAi0AFAAGAAgAAAAhAFr0LFu/AAAAFQEAAAsA&#10;AAAAAAAAAAAAAAAAHwEAAF9yZWxzLy5yZWxzUEsBAi0AFAAGAAgAAAAhAJT72RDEAAAA2wAAAA8A&#10;AAAAAAAAAAAAAAAABwIAAGRycy9kb3ducmV2LnhtbFBLBQYAAAAAAwADALcAAAD4AgAAAAA=&#10;" strokecolor="navy" strokeweight="1.5pt">
                    <v:stroke startarrow="block"/>
                  </v:line>
                  <v:shape id="Text Box 122" o:spid="_x0000_s1070" type="#_x0000_t202" style="position:absolute;left:1827;top:8367;width:386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Rt5xQAAANsAAAAPAAAAZHJzL2Rvd25yZXYueG1sRI/Na8JA&#10;FMTvQv+H5RV6000N1RJdJRZainqp9eLtkX35sNm3IbvNx3/fFYQeh5n5DbPeDqYWHbWusqzgeRaB&#10;IM6srrhQcP5+n76CcB5ZY22ZFIzkYLt5mKwx0bbnL+pOvhABwi5BBaX3TSKly0oy6Ga2IQ5ebluD&#10;Psi2kLrFPsBNLedRtJAGKw4LJTb0VlL2c/o1CvLDMd6PDR92y+HqP9Jldhnzo1JPj0O6AuFp8P/h&#10;e/tTK4hf4PYl/AC5+QMAAP//AwBQSwECLQAUAAYACAAAACEA2+H2y+4AAACFAQAAEwAAAAAAAAAA&#10;AAAAAAAAAAAAW0NvbnRlbnRfVHlwZXNdLnhtbFBLAQItABQABgAIAAAAIQBa9CxbvwAAABUBAAAL&#10;AAAAAAAAAAAAAAAAAB8BAABfcmVscy8ucmVsc1BLAQItABQABgAIAAAAIQDRbRt5xQAAANsAAAAP&#10;AAAAAAAAAAAAAAAAAAcCAABkcnMvZG93bnJldi54bWxQSwUGAAAAAAMAAwC3AAAA+QIAAAAA&#10;" fillcolor="black">
                    <v:textbox inset="1.80339mm,.90169mm,1.80339mm,.90169mm">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v:textbox>
                  </v:shape>
                  <v:line id="Line 125" o:spid="_x0000_s1071" style="position:absolute;visibility:visible;mso-wrap-style:square" from="5484,14467" to="5485,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PXvgAAANsAAAAPAAAAZHJzL2Rvd25yZXYueG1sRI9LC8Iw&#10;EITvgv8hrOBNUx9IrUYRURA8+bovzdpWm01potZ/bwTB4zAz3zDzZWNK8aTaFZYVDPoRCOLU6oIz&#10;BefTtheDcB5ZY2mZFLzJwXLRbs0x0fbFB3oefSYChF2CCnLvq0RKl+Zk0PVtRRy8q60N+iDrTOoa&#10;XwFuSjmMook0WHBYyLGidU7p/fgwCuh22u/8JduMNbprbG7TeGynSnU7zWoGwlPj/+Ffe6cVjCbw&#10;/RJ+gFx8AAAA//8DAFBLAQItABQABgAIAAAAIQDb4fbL7gAAAIUBAAATAAAAAAAAAAAAAAAAAAAA&#10;AABbQ29udGVudF9UeXBlc10ueG1sUEsBAi0AFAAGAAgAAAAhAFr0LFu/AAAAFQEAAAsAAAAAAAAA&#10;AAAAAAAAHwEAAF9yZWxzLy5yZWxzUEsBAi0AFAAGAAgAAAAhAJ1eg9e+AAAA2wAAAA8AAAAAAAAA&#10;AAAAAAAABwIAAGRycy9kb3ducmV2LnhtbFBLBQYAAAAAAwADALcAAADyAgAAAAA=&#10;" strokecolor="teal" strokeweight="1.5pt">
                    <v:stroke endarrow="block"/>
                  </v:line>
                  <v:line id="Line 126" o:spid="_x0000_s1072" style="position:absolute;visibility:visible;mso-wrap-style:square" from="2643,13111" to="3724,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Kr0xAAAANsAAAAPAAAAZHJzL2Rvd25yZXYueG1sRI9LawJB&#10;EITvAf/D0EJucVYFY1ZHWQMJkpuPQ7w1O70P3OlZtie68dc7gYDHoqq+opbr3jXqQp3Ung2MRwko&#10;4tzbmksDx8PHyxyUBGSLjWcy8EsC69XgaYmp9Vfe0WUfShUhLCkaqEJoU60lr8ihjHxLHL3Cdw5D&#10;lF2pbYfXCHeNniTJTDusOS5U2NJ7Rfl5/+MMfG2nmyLsbp9yPGXf2Vshs1rmxjwP+2wBKlAfHuH/&#10;9tYamL7C35f4A/TqDgAA//8DAFBLAQItABQABgAIAAAAIQDb4fbL7gAAAIUBAAATAAAAAAAAAAAA&#10;AAAAAAAAAABbQ29udGVudF9UeXBlc10ueG1sUEsBAi0AFAAGAAgAAAAhAFr0LFu/AAAAFQEAAAsA&#10;AAAAAAAAAAAAAAAAHwEAAF9yZWxzLy5yZWxzUEsBAi0AFAAGAAgAAAAhADHsqvTEAAAA2wAAAA8A&#10;AAAAAAAAAAAAAAAABwIAAGRycy9kb3ducmV2LnhtbFBLBQYAAAAAAwADALcAAAD4AgAAAAA=&#10;" strokeweight="1.5pt">
                    <v:stroke startarrow="block" endarrow="block"/>
                  </v:line>
                  <v:line id="Line 127" o:spid="_x0000_s1073" style="position:absolute;visibility:visible;mso-wrap-style:square" from="2643,14063" to="372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6GwAAAANsAAAAPAAAAZHJzL2Rvd25yZXYueG1sRE9La8JA&#10;EL4L/odlhN50YwWx0VVioUV603rQ25CdPDA7GzJbjf767kHw+PG9V5veNepKndSeDUwnCSji3Nua&#10;SwPH36/xApQEZIuNZzJwJ4HNejhYYWr9jfd0PYRSxRCWFA1UIbSp1pJX5FAmviWOXOE7hyHCrtS2&#10;w1sMd41+T5K5dlhzbKiwpc+K8svhzxn42c22Rdg/vuV4zk7ZRyHzWhbGvI36bAkqUB9e4qd7Zw3M&#10;4tj4Jf4Avf4HAAD//wMAUEsBAi0AFAAGAAgAAAAhANvh9svuAAAAhQEAABMAAAAAAAAAAAAAAAAA&#10;AAAAAFtDb250ZW50X1R5cGVzXS54bWxQSwECLQAUAAYACAAAACEAWvQsW78AAAAVAQAACwAAAAAA&#10;AAAAAAAAAAAfAQAAX3JlbHMvLnJlbHNQSwECLQAUAAYACAAAACEAQHM+hsAAAADbAAAADwAAAAAA&#10;AAAAAAAAAAAHAgAAZHJzL2Rvd25yZXYueG1sUEsFBgAAAAADAAMAtwAAAPQCAAAAAA==&#10;" strokeweight="1.5pt">
                    <v:stroke startarrow="block" endarrow="block"/>
                  </v:line>
                  <v:line id="Line 128" o:spid="_x0000_s1074" style="position:absolute;visibility:visible;mso-wrap-style:square" from="3262,10255" to="326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GTwwAAANsAAAAPAAAAZHJzL2Rvd25yZXYueG1sRI9Ba8JA&#10;FITvBf/D8gRvdWOFUqOriKCW3owieHtkn0lM9m26u9H037uFQo/DzHzDLFa9acSdnK8sK5iMExDE&#10;udUVFwpOx+3rBwgfkDU2lknBD3lYLQcvC0y1ffCB7lkoRISwT1FBGUKbSunzkgz6sW2Jo3e1zmCI&#10;0hVSO3xEuGnkW5K8S4MVx4USW9qUlNdZZxScu4wvt3rrGux2+/31/F376ZdSo2G/noMI1If/8F/7&#10;UyuYzuD3S/wBcvkEAAD//wMAUEsBAi0AFAAGAAgAAAAhANvh9svuAAAAhQEAABMAAAAAAAAAAAAA&#10;AAAAAAAAAFtDb250ZW50X1R5cGVzXS54bWxQSwECLQAUAAYACAAAACEAWvQsW78AAAAVAQAACwAA&#10;AAAAAAAAAAAAAAAfAQAAX3JlbHMvLnJlbHNQSwECLQAUAAYACAAAACEA1Krhk8MAAADbAAAADwAA&#10;AAAAAAAAAAAAAAAHAgAAZHJzL2Rvd25yZXYueG1sUEsFBgAAAAADAAMAtwAAAPcCAAAAAA==&#10;" strokeweight="1.5pt"/>
                  <v:line id="Line 129" o:spid="_x0000_s1075" style="position:absolute;visibility:visible;mso-wrap-style:square" from="3262,11051" to="3262,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tzwAAAANsAAAAPAAAAZHJzL2Rvd25yZXYueG1sRE/Pa8Iw&#10;FL4L+x/CG+ym6VRkdEYZA3V4s47Cbo/m2XZtXmqSav3vzUHw+PH9Xq4H04oLOV9bVvA+SUAQF1bX&#10;XCr4PW7GHyB8QNbYWiYFN/KwXr2Mlphqe+UDXbJQihjCPkUFVQhdKqUvKjLoJ7YjjtzJOoMhQldK&#10;7fAaw00rp0mykAZrjg0VdvRdUdFkvVGQ9xn//Tcb12K/3e1O+bnxs71Sb6/D1yeIQEN4ih/uH61g&#10;HtfHL/EHyNUdAAD//wMAUEsBAi0AFAAGAAgAAAAhANvh9svuAAAAhQEAABMAAAAAAAAAAAAAAAAA&#10;AAAAAFtDb250ZW50X1R5cGVzXS54bWxQSwECLQAUAAYACAAAACEAWvQsW78AAAAVAQAACwAAAAAA&#10;AAAAAAAAAAAfAQAAX3JlbHMvLnJlbHNQSwECLQAUAAYACAAAACEAHZY7c8AAAADbAAAADwAAAAAA&#10;AAAAAAAAAAAHAgAAZHJzL2Rvd25yZXYueG1sUEsFBgAAAAADAAMAtwAAAPQCAAAAAA==&#10;" strokeweight="1.5pt"/>
                  <v:shape id="Text Box 131" o:spid="_x0000_s1076" type="#_x0000_t202" style="position:absolute;left:3699;top:11842;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l+xAAAANsAAAAPAAAAZHJzL2Rvd25yZXYueG1sRI/disIw&#10;FITvhX2HcBa809SldqUaRWRX9EJcfx7g0BzbYnNSmqytb28EwcthZr5hZovOVOJGjSstKxgNIxDE&#10;mdUl5wrOp9/BBITzyBory6TgTg4W84/eDFNtWz7Q7ehzESDsUlRQeF+nUrqsIINuaGvi4F1sY9AH&#10;2eRSN9gGuKnkVxQl0mDJYaHAmlYFZdfjv1HQjpPdX+626+U+uf7Ep1X2HW8mSvU/u+UUhKfOv8Ov&#10;9kYriEfw/BJ+gJw/AAAA//8DAFBLAQItABQABgAIAAAAIQDb4fbL7gAAAIUBAAATAAAAAAAAAAAA&#10;AAAAAAAAAABbQ29udGVudF9UeXBlc10ueG1sUEsBAi0AFAAGAAgAAAAhAFr0LFu/AAAAFQEAAAsA&#10;AAAAAAAAAAAAAAAAHwEAAF9yZWxzLy5yZWxzUEsBAi0AFAAGAAgAAAAhAIE06X7EAAAA2wAAAA8A&#10;AAAAAAAAAAAAAAAABwIAAGRycy9kb3ducmV2LnhtbFBLBQYAAAAAAwADALcAAAD4AgAAAAA=&#10;" fillcolor="#396">
                    <v:textbox inset="1.80339mm,.355mm,1.80339mm,.71mm">
                      <w:txbxContent>
                        <w:p w14:paraId="6131C596" w14:textId="77777777" w:rsidR="00BB5CD0" w:rsidRPr="00CB70D3" w:rsidRDefault="00BB5CD0" w:rsidP="00BB5CD0">
                          <w:pPr>
                            <w:autoSpaceDE w:val="0"/>
                            <w:autoSpaceDN w:val="0"/>
                            <w:adjustRightInd w:val="0"/>
                            <w:spacing w:before="60"/>
                            <w:jc w:val="center"/>
                            <w:rPr>
                              <w:rFonts w:ascii="Arial Narrow" w:hAnsi="Arial Narrow" w:cs="Arial Narrow"/>
                              <w:b/>
                              <w:bCs/>
                              <w:color w:val="FFFFFF"/>
                              <w:sz w:val="25"/>
                            </w:rPr>
                          </w:pPr>
                          <w:r w:rsidRPr="00CB70D3">
                            <w:rPr>
                              <w:rFonts w:ascii="Arial Narrow" w:hAnsi="Arial Narrow"/>
                              <w:color w:val="FFFFFF"/>
                              <w:sz w:val="28"/>
                              <w:szCs w:val="28"/>
                            </w:rPr>
                            <w:sym w:font="Wingdings" w:char="F08E"/>
                          </w:r>
                          <w:r w:rsidR="000C49FD">
                            <w:rPr>
                              <w:rFonts w:ascii="Arial Narrow" w:hAnsi="Arial Narrow" w:cs="Arial Narrow"/>
                              <w:b/>
                              <w:bCs/>
                              <w:color w:val="FFFFFF"/>
                              <w:sz w:val="28"/>
                              <w:szCs w:val="20"/>
                            </w:rPr>
                            <w:t>ADR [C</w:t>
                          </w:r>
                          <w:r w:rsidR="00CB70D3" w:rsidRPr="00CB70D3">
                            <w:rPr>
                              <w:rFonts w:ascii="Arial Narrow" w:hAnsi="Arial Narrow" w:cs="Arial Narrow"/>
                              <w:b/>
                              <w:bCs/>
                              <w:color w:val="FFFFFF"/>
                              <w:sz w:val="28"/>
                              <w:szCs w:val="20"/>
                            </w:rPr>
                            <w:t>C, JRC]</w:t>
                          </w:r>
                        </w:p>
                      </w:txbxContent>
                    </v:textbox>
                  </v:shape>
                  <v:shape id="Text Box 132" o:spid="_x0000_s1077" type="#_x0000_t202" style="position:absolute;left:3699;top:10890;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ncJwwAAANsAAAAPAAAAZHJzL2Rvd25yZXYueG1sRI/disIw&#10;FITvF3yHcIS9W1OlW6UaRUQXvVj8fYBDc2yLzUlpou2+vRGEvRxm5htmtuhMJR7UuNKyguEgAkGc&#10;WV1yruBy3nxNQDiPrLGyTAr+yMFi3vuYYapty0d6nHwuAoRdigoK7+tUSpcVZNANbE0cvKttDPog&#10;m1zqBtsAN5UcRVEiDZYcFgqsaVVQdjvdjYL2O/k95G73s9wnt3V8XmXjeDtR6rPfLacgPHX+P/xu&#10;b7WCeASvL+EHyPkTAAD//wMAUEsBAi0AFAAGAAgAAAAhANvh9svuAAAAhQEAABMAAAAAAAAAAAAA&#10;AAAAAAAAAFtDb250ZW50X1R5cGVzXS54bWxQSwECLQAUAAYACAAAACEAWvQsW78AAAAVAQAACwAA&#10;AAAAAAAAAAAAAAAfAQAAX3JlbHMvLnJlbHNQSwECLQAUAAYACAAAACEAceZ3CcMAAADbAAAADwAA&#10;AAAAAAAAAAAAAAAHAgAAZHJzL2Rvd25yZXYueG1sUEsFBgAAAAADAAMAtwAAAPcCAAAAAA==&#10;" fillcolor="#396">
                    <v:textbox inset="1.80339mm,.355mm,1.80339mm,.71mm">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v:textbox>
                  </v:shape>
                  <v:shape id="Text Box 133" o:spid="_x0000_s1078" type="#_x0000_t202" style="position:absolute;left:3705;top:12795;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KSxQAAANsAAAAPAAAAZHJzL2Rvd25yZXYueG1sRI/NasMw&#10;EITvhbyD2EBvtdzUdYxrJYSQhvQQ8tcHWKytbWKtjKXGzttXhUKPw8x8wxTL0bTiRr1rLCt4jmIQ&#10;xKXVDVcKPi/vTxkI55E1tpZJwZ0cLBeThwJzbQc+0e3sKxEg7HJUUHvf5VK6siaDLrIdcfC+bG/Q&#10;B9lXUvc4BLhp5SyOU2mw4bBQY0frmsrr+dsoGF7T/bFyH9vVIb1uksu6nCe7TKnH6bh6A+Fp9P/h&#10;v/ZOK0he4PdL+AFy8QMAAP//AwBQSwECLQAUAAYACAAAACEA2+H2y+4AAACFAQAAEwAAAAAAAAAA&#10;AAAAAAAAAAAAW0NvbnRlbnRfVHlwZXNdLnhtbFBLAQItABQABgAIAAAAIQBa9CxbvwAAABUBAAAL&#10;AAAAAAAAAAAAAAAAAB8BAABfcmVscy8ucmVsc1BLAQItABQABgAIAAAAIQAeqtKSxQAAANsAAAAP&#10;AAAAAAAAAAAAAAAAAAcCAABkcnMvZG93bnJldi54bWxQSwUGAAAAAAMAAwC3AAAA+QIAAAAA&#10;" fillcolor="#396">
                    <v:textbox inset="1.80339mm,.355mm,1.80339mm,.71mm">
                      <w:txbxContent>
                        <w:p w14:paraId="25C128D3" w14:textId="77777777"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0C49FD" w:rsidRPr="000C49FD">
                            <w:rPr>
                              <w:rFonts w:ascii="Arial Narrow" w:hAnsi="Arial Narrow" w:cs="Arial Narrow"/>
                              <w:b/>
                              <w:bCs/>
                              <w:color w:val="FFFFFF"/>
                              <w:szCs w:val="28"/>
                            </w:rPr>
                            <w:t>1</w:t>
                          </w:r>
                          <w:r w:rsidR="000C49FD" w:rsidRPr="000C49FD">
                            <w:rPr>
                              <w:rFonts w:ascii="Arial Narrow" w:hAnsi="Arial Narrow" w:cs="Arial Narrow"/>
                              <w:b/>
                              <w:bCs/>
                              <w:color w:val="FFFFFF"/>
                              <w:szCs w:val="28"/>
                              <w:vertAlign w:val="superscript"/>
                            </w:rPr>
                            <w:t>st</w:t>
                          </w:r>
                          <w:r w:rsidR="000C49FD" w:rsidRPr="000C49FD">
                            <w:rPr>
                              <w:rFonts w:ascii="Arial Narrow" w:hAnsi="Arial Narrow" w:cs="Arial Narrow"/>
                              <w:b/>
                              <w:bCs/>
                              <w:color w:val="FFFFFF"/>
                              <w:szCs w:val="28"/>
                            </w:rPr>
                            <w:t xml:space="preserve"> </w:t>
                          </w:r>
                          <w:r w:rsidRPr="000C49FD">
                            <w:rPr>
                              <w:rFonts w:ascii="Arial Narrow" w:hAnsi="Arial Narrow" w:cs="Arial Narrow"/>
                              <w:b/>
                              <w:bCs/>
                              <w:color w:val="FFFFFF"/>
                              <w:szCs w:val="28"/>
                            </w:rPr>
                            <w:t>DIRECTIONS HEARING</w:t>
                          </w:r>
                        </w:p>
                      </w:txbxContent>
                    </v:textbox>
                  </v:shape>
                  <v:shape id="Text Box 134" o:spid="_x0000_s1079" type="#_x0000_t202" style="position:absolute;left:3705;top:13747;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rmxQAAANsAAAAPAAAAZHJzL2Rvd25yZXYueG1sRI/RasJA&#10;FETfhf7Dcgt9MxtLmkrqKiG0RR9Ea/oBl+w1CWbvhuzWpH/vFgo+DjNzhlltJtOJKw2utaxgEcUg&#10;iCurW64VfJcf8yUI55E1dpZJwS852KwfZivMtB35i64nX4sAYZehgsb7PpPSVQ0ZdJHtiYN3toNB&#10;H+RQSz3gGOCmk89xnEqDLYeFBnsqGqoupx+jYHxJ98fa7T7zQ3p5T8qiek22S6WeHqf8DYSnyd/D&#10;/+2tVpAk8Pcl/AC5vgEAAP//AwBQSwECLQAUAAYACAAAACEA2+H2y+4AAACFAQAAEwAAAAAAAAAA&#10;AAAAAAAAAAAAW0NvbnRlbnRfVHlwZXNdLnhtbFBLAQItABQABgAIAAAAIQBa9CxbvwAAABUBAAAL&#10;AAAAAAAAAAAAAAAAAB8BAABfcmVscy8ucmVsc1BLAQItABQABgAIAAAAIQCRQ0rmxQAAANsAAAAP&#10;AAAAAAAAAAAAAAAAAAcCAABkcnMvZG93bnJldi54bWxQSwUGAAAAAAMAAwC3AAAA+QIAAAAA&#10;" fillcolor="#396">
                    <v:textbox inset="1.80339mm,.355mm,1.80339mm,.71mm">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v:textbox>
                  </v:shape>
                  <v:shape id="Text Box 135" o:spid="_x0000_s1080" type="#_x0000_t202" style="position:absolute;left:3696;top:8961;width:146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vjxgAAANsAAAAPAAAAZHJzL2Rvd25yZXYueG1sRI9PawIx&#10;FMTvBb9DeIIXqVmLtdvVKFIUCr34D7w+N6+b1c3Lsom69dM3QqHHYWZ+w0znra3ElRpfOlYwHCQg&#10;iHOnSy4U7Her5xSED8gaK8ek4Ic8zGedpylm2t14Q9dtKESEsM9QgQmhzqT0uSGLfuBq4uh9u8Zi&#10;iLIppG7wFuG2ki9JMpYWS44LBmv6MJSftxer4LC+HPdjk34tN+nuXPbl/b3/dlKq120XExCB2vAf&#10;/mt/agWjV3h8iT9Azn4BAAD//wMAUEsBAi0AFAAGAAgAAAAhANvh9svuAAAAhQEAABMAAAAAAAAA&#10;AAAAAAAAAAAAAFtDb250ZW50X1R5cGVzXS54bWxQSwECLQAUAAYACAAAACEAWvQsW78AAAAVAQAA&#10;CwAAAAAAAAAAAAAAAAAfAQAAX3JlbHMvLnJlbHNQSwECLQAUAAYACAAAACEA3h8748YAAADbAAAA&#10;DwAAAAAAAAAAAAAAAAAHAgAAZHJzL2Rvd25yZXYueG1sUEsFBgAAAAADAAMAtwAAAPoCAAAAAA==&#10;" fillcolor="black" strokecolor="white" strokeweight="1.5pt">
                    <v:stroke startarrowwidth="narrow" startarrowlength="short" endarrowwidth="narrow" endarrowlength="short"/>
                    <v:shadow color="#a0a0a0"/>
                    <v:textbox inset="1.80339mm,.90169mm,1.80339mm,.90169mm">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v:textbox>
                  </v:shape>
                  <v:shape id="Text Box 136" o:spid="_x0000_s1081" type="#_x0000_t202" style="position:absolute;left:5260;top:8961;width:154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xowwAAANsAAAAPAAAAZHJzL2Rvd25yZXYueG1sRI9Ba8JA&#10;FITvhf6H5RW81U2LqKSuoYjFelSD9PjIvmZjs29DdmO2/94VCj0OM/MNsyqibcWVet84VvAyzUAQ&#10;V043XCsoTx/PSxA+IGtsHZOCX/JQrB8fVphrN/KBrsdQiwRhn6MCE0KXS+krQxb91HXEyft2vcWQ&#10;ZF9L3eOY4LaVr1k2lxYbTgsGO9oYqn6Og1WgFyaO563ZLfhCF7Mvv2I7zJSaPMX3NxCBYvgP/7U/&#10;tYLZHO5f0g+Q6xsAAAD//wMAUEsBAi0AFAAGAAgAAAAhANvh9svuAAAAhQEAABMAAAAAAAAAAAAA&#10;AAAAAAAAAFtDb250ZW50X1R5cGVzXS54bWxQSwECLQAUAAYACAAAACEAWvQsW78AAAAVAQAACwAA&#10;AAAAAAAAAAAAAAAfAQAAX3JlbHMvLnJlbHNQSwECLQAUAAYACAAAACEAkTUcaMMAAADbAAAADwAA&#10;AAAAAAAAAAAAAAAHAgAAZHJzL2Rvd25yZXYueG1sUEsFBgAAAAADAAMAtwAAAPcCAAAAAA==&#10;" fillcolor="red" strokecolor="white" strokeweight="1.5pt">
                    <v:stroke startarrowwidth="narrow" startarrowlength="short" endarrowwidth="narrow" endarrowlength="short"/>
                    <v:shadow color="#a0a0a0"/>
                    <v:textbox inset="1.80339mm,.90169mm,1.80339mm,.90169mm">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v:textbox>
                  </v:shape>
                  <v:shape id="Text Box 137" o:spid="_x0000_s1082" type="#_x0000_t202" style="position:absolute;left:3699;top:993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SRxAAAANsAAAAPAAAAZHJzL2Rvd25yZXYueG1sRI/RisIw&#10;FETfhf2HcBd809SlVqlGEdkVfRB31Q+4NNe22NyUJmvr3xtB8HGYmTPMfNmZStyocaVlBaNhBII4&#10;s7rkXMH59DOYgnAeWWNlmRTcycFy8dGbY6pty390O/pcBAi7FBUU3teplC4ryKAb2po4eBfbGPRB&#10;NrnUDbYBbir5FUWJNFhyWCiwpnVB2fX4bxS042T/m7vdZnVIrt/xaZ1N4u1Uqf5nt5qB8NT5d/jV&#10;3moF8QSeX8IPkIsHAAAA//8DAFBLAQItABQABgAIAAAAIQDb4fbL7gAAAIUBAAATAAAAAAAAAAAA&#10;AAAAAAAAAABbQ29udGVudF9UeXBlc10ueG1sUEsBAi0AFAAGAAgAAAAhAFr0LFu/AAAAFQEAAAsA&#10;AAAAAAAAAAAAAAAAHwEAAF9yZWxzLy5yZWxzUEsBAi0AFAAGAAgAAAAhAGGR1JHEAAAA2wAAAA8A&#10;AAAAAAAAAAAAAAAABwIAAGRycy9kb3ducmV2LnhtbFBLBQYAAAAAAwADALcAAAD4AgAAAAA=&#10;" fillcolor="#396">
                    <v:textbox inset="1.80339mm,.355mm,1.80339mm,.71mm">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v:textbox>
                  </v:shape>
                </v:group>
                <w10:anchorlock/>
              </v:group>
            </w:pict>
          </mc:Fallback>
        </mc:AlternateContent>
      </w:r>
    </w:p>
    <w:p w14:paraId="310F7A44" w14:textId="77777777" w:rsidR="00693223" w:rsidRPr="00061DAE" w:rsidRDefault="00693223">
      <w:pPr>
        <w:jc w:val="both"/>
        <w:rPr>
          <w:rFonts w:ascii="Arial" w:hAnsi="Arial" w:cs="Arial"/>
          <w:sz w:val="20"/>
          <w:szCs w:val="20"/>
        </w:rPr>
      </w:pPr>
    </w:p>
    <w:p w14:paraId="39D24251" w14:textId="77777777" w:rsidR="007867B3" w:rsidRDefault="007867B3" w:rsidP="00061DAE">
      <w:pPr>
        <w:keepNext/>
        <w:jc w:val="both"/>
        <w:rPr>
          <w:rFonts w:ascii="Arial" w:hAnsi="Arial" w:cs="Arial"/>
          <w:sz w:val="20"/>
        </w:rPr>
      </w:pPr>
      <w:bookmarkStart w:id="1341" w:name="_Toc30649421"/>
      <w:bookmarkStart w:id="1342" w:name="_Toc30649746"/>
      <w:bookmarkStart w:id="1343" w:name="_Toc30651686"/>
      <w:bookmarkStart w:id="1344" w:name="_Toc30652676"/>
      <w:bookmarkStart w:id="1345" w:name="_Toc30652772"/>
      <w:bookmarkStart w:id="1346" w:name="_Toc30654122"/>
      <w:bookmarkStart w:id="1347" w:name="_Toc30654473"/>
      <w:bookmarkStart w:id="1348" w:name="_Toc30655092"/>
      <w:bookmarkStart w:id="1349" w:name="_Toc30655349"/>
      <w:bookmarkStart w:id="1350" w:name="_Toc30657027"/>
      <w:bookmarkStart w:id="1351" w:name="_Toc30661776"/>
      <w:bookmarkStart w:id="1352" w:name="_Toc30666464"/>
      <w:bookmarkStart w:id="1353" w:name="_Toc30666694"/>
      <w:bookmarkStart w:id="1354" w:name="_Toc30667869"/>
      <w:bookmarkStart w:id="1355" w:name="_Toc30669247"/>
      <w:bookmarkStart w:id="1356" w:name="_Toc30671463"/>
      <w:bookmarkStart w:id="1357" w:name="_Toc30673990"/>
      <w:bookmarkStart w:id="1358" w:name="_Toc30691212"/>
      <w:bookmarkStart w:id="1359" w:name="_Toc30691585"/>
      <w:bookmarkStart w:id="1360" w:name="_Toc30691965"/>
      <w:bookmarkStart w:id="1361" w:name="_Toc30692724"/>
      <w:bookmarkStart w:id="1362" w:name="_Toc30693103"/>
      <w:bookmarkStart w:id="1363" w:name="_Toc30693481"/>
      <w:bookmarkStart w:id="1364" w:name="_Toc30693859"/>
      <w:bookmarkStart w:id="1365" w:name="_Toc30694240"/>
      <w:bookmarkStart w:id="1366" w:name="_Toc30698829"/>
      <w:bookmarkStart w:id="1367" w:name="_Toc30699207"/>
      <w:bookmarkStart w:id="1368" w:name="_Toc30699592"/>
      <w:bookmarkStart w:id="1369" w:name="_Toc30700747"/>
      <w:bookmarkStart w:id="1370" w:name="_Toc30701134"/>
      <w:bookmarkStart w:id="1371" w:name="_Toc30743743"/>
      <w:bookmarkStart w:id="1372" w:name="_Toc30754566"/>
      <w:bookmarkStart w:id="1373" w:name="_Toc30757006"/>
      <w:bookmarkStart w:id="1374" w:name="_Toc30757555"/>
      <w:bookmarkStart w:id="1375" w:name="_Toc30757955"/>
      <w:bookmarkStart w:id="1376" w:name="_Toc30762716"/>
      <w:bookmarkStart w:id="1377" w:name="_Toc30767370"/>
      <w:bookmarkStart w:id="1378" w:name="_Toc34823385"/>
      <w:r>
        <w:rPr>
          <w:rFonts w:ascii="Arial" w:hAnsi="Arial" w:cs="Arial"/>
          <w:sz w:val="20"/>
        </w:rPr>
        <w:t>The Secretary or his or her delegate, in the capacity of being a party to any proceeding in the Family Division, whether as a protective intervener or otherwise, may appear-</w:t>
      </w:r>
    </w:p>
    <w:p w14:paraId="5246FF6E" w14:textId="77777777" w:rsidR="007867B3" w:rsidRDefault="007867B3" w:rsidP="00033D59">
      <w:pPr>
        <w:jc w:val="both"/>
        <w:rPr>
          <w:rFonts w:ascii="Arial" w:hAnsi="Arial" w:cs="Arial"/>
          <w:sz w:val="20"/>
        </w:rPr>
      </w:pPr>
      <w:r>
        <w:rPr>
          <w:rFonts w:ascii="Arial" w:hAnsi="Arial" w:cs="Arial"/>
          <w:sz w:val="20"/>
        </w:rPr>
        <w:t>(a)</w:t>
      </w:r>
      <w:r>
        <w:rPr>
          <w:rFonts w:ascii="Arial" w:hAnsi="Arial" w:cs="Arial"/>
          <w:sz w:val="20"/>
        </w:rPr>
        <w:tab/>
        <w:t>personally; or</w:t>
      </w:r>
    </w:p>
    <w:p w14:paraId="08C20F48" w14:textId="77777777" w:rsidR="007867B3" w:rsidRDefault="007867B3" w:rsidP="007867B3">
      <w:pPr>
        <w:jc w:val="both"/>
        <w:rPr>
          <w:rFonts w:ascii="Arial" w:hAnsi="Arial" w:cs="Arial"/>
          <w:sz w:val="20"/>
        </w:rPr>
      </w:pPr>
      <w:r>
        <w:rPr>
          <w:rFonts w:ascii="Arial" w:hAnsi="Arial" w:cs="Arial"/>
          <w:sz w:val="20"/>
        </w:rPr>
        <w:t>(b)</w:t>
      </w:r>
      <w:r>
        <w:rPr>
          <w:rFonts w:ascii="Arial" w:hAnsi="Arial" w:cs="Arial"/>
          <w:sz w:val="20"/>
        </w:rPr>
        <w:tab/>
        <w:t>by a legal practitioner; or</w:t>
      </w:r>
    </w:p>
    <w:p w14:paraId="17D0FB59" w14:textId="77777777" w:rsidR="007867B3" w:rsidRDefault="007867B3" w:rsidP="007867B3">
      <w:pPr>
        <w:jc w:val="both"/>
        <w:rPr>
          <w:rFonts w:ascii="Arial" w:hAnsi="Arial" w:cs="Arial"/>
          <w:sz w:val="20"/>
        </w:rPr>
      </w:pPr>
      <w:r>
        <w:rPr>
          <w:rFonts w:ascii="Arial" w:hAnsi="Arial" w:cs="Arial"/>
          <w:sz w:val="20"/>
        </w:rPr>
        <w:t>(c)</w:t>
      </w:r>
      <w:r>
        <w:rPr>
          <w:rFonts w:ascii="Arial" w:hAnsi="Arial" w:cs="Arial"/>
          <w:sz w:val="20"/>
        </w:rPr>
        <w:tab/>
        <w:t>by an authorized employee (whether or not a legal practitioner).</w:t>
      </w:r>
    </w:p>
    <w:p w14:paraId="47475608" w14:textId="77777777" w:rsidR="007867B3" w:rsidRDefault="007867B3" w:rsidP="007867B3">
      <w:pPr>
        <w:jc w:val="both"/>
        <w:rPr>
          <w:rFonts w:ascii="Arial" w:hAnsi="Arial" w:cs="Arial"/>
          <w:sz w:val="20"/>
        </w:rPr>
      </w:pPr>
      <w:r>
        <w:rPr>
          <w:rFonts w:ascii="Arial" w:hAnsi="Arial" w:cs="Arial"/>
          <w:sz w:val="20"/>
        </w:rPr>
        <w:t xml:space="preserve">See ss.215(3)-(6) of the CYFA.  The Department of </w:t>
      </w:r>
      <w:r w:rsidR="002E0E92">
        <w:rPr>
          <w:rFonts w:ascii="Arial" w:hAnsi="Arial" w:cs="Arial"/>
          <w:sz w:val="20"/>
          <w:szCs w:val="20"/>
        </w:rPr>
        <w:t>Families, Fairness and Housing</w:t>
      </w:r>
      <w:r>
        <w:rPr>
          <w:rFonts w:ascii="Arial" w:hAnsi="Arial" w:cs="Arial"/>
          <w:sz w:val="20"/>
        </w:rPr>
        <w:t xml:space="preserve"> has set up a </w:t>
      </w:r>
      <w:r w:rsidR="000E0F91">
        <w:rPr>
          <w:rFonts w:ascii="Arial" w:hAnsi="Arial" w:cs="Arial"/>
          <w:sz w:val="20"/>
        </w:rPr>
        <w:t>“Child Protection Litigation Office”</w:t>
      </w:r>
      <w:r>
        <w:rPr>
          <w:rFonts w:ascii="Arial" w:hAnsi="Arial" w:cs="Arial"/>
          <w:sz w:val="20"/>
        </w:rPr>
        <w:t>, comprised of legal practitioners and authorized employees, to represent and to co-ordinate the representation of the Secretary and his or her delegates in proceedings in the Family Division of</w:t>
      </w:r>
      <w:r w:rsidR="000E0F91">
        <w:rPr>
          <w:rFonts w:ascii="Arial" w:hAnsi="Arial" w:cs="Arial"/>
          <w:sz w:val="20"/>
        </w:rPr>
        <w:t xml:space="preserve"> the Melbourne</w:t>
      </w:r>
      <w:r w:rsidR="004E1436">
        <w:rPr>
          <w:rFonts w:ascii="Arial" w:hAnsi="Arial" w:cs="Arial"/>
          <w:sz w:val="20"/>
        </w:rPr>
        <w:t>, Broadmeadows</w:t>
      </w:r>
      <w:r w:rsidR="000E0F91">
        <w:rPr>
          <w:rFonts w:ascii="Arial" w:hAnsi="Arial" w:cs="Arial"/>
          <w:sz w:val="20"/>
        </w:rPr>
        <w:t xml:space="preserve"> and Moorabbin Children's Courts.</w:t>
      </w:r>
    </w:p>
    <w:p w14:paraId="16BC3C70" w14:textId="77777777" w:rsidR="007867B3" w:rsidRPr="00801CD5" w:rsidRDefault="007867B3" w:rsidP="00033D59">
      <w:pPr>
        <w:pStyle w:val="Heading3"/>
        <w:spacing w:after="60" w:line="240" w:lineRule="auto"/>
        <w:rPr>
          <w:rFonts w:ascii="Arial" w:hAnsi="Arial" w:cs="Arial"/>
          <w:b/>
          <w:bCs/>
          <w:color w:val="000000"/>
          <w:sz w:val="20"/>
        </w:rPr>
      </w:pPr>
    </w:p>
    <w:p w14:paraId="4E674BC2" w14:textId="77777777" w:rsidR="00693223" w:rsidRPr="00801CD5" w:rsidRDefault="00693223" w:rsidP="00287157">
      <w:pPr>
        <w:pStyle w:val="Heading3"/>
        <w:keepNext/>
        <w:keepLines/>
        <w:spacing w:after="60" w:line="240" w:lineRule="auto"/>
        <w:rPr>
          <w:rFonts w:ascii="Arial" w:hAnsi="Arial" w:cs="Arial"/>
          <w:b/>
          <w:bCs/>
          <w:color w:val="000000"/>
          <w:sz w:val="20"/>
          <w:lang w:val="en-AU"/>
        </w:rPr>
      </w:pPr>
      <w:bookmarkStart w:id="1379" w:name="_4.9.1_Apprehension_–"/>
      <w:bookmarkStart w:id="1380" w:name="B491"/>
      <w:bookmarkEnd w:id="1379"/>
      <w:bookmarkEnd w:id="1380"/>
      <w:r w:rsidRPr="00801CD5">
        <w:rPr>
          <w:rFonts w:ascii="Arial" w:hAnsi="Arial" w:cs="Arial"/>
          <w:b/>
          <w:bCs/>
          <w:color w:val="000000"/>
          <w:sz w:val="20"/>
        </w:rPr>
        <w:t>4.9.</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r w:rsidR="00775DC6" w:rsidRPr="00801CD5">
        <w:rPr>
          <w:rFonts w:ascii="Arial" w:hAnsi="Arial" w:cs="Arial"/>
          <w:b/>
          <w:bCs/>
          <w:color w:val="000000"/>
          <w:sz w:val="20"/>
        </w:rPr>
        <w:t>1</w:t>
      </w:r>
      <w:r w:rsidR="003325AD" w:rsidRPr="00801CD5">
        <w:rPr>
          <w:rFonts w:ascii="Arial" w:hAnsi="Arial" w:cs="Arial"/>
          <w:b/>
          <w:bCs/>
          <w:color w:val="000000"/>
          <w:sz w:val="20"/>
        </w:rPr>
        <w:tab/>
        <w:t xml:space="preserve">Apprehension </w:t>
      </w:r>
      <w:r w:rsidR="006A28AD">
        <w:rPr>
          <w:rFonts w:ascii="Arial" w:hAnsi="Arial" w:cs="Arial"/>
          <w:b/>
          <w:bCs/>
          <w:color w:val="000000"/>
          <w:sz w:val="20"/>
        </w:rPr>
        <w:t>–</w:t>
      </w:r>
      <w:r w:rsidR="003325AD" w:rsidRPr="00801CD5">
        <w:rPr>
          <w:rFonts w:ascii="Arial" w:hAnsi="Arial" w:cs="Arial"/>
          <w:b/>
          <w:bCs/>
          <w:color w:val="000000"/>
          <w:sz w:val="20"/>
        </w:rPr>
        <w:t xml:space="preserve"> H</w:t>
      </w:r>
      <w:r w:rsidR="00E31A12" w:rsidRPr="00801CD5">
        <w:rPr>
          <w:rFonts w:ascii="Arial" w:hAnsi="Arial" w:cs="Arial"/>
          <w:b/>
          <w:bCs/>
          <w:color w:val="000000"/>
          <w:sz w:val="20"/>
        </w:rPr>
        <w:t>earing</w:t>
      </w:r>
      <w:r w:rsidR="006A28AD">
        <w:rPr>
          <w:rFonts w:ascii="Arial" w:hAnsi="Arial" w:cs="Arial"/>
          <w:b/>
          <w:bCs/>
          <w:color w:val="000000"/>
          <w:sz w:val="20"/>
        </w:rPr>
        <w:t xml:space="preserve"> </w:t>
      </w:r>
      <w:r w:rsidR="00E31A12" w:rsidRPr="00801CD5">
        <w:rPr>
          <w:rFonts w:ascii="Arial" w:hAnsi="Arial" w:cs="Arial"/>
          <w:b/>
          <w:bCs/>
          <w:color w:val="000000"/>
          <w:sz w:val="20"/>
        </w:rPr>
        <w:t xml:space="preserve">after child placed </w:t>
      </w:r>
      <w:r w:rsidR="00502296" w:rsidRPr="00801CD5">
        <w:rPr>
          <w:rFonts w:ascii="Arial" w:hAnsi="Arial" w:cs="Arial"/>
          <w:b/>
          <w:bCs/>
          <w:color w:val="000000"/>
          <w:sz w:val="20"/>
        </w:rPr>
        <w:t>in emergency care</w:t>
      </w:r>
    </w:p>
    <w:p w14:paraId="6BD23EB8" w14:textId="77777777" w:rsidR="005B49DC" w:rsidRDefault="005B49DC" w:rsidP="00FC40FC">
      <w:pPr>
        <w:jc w:val="both"/>
        <w:rPr>
          <w:rFonts w:ascii="Arial" w:hAnsi="Arial" w:cs="Arial"/>
          <w:sz w:val="20"/>
        </w:rPr>
      </w:pPr>
      <w:r w:rsidRPr="00801CD5">
        <w:rPr>
          <w:rFonts w:ascii="Arial" w:hAnsi="Arial" w:cs="Arial"/>
          <w:color w:val="000000"/>
          <w:sz w:val="20"/>
        </w:rPr>
        <w:t>If a proceeding in the Family Division is commenced by the apprehension of the child</w:t>
      </w:r>
      <w:r w:rsidR="00A743CB" w:rsidRPr="00801CD5">
        <w:rPr>
          <w:rFonts w:ascii="Arial" w:hAnsi="Arial" w:cs="Arial"/>
          <w:color w:val="000000"/>
          <w:sz w:val="20"/>
        </w:rPr>
        <w:t xml:space="preserve"> with or with</w:t>
      </w:r>
      <w:r w:rsidR="00A743CB">
        <w:rPr>
          <w:rFonts w:ascii="Arial" w:hAnsi="Arial" w:cs="Arial"/>
          <w:sz w:val="20"/>
        </w:rPr>
        <w:t xml:space="preserve">out a warrant, </w:t>
      </w:r>
      <w:r>
        <w:rPr>
          <w:rFonts w:ascii="Arial" w:hAnsi="Arial" w:cs="Arial"/>
          <w:sz w:val="20"/>
        </w:rPr>
        <w:t xml:space="preserve">he or she must be placed in emergency care </w:t>
      </w:r>
      <w:r w:rsidR="00A743CB">
        <w:rPr>
          <w:rFonts w:ascii="Arial" w:hAnsi="Arial" w:cs="Arial"/>
          <w:sz w:val="20"/>
        </w:rPr>
        <w:t xml:space="preserve">until the Court or a bail justice hears an application for an interim accommodation order: ss.241-242 </w:t>
      </w:r>
      <w:r w:rsidR="003D6315">
        <w:rPr>
          <w:rFonts w:ascii="Arial" w:hAnsi="Arial" w:cs="Arial"/>
          <w:sz w:val="20"/>
        </w:rPr>
        <w:t xml:space="preserve">&amp; 247A </w:t>
      </w:r>
      <w:r w:rsidR="00A743CB">
        <w:rPr>
          <w:rFonts w:ascii="Arial" w:hAnsi="Arial" w:cs="Arial"/>
          <w:sz w:val="20"/>
        </w:rPr>
        <w:t>of the CYFA.</w:t>
      </w:r>
    </w:p>
    <w:p w14:paraId="7BBD1299" w14:textId="77777777" w:rsidR="005B49DC" w:rsidRDefault="005B49DC" w:rsidP="00FC40FC">
      <w:pPr>
        <w:jc w:val="both"/>
        <w:rPr>
          <w:rFonts w:ascii="Arial" w:hAnsi="Arial" w:cs="Arial"/>
          <w:sz w:val="20"/>
        </w:rPr>
      </w:pPr>
    </w:p>
    <w:p w14:paraId="1F7F7E3B" w14:textId="77777777" w:rsidR="00D84018" w:rsidRDefault="00D84018" w:rsidP="00FC40FC">
      <w:pPr>
        <w:jc w:val="both"/>
        <w:rPr>
          <w:rFonts w:ascii="Arial" w:hAnsi="Arial" w:cs="Arial"/>
          <w:sz w:val="20"/>
        </w:rPr>
      </w:pPr>
      <w:r>
        <w:rPr>
          <w:rFonts w:ascii="Arial" w:hAnsi="Arial" w:cs="Arial"/>
          <w:sz w:val="20"/>
        </w:rPr>
        <w:lastRenderedPageBreak/>
        <w:t>“Emergency care” means placement of a child in accordance with s.242(5) or s.247A(4) of the CYFA, namely-</w:t>
      </w:r>
    </w:p>
    <w:p w14:paraId="791A60A4" w14:textId="77777777" w:rsidR="00D84018" w:rsidRDefault="00D84018" w:rsidP="00FC40FC">
      <w:pPr>
        <w:jc w:val="both"/>
        <w:rPr>
          <w:rFonts w:ascii="Arial" w:hAnsi="Arial" w:cs="Arial"/>
          <w:sz w:val="20"/>
        </w:rPr>
      </w:pPr>
      <w:r>
        <w:rPr>
          <w:rFonts w:ascii="Arial" w:hAnsi="Arial" w:cs="Arial"/>
          <w:sz w:val="20"/>
        </w:rPr>
        <w:t>(a)</w:t>
      </w:r>
      <w:r>
        <w:rPr>
          <w:rFonts w:ascii="Arial" w:hAnsi="Arial" w:cs="Arial"/>
          <w:sz w:val="20"/>
        </w:rPr>
        <w:tab/>
        <w:t>in an out of home care service;</w:t>
      </w:r>
    </w:p>
    <w:p w14:paraId="03FA7129" w14:textId="77777777" w:rsidR="00D84018" w:rsidRDefault="00D84018" w:rsidP="005B49DC">
      <w:pPr>
        <w:ind w:left="357" w:hanging="357"/>
        <w:jc w:val="both"/>
        <w:rPr>
          <w:rFonts w:ascii="Arial" w:hAnsi="Arial" w:cs="Arial"/>
          <w:sz w:val="20"/>
        </w:rPr>
      </w:pPr>
      <w:r>
        <w:rPr>
          <w:rFonts w:ascii="Arial" w:hAnsi="Arial" w:cs="Arial"/>
          <w:sz w:val="20"/>
        </w:rPr>
        <w:t>(b)</w:t>
      </w:r>
      <w:r>
        <w:rPr>
          <w:rFonts w:ascii="Arial" w:hAnsi="Arial" w:cs="Arial"/>
          <w:sz w:val="20"/>
        </w:rPr>
        <w:tab/>
        <w:t>if there is a substantial and immediate risk of harm to the child, in a secure welfare service; or</w:t>
      </w:r>
    </w:p>
    <w:p w14:paraId="39D3F5DB" w14:textId="77777777" w:rsidR="005B49DC" w:rsidRDefault="005B49DC" w:rsidP="005B49DC">
      <w:pPr>
        <w:ind w:left="357" w:hanging="357"/>
        <w:jc w:val="both"/>
        <w:rPr>
          <w:rFonts w:ascii="Arial" w:hAnsi="Arial" w:cs="Arial"/>
          <w:sz w:val="20"/>
        </w:rPr>
      </w:pPr>
      <w:r>
        <w:rPr>
          <w:rFonts w:ascii="Arial" w:hAnsi="Arial" w:cs="Arial"/>
          <w:sz w:val="20"/>
        </w:rPr>
        <w:t>(c)</w:t>
      </w:r>
      <w:r>
        <w:rPr>
          <w:rFonts w:ascii="Arial" w:hAnsi="Arial" w:cs="Arial"/>
          <w:sz w:val="20"/>
        </w:rPr>
        <w:tab/>
        <w:t>in other accommodation approved by the Secretary in accordance with t</w:t>
      </w:r>
      <w:r w:rsidR="004E1436">
        <w:rPr>
          <w:rFonts w:ascii="Arial" w:hAnsi="Arial" w:cs="Arial"/>
          <w:sz w:val="20"/>
        </w:rPr>
        <w:t>he prescribed criteria (if any); this could include leaving the child in parental care.</w:t>
      </w:r>
    </w:p>
    <w:p w14:paraId="138BA2BC" w14:textId="77777777" w:rsidR="00D84018" w:rsidRDefault="00D84018" w:rsidP="00FC40FC">
      <w:pPr>
        <w:jc w:val="both"/>
        <w:rPr>
          <w:rFonts w:ascii="Arial" w:hAnsi="Arial" w:cs="Arial"/>
          <w:sz w:val="20"/>
        </w:rPr>
      </w:pPr>
    </w:p>
    <w:p w14:paraId="6EEEC768" w14:textId="77777777" w:rsidR="005B49DC" w:rsidRDefault="00A743CB" w:rsidP="00FC40FC">
      <w:pPr>
        <w:jc w:val="both"/>
        <w:rPr>
          <w:rFonts w:ascii="Arial" w:hAnsi="Arial" w:cs="Arial"/>
          <w:sz w:val="20"/>
        </w:rPr>
      </w:pPr>
      <w:r>
        <w:rPr>
          <w:rFonts w:ascii="Arial" w:hAnsi="Arial" w:cs="Arial"/>
          <w:sz w:val="20"/>
        </w:rPr>
        <w:t>Section 242(2) provides that if a child has been placed in emergency care under s.241, the Court must hear an application for an interim accommodation order in respect of the child as soon as practicable and in any event within one working day after the child was placed in emergency care.  Section 242(3) provides that unless the Court hears an application for an interim accommodation order within 24 hours after the child was placed in emergency care, a bail justice must hear an application for an interim accommodation order in respect of the child as soon as possible within that period of 24 hours.</w:t>
      </w:r>
    </w:p>
    <w:p w14:paraId="5964DB10" w14:textId="77777777" w:rsidR="00E3559F" w:rsidRDefault="00E3559F" w:rsidP="00FC40FC">
      <w:pPr>
        <w:jc w:val="both"/>
        <w:rPr>
          <w:rFonts w:ascii="Arial" w:hAnsi="Arial" w:cs="Arial"/>
          <w:sz w:val="20"/>
        </w:rPr>
      </w:pPr>
    </w:p>
    <w:p w14:paraId="0D34DF70" w14:textId="77777777" w:rsidR="00693223" w:rsidRDefault="00693223" w:rsidP="00FC40FC">
      <w:pPr>
        <w:jc w:val="both"/>
        <w:rPr>
          <w:rFonts w:ascii="Arial" w:hAnsi="Arial" w:cs="Arial"/>
          <w:sz w:val="20"/>
        </w:rPr>
      </w:pPr>
      <w:r>
        <w:rPr>
          <w:rFonts w:ascii="Arial" w:hAnsi="Arial" w:cs="Arial"/>
          <w:sz w:val="20"/>
        </w:rPr>
        <w:t xml:space="preserve">If there is any dispute </w:t>
      </w:r>
      <w:r w:rsidR="00063C71">
        <w:rPr>
          <w:rFonts w:ascii="Arial" w:hAnsi="Arial" w:cs="Arial"/>
          <w:sz w:val="20"/>
        </w:rPr>
        <w:t xml:space="preserve">at Court </w:t>
      </w:r>
      <w:r>
        <w:rPr>
          <w:rFonts w:ascii="Arial" w:hAnsi="Arial" w:cs="Arial"/>
          <w:sz w:val="20"/>
        </w:rPr>
        <w:t xml:space="preserve">between the parties as to </w:t>
      </w:r>
      <w:r w:rsidR="00EC5F0C">
        <w:rPr>
          <w:rFonts w:ascii="Arial" w:hAnsi="Arial" w:cs="Arial"/>
          <w:sz w:val="20"/>
        </w:rPr>
        <w:t xml:space="preserve">the placement of a child on </w:t>
      </w:r>
      <w:r>
        <w:rPr>
          <w:rFonts w:ascii="Arial" w:hAnsi="Arial" w:cs="Arial"/>
          <w:sz w:val="20"/>
        </w:rPr>
        <w:t>an appropriate interim order</w:t>
      </w:r>
      <w:r w:rsidR="00AB51D4">
        <w:rPr>
          <w:rFonts w:ascii="Arial" w:hAnsi="Arial" w:cs="Arial"/>
          <w:sz w:val="20"/>
        </w:rPr>
        <w:t xml:space="preserve"> or as to a condition </w:t>
      </w:r>
      <w:r w:rsidR="00063C71">
        <w:rPr>
          <w:rFonts w:ascii="Arial" w:hAnsi="Arial" w:cs="Arial"/>
          <w:sz w:val="20"/>
        </w:rPr>
        <w:t xml:space="preserve">which is centrally </w:t>
      </w:r>
      <w:r w:rsidR="00AB51D4">
        <w:rPr>
          <w:rFonts w:ascii="Arial" w:hAnsi="Arial" w:cs="Arial"/>
          <w:sz w:val="20"/>
        </w:rPr>
        <w:t>relevant to placement</w:t>
      </w:r>
      <w:r>
        <w:rPr>
          <w:rFonts w:ascii="Arial" w:hAnsi="Arial" w:cs="Arial"/>
          <w:sz w:val="20"/>
        </w:rPr>
        <w:t xml:space="preserve">, a contest by submissions will be held </w:t>
      </w:r>
      <w:r w:rsidR="00E568FC">
        <w:rPr>
          <w:rFonts w:ascii="Arial" w:hAnsi="Arial" w:cs="Arial"/>
          <w:sz w:val="20"/>
        </w:rPr>
        <w:t>forthwith</w:t>
      </w:r>
      <w:r w:rsidR="00063C71">
        <w:rPr>
          <w:rFonts w:ascii="Arial" w:hAnsi="Arial" w:cs="Arial"/>
          <w:sz w:val="20"/>
        </w:rPr>
        <w:t xml:space="preserve"> </w:t>
      </w:r>
      <w:r w:rsidR="00E568FC">
        <w:rPr>
          <w:rFonts w:ascii="Arial" w:hAnsi="Arial" w:cs="Arial"/>
          <w:sz w:val="20"/>
        </w:rPr>
        <w:t xml:space="preserve">(or at least as soon </w:t>
      </w:r>
      <w:r w:rsidR="00063C71">
        <w:rPr>
          <w:rFonts w:ascii="Arial" w:hAnsi="Arial" w:cs="Arial"/>
          <w:sz w:val="20"/>
        </w:rPr>
        <w:t>as possible</w:t>
      </w:r>
      <w:r w:rsidR="00E568FC">
        <w:rPr>
          <w:rFonts w:ascii="Arial" w:hAnsi="Arial" w:cs="Arial"/>
          <w:sz w:val="20"/>
        </w:rPr>
        <w:t>)</w:t>
      </w:r>
      <w:r>
        <w:rPr>
          <w:rFonts w:ascii="Arial" w:hAnsi="Arial" w:cs="Arial"/>
          <w:sz w:val="20"/>
        </w:rPr>
        <w:t xml:space="preserve">, this being authorised by the judgments of Beach J in </w:t>
      </w:r>
      <w:r>
        <w:rPr>
          <w:rFonts w:ascii="Arial" w:hAnsi="Arial" w:cs="Arial"/>
          <w:i/>
          <w:iCs/>
          <w:sz w:val="20"/>
        </w:rPr>
        <w:t>G</w:t>
      </w:r>
      <w:r w:rsidR="00D66A56">
        <w:rPr>
          <w:rFonts w:ascii="Arial" w:hAnsi="Arial" w:cs="Arial"/>
          <w:i/>
          <w:iCs/>
          <w:sz w:val="20"/>
        </w:rPr>
        <w:t> </w:t>
      </w:r>
      <w:r>
        <w:rPr>
          <w:rFonts w:ascii="Arial" w:hAnsi="Arial" w:cs="Arial"/>
          <w:i/>
          <w:iCs/>
          <w:sz w:val="20"/>
        </w:rPr>
        <w:t>v H [No 2]</w:t>
      </w:r>
      <w:r>
        <w:rPr>
          <w:rFonts w:ascii="Arial" w:hAnsi="Arial" w:cs="Arial"/>
          <w:sz w:val="20"/>
        </w:rPr>
        <w:t xml:space="preserve"> [Supreme Court of Victoria, unreported, 10/08/1994],</w:t>
      </w:r>
      <w:r w:rsidR="00A87AA3" w:rsidRPr="00D15CFB">
        <w:rPr>
          <w:rFonts w:ascii="Arial" w:hAnsi="Arial" w:cs="Arial"/>
          <w:color w:val="000000"/>
          <w:sz w:val="20"/>
        </w:rPr>
        <w:t xml:space="preserve"> </w:t>
      </w:r>
      <w:r w:rsidR="00A87AA3">
        <w:rPr>
          <w:rFonts w:ascii="Arial" w:hAnsi="Arial" w:cs="Arial"/>
          <w:color w:val="000000"/>
          <w:sz w:val="20"/>
        </w:rPr>
        <w:t>Elliott J in</w:t>
      </w:r>
      <w:r w:rsidR="00A87AA3" w:rsidRPr="00785E1A">
        <w:rPr>
          <w:rFonts w:ascii="Arial" w:hAnsi="Arial" w:cs="Arial"/>
          <w:color w:val="000000"/>
          <w:sz w:val="20"/>
        </w:rPr>
        <w:t xml:space="preserve"> </w:t>
      </w:r>
      <w:r w:rsidR="00A87AA3" w:rsidRPr="00D15CFB">
        <w:rPr>
          <w:rFonts w:ascii="Arial" w:hAnsi="Arial" w:cs="Arial"/>
          <w:i/>
          <w:color w:val="000000"/>
          <w:sz w:val="20"/>
        </w:rPr>
        <w:t>DOHS v DR</w:t>
      </w:r>
      <w:r w:rsidR="00A87AA3">
        <w:rPr>
          <w:rFonts w:ascii="Arial" w:hAnsi="Arial" w:cs="Arial"/>
          <w:color w:val="000000"/>
          <w:sz w:val="20"/>
        </w:rPr>
        <w:t xml:space="preserve"> [2013] VSC 579 at [57]-[58], </w:t>
      </w:r>
      <w:r>
        <w:rPr>
          <w:rFonts w:ascii="Arial" w:hAnsi="Arial" w:cs="Arial"/>
          <w:sz w:val="20"/>
        </w:rPr>
        <w:t xml:space="preserve">Ashley J in </w:t>
      </w:r>
      <w:r>
        <w:rPr>
          <w:rFonts w:ascii="Arial" w:hAnsi="Arial" w:cs="Arial"/>
          <w:i/>
          <w:iCs/>
          <w:sz w:val="20"/>
        </w:rPr>
        <w:t>The Secretary DOHS v R &amp; Anor</w:t>
      </w:r>
      <w:r>
        <w:rPr>
          <w:rFonts w:ascii="Arial" w:hAnsi="Arial" w:cs="Arial"/>
          <w:sz w:val="20"/>
        </w:rPr>
        <w:t xml:space="preserve"> [2003] VSC 172 at [11] and Gillard J in </w:t>
      </w:r>
      <w:r>
        <w:rPr>
          <w:rFonts w:ascii="Arial" w:hAnsi="Arial" w:cs="Arial"/>
          <w:i/>
          <w:iCs/>
          <w:sz w:val="20"/>
        </w:rPr>
        <w:t>P v RM &amp; Ors</w:t>
      </w:r>
      <w:r>
        <w:rPr>
          <w:rFonts w:ascii="Arial" w:hAnsi="Arial" w:cs="Arial"/>
          <w:sz w:val="20"/>
        </w:rPr>
        <w:t xml:space="preserve"> [2004] VSC 14.  In the latter case Gillard J, while agreeing with Ashley J that the procedure was "unusual", said at [19]: "I do not for one minute criticize it as being an inappropriate procedure."  At [33] His Honour elaborated:</w:t>
      </w:r>
    </w:p>
    <w:p w14:paraId="406C915F" w14:textId="77777777" w:rsidR="00693223" w:rsidRDefault="00693223">
      <w:pPr>
        <w:spacing w:line="240" w:lineRule="exact"/>
        <w:ind w:left="567" w:right="567"/>
        <w:jc w:val="both"/>
        <w:rPr>
          <w:rFonts w:ascii="Arial" w:hAnsi="Arial" w:cs="Arial"/>
          <w:bCs/>
          <w:sz w:val="20"/>
        </w:rPr>
      </w:pPr>
      <w:r>
        <w:rPr>
          <w:rFonts w:ascii="Arial" w:hAnsi="Arial" w:cs="Arial"/>
          <w:sz w:val="20"/>
        </w:rPr>
        <w:t>"The procedure that is adopted in the Children's Court is for evidence to be adduced by assertions from counsel for the parties and the parties themselves, and the same procedure appears to be followed in this Court.  That procedure has been followed for many years and although it is unusual it is no doubt a procedure adopted because of the urgency of an application and the interests of a child who may be subjected to some form of harmful conduct.  Accordingly, I will consider the affidavit of the appellant and the various exhibits which contain a lot of material which is hearsay, untested and also contested, the assertions made by counsel and also in this case the assertions made by the father."</w:t>
      </w:r>
    </w:p>
    <w:p w14:paraId="2011C081" w14:textId="77777777" w:rsidR="00693223" w:rsidRDefault="00693223">
      <w:pPr>
        <w:spacing w:before="120"/>
        <w:jc w:val="both"/>
        <w:rPr>
          <w:rFonts w:ascii="Arial" w:hAnsi="Arial" w:cs="Arial"/>
          <w:sz w:val="20"/>
        </w:rPr>
      </w:pPr>
      <w:r>
        <w:rPr>
          <w:rFonts w:ascii="Arial" w:hAnsi="Arial" w:cs="Arial"/>
          <w:sz w:val="20"/>
        </w:rPr>
        <w:t>If any party is aggrieved by the outcome of a contest by submissions, the case is adjourned for an IAO contest by evidence on a convenient date if the aggrieved party so wishes.  Otherwise the case will usually be adjourned to a date about 3 weeks hence for "mention".</w:t>
      </w:r>
    </w:p>
    <w:p w14:paraId="6412EA48" w14:textId="77777777" w:rsidR="00693223" w:rsidRDefault="00693223">
      <w:pPr>
        <w:ind w:left="363" w:hanging="363"/>
        <w:jc w:val="both"/>
        <w:rPr>
          <w:rFonts w:ascii="Arial" w:hAnsi="Arial" w:cs="Arial"/>
          <w:b/>
          <w:bCs/>
          <w:sz w:val="20"/>
        </w:rPr>
      </w:pPr>
      <w:bookmarkStart w:id="1381" w:name="_Toc30649422"/>
      <w:bookmarkStart w:id="1382" w:name="_Toc30649747"/>
      <w:bookmarkStart w:id="1383" w:name="_Toc30651687"/>
      <w:bookmarkStart w:id="1384" w:name="_Toc30652677"/>
      <w:bookmarkStart w:id="1385" w:name="_Toc30652773"/>
      <w:bookmarkStart w:id="1386" w:name="_Toc30654123"/>
      <w:bookmarkStart w:id="1387" w:name="_Toc30654474"/>
      <w:bookmarkStart w:id="1388" w:name="_Toc30655093"/>
      <w:bookmarkStart w:id="1389" w:name="_Toc30655350"/>
      <w:bookmarkStart w:id="1390" w:name="_Toc30657028"/>
      <w:bookmarkStart w:id="1391" w:name="_Toc30661777"/>
      <w:bookmarkStart w:id="1392" w:name="_Toc30666465"/>
      <w:bookmarkStart w:id="1393" w:name="_Toc30666695"/>
      <w:bookmarkStart w:id="1394" w:name="_Toc30667870"/>
      <w:bookmarkStart w:id="1395" w:name="_Toc30669248"/>
      <w:bookmarkStart w:id="1396" w:name="_Toc30671464"/>
      <w:bookmarkStart w:id="1397" w:name="_Toc30673991"/>
      <w:bookmarkStart w:id="1398" w:name="_Toc30691213"/>
      <w:bookmarkStart w:id="1399" w:name="_Toc30691586"/>
      <w:bookmarkStart w:id="1400" w:name="_Toc30691966"/>
      <w:bookmarkStart w:id="1401" w:name="_Toc30692725"/>
      <w:bookmarkStart w:id="1402" w:name="_Toc30693104"/>
      <w:bookmarkStart w:id="1403" w:name="_Toc30693482"/>
      <w:bookmarkStart w:id="1404" w:name="_Toc30693860"/>
      <w:bookmarkStart w:id="1405" w:name="_Toc30694241"/>
      <w:bookmarkStart w:id="1406" w:name="_Toc30698830"/>
      <w:bookmarkStart w:id="1407" w:name="_Toc30699208"/>
      <w:bookmarkStart w:id="1408" w:name="_Toc30699593"/>
      <w:bookmarkStart w:id="1409" w:name="_Toc30700748"/>
      <w:bookmarkStart w:id="1410" w:name="_Toc30701135"/>
      <w:bookmarkStart w:id="1411" w:name="_Toc30743744"/>
      <w:bookmarkStart w:id="1412" w:name="_Toc30754567"/>
      <w:bookmarkStart w:id="1413" w:name="_Toc30757007"/>
      <w:bookmarkStart w:id="1414" w:name="_Toc30757556"/>
      <w:bookmarkStart w:id="1415" w:name="_Toc30757956"/>
      <w:bookmarkStart w:id="1416" w:name="_Toc30762717"/>
      <w:bookmarkStart w:id="1417" w:name="_Toc30767371"/>
      <w:bookmarkStart w:id="1418" w:name="_Toc34823386"/>
    </w:p>
    <w:p w14:paraId="44B2A8B1" w14:textId="77777777" w:rsidR="00693223" w:rsidRDefault="00693223">
      <w:pPr>
        <w:pStyle w:val="Heading3"/>
        <w:spacing w:after="60" w:line="240" w:lineRule="auto"/>
        <w:rPr>
          <w:rFonts w:ascii="Arial" w:hAnsi="Arial" w:cs="Arial"/>
          <w:b/>
          <w:bCs/>
          <w:sz w:val="16"/>
        </w:rPr>
      </w:pPr>
      <w:bookmarkStart w:id="1419" w:name="_4.9.2_Mention"/>
      <w:bookmarkStart w:id="1420" w:name="B492"/>
      <w:bookmarkEnd w:id="1419"/>
      <w:bookmarkEnd w:id="1420"/>
      <w:r>
        <w:rPr>
          <w:rFonts w:ascii="Arial" w:hAnsi="Arial" w:cs="Arial"/>
          <w:b/>
          <w:bCs/>
          <w:sz w:val="20"/>
        </w:rPr>
        <w:t>4.9.2</w:t>
      </w:r>
      <w:r>
        <w:rPr>
          <w:rFonts w:ascii="Arial" w:hAnsi="Arial" w:cs="Arial"/>
          <w:b/>
          <w:bCs/>
          <w:sz w:val="20"/>
        </w:rPr>
        <w:tab/>
        <w:t>Mention</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14FE74A8" w14:textId="77777777" w:rsidR="00693223" w:rsidRDefault="00693223">
      <w:pPr>
        <w:jc w:val="both"/>
        <w:rPr>
          <w:rFonts w:ascii="Arial" w:hAnsi="Arial" w:cs="Arial"/>
          <w:sz w:val="20"/>
        </w:rPr>
      </w:pPr>
      <w:r>
        <w:rPr>
          <w:rFonts w:ascii="Arial" w:hAnsi="Arial" w:cs="Arial"/>
          <w:sz w:val="20"/>
        </w:rPr>
        <w:t xml:space="preserve">If a proceeding in the Family Division is commenced by notice, it will usually be listed for "mention" on a date about 3 weeks after the date of filing.  Witnesses are not called at a mention.  Although a proportion of cases are completed at a mention hearing by the parties consenting to or not opposing Court orders, it is more common for cases to be adjourned for "further mention" or for </w:t>
      </w:r>
      <w:r w:rsidR="000E0F91">
        <w:rPr>
          <w:rFonts w:ascii="Arial" w:hAnsi="Arial" w:cs="Arial"/>
          <w:sz w:val="20"/>
        </w:rPr>
        <w:t>a conciliation</w:t>
      </w:r>
      <w:r>
        <w:rPr>
          <w:rFonts w:ascii="Arial" w:hAnsi="Arial" w:cs="Arial"/>
          <w:sz w:val="20"/>
        </w:rPr>
        <w:t xml:space="preserve"> conference.</w:t>
      </w:r>
    </w:p>
    <w:p w14:paraId="00CE0928" w14:textId="77777777" w:rsidR="00693223" w:rsidRDefault="00693223">
      <w:pPr>
        <w:ind w:left="363" w:hanging="363"/>
        <w:jc w:val="both"/>
        <w:rPr>
          <w:rFonts w:ascii="Arial" w:hAnsi="Arial" w:cs="Arial"/>
          <w:b/>
          <w:bCs/>
          <w:sz w:val="20"/>
        </w:rPr>
      </w:pPr>
      <w:bookmarkStart w:id="1421" w:name="_Toc30651688"/>
      <w:bookmarkStart w:id="1422" w:name="_Toc30652678"/>
      <w:bookmarkStart w:id="1423" w:name="_Toc30652774"/>
      <w:bookmarkStart w:id="1424" w:name="_Toc30654124"/>
      <w:bookmarkStart w:id="1425" w:name="_Toc30654475"/>
      <w:bookmarkStart w:id="1426" w:name="_Toc30655094"/>
      <w:bookmarkStart w:id="1427" w:name="_Toc30655351"/>
      <w:bookmarkStart w:id="1428" w:name="_Toc30657029"/>
      <w:bookmarkStart w:id="1429" w:name="_Toc30661778"/>
      <w:bookmarkStart w:id="1430" w:name="_Toc30666466"/>
      <w:bookmarkStart w:id="1431" w:name="_Toc30666696"/>
      <w:bookmarkStart w:id="1432" w:name="_Toc30667871"/>
      <w:bookmarkStart w:id="1433" w:name="_Toc30669249"/>
      <w:bookmarkStart w:id="1434" w:name="_Toc30671465"/>
      <w:bookmarkStart w:id="1435" w:name="_Toc30673992"/>
      <w:bookmarkStart w:id="1436" w:name="_Toc30691214"/>
      <w:bookmarkStart w:id="1437" w:name="_Toc30691587"/>
      <w:bookmarkStart w:id="1438" w:name="_Toc30691967"/>
      <w:bookmarkStart w:id="1439" w:name="_Toc30692726"/>
      <w:bookmarkStart w:id="1440" w:name="_Toc30693105"/>
      <w:bookmarkStart w:id="1441" w:name="_Toc30693483"/>
      <w:bookmarkStart w:id="1442" w:name="_Toc30693861"/>
      <w:bookmarkStart w:id="1443" w:name="_Toc30694242"/>
      <w:bookmarkStart w:id="1444" w:name="_Toc30698831"/>
      <w:bookmarkStart w:id="1445" w:name="_Toc30699209"/>
      <w:bookmarkStart w:id="1446" w:name="_Toc30699594"/>
      <w:bookmarkStart w:id="1447" w:name="_Toc30700749"/>
      <w:bookmarkStart w:id="1448" w:name="_Toc30701136"/>
      <w:bookmarkStart w:id="1449" w:name="_Toc30743745"/>
      <w:bookmarkStart w:id="1450" w:name="_Toc30754568"/>
      <w:bookmarkStart w:id="1451" w:name="_Toc30757008"/>
      <w:bookmarkStart w:id="1452" w:name="_Toc30757557"/>
      <w:bookmarkStart w:id="1453" w:name="_Toc30757957"/>
      <w:bookmarkStart w:id="1454" w:name="_Toc30762718"/>
      <w:bookmarkStart w:id="1455" w:name="_Toc30767372"/>
      <w:bookmarkStart w:id="1456" w:name="_Toc34823387"/>
    </w:p>
    <w:p w14:paraId="7B41F8E0" w14:textId="77777777" w:rsidR="00693223" w:rsidRPr="00801CD5" w:rsidRDefault="00693223" w:rsidP="007867B3">
      <w:pPr>
        <w:pStyle w:val="Heading3"/>
        <w:keepNext/>
        <w:spacing w:line="240" w:lineRule="auto"/>
        <w:rPr>
          <w:rFonts w:ascii="Arial" w:hAnsi="Arial" w:cs="Arial"/>
          <w:b/>
          <w:bCs/>
          <w:color w:val="000000"/>
          <w:sz w:val="20"/>
        </w:rPr>
      </w:pPr>
      <w:bookmarkStart w:id="1457" w:name="_4.9.3_Conciliation"/>
      <w:bookmarkStart w:id="1458" w:name="B493"/>
      <w:bookmarkEnd w:id="1457"/>
      <w:bookmarkEnd w:id="1458"/>
      <w:r w:rsidRPr="00785E1A">
        <w:rPr>
          <w:rFonts w:ascii="Arial" w:hAnsi="Arial" w:cs="Arial"/>
          <w:b/>
          <w:bCs/>
          <w:color w:val="000000"/>
          <w:sz w:val="20"/>
        </w:rPr>
        <w:t>4.9.3</w:t>
      </w:r>
      <w:r w:rsidRPr="00801CD5">
        <w:rPr>
          <w:rFonts w:ascii="Arial" w:hAnsi="Arial" w:cs="Arial"/>
          <w:b/>
          <w:bCs/>
          <w:color w:val="000000"/>
          <w:sz w:val="20"/>
        </w:rPr>
        <w:tab/>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r w:rsidR="00484481" w:rsidRPr="00801CD5">
        <w:rPr>
          <w:rFonts w:ascii="Arial" w:hAnsi="Arial" w:cs="Arial"/>
          <w:b/>
          <w:bCs/>
          <w:color w:val="000000"/>
          <w:sz w:val="20"/>
        </w:rPr>
        <w:t>Conciliation</w:t>
      </w:r>
    </w:p>
    <w:p w14:paraId="2CF5B62B"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If a </w:t>
      </w:r>
      <w:r w:rsidR="007C7752" w:rsidRPr="00785E1A">
        <w:rPr>
          <w:rFonts w:ascii="Arial" w:hAnsi="Arial" w:cs="Arial"/>
          <w:color w:val="000000"/>
          <w:sz w:val="20"/>
        </w:rPr>
        <w:t>Family Division</w:t>
      </w:r>
      <w:r w:rsidRPr="00785E1A">
        <w:rPr>
          <w:rFonts w:ascii="Arial" w:hAnsi="Arial" w:cs="Arial"/>
          <w:color w:val="000000"/>
          <w:sz w:val="20"/>
        </w:rPr>
        <w:t xml:space="preserve"> application is unable to be resolved at a "mention" hearing, it is generally adjourned </w:t>
      </w:r>
      <w:r w:rsidR="00AF5500" w:rsidRPr="00785E1A">
        <w:rPr>
          <w:rFonts w:ascii="Arial" w:hAnsi="Arial" w:cs="Arial"/>
          <w:color w:val="000000"/>
          <w:sz w:val="20"/>
        </w:rPr>
        <w:t>and referred to</w:t>
      </w:r>
      <w:r w:rsidRPr="00785E1A">
        <w:rPr>
          <w:rFonts w:ascii="Arial" w:hAnsi="Arial" w:cs="Arial"/>
          <w:color w:val="000000"/>
          <w:sz w:val="20"/>
        </w:rPr>
        <w:t xml:space="preserve"> </w:t>
      </w:r>
      <w:r w:rsidR="009B6762">
        <w:rPr>
          <w:rFonts w:ascii="Arial" w:hAnsi="Arial" w:cs="Arial"/>
          <w:color w:val="000000"/>
          <w:sz w:val="20"/>
        </w:rPr>
        <w:t>Court ordered conciliation</w:t>
      </w:r>
      <w:r w:rsidRPr="00785E1A">
        <w:rPr>
          <w:rFonts w:ascii="Arial" w:hAnsi="Arial" w:cs="Arial"/>
          <w:color w:val="000000"/>
          <w:sz w:val="20"/>
        </w:rPr>
        <w:t xml:space="preserve"> under s</w:t>
      </w:r>
      <w:r w:rsidR="00AF5500" w:rsidRPr="00785E1A">
        <w:rPr>
          <w:rFonts w:ascii="Arial" w:hAnsi="Arial" w:cs="Arial"/>
          <w:color w:val="000000"/>
          <w:sz w:val="20"/>
        </w:rPr>
        <w:t>.217</w:t>
      </w:r>
      <w:r w:rsidR="006F0F3D" w:rsidRPr="00785E1A">
        <w:rPr>
          <w:rFonts w:ascii="Arial" w:hAnsi="Arial" w:cs="Arial"/>
          <w:color w:val="000000"/>
          <w:sz w:val="20"/>
        </w:rPr>
        <w:t xml:space="preserve"> of the CY</w:t>
      </w:r>
      <w:r w:rsidR="00AF5500" w:rsidRPr="00785E1A">
        <w:rPr>
          <w:rFonts w:ascii="Arial" w:hAnsi="Arial" w:cs="Arial"/>
          <w:color w:val="000000"/>
          <w:sz w:val="20"/>
        </w:rPr>
        <w:t>F</w:t>
      </w:r>
      <w:r w:rsidR="006F0F3D" w:rsidRPr="00785E1A">
        <w:rPr>
          <w:rFonts w:ascii="Arial" w:hAnsi="Arial" w:cs="Arial"/>
          <w:color w:val="000000"/>
          <w:sz w:val="20"/>
        </w:rPr>
        <w:t>A</w:t>
      </w:r>
      <w:r w:rsidRPr="00785E1A">
        <w:rPr>
          <w:rFonts w:ascii="Arial" w:hAnsi="Arial" w:cs="Arial"/>
          <w:color w:val="000000"/>
          <w:sz w:val="20"/>
        </w:rPr>
        <w:t>.</w:t>
      </w:r>
      <w:r w:rsidR="00450E55" w:rsidRPr="00785E1A">
        <w:rPr>
          <w:rFonts w:ascii="Arial" w:hAnsi="Arial" w:cs="Arial"/>
          <w:color w:val="000000"/>
          <w:sz w:val="20"/>
        </w:rPr>
        <w:t xml:space="preserve">  [These were formerly called “</w:t>
      </w:r>
      <w:r w:rsidR="009B6762">
        <w:rPr>
          <w:rFonts w:ascii="Arial" w:hAnsi="Arial" w:cs="Arial"/>
          <w:color w:val="000000"/>
          <w:sz w:val="20"/>
        </w:rPr>
        <w:t>dispute resolution</w:t>
      </w:r>
      <w:r w:rsidR="00450E55" w:rsidRPr="00785E1A">
        <w:rPr>
          <w:rFonts w:ascii="Arial" w:hAnsi="Arial" w:cs="Arial"/>
          <w:color w:val="000000"/>
          <w:sz w:val="20"/>
        </w:rPr>
        <w:t xml:space="preserve"> conferences”</w:t>
      </w:r>
      <w:r w:rsidR="009B6762">
        <w:rPr>
          <w:rFonts w:ascii="Arial" w:hAnsi="Arial" w:cs="Arial"/>
          <w:color w:val="000000"/>
          <w:sz w:val="20"/>
        </w:rPr>
        <w:t>.</w:t>
      </w:r>
      <w:r w:rsidR="006D2D55" w:rsidRPr="00785E1A">
        <w:rPr>
          <w:rFonts w:ascii="Arial" w:hAnsi="Arial" w:cs="Arial"/>
          <w:color w:val="000000"/>
          <w:sz w:val="20"/>
        </w:rPr>
        <w:t>]</w:t>
      </w:r>
      <w:r w:rsidR="006D3360" w:rsidRPr="00785E1A">
        <w:rPr>
          <w:rFonts w:ascii="Arial" w:hAnsi="Arial" w:cs="Arial"/>
          <w:color w:val="000000"/>
          <w:sz w:val="20"/>
        </w:rPr>
        <w:t xml:space="preserve">  Very occasionally, a case is adjourned for a judicial resolution conference under </w:t>
      </w:r>
      <w:r w:rsidR="00F05A0A">
        <w:rPr>
          <w:rFonts w:ascii="Arial" w:hAnsi="Arial" w:cs="Arial"/>
          <w:color w:val="000000"/>
          <w:sz w:val="20"/>
        </w:rPr>
        <w:t xml:space="preserve">s.527A of the CYFA, inserted by </w:t>
      </w:r>
      <w:r w:rsidR="006D3360" w:rsidRPr="00785E1A">
        <w:rPr>
          <w:rFonts w:ascii="Arial" w:hAnsi="Arial" w:cs="Arial"/>
          <w:color w:val="000000"/>
          <w:sz w:val="20"/>
        </w:rPr>
        <w:t xml:space="preserve">the </w:t>
      </w:r>
      <w:r w:rsidR="006D3360" w:rsidRPr="00785E1A">
        <w:rPr>
          <w:rFonts w:ascii="Arial" w:hAnsi="Arial" w:cs="Arial"/>
          <w:bCs/>
          <w:color w:val="000000"/>
          <w:sz w:val="20"/>
          <w:u w:val="single"/>
        </w:rPr>
        <w:t>Courts Legislation Amendment (Judicial Resolution Conference) Act 2009 (Vic)</w:t>
      </w:r>
      <w:r w:rsidR="006D3360" w:rsidRPr="00785E1A">
        <w:rPr>
          <w:rFonts w:ascii="Arial" w:hAnsi="Arial" w:cs="Arial"/>
          <w:color w:val="000000"/>
          <w:sz w:val="20"/>
        </w:rPr>
        <w:t>.</w:t>
      </w:r>
    </w:p>
    <w:p w14:paraId="695A5A53"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It is </w:t>
      </w:r>
      <w:r w:rsidR="00D441CB">
        <w:rPr>
          <w:rFonts w:ascii="Arial" w:hAnsi="Arial" w:cs="Arial"/>
          <w:color w:val="000000"/>
          <w:sz w:val="20"/>
        </w:rPr>
        <w:t>fairl</w:t>
      </w:r>
      <w:r w:rsidRPr="00785E1A">
        <w:rPr>
          <w:rFonts w:ascii="Arial" w:hAnsi="Arial" w:cs="Arial"/>
          <w:color w:val="000000"/>
          <w:sz w:val="20"/>
        </w:rPr>
        <w:t xml:space="preserve">y rare for the Court to bypass the </w:t>
      </w:r>
      <w:r w:rsidR="00484481">
        <w:rPr>
          <w:rFonts w:ascii="Arial" w:hAnsi="Arial" w:cs="Arial"/>
          <w:color w:val="000000"/>
          <w:sz w:val="20"/>
        </w:rPr>
        <w:t>conciliat</w:t>
      </w:r>
      <w:r w:rsidR="006D2D55" w:rsidRPr="00785E1A">
        <w:rPr>
          <w:rFonts w:ascii="Arial" w:hAnsi="Arial" w:cs="Arial"/>
          <w:color w:val="000000"/>
          <w:sz w:val="20"/>
        </w:rPr>
        <w:t>ion</w:t>
      </w:r>
      <w:r w:rsidRPr="00785E1A">
        <w:rPr>
          <w:rFonts w:ascii="Arial" w:hAnsi="Arial" w:cs="Arial"/>
          <w:color w:val="000000"/>
          <w:sz w:val="20"/>
        </w:rPr>
        <w:t xml:space="preserve"> stage in a contested case.  This is omitted only if the Court considers t</w:t>
      </w:r>
      <w:r w:rsidR="007C7752" w:rsidRPr="00785E1A">
        <w:rPr>
          <w:rFonts w:ascii="Arial" w:hAnsi="Arial" w:cs="Arial"/>
          <w:color w:val="000000"/>
          <w:sz w:val="20"/>
        </w:rPr>
        <w:t xml:space="preserve">hat </w:t>
      </w:r>
      <w:r w:rsidR="00484481">
        <w:rPr>
          <w:rFonts w:ascii="Arial" w:hAnsi="Arial" w:cs="Arial"/>
          <w:color w:val="000000"/>
          <w:sz w:val="20"/>
        </w:rPr>
        <w:t>concilia</w:t>
      </w:r>
      <w:r w:rsidRPr="00785E1A">
        <w:rPr>
          <w:rFonts w:ascii="Arial" w:hAnsi="Arial" w:cs="Arial"/>
          <w:color w:val="000000"/>
          <w:sz w:val="20"/>
        </w:rPr>
        <w:t>tion is most unlikely to resolve or narrow the issues in t</w:t>
      </w:r>
      <w:r w:rsidR="006D3360" w:rsidRPr="00785E1A">
        <w:rPr>
          <w:rFonts w:ascii="Arial" w:hAnsi="Arial" w:cs="Arial"/>
          <w:color w:val="000000"/>
          <w:sz w:val="20"/>
        </w:rPr>
        <w:t xml:space="preserve">he case, so that the time </w:t>
      </w:r>
      <w:r w:rsidRPr="00785E1A">
        <w:rPr>
          <w:rFonts w:ascii="Arial" w:hAnsi="Arial" w:cs="Arial"/>
          <w:color w:val="000000"/>
          <w:sz w:val="20"/>
        </w:rPr>
        <w:t xml:space="preserve">involved in </w:t>
      </w:r>
      <w:r w:rsidR="006D3360" w:rsidRPr="00785E1A">
        <w:rPr>
          <w:rFonts w:ascii="Arial" w:hAnsi="Arial" w:cs="Arial"/>
          <w:color w:val="000000"/>
          <w:sz w:val="20"/>
        </w:rPr>
        <w:t>an a</w:t>
      </w:r>
      <w:r w:rsidR="007C7752" w:rsidRPr="00785E1A">
        <w:rPr>
          <w:rFonts w:ascii="Arial" w:hAnsi="Arial" w:cs="Arial"/>
          <w:color w:val="000000"/>
          <w:sz w:val="20"/>
        </w:rPr>
        <w:t>ppropriat</w:t>
      </w:r>
      <w:r w:rsidR="006D3360" w:rsidRPr="00785E1A">
        <w:rPr>
          <w:rFonts w:ascii="Arial" w:hAnsi="Arial" w:cs="Arial"/>
          <w:color w:val="000000"/>
          <w:sz w:val="20"/>
        </w:rPr>
        <w:t xml:space="preserve">e </w:t>
      </w:r>
      <w:r w:rsidR="002C1D45" w:rsidRPr="00785E1A">
        <w:rPr>
          <w:rFonts w:ascii="Arial" w:hAnsi="Arial" w:cs="Arial"/>
          <w:color w:val="000000"/>
          <w:sz w:val="20"/>
        </w:rPr>
        <w:t>conference</w:t>
      </w:r>
      <w:r w:rsidRPr="00785E1A">
        <w:rPr>
          <w:rFonts w:ascii="Arial" w:hAnsi="Arial" w:cs="Arial"/>
          <w:color w:val="000000"/>
          <w:sz w:val="20"/>
        </w:rPr>
        <w:t xml:space="preserve"> is not justified.</w:t>
      </w:r>
    </w:p>
    <w:p w14:paraId="4A47FFAA"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A convenor has no power to make Family Division orders.  Whether or not the case is resolved, it is returned to court at the end of the conference for a judicial officer to make appropriate orders.  If a case does not resolve at </w:t>
      </w:r>
      <w:r w:rsidR="00484481">
        <w:rPr>
          <w:rFonts w:ascii="Arial" w:hAnsi="Arial" w:cs="Arial"/>
          <w:color w:val="000000"/>
          <w:sz w:val="20"/>
        </w:rPr>
        <w:t>this stage</w:t>
      </w:r>
      <w:r w:rsidRPr="00785E1A">
        <w:rPr>
          <w:rFonts w:ascii="Arial" w:hAnsi="Arial" w:cs="Arial"/>
          <w:color w:val="000000"/>
          <w:sz w:val="20"/>
        </w:rPr>
        <w:t xml:space="preserve">, it is usually adjourned for a </w:t>
      </w:r>
      <w:r w:rsidR="00484481">
        <w:rPr>
          <w:rFonts w:ascii="Arial" w:hAnsi="Arial" w:cs="Arial"/>
          <w:color w:val="000000"/>
          <w:sz w:val="20"/>
        </w:rPr>
        <w:t xml:space="preserve">“first directions hearing” </w:t>
      </w:r>
      <w:r w:rsidR="009B6762">
        <w:rPr>
          <w:rFonts w:ascii="Arial" w:hAnsi="Arial" w:cs="Arial"/>
          <w:color w:val="000000"/>
          <w:sz w:val="20"/>
        </w:rPr>
        <w:t>conducted by a judicial officer</w:t>
      </w:r>
      <w:r w:rsidRPr="00785E1A">
        <w:rPr>
          <w:rFonts w:ascii="Arial" w:hAnsi="Arial" w:cs="Arial"/>
          <w:color w:val="000000"/>
          <w:sz w:val="20"/>
        </w:rPr>
        <w:t>.  Occasionally</w:t>
      </w:r>
      <w:r w:rsidR="002C1D45" w:rsidRPr="00785E1A">
        <w:rPr>
          <w:rFonts w:ascii="Arial" w:hAnsi="Arial" w:cs="Arial"/>
          <w:color w:val="000000"/>
          <w:sz w:val="20"/>
        </w:rPr>
        <w:t xml:space="preserve"> a case will be adjourned for </w:t>
      </w:r>
      <w:r w:rsidR="009B6762">
        <w:rPr>
          <w:rFonts w:ascii="Arial" w:hAnsi="Arial" w:cs="Arial"/>
          <w:color w:val="000000"/>
          <w:sz w:val="20"/>
        </w:rPr>
        <w:t xml:space="preserve">a </w:t>
      </w:r>
      <w:r w:rsidRPr="00785E1A">
        <w:rPr>
          <w:rFonts w:ascii="Arial" w:hAnsi="Arial" w:cs="Arial"/>
          <w:color w:val="000000"/>
          <w:sz w:val="20"/>
        </w:rPr>
        <w:t xml:space="preserve">further </w:t>
      </w:r>
      <w:r w:rsidR="009B6762">
        <w:rPr>
          <w:rFonts w:ascii="Arial" w:hAnsi="Arial" w:cs="Arial"/>
          <w:color w:val="000000"/>
          <w:sz w:val="20"/>
        </w:rPr>
        <w:t>conciliation conference</w:t>
      </w:r>
      <w:r w:rsidR="00B455AB" w:rsidRPr="00785E1A">
        <w:rPr>
          <w:rFonts w:ascii="Arial" w:hAnsi="Arial" w:cs="Arial"/>
          <w:color w:val="000000"/>
          <w:sz w:val="20"/>
        </w:rPr>
        <w:t xml:space="preserve"> </w:t>
      </w:r>
      <w:r w:rsidR="002C1D45" w:rsidRPr="00785E1A">
        <w:rPr>
          <w:rFonts w:ascii="Arial" w:hAnsi="Arial" w:cs="Arial"/>
          <w:color w:val="000000"/>
          <w:sz w:val="20"/>
        </w:rPr>
        <w:t>or</w:t>
      </w:r>
      <w:r w:rsidR="00B455AB" w:rsidRPr="00785E1A">
        <w:rPr>
          <w:rFonts w:ascii="Arial" w:hAnsi="Arial" w:cs="Arial"/>
          <w:color w:val="000000"/>
          <w:sz w:val="20"/>
        </w:rPr>
        <w:t xml:space="preserve"> </w:t>
      </w:r>
      <w:r w:rsidRPr="00785E1A">
        <w:rPr>
          <w:rFonts w:ascii="Arial" w:hAnsi="Arial" w:cs="Arial"/>
          <w:color w:val="000000"/>
          <w:sz w:val="20"/>
        </w:rPr>
        <w:t>for further "mention"</w:t>
      </w:r>
      <w:r w:rsidR="00B455AB" w:rsidRPr="00785E1A">
        <w:rPr>
          <w:rFonts w:ascii="Arial" w:hAnsi="Arial" w:cs="Arial"/>
          <w:color w:val="000000"/>
          <w:sz w:val="20"/>
        </w:rPr>
        <w:t>.</w:t>
      </w:r>
    </w:p>
    <w:p w14:paraId="4727EA9C" w14:textId="77777777" w:rsidR="00DB5203" w:rsidRDefault="00DB5203">
      <w:pPr>
        <w:ind w:left="363" w:hanging="363"/>
        <w:jc w:val="both"/>
        <w:rPr>
          <w:rFonts w:ascii="Arial" w:hAnsi="Arial" w:cs="Arial"/>
          <w:b/>
          <w:bCs/>
          <w:sz w:val="20"/>
        </w:rPr>
      </w:pPr>
    </w:p>
    <w:p w14:paraId="616031F2" w14:textId="77777777" w:rsidR="00693223" w:rsidRDefault="00693223" w:rsidP="00CA2663">
      <w:pPr>
        <w:pStyle w:val="Heading3"/>
        <w:keepNext/>
        <w:keepLines/>
        <w:spacing w:line="240" w:lineRule="auto"/>
        <w:rPr>
          <w:rFonts w:ascii="Arial" w:hAnsi="Arial" w:cs="Arial"/>
          <w:b/>
          <w:bCs/>
          <w:sz w:val="20"/>
        </w:rPr>
      </w:pPr>
      <w:bookmarkStart w:id="1459" w:name="_4.9.4_First_directions"/>
      <w:bookmarkStart w:id="1460" w:name="B494"/>
      <w:bookmarkStart w:id="1461" w:name="_Toc30651689"/>
      <w:bookmarkStart w:id="1462" w:name="_Toc30652679"/>
      <w:bookmarkStart w:id="1463" w:name="_Toc30652775"/>
      <w:bookmarkStart w:id="1464" w:name="_Toc30654125"/>
      <w:bookmarkStart w:id="1465" w:name="_Toc30654476"/>
      <w:bookmarkStart w:id="1466" w:name="_Toc30655095"/>
      <w:bookmarkStart w:id="1467" w:name="_Toc30655352"/>
      <w:bookmarkStart w:id="1468" w:name="_Toc30657030"/>
      <w:bookmarkStart w:id="1469" w:name="_Toc30661779"/>
      <w:bookmarkStart w:id="1470" w:name="_Toc30666467"/>
      <w:bookmarkStart w:id="1471" w:name="_Toc30666697"/>
      <w:bookmarkStart w:id="1472" w:name="_Toc30667872"/>
      <w:bookmarkStart w:id="1473" w:name="_Toc30669250"/>
      <w:bookmarkStart w:id="1474" w:name="_Toc30671466"/>
      <w:bookmarkStart w:id="1475" w:name="_Toc30673993"/>
      <w:bookmarkStart w:id="1476" w:name="_Toc30691215"/>
      <w:bookmarkStart w:id="1477" w:name="_Toc30691588"/>
      <w:bookmarkStart w:id="1478" w:name="_Toc30691968"/>
      <w:bookmarkStart w:id="1479" w:name="_Toc30692727"/>
      <w:bookmarkStart w:id="1480" w:name="_Toc30693106"/>
      <w:bookmarkStart w:id="1481" w:name="_Toc30693484"/>
      <w:bookmarkStart w:id="1482" w:name="_Toc30693862"/>
      <w:bookmarkStart w:id="1483" w:name="_Toc30694243"/>
      <w:bookmarkStart w:id="1484" w:name="_Toc30698832"/>
      <w:bookmarkStart w:id="1485" w:name="_Toc30699210"/>
      <w:bookmarkStart w:id="1486" w:name="_Toc30699595"/>
      <w:bookmarkStart w:id="1487" w:name="_Toc30700750"/>
      <w:bookmarkStart w:id="1488" w:name="_Toc30701137"/>
      <w:bookmarkStart w:id="1489" w:name="_Toc30743746"/>
      <w:bookmarkStart w:id="1490" w:name="_Toc30754569"/>
      <w:bookmarkStart w:id="1491" w:name="_Toc30757009"/>
      <w:bookmarkStart w:id="1492" w:name="_Toc30757558"/>
      <w:bookmarkStart w:id="1493" w:name="_Toc30757958"/>
      <w:bookmarkStart w:id="1494" w:name="_Toc30762719"/>
      <w:bookmarkStart w:id="1495" w:name="_Toc30767373"/>
      <w:bookmarkStart w:id="1496" w:name="_Toc34823388"/>
      <w:bookmarkEnd w:id="1459"/>
      <w:bookmarkEnd w:id="1460"/>
      <w:r>
        <w:rPr>
          <w:rFonts w:ascii="Arial" w:hAnsi="Arial" w:cs="Arial"/>
          <w:b/>
          <w:bCs/>
          <w:sz w:val="20"/>
        </w:rPr>
        <w:lastRenderedPageBreak/>
        <w:t>4.9</w:t>
      </w:r>
      <w:r w:rsidR="00DB5203">
        <w:rPr>
          <w:rFonts w:ascii="Arial" w:hAnsi="Arial" w:cs="Arial"/>
          <w:b/>
          <w:bCs/>
          <w:sz w:val="20"/>
        </w:rPr>
        <w:t>.4</w:t>
      </w:r>
      <w:r>
        <w:rPr>
          <w:rFonts w:ascii="Arial" w:hAnsi="Arial" w:cs="Arial"/>
          <w:b/>
          <w:bCs/>
          <w:sz w:val="20"/>
        </w:rPr>
        <w:tab/>
      </w:r>
      <w:r w:rsidR="00DB5203">
        <w:rPr>
          <w:rFonts w:ascii="Arial" w:hAnsi="Arial" w:cs="Arial"/>
          <w:b/>
          <w:bCs/>
          <w:sz w:val="20"/>
        </w:rPr>
        <w:t xml:space="preserve">First </w:t>
      </w:r>
      <w:r w:rsidR="009B53F7">
        <w:rPr>
          <w:rFonts w:ascii="Arial" w:hAnsi="Arial" w:cs="Arial"/>
          <w:b/>
          <w:bCs/>
          <w:sz w:val="20"/>
        </w:rPr>
        <w:t>d</w:t>
      </w:r>
      <w:r w:rsidR="00DB5203">
        <w:rPr>
          <w:rFonts w:ascii="Arial" w:hAnsi="Arial" w:cs="Arial"/>
          <w:b/>
          <w:bCs/>
          <w:sz w:val="20"/>
        </w:rPr>
        <w:t xml:space="preserve">irections hearing &amp; </w:t>
      </w:r>
      <w:r>
        <w:rPr>
          <w:rFonts w:ascii="Arial" w:hAnsi="Arial" w:cs="Arial"/>
          <w:b/>
          <w:bCs/>
          <w:sz w:val="20"/>
        </w:rPr>
        <w:t>Directions hearing</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r w:rsidR="00DB5203">
        <w:rPr>
          <w:rFonts w:ascii="Arial" w:hAnsi="Arial" w:cs="Arial"/>
          <w:b/>
          <w:bCs/>
          <w:sz w:val="20"/>
        </w:rPr>
        <w:t xml:space="preserve"> preceding a contest</w:t>
      </w:r>
    </w:p>
    <w:p w14:paraId="4268F17F" w14:textId="77777777" w:rsidR="00DB5203" w:rsidRDefault="00693223">
      <w:pPr>
        <w:spacing w:before="120"/>
        <w:jc w:val="both"/>
        <w:rPr>
          <w:rFonts w:ascii="Arial" w:hAnsi="Arial" w:cs="Arial"/>
          <w:sz w:val="20"/>
        </w:rPr>
      </w:pPr>
      <w:r>
        <w:rPr>
          <w:rFonts w:ascii="Arial" w:hAnsi="Arial" w:cs="Arial"/>
          <w:sz w:val="20"/>
        </w:rPr>
        <w:t xml:space="preserve">If any party wishes to contest any aspect of the Department's recommended disposition, the case is </w:t>
      </w:r>
      <w:r w:rsidR="00DB5203">
        <w:rPr>
          <w:rFonts w:ascii="Arial" w:hAnsi="Arial" w:cs="Arial"/>
          <w:sz w:val="20"/>
        </w:rPr>
        <w:t xml:space="preserve">usually adjourned for a First </w:t>
      </w:r>
      <w:r w:rsidR="009B53F7">
        <w:rPr>
          <w:rFonts w:ascii="Arial" w:hAnsi="Arial" w:cs="Arial"/>
          <w:sz w:val="20"/>
        </w:rPr>
        <w:t>d</w:t>
      </w:r>
      <w:r w:rsidR="00DB5203">
        <w:rPr>
          <w:rFonts w:ascii="Arial" w:hAnsi="Arial" w:cs="Arial"/>
          <w:sz w:val="20"/>
        </w:rPr>
        <w:t>irections hearing.  There are two major purposes of such a hearing:</w:t>
      </w:r>
    </w:p>
    <w:p w14:paraId="4F057425" w14:textId="77777777" w:rsidR="00DB5203" w:rsidRDefault="00DB5203" w:rsidP="00DB5203">
      <w:pPr>
        <w:numPr>
          <w:ilvl w:val="0"/>
          <w:numId w:val="3"/>
        </w:numPr>
        <w:tabs>
          <w:tab w:val="num" w:pos="720"/>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1F459592" w14:textId="77777777" w:rsidR="00DB5203" w:rsidRDefault="00DB5203" w:rsidP="00DB5203">
      <w:pPr>
        <w:numPr>
          <w:ilvl w:val="0"/>
          <w:numId w:val="3"/>
        </w:numPr>
        <w:tabs>
          <w:tab w:val="num" w:pos="720"/>
        </w:tabs>
        <w:jc w:val="both"/>
        <w:rPr>
          <w:rFonts w:ascii="Arial" w:hAnsi="Arial" w:cs="Arial"/>
          <w:sz w:val="20"/>
        </w:rPr>
      </w:pPr>
      <w:r>
        <w:rPr>
          <w:rFonts w:ascii="Arial" w:hAnsi="Arial" w:cs="Arial"/>
          <w:sz w:val="20"/>
        </w:rPr>
        <w:t xml:space="preserve">to enable an informal conciliation to be conducted by a </w:t>
      </w:r>
      <w:r w:rsidR="00752155">
        <w:rPr>
          <w:rFonts w:ascii="Arial" w:hAnsi="Arial" w:cs="Arial"/>
          <w:sz w:val="20"/>
        </w:rPr>
        <w:t>judicial officer</w:t>
      </w:r>
      <w:r>
        <w:rPr>
          <w:rFonts w:ascii="Arial" w:hAnsi="Arial" w:cs="Arial"/>
          <w:sz w:val="20"/>
        </w:rPr>
        <w:t xml:space="preserve"> with the aim of enabling the case to be resolved without a fully contested hearing; as this </w:t>
      </w:r>
      <w:r w:rsidR="00752155">
        <w:rPr>
          <w:rFonts w:ascii="Arial" w:hAnsi="Arial" w:cs="Arial"/>
          <w:sz w:val="20"/>
        </w:rPr>
        <w:t xml:space="preserve">process </w:t>
      </w:r>
      <w:r>
        <w:rPr>
          <w:rFonts w:ascii="Arial" w:hAnsi="Arial" w:cs="Arial"/>
          <w:sz w:val="20"/>
        </w:rPr>
        <w:t xml:space="preserve">often involves the </w:t>
      </w:r>
      <w:r w:rsidR="00752155">
        <w:rPr>
          <w:rFonts w:ascii="Arial" w:hAnsi="Arial" w:cs="Arial"/>
          <w:sz w:val="20"/>
        </w:rPr>
        <w:t>judicial officer</w:t>
      </w:r>
      <w:r>
        <w:rPr>
          <w:rFonts w:ascii="Arial" w:hAnsi="Arial" w:cs="Arial"/>
          <w:sz w:val="20"/>
        </w:rPr>
        <w:t xml:space="preserve"> expressing strong views about the likely outcome of any contest, </w:t>
      </w:r>
      <w:r w:rsidR="00752155">
        <w:rPr>
          <w:rFonts w:ascii="Arial" w:hAnsi="Arial" w:cs="Arial"/>
          <w:sz w:val="20"/>
        </w:rPr>
        <w:t>that judicial officer may declare that any ensuing contest will be heard by a different judicial officer.</w:t>
      </w:r>
    </w:p>
    <w:p w14:paraId="4B87CB9E" w14:textId="77777777" w:rsidR="00DB5203" w:rsidRDefault="00DB5203" w:rsidP="009B53F7">
      <w:pPr>
        <w:jc w:val="both"/>
        <w:rPr>
          <w:rFonts w:ascii="Arial" w:hAnsi="Arial" w:cs="Arial"/>
          <w:sz w:val="20"/>
        </w:rPr>
      </w:pPr>
    </w:p>
    <w:p w14:paraId="339B547A" w14:textId="77777777" w:rsidR="00693223" w:rsidRDefault="009B53F7" w:rsidP="009B53F7">
      <w:pPr>
        <w:jc w:val="both"/>
        <w:rPr>
          <w:rFonts w:ascii="Arial" w:hAnsi="Arial" w:cs="Arial"/>
          <w:sz w:val="20"/>
        </w:rPr>
      </w:pPr>
      <w:r>
        <w:rPr>
          <w:rFonts w:ascii="Arial" w:hAnsi="Arial" w:cs="Arial"/>
          <w:sz w:val="20"/>
        </w:rPr>
        <w:t>If a case does not resolve at this stage, it is usually a</w:t>
      </w:r>
      <w:r w:rsidR="00693223">
        <w:rPr>
          <w:rFonts w:ascii="Arial" w:hAnsi="Arial" w:cs="Arial"/>
          <w:sz w:val="20"/>
        </w:rPr>
        <w:t xml:space="preserve">djourned for a contest, preceded by a </w:t>
      </w:r>
      <w:r w:rsidR="007867B3">
        <w:rPr>
          <w:rFonts w:ascii="Arial" w:hAnsi="Arial" w:cs="Arial"/>
          <w:sz w:val="20"/>
        </w:rPr>
        <w:t xml:space="preserve">further </w:t>
      </w:r>
      <w:r w:rsidR="00693223">
        <w:rPr>
          <w:rFonts w:ascii="Arial" w:hAnsi="Arial" w:cs="Arial"/>
          <w:sz w:val="20"/>
        </w:rPr>
        <w:t xml:space="preserve">directions hearing.  There are </w:t>
      </w:r>
      <w:r w:rsidR="004814C0">
        <w:rPr>
          <w:rFonts w:ascii="Arial" w:hAnsi="Arial" w:cs="Arial"/>
          <w:sz w:val="20"/>
        </w:rPr>
        <w:t>three</w:t>
      </w:r>
      <w:r w:rsidR="00693223">
        <w:rPr>
          <w:rFonts w:ascii="Arial" w:hAnsi="Arial" w:cs="Arial"/>
          <w:sz w:val="20"/>
        </w:rPr>
        <w:t xml:space="preserve"> purposes of </w:t>
      </w:r>
      <w:r>
        <w:rPr>
          <w:rFonts w:ascii="Arial" w:hAnsi="Arial" w:cs="Arial"/>
          <w:sz w:val="20"/>
        </w:rPr>
        <w:t xml:space="preserve">such </w:t>
      </w:r>
      <w:r w:rsidR="00693223">
        <w:rPr>
          <w:rFonts w:ascii="Arial" w:hAnsi="Arial" w:cs="Arial"/>
          <w:sz w:val="20"/>
        </w:rPr>
        <w:t>a directions hearing:</w:t>
      </w:r>
    </w:p>
    <w:p w14:paraId="69048B42" w14:textId="77777777" w:rsidR="009B53F7" w:rsidRDefault="009B53F7" w:rsidP="00FB1EE3">
      <w:pPr>
        <w:numPr>
          <w:ilvl w:val="0"/>
          <w:numId w:val="50"/>
        </w:numPr>
        <w:tabs>
          <w:tab w:val="clear" w:pos="1083"/>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6E5F52FE" w14:textId="77777777" w:rsidR="009B53F7" w:rsidRDefault="009B53F7" w:rsidP="00FB1EE3">
      <w:pPr>
        <w:numPr>
          <w:ilvl w:val="0"/>
          <w:numId w:val="50"/>
        </w:numPr>
        <w:tabs>
          <w:tab w:val="clear" w:pos="1083"/>
        </w:tabs>
        <w:jc w:val="both"/>
        <w:rPr>
          <w:rFonts w:ascii="Arial" w:hAnsi="Arial" w:cs="Arial"/>
          <w:sz w:val="20"/>
        </w:rPr>
      </w:pPr>
      <w:r>
        <w:rPr>
          <w:rFonts w:ascii="Arial" w:hAnsi="Arial" w:cs="Arial"/>
          <w:sz w:val="20"/>
        </w:rPr>
        <w:t>to enable an informal conciliation to be conducted by a judicial officer with the aim of enabling the case to be resolved without a fully contested hearing; if the judicial officer conducting this directions hearing is also listed to hear the contest, this process will usually not be as rigorous as that in a first directions hearing;</w:t>
      </w:r>
    </w:p>
    <w:p w14:paraId="59FFC951" w14:textId="77777777" w:rsidR="00693223" w:rsidRDefault="00693223" w:rsidP="00FB1EE3">
      <w:pPr>
        <w:numPr>
          <w:ilvl w:val="0"/>
          <w:numId w:val="50"/>
        </w:numPr>
        <w:tabs>
          <w:tab w:val="clear" w:pos="1083"/>
        </w:tabs>
        <w:jc w:val="both"/>
        <w:rPr>
          <w:rFonts w:ascii="Arial" w:hAnsi="Arial" w:cs="Arial"/>
          <w:sz w:val="20"/>
        </w:rPr>
      </w:pPr>
      <w:r>
        <w:rPr>
          <w:rFonts w:ascii="Arial" w:hAnsi="Arial" w:cs="Arial"/>
          <w:sz w:val="20"/>
        </w:rPr>
        <w:t>in the event that the case cannot be resolved, to attempt to narrow the issues between the parties and to settle the mechanics of the case (e.g. appropriate length of time reserved for the number of witnesses who are to be called, whether an interpreter is required, whether proof of the application is conceded etc.).</w:t>
      </w:r>
    </w:p>
    <w:p w14:paraId="44DB09C2" w14:textId="77777777" w:rsidR="0030237B" w:rsidRDefault="0030237B" w:rsidP="0030237B">
      <w:pPr>
        <w:ind w:left="363" w:hanging="363"/>
        <w:jc w:val="both"/>
        <w:rPr>
          <w:rFonts w:ascii="Arial" w:hAnsi="Arial" w:cs="Arial"/>
          <w:b/>
          <w:bCs/>
          <w:sz w:val="20"/>
        </w:rPr>
      </w:pPr>
    </w:p>
    <w:p w14:paraId="22122F72" w14:textId="77777777" w:rsidR="0030237B" w:rsidRDefault="0030237B" w:rsidP="00061DAE">
      <w:pPr>
        <w:pStyle w:val="Heading3"/>
        <w:widowControl/>
        <w:spacing w:line="240" w:lineRule="auto"/>
        <w:rPr>
          <w:rFonts w:ascii="Arial" w:hAnsi="Arial" w:cs="Arial"/>
          <w:b/>
          <w:bCs/>
          <w:sz w:val="20"/>
        </w:rPr>
      </w:pPr>
      <w:bookmarkStart w:id="1497" w:name="_4.9.4A_Readiness_Hearing"/>
      <w:bookmarkStart w:id="1498" w:name="B494A"/>
      <w:bookmarkEnd w:id="1497"/>
      <w:bookmarkEnd w:id="1498"/>
      <w:r>
        <w:rPr>
          <w:rFonts w:ascii="Arial" w:hAnsi="Arial" w:cs="Arial"/>
          <w:b/>
          <w:bCs/>
          <w:sz w:val="20"/>
        </w:rPr>
        <w:t>4.9.4A</w:t>
      </w:r>
      <w:r>
        <w:rPr>
          <w:rFonts w:ascii="Arial" w:hAnsi="Arial" w:cs="Arial"/>
          <w:b/>
          <w:bCs/>
          <w:sz w:val="20"/>
        </w:rPr>
        <w:tab/>
        <w:t xml:space="preserve">Readiness </w:t>
      </w:r>
      <w:r w:rsidR="00906F5E">
        <w:rPr>
          <w:rFonts w:ascii="Arial" w:hAnsi="Arial" w:cs="Arial"/>
          <w:b/>
          <w:bCs/>
          <w:sz w:val="20"/>
        </w:rPr>
        <w:t>H</w:t>
      </w:r>
      <w:r>
        <w:rPr>
          <w:rFonts w:ascii="Arial" w:hAnsi="Arial" w:cs="Arial"/>
          <w:b/>
          <w:bCs/>
          <w:sz w:val="20"/>
        </w:rPr>
        <w:t>earing</w:t>
      </w:r>
    </w:p>
    <w:p w14:paraId="2EB2E555" w14:textId="77777777" w:rsidR="004C1D81" w:rsidRPr="00D33D51" w:rsidRDefault="003B555B" w:rsidP="004C1D81">
      <w:pPr>
        <w:shd w:val="clear" w:color="auto" w:fill="FFFFFF"/>
        <w:spacing w:before="120"/>
        <w:jc w:val="both"/>
        <w:textAlignment w:val="baseline"/>
        <w:rPr>
          <w:rFonts w:ascii="Arial" w:hAnsi="Arial" w:cs="Arial"/>
          <w:color w:val="353535"/>
          <w:sz w:val="14"/>
          <w:szCs w:val="14"/>
          <w:lang w:eastAsia="en-AU"/>
        </w:rPr>
      </w:pPr>
      <w:r>
        <w:rPr>
          <w:rFonts w:ascii="Arial" w:hAnsi="Arial" w:cs="Arial"/>
          <w:color w:val="353535"/>
          <w:sz w:val="20"/>
          <w:szCs w:val="20"/>
          <w:lang w:eastAsia="en-AU"/>
        </w:rPr>
        <w:t>P</w:t>
      </w:r>
      <w:r w:rsidR="00DD0300">
        <w:rPr>
          <w:rFonts w:ascii="Arial" w:hAnsi="Arial" w:cs="Arial"/>
          <w:color w:val="353535"/>
          <w:sz w:val="20"/>
          <w:lang w:eastAsia="en-AU"/>
        </w:rPr>
        <w:t xml:space="preserve">ractice </w:t>
      </w:r>
      <w:r>
        <w:rPr>
          <w:rFonts w:ascii="Arial" w:hAnsi="Arial" w:cs="Arial"/>
          <w:color w:val="353535"/>
          <w:sz w:val="20"/>
          <w:szCs w:val="20"/>
          <w:lang w:eastAsia="en-AU"/>
        </w:rPr>
        <w:t>D</w:t>
      </w:r>
      <w:r w:rsidR="00DD0300">
        <w:rPr>
          <w:rFonts w:ascii="Arial" w:hAnsi="Arial" w:cs="Arial"/>
          <w:color w:val="353535"/>
          <w:sz w:val="20"/>
          <w:lang w:eastAsia="en-AU"/>
        </w:rPr>
        <w:t>irection</w:t>
      </w:r>
      <w:r>
        <w:rPr>
          <w:rFonts w:ascii="Arial" w:hAnsi="Arial" w:cs="Arial"/>
          <w:color w:val="353535"/>
          <w:sz w:val="20"/>
          <w:lang w:eastAsia="en-AU"/>
        </w:rPr>
        <w:t xml:space="preserve"> No.6 of 2020</w:t>
      </w:r>
      <w:r w:rsidR="00906F5E">
        <w:rPr>
          <w:rFonts w:ascii="Arial" w:hAnsi="Arial" w:cs="Arial"/>
          <w:color w:val="353535"/>
          <w:sz w:val="20"/>
          <w:lang w:eastAsia="en-AU"/>
        </w:rPr>
        <w:t xml:space="preserve">, </w:t>
      </w:r>
      <w:r>
        <w:rPr>
          <w:rFonts w:ascii="Arial" w:hAnsi="Arial" w:cs="Arial"/>
          <w:color w:val="353535"/>
          <w:sz w:val="20"/>
          <w:szCs w:val="20"/>
          <w:lang w:eastAsia="en-AU"/>
        </w:rPr>
        <w:t>commencing from 16/06/2020</w:t>
      </w:r>
      <w:r w:rsidR="00906F5E">
        <w:rPr>
          <w:rFonts w:ascii="Arial" w:hAnsi="Arial" w:cs="Arial"/>
          <w:color w:val="353535"/>
          <w:sz w:val="20"/>
          <w:lang w:eastAsia="en-AU"/>
        </w:rPr>
        <w:t>,</w:t>
      </w:r>
      <w:r>
        <w:rPr>
          <w:rFonts w:ascii="Arial" w:hAnsi="Arial" w:cs="Arial"/>
          <w:color w:val="353535"/>
          <w:sz w:val="20"/>
          <w:lang w:eastAsia="en-AU"/>
        </w:rPr>
        <w:t xml:space="preserve"> </w:t>
      </w:r>
      <w:r w:rsidRPr="0047445C">
        <w:rPr>
          <w:rFonts w:ascii="Arial" w:hAnsi="Arial" w:cs="Arial"/>
          <w:color w:val="353535"/>
          <w:sz w:val="20"/>
          <w:szCs w:val="20"/>
          <w:lang w:eastAsia="en-AU"/>
        </w:rPr>
        <w:t>introduce</w:t>
      </w:r>
      <w:r>
        <w:rPr>
          <w:rFonts w:ascii="Arial" w:hAnsi="Arial" w:cs="Arial"/>
          <w:color w:val="353535"/>
          <w:sz w:val="20"/>
          <w:lang w:eastAsia="en-AU"/>
        </w:rPr>
        <w:t>d</w:t>
      </w:r>
      <w:r w:rsidRPr="0047445C">
        <w:rPr>
          <w:rFonts w:ascii="Arial" w:hAnsi="Arial" w:cs="Arial"/>
          <w:color w:val="353535"/>
          <w:sz w:val="20"/>
          <w:szCs w:val="20"/>
          <w:lang w:eastAsia="en-AU"/>
        </w:rPr>
        <w:t xml:space="preserve"> a new type of hearing – known as a </w:t>
      </w:r>
      <w:r w:rsidRPr="00717B0C">
        <w:rPr>
          <w:rFonts w:ascii="Arial" w:hAnsi="Arial" w:cs="Arial"/>
          <w:b/>
          <w:bCs/>
          <w:color w:val="353535"/>
          <w:sz w:val="20"/>
          <w:szCs w:val="20"/>
          <w:lang w:eastAsia="en-AU"/>
        </w:rPr>
        <w:t>Readiness Hearing</w:t>
      </w:r>
      <w:r>
        <w:rPr>
          <w:rFonts w:ascii="Arial" w:hAnsi="Arial" w:cs="Arial"/>
          <w:b/>
          <w:bCs/>
          <w:color w:val="353535"/>
          <w:sz w:val="20"/>
          <w:lang w:eastAsia="en-AU"/>
        </w:rPr>
        <w:t xml:space="preserve"> </w:t>
      </w:r>
      <w:r w:rsidRPr="003B555B">
        <w:rPr>
          <w:rFonts w:ascii="Arial" w:hAnsi="Arial" w:cs="Arial"/>
          <w:color w:val="353535"/>
          <w:sz w:val="20"/>
          <w:lang w:eastAsia="en-AU"/>
        </w:rPr>
        <w:t xml:space="preserve">– as a temporary measure necessitated by the COVID-19 pandemic </w:t>
      </w:r>
      <w:r>
        <w:rPr>
          <w:rFonts w:ascii="Arial" w:hAnsi="Arial" w:cs="Arial"/>
          <w:color w:val="353535"/>
          <w:sz w:val="20"/>
          <w:lang w:eastAsia="en-AU"/>
        </w:rPr>
        <w:t xml:space="preserve">for the management of proceedings in the Family Division.  It applies </w:t>
      </w:r>
      <w:r w:rsidRPr="00726EDB">
        <w:rPr>
          <w:rFonts w:ascii="Arial" w:hAnsi="Arial" w:cs="Arial"/>
          <w:sz w:val="20"/>
          <w:szCs w:val="20"/>
        </w:rPr>
        <w:t xml:space="preserve">to matters listed at Melbourne, Moorabbin or Broadmeadows Children’s Court (including regional directions hearings and fixtures that are being case managed by Melbourne Children’s Court) </w:t>
      </w:r>
      <w:r w:rsidR="004C1D81">
        <w:rPr>
          <w:rFonts w:ascii="Arial" w:hAnsi="Arial" w:cs="Arial"/>
          <w:sz w:val="20"/>
          <w:szCs w:val="20"/>
        </w:rPr>
        <w:t>where-</w:t>
      </w:r>
    </w:p>
    <w:p w14:paraId="2014BB35" w14:textId="77777777" w:rsidR="004C1D81" w:rsidRPr="00D33D51" w:rsidRDefault="004C1D81" w:rsidP="00FB1EE3">
      <w:pPr>
        <w:numPr>
          <w:ilvl w:val="0"/>
          <w:numId w:val="58"/>
        </w:numPr>
        <w:shd w:val="clear" w:color="auto" w:fill="FFFFFF"/>
        <w:ind w:left="357" w:hanging="357"/>
        <w:jc w:val="both"/>
        <w:textAlignment w:val="baseline"/>
        <w:rPr>
          <w:rFonts w:ascii="Arial" w:hAnsi="Arial" w:cs="Arial"/>
          <w:color w:val="353535"/>
          <w:sz w:val="14"/>
          <w:szCs w:val="14"/>
          <w:lang w:eastAsia="en-AU"/>
        </w:rPr>
      </w:pPr>
      <w:r>
        <w:rPr>
          <w:rFonts w:ascii="Arial" w:hAnsi="Arial" w:cs="Arial"/>
          <w:sz w:val="20"/>
          <w:szCs w:val="20"/>
        </w:rPr>
        <w:t xml:space="preserve">a Directions hearing, IAO contest or final contest </w:t>
      </w:r>
      <w:r w:rsidRPr="00726EDB">
        <w:rPr>
          <w:rFonts w:ascii="Arial" w:hAnsi="Arial" w:cs="Arial"/>
          <w:sz w:val="20"/>
          <w:szCs w:val="20"/>
        </w:rPr>
        <w:t>ha</w:t>
      </w:r>
      <w:r>
        <w:rPr>
          <w:rFonts w:ascii="Arial" w:hAnsi="Arial" w:cs="Arial"/>
          <w:sz w:val="20"/>
          <w:szCs w:val="20"/>
        </w:rPr>
        <w:t>s</w:t>
      </w:r>
      <w:r w:rsidRPr="00726EDB">
        <w:rPr>
          <w:rFonts w:ascii="Arial" w:hAnsi="Arial" w:cs="Arial"/>
          <w:sz w:val="20"/>
          <w:szCs w:val="20"/>
        </w:rPr>
        <w:t xml:space="preserve"> been adjourned </w:t>
      </w:r>
      <w:r>
        <w:rPr>
          <w:rFonts w:ascii="Arial" w:hAnsi="Arial" w:cs="Arial"/>
          <w:sz w:val="20"/>
          <w:szCs w:val="20"/>
        </w:rPr>
        <w:t xml:space="preserve">for special mention </w:t>
      </w:r>
      <w:r w:rsidRPr="00726EDB">
        <w:rPr>
          <w:rFonts w:ascii="Arial" w:hAnsi="Arial" w:cs="Arial"/>
          <w:sz w:val="20"/>
          <w:szCs w:val="20"/>
        </w:rPr>
        <w:t>in accordance with Practice Direction No.1 of 2020</w:t>
      </w:r>
      <w:r>
        <w:rPr>
          <w:rFonts w:ascii="Arial" w:hAnsi="Arial" w:cs="Arial"/>
          <w:sz w:val="20"/>
          <w:szCs w:val="20"/>
        </w:rPr>
        <w:t>; or</w:t>
      </w:r>
    </w:p>
    <w:p w14:paraId="565EA51D" w14:textId="77777777" w:rsidR="004C1D81" w:rsidRPr="00D33D51" w:rsidRDefault="004C1D81" w:rsidP="00FB1EE3">
      <w:pPr>
        <w:numPr>
          <w:ilvl w:val="0"/>
          <w:numId w:val="58"/>
        </w:numPr>
        <w:shd w:val="clear" w:color="auto" w:fill="FFFFFF"/>
        <w:ind w:left="357" w:hanging="357"/>
        <w:jc w:val="both"/>
        <w:textAlignment w:val="baseline"/>
        <w:rPr>
          <w:rFonts w:ascii="Arial" w:hAnsi="Arial" w:cs="Arial"/>
          <w:color w:val="353535"/>
          <w:sz w:val="14"/>
          <w:szCs w:val="14"/>
          <w:lang w:eastAsia="en-AU"/>
        </w:rPr>
      </w:pPr>
      <w:r>
        <w:rPr>
          <w:rFonts w:ascii="Arial" w:hAnsi="Arial" w:cs="Arial"/>
          <w:sz w:val="20"/>
          <w:szCs w:val="20"/>
        </w:rPr>
        <w:t>a matter has been listed for mention on or after 16/06/2020 and it has already had a conciliation conference or the Court considers it is not suitable for a conciliation conference.</w:t>
      </w:r>
    </w:p>
    <w:p w14:paraId="07F1209B" w14:textId="77777777" w:rsidR="007D2F69" w:rsidRDefault="00906F5E" w:rsidP="007D2F69">
      <w:pPr>
        <w:jc w:val="both"/>
        <w:rPr>
          <w:rFonts w:ascii="Arial" w:hAnsi="Arial" w:cs="Arial"/>
          <w:sz w:val="20"/>
        </w:rPr>
      </w:pPr>
      <w:r>
        <w:rPr>
          <w:rFonts w:ascii="Arial" w:hAnsi="Arial" w:cs="Arial"/>
          <w:sz w:val="20"/>
        </w:rPr>
        <w:t xml:space="preserve">A Readiness Hearing </w:t>
      </w:r>
      <w:r w:rsidR="003B555B" w:rsidRPr="0047445C">
        <w:rPr>
          <w:rFonts w:ascii="Arial" w:hAnsi="Arial" w:cs="Arial"/>
          <w:color w:val="353535"/>
          <w:sz w:val="20"/>
          <w:lang w:eastAsia="en-AU"/>
        </w:rPr>
        <w:t xml:space="preserve">aims to explore the possible resolution of a matter by incorporating the features of a First </w:t>
      </w:r>
      <w:r w:rsidR="004C1D81">
        <w:rPr>
          <w:rFonts w:ascii="Arial" w:hAnsi="Arial" w:cs="Arial"/>
          <w:color w:val="353535"/>
          <w:sz w:val="20"/>
          <w:lang w:eastAsia="en-AU"/>
        </w:rPr>
        <w:t>d</w:t>
      </w:r>
      <w:r w:rsidR="003B555B" w:rsidRPr="0047445C">
        <w:rPr>
          <w:rFonts w:ascii="Arial" w:hAnsi="Arial" w:cs="Arial"/>
          <w:color w:val="353535"/>
          <w:sz w:val="20"/>
          <w:lang w:eastAsia="en-AU"/>
        </w:rPr>
        <w:t xml:space="preserve">irections </w:t>
      </w:r>
      <w:r w:rsidR="004C1D81">
        <w:rPr>
          <w:rFonts w:ascii="Arial" w:hAnsi="Arial" w:cs="Arial"/>
          <w:color w:val="353535"/>
          <w:sz w:val="20"/>
          <w:lang w:eastAsia="en-AU"/>
        </w:rPr>
        <w:t>h</w:t>
      </w:r>
      <w:r w:rsidR="003B555B" w:rsidRPr="0047445C">
        <w:rPr>
          <w:rFonts w:ascii="Arial" w:hAnsi="Arial" w:cs="Arial"/>
          <w:color w:val="353535"/>
          <w:sz w:val="20"/>
          <w:lang w:eastAsia="en-AU"/>
        </w:rPr>
        <w:t xml:space="preserve">earing and a pre-contest Directions </w:t>
      </w:r>
      <w:r w:rsidR="004C1D81">
        <w:rPr>
          <w:rFonts w:ascii="Arial" w:hAnsi="Arial" w:cs="Arial"/>
          <w:color w:val="353535"/>
          <w:sz w:val="20"/>
          <w:lang w:eastAsia="en-AU"/>
        </w:rPr>
        <w:t>h</w:t>
      </w:r>
      <w:r w:rsidR="003B555B" w:rsidRPr="0047445C">
        <w:rPr>
          <w:rFonts w:ascii="Arial" w:hAnsi="Arial" w:cs="Arial"/>
          <w:color w:val="353535"/>
          <w:sz w:val="20"/>
          <w:lang w:eastAsia="en-AU"/>
        </w:rPr>
        <w:t xml:space="preserve">earing as well as judicially led dispute resolution processes.  </w:t>
      </w:r>
      <w:r w:rsidR="003B555B" w:rsidRPr="0047445C">
        <w:rPr>
          <w:rFonts w:ascii="Arial" w:hAnsi="Arial" w:cs="Arial"/>
          <w:sz w:val="20"/>
        </w:rPr>
        <w:t xml:space="preserve">If a matter does not resolve at a Readiness </w:t>
      </w:r>
      <w:r>
        <w:rPr>
          <w:rFonts w:ascii="Arial" w:hAnsi="Arial" w:cs="Arial"/>
          <w:sz w:val="20"/>
        </w:rPr>
        <w:t>H</w:t>
      </w:r>
      <w:r w:rsidR="003B555B" w:rsidRPr="0047445C">
        <w:rPr>
          <w:rFonts w:ascii="Arial" w:hAnsi="Arial" w:cs="Arial"/>
          <w:sz w:val="20"/>
        </w:rPr>
        <w:t>earing, the Court will explore whether it is feasible to hear a contested IAO or final hearing, facilitated through audio visual link or otherwise, in a manner that meets the requirements of fairness and justice and is also consistent with the safety advice of the Chief Health Officer.  Priority is likely to be given to 1</w:t>
      </w:r>
      <w:r w:rsidR="003B555B">
        <w:rPr>
          <w:rFonts w:ascii="Arial" w:hAnsi="Arial" w:cs="Arial"/>
          <w:sz w:val="20"/>
        </w:rPr>
        <w:noBreakHyphen/>
      </w:r>
      <w:r w:rsidR="003B555B" w:rsidRPr="0047445C">
        <w:rPr>
          <w:rFonts w:ascii="Arial" w:hAnsi="Arial" w:cs="Arial"/>
          <w:sz w:val="20"/>
        </w:rPr>
        <w:t>3 day hearings.</w:t>
      </w:r>
    </w:p>
    <w:p w14:paraId="487C9055" w14:textId="77777777" w:rsidR="00166C52" w:rsidRDefault="00166C52" w:rsidP="007D2F69">
      <w:pPr>
        <w:jc w:val="both"/>
        <w:rPr>
          <w:rFonts w:ascii="Arial" w:hAnsi="Arial" w:cs="Arial"/>
          <w:sz w:val="20"/>
        </w:rPr>
      </w:pPr>
    </w:p>
    <w:p w14:paraId="6DB9E54B" w14:textId="77777777" w:rsidR="00166C52" w:rsidRDefault="00166C52" w:rsidP="007D2F69">
      <w:pPr>
        <w:jc w:val="both"/>
        <w:rPr>
          <w:rFonts w:ascii="Arial" w:hAnsi="Arial" w:cs="Arial"/>
          <w:sz w:val="20"/>
        </w:rPr>
      </w:pPr>
      <w:r>
        <w:rPr>
          <w:rFonts w:ascii="Arial" w:hAnsi="Arial" w:cs="Arial"/>
          <w:sz w:val="20"/>
        </w:rPr>
        <w:t>The effectiveness of readiness hearings is clear from the statistics below.</w:t>
      </w:r>
    </w:p>
    <w:p w14:paraId="0F9E54FA" w14:textId="77777777" w:rsidR="00166C52" w:rsidRDefault="00166C52" w:rsidP="007D2F69">
      <w:pPr>
        <w:jc w:val="both"/>
        <w:rPr>
          <w:rFonts w:ascii="Arial" w:hAnsi="Arial" w:cs="Arial"/>
          <w:sz w:val="20"/>
        </w:rPr>
      </w:pPr>
    </w:p>
    <w:p w14:paraId="482EAF7F" w14:textId="77777777" w:rsidR="00166C52" w:rsidRDefault="00166C52" w:rsidP="007D2F69">
      <w:pPr>
        <w:jc w:val="both"/>
        <w:rPr>
          <w:rFonts w:ascii="Arial" w:hAnsi="Arial" w:cs="Arial"/>
          <w:sz w:val="20"/>
        </w:rPr>
      </w:pPr>
      <w:r>
        <w:rPr>
          <w:rFonts w:ascii="Arial" w:hAnsi="Arial" w:cs="Arial"/>
          <w:sz w:val="20"/>
        </w:rPr>
        <w:t xml:space="preserve">In the period between </w:t>
      </w:r>
      <w:r w:rsidR="009970B7">
        <w:rPr>
          <w:rFonts w:ascii="Arial" w:hAnsi="Arial" w:cs="Arial"/>
          <w:sz w:val="20"/>
        </w:rPr>
        <w:t xml:space="preserve">1 </w:t>
      </w:r>
      <w:r>
        <w:rPr>
          <w:rFonts w:ascii="Arial" w:hAnsi="Arial" w:cs="Arial"/>
          <w:sz w:val="20"/>
        </w:rPr>
        <w:t xml:space="preserve">July &amp; </w:t>
      </w:r>
      <w:r w:rsidR="009970B7">
        <w:rPr>
          <w:rFonts w:ascii="Arial" w:hAnsi="Arial" w:cs="Arial"/>
          <w:sz w:val="20"/>
        </w:rPr>
        <w:t xml:space="preserve">30 </w:t>
      </w:r>
      <w:r>
        <w:rPr>
          <w:rFonts w:ascii="Arial" w:hAnsi="Arial" w:cs="Arial"/>
          <w:sz w:val="20"/>
        </w:rPr>
        <w:t>November 2021 a total of 655 readiness hearings were held</w:t>
      </w:r>
      <w:r w:rsidR="002444EA">
        <w:rPr>
          <w:rFonts w:ascii="Arial" w:hAnsi="Arial" w:cs="Arial"/>
          <w:sz w:val="20"/>
        </w:rPr>
        <w:t>.  Final orders were made in 376 (57%) of these.</w:t>
      </w:r>
    </w:p>
    <w:p w14:paraId="420F6936" w14:textId="77777777" w:rsidR="00166C52" w:rsidRDefault="00166C52" w:rsidP="007D2F69">
      <w:pPr>
        <w:jc w:val="both"/>
        <w:rPr>
          <w:rFonts w:ascii="Arial" w:hAnsi="Arial" w:cs="Arial"/>
          <w:sz w:val="20"/>
        </w:rPr>
      </w:pPr>
    </w:p>
    <w:p w14:paraId="644420CB" w14:textId="77777777" w:rsidR="002444EA" w:rsidRDefault="002444EA" w:rsidP="007D2F69">
      <w:pPr>
        <w:jc w:val="both"/>
        <w:rPr>
          <w:rFonts w:ascii="Arial" w:hAnsi="Arial" w:cs="Arial"/>
          <w:sz w:val="20"/>
        </w:rPr>
      </w:pPr>
      <w:r>
        <w:rPr>
          <w:rFonts w:ascii="Arial" w:hAnsi="Arial" w:cs="Arial"/>
          <w:sz w:val="20"/>
        </w:rPr>
        <w:t xml:space="preserve">A secondary benefit of readiness hearings is a large reduction in the percentage of contested hearings which were adjourned between </w:t>
      </w:r>
      <w:r w:rsidR="009970B7">
        <w:rPr>
          <w:rFonts w:ascii="Arial" w:hAnsi="Arial" w:cs="Arial"/>
          <w:sz w:val="20"/>
        </w:rPr>
        <w:t xml:space="preserve">1 </w:t>
      </w:r>
      <w:r>
        <w:rPr>
          <w:rFonts w:ascii="Arial" w:hAnsi="Arial" w:cs="Arial"/>
          <w:sz w:val="20"/>
        </w:rPr>
        <w:t xml:space="preserve">July &amp; </w:t>
      </w:r>
      <w:r w:rsidR="009970B7">
        <w:rPr>
          <w:rFonts w:ascii="Arial" w:hAnsi="Arial" w:cs="Arial"/>
          <w:sz w:val="20"/>
        </w:rPr>
        <w:t>10 Dec</w:t>
      </w:r>
      <w:r>
        <w:rPr>
          <w:rFonts w:ascii="Arial" w:hAnsi="Arial" w:cs="Arial"/>
          <w:sz w:val="20"/>
        </w:rPr>
        <w:t>ember 2021 compared the percentage which were adjourned in the 2018-19 financial year</w:t>
      </w:r>
      <w:r w:rsidR="005F4435">
        <w:rPr>
          <w:rFonts w:ascii="Arial" w:hAnsi="Arial" w:cs="Arial"/>
          <w:sz w:val="20"/>
        </w:rPr>
        <w:t xml:space="preserve"> (before the introduction of readiness hearings)</w:t>
      </w:r>
      <w:r>
        <w:rPr>
          <w:rFonts w:ascii="Arial" w:hAnsi="Arial" w:cs="Arial"/>
          <w:sz w:val="20"/>
        </w:rPr>
        <w:t>.</w:t>
      </w:r>
    </w:p>
    <w:p w14:paraId="24AB0655" w14:textId="77777777" w:rsidR="00166C52" w:rsidRPr="00855531" w:rsidRDefault="00166C52" w:rsidP="00166C5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2750"/>
        <w:gridCol w:w="2770"/>
      </w:tblGrid>
      <w:tr w:rsidR="009970B7" w:rsidRPr="00855531" w14:paraId="3088BC69" w14:textId="77777777" w:rsidTr="00302E60">
        <w:tc>
          <w:tcPr>
            <w:tcW w:w="2842" w:type="dxa"/>
            <w:shd w:val="clear" w:color="auto" w:fill="000000"/>
          </w:tcPr>
          <w:p w14:paraId="501EA4A6" w14:textId="77777777" w:rsidR="009970B7" w:rsidRPr="00855531" w:rsidRDefault="00C60943" w:rsidP="00302E60">
            <w:pPr>
              <w:jc w:val="center"/>
              <w:rPr>
                <w:rFonts w:ascii="Arial" w:hAnsi="Arial" w:cs="Arial"/>
                <w:b/>
                <w:bCs/>
                <w:sz w:val="20"/>
                <w:szCs w:val="20"/>
              </w:rPr>
            </w:pPr>
            <w:r w:rsidRPr="00855531">
              <w:rPr>
                <w:rFonts w:ascii="Arial" w:hAnsi="Arial" w:cs="Arial"/>
                <w:b/>
                <w:bCs/>
                <w:sz w:val="20"/>
                <w:szCs w:val="20"/>
              </w:rPr>
              <w:t>CONTESTED HEARINGS</w:t>
            </w:r>
          </w:p>
        </w:tc>
        <w:tc>
          <w:tcPr>
            <w:tcW w:w="2843" w:type="dxa"/>
            <w:shd w:val="clear" w:color="auto" w:fill="000000"/>
          </w:tcPr>
          <w:p w14:paraId="429F4FDE" w14:textId="77777777" w:rsidR="009970B7" w:rsidRPr="00855531" w:rsidRDefault="009970B7" w:rsidP="00855531">
            <w:pPr>
              <w:jc w:val="center"/>
              <w:rPr>
                <w:rFonts w:ascii="Arial" w:hAnsi="Arial" w:cs="Arial"/>
                <w:b/>
                <w:bCs/>
                <w:sz w:val="20"/>
                <w:szCs w:val="20"/>
              </w:rPr>
            </w:pPr>
            <w:r w:rsidRPr="00855531">
              <w:rPr>
                <w:rFonts w:ascii="Arial" w:hAnsi="Arial" w:cs="Arial"/>
                <w:b/>
                <w:bCs/>
                <w:sz w:val="20"/>
                <w:szCs w:val="20"/>
              </w:rPr>
              <w:t>2018-19 FY</w:t>
            </w:r>
          </w:p>
        </w:tc>
        <w:tc>
          <w:tcPr>
            <w:tcW w:w="2843" w:type="dxa"/>
            <w:shd w:val="clear" w:color="auto" w:fill="000000"/>
          </w:tcPr>
          <w:p w14:paraId="74C7D023" w14:textId="77777777" w:rsidR="009970B7" w:rsidRPr="00855531" w:rsidRDefault="009970B7" w:rsidP="00302E60">
            <w:pPr>
              <w:jc w:val="center"/>
              <w:rPr>
                <w:rFonts w:ascii="Arial" w:hAnsi="Arial" w:cs="Arial"/>
                <w:b/>
                <w:bCs/>
                <w:sz w:val="20"/>
                <w:szCs w:val="20"/>
              </w:rPr>
            </w:pPr>
            <w:r w:rsidRPr="00855531">
              <w:rPr>
                <w:rFonts w:ascii="Arial" w:hAnsi="Arial" w:cs="Arial"/>
                <w:b/>
                <w:bCs/>
                <w:sz w:val="20"/>
                <w:szCs w:val="20"/>
              </w:rPr>
              <w:t>1 July- 10 December 2021</w:t>
            </w:r>
          </w:p>
        </w:tc>
      </w:tr>
      <w:tr w:rsidR="009970B7" w:rsidRPr="00855531" w14:paraId="40F5FD69" w14:textId="77777777" w:rsidTr="00302E60">
        <w:tc>
          <w:tcPr>
            <w:tcW w:w="2842" w:type="dxa"/>
            <w:shd w:val="clear" w:color="auto" w:fill="auto"/>
          </w:tcPr>
          <w:p w14:paraId="08B0DEF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Proceeded</w:t>
            </w:r>
          </w:p>
        </w:tc>
        <w:tc>
          <w:tcPr>
            <w:tcW w:w="2843" w:type="dxa"/>
            <w:shd w:val="clear" w:color="auto" w:fill="auto"/>
          </w:tcPr>
          <w:p w14:paraId="0467576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20%</w:t>
            </w:r>
          </w:p>
        </w:tc>
        <w:tc>
          <w:tcPr>
            <w:tcW w:w="2843" w:type="dxa"/>
            <w:shd w:val="clear" w:color="auto" w:fill="auto"/>
          </w:tcPr>
          <w:p w14:paraId="0B907C1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46%</w:t>
            </w:r>
          </w:p>
        </w:tc>
      </w:tr>
      <w:tr w:rsidR="009970B7" w:rsidRPr="00855531" w14:paraId="45BC7627" w14:textId="77777777" w:rsidTr="00302E60">
        <w:tc>
          <w:tcPr>
            <w:tcW w:w="2842" w:type="dxa"/>
            <w:shd w:val="clear" w:color="auto" w:fill="auto"/>
          </w:tcPr>
          <w:p w14:paraId="38078AA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Adjourned</w:t>
            </w:r>
          </w:p>
        </w:tc>
        <w:tc>
          <w:tcPr>
            <w:tcW w:w="2843" w:type="dxa"/>
            <w:shd w:val="clear" w:color="auto" w:fill="auto"/>
          </w:tcPr>
          <w:p w14:paraId="145FC70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51%</w:t>
            </w:r>
          </w:p>
        </w:tc>
        <w:tc>
          <w:tcPr>
            <w:tcW w:w="2843" w:type="dxa"/>
            <w:shd w:val="clear" w:color="auto" w:fill="auto"/>
          </w:tcPr>
          <w:p w14:paraId="3963D3A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18%</w:t>
            </w:r>
          </w:p>
        </w:tc>
      </w:tr>
      <w:tr w:rsidR="009970B7" w:rsidRPr="00855531" w14:paraId="5A4ABC15" w14:textId="77777777" w:rsidTr="00302E60">
        <w:tc>
          <w:tcPr>
            <w:tcW w:w="2842" w:type="dxa"/>
            <w:shd w:val="clear" w:color="auto" w:fill="auto"/>
          </w:tcPr>
          <w:p w14:paraId="6A0D9BFE"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Resolved</w:t>
            </w:r>
          </w:p>
        </w:tc>
        <w:tc>
          <w:tcPr>
            <w:tcW w:w="2843" w:type="dxa"/>
            <w:shd w:val="clear" w:color="auto" w:fill="auto"/>
          </w:tcPr>
          <w:p w14:paraId="272659B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29%</w:t>
            </w:r>
          </w:p>
        </w:tc>
        <w:tc>
          <w:tcPr>
            <w:tcW w:w="2843" w:type="dxa"/>
            <w:shd w:val="clear" w:color="auto" w:fill="auto"/>
          </w:tcPr>
          <w:p w14:paraId="054C46F4"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37%</w:t>
            </w:r>
          </w:p>
        </w:tc>
      </w:tr>
    </w:tbl>
    <w:p w14:paraId="001E4960" w14:textId="77777777" w:rsidR="009970B7" w:rsidRPr="00855531" w:rsidRDefault="009970B7" w:rsidP="00166C52">
      <w:pPr>
        <w:rPr>
          <w:rFonts w:ascii="Arial" w:hAnsi="Arial" w:cs="Arial"/>
          <w:sz w:val="20"/>
          <w:szCs w:val="20"/>
        </w:rPr>
      </w:pPr>
    </w:p>
    <w:p w14:paraId="24F18FE4" w14:textId="77777777" w:rsidR="00166C52" w:rsidRPr="00855531" w:rsidRDefault="00166C52" w:rsidP="00855531">
      <w:pPr>
        <w:jc w:val="both"/>
        <w:rPr>
          <w:rFonts w:ascii="Arial" w:hAnsi="Arial" w:cs="Arial"/>
          <w:sz w:val="20"/>
          <w:szCs w:val="20"/>
        </w:rPr>
      </w:pPr>
      <w:r w:rsidRPr="00855531">
        <w:rPr>
          <w:rFonts w:ascii="Arial" w:hAnsi="Arial" w:cs="Arial"/>
          <w:sz w:val="20"/>
          <w:szCs w:val="20"/>
        </w:rPr>
        <w:t>A total of 90 days of contests have been adjourned between July and December 2021. If the percentage recorded in 18/19 applied, this would equate to 280 days.</w:t>
      </w:r>
    </w:p>
    <w:p w14:paraId="6229D127" w14:textId="77777777" w:rsidR="00166C52" w:rsidRPr="00855531" w:rsidRDefault="00166C52" w:rsidP="00166C52">
      <w:pPr>
        <w:rPr>
          <w:rFonts w:ascii="Arial" w:hAnsi="Arial" w:cs="Arial"/>
          <w:sz w:val="20"/>
          <w:szCs w:val="20"/>
        </w:rPr>
      </w:pPr>
    </w:p>
    <w:p w14:paraId="7949BDA6" w14:textId="77777777" w:rsidR="007D7E39" w:rsidRPr="00785E1A" w:rsidRDefault="00693223" w:rsidP="007D7E39">
      <w:pPr>
        <w:pStyle w:val="Heading3"/>
        <w:keepNext/>
        <w:keepLines/>
        <w:spacing w:after="120" w:line="240" w:lineRule="auto"/>
        <w:rPr>
          <w:rFonts w:ascii="Arial" w:hAnsi="Arial" w:cs="Arial"/>
          <w:color w:val="000000"/>
          <w:sz w:val="20"/>
        </w:rPr>
      </w:pPr>
      <w:bookmarkStart w:id="1499" w:name="_4.9.5_Contested_hearing"/>
      <w:bookmarkStart w:id="1500" w:name="B495"/>
      <w:bookmarkEnd w:id="1499"/>
      <w:bookmarkEnd w:id="1500"/>
      <w:r>
        <w:rPr>
          <w:rFonts w:ascii="Arial" w:hAnsi="Arial" w:cs="Arial"/>
          <w:b/>
          <w:bCs/>
          <w:sz w:val="20"/>
        </w:rPr>
        <w:t>4.9</w:t>
      </w:r>
      <w:r w:rsidR="009B53F7">
        <w:rPr>
          <w:rFonts w:ascii="Arial" w:hAnsi="Arial" w:cs="Arial"/>
          <w:b/>
          <w:bCs/>
          <w:sz w:val="20"/>
        </w:rPr>
        <w:t>.5</w:t>
      </w:r>
      <w:r>
        <w:rPr>
          <w:rFonts w:ascii="Arial" w:hAnsi="Arial" w:cs="Arial"/>
          <w:b/>
          <w:bCs/>
          <w:sz w:val="20"/>
        </w:rPr>
        <w:tab/>
        <w:t>Contested hearing</w:t>
      </w:r>
    </w:p>
    <w:p w14:paraId="1CFD8C82" w14:textId="77777777" w:rsidR="00693223" w:rsidRDefault="00693223">
      <w:pPr>
        <w:spacing w:before="120"/>
        <w:jc w:val="both"/>
        <w:rPr>
          <w:rFonts w:ascii="Arial" w:hAnsi="Arial" w:cs="Arial"/>
          <w:sz w:val="20"/>
        </w:rPr>
      </w:pPr>
      <w:r>
        <w:rPr>
          <w:rFonts w:ascii="Arial" w:hAnsi="Arial" w:cs="Arial"/>
          <w:sz w:val="20"/>
        </w:rPr>
        <w:t xml:space="preserve">A contested hearing generally involves the calling of </w:t>
      </w:r>
      <w:r>
        <w:rPr>
          <w:rFonts w:ascii="Arial" w:hAnsi="Arial" w:cs="Arial"/>
          <w:i/>
          <w:iCs/>
          <w:sz w:val="20"/>
        </w:rPr>
        <w:t>viva voce</w:t>
      </w:r>
      <w:r>
        <w:rPr>
          <w:rFonts w:ascii="Arial" w:hAnsi="Arial" w:cs="Arial"/>
          <w:sz w:val="20"/>
        </w:rPr>
        <w:t xml:space="preserve"> evidence and the tendering of </w:t>
      </w:r>
      <w:r w:rsidRPr="00D00CAA">
        <w:rPr>
          <w:rFonts w:ascii="Arial" w:hAnsi="Arial" w:cs="Arial"/>
          <w:color w:val="000000"/>
          <w:sz w:val="20"/>
        </w:rPr>
        <w:t xml:space="preserve">professional reports, although on occasion the hearing may be restricted, </w:t>
      </w:r>
      <w:r w:rsidR="00824827">
        <w:rPr>
          <w:rFonts w:ascii="Arial" w:hAnsi="Arial" w:cs="Arial"/>
          <w:color w:val="000000"/>
          <w:sz w:val="20"/>
        </w:rPr>
        <w:t>almost always</w:t>
      </w:r>
      <w:r w:rsidR="00DE63E7" w:rsidRPr="00D00CAA">
        <w:rPr>
          <w:rFonts w:ascii="Arial" w:hAnsi="Arial" w:cs="Arial"/>
          <w:color w:val="000000"/>
          <w:sz w:val="20"/>
        </w:rPr>
        <w:t xml:space="preserve"> </w:t>
      </w:r>
      <w:r w:rsidRPr="00D00CAA">
        <w:rPr>
          <w:rFonts w:ascii="Arial" w:hAnsi="Arial" w:cs="Arial"/>
          <w:color w:val="000000"/>
          <w:sz w:val="20"/>
        </w:rPr>
        <w:t>with</w:t>
      </w:r>
      <w:r>
        <w:rPr>
          <w:rFonts w:ascii="Arial" w:hAnsi="Arial" w:cs="Arial"/>
          <w:sz w:val="20"/>
        </w:rPr>
        <w:t xml:space="preserve"> the consent of the parties, to legal submissions based on a</w:t>
      </w:r>
      <w:r w:rsidR="00D214B8">
        <w:rPr>
          <w:rFonts w:ascii="Arial" w:hAnsi="Arial" w:cs="Arial"/>
          <w:sz w:val="20"/>
        </w:rPr>
        <w:t xml:space="preserve"> </w:t>
      </w:r>
      <w:r>
        <w:rPr>
          <w:rFonts w:ascii="Arial" w:hAnsi="Arial" w:cs="Arial"/>
          <w:sz w:val="20"/>
        </w:rPr>
        <w:t>statement of facts.</w:t>
      </w:r>
    </w:p>
    <w:p w14:paraId="46040CCD" w14:textId="77777777" w:rsidR="00705C9E" w:rsidRDefault="00705C9E" w:rsidP="00705C9E">
      <w:pPr>
        <w:ind w:left="363" w:hanging="363"/>
        <w:jc w:val="both"/>
        <w:rPr>
          <w:rFonts w:ascii="Arial" w:hAnsi="Arial" w:cs="Arial"/>
          <w:b/>
          <w:bCs/>
          <w:sz w:val="20"/>
        </w:rPr>
      </w:pPr>
    </w:p>
    <w:p w14:paraId="246BE971" w14:textId="77777777" w:rsidR="007D7E39" w:rsidRPr="00785E1A" w:rsidRDefault="00705C9E" w:rsidP="007D7E39">
      <w:pPr>
        <w:pStyle w:val="Heading3"/>
        <w:keepNext/>
        <w:keepLines/>
        <w:spacing w:after="120" w:line="240" w:lineRule="auto"/>
        <w:rPr>
          <w:rFonts w:ascii="Arial" w:hAnsi="Arial" w:cs="Arial"/>
          <w:color w:val="000000"/>
          <w:sz w:val="20"/>
        </w:rPr>
      </w:pPr>
      <w:bookmarkStart w:id="1501" w:name="_4.9.6_Marram-Ngala_Ganbu"/>
      <w:bookmarkStart w:id="1502" w:name="B496"/>
      <w:bookmarkEnd w:id="1501"/>
      <w:bookmarkEnd w:id="1502"/>
      <w:r>
        <w:rPr>
          <w:rFonts w:ascii="Arial" w:hAnsi="Arial" w:cs="Arial"/>
          <w:b/>
          <w:bCs/>
          <w:sz w:val="20"/>
        </w:rPr>
        <w:t>4.9.6</w:t>
      </w:r>
      <w:r>
        <w:rPr>
          <w:rFonts w:ascii="Arial" w:hAnsi="Arial" w:cs="Arial"/>
          <w:b/>
          <w:bCs/>
          <w:sz w:val="20"/>
        </w:rPr>
        <w:tab/>
        <w:t xml:space="preserve">Marram-Ngala </w:t>
      </w:r>
      <w:proofErr w:type="spellStart"/>
      <w:r>
        <w:rPr>
          <w:rFonts w:ascii="Arial" w:hAnsi="Arial" w:cs="Arial"/>
          <w:b/>
          <w:bCs/>
          <w:sz w:val="20"/>
        </w:rPr>
        <w:t>Ganbu</w:t>
      </w:r>
      <w:proofErr w:type="spellEnd"/>
      <w:r>
        <w:rPr>
          <w:rFonts w:ascii="Arial" w:hAnsi="Arial" w:cs="Arial"/>
          <w:b/>
          <w:bCs/>
          <w:sz w:val="20"/>
        </w:rPr>
        <w:t xml:space="preserve"> Program</w:t>
      </w:r>
    </w:p>
    <w:p w14:paraId="5AE76D24" w14:textId="77777777" w:rsidR="00D441CB" w:rsidRPr="00F51496" w:rsidRDefault="00D441CB" w:rsidP="000F5059">
      <w:pPr>
        <w:keepNext/>
        <w:keepLines/>
        <w:spacing w:before="120"/>
        <w:jc w:val="both"/>
        <w:rPr>
          <w:rFonts w:ascii="Arial" w:hAnsi="Arial" w:cs="Arial"/>
          <w:color w:val="000000"/>
          <w:sz w:val="20"/>
        </w:rPr>
      </w:pPr>
      <w:r w:rsidRPr="00F51496">
        <w:rPr>
          <w:rFonts w:ascii="Arial" w:hAnsi="Arial" w:cs="Arial"/>
          <w:color w:val="000000"/>
          <w:sz w:val="20"/>
        </w:rPr>
        <w:t>Under s.3(1) of the CYFA “Aboriginal person” means a person who:</w:t>
      </w:r>
    </w:p>
    <w:p w14:paraId="7B52D6CA" w14:textId="77777777" w:rsidR="00D441CB" w:rsidRPr="00F51496" w:rsidRDefault="00D441CB" w:rsidP="00FB1EE3">
      <w:pPr>
        <w:numPr>
          <w:ilvl w:val="0"/>
          <w:numId w:val="56"/>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Aborigine or Torres Strait Islander; and</w:t>
      </w:r>
    </w:p>
    <w:p w14:paraId="340705FC" w14:textId="77777777" w:rsidR="00D441CB" w:rsidRPr="00F51496" w:rsidRDefault="00D441CB" w:rsidP="00FB1EE3">
      <w:pPr>
        <w:numPr>
          <w:ilvl w:val="0"/>
          <w:numId w:val="56"/>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Aborigine or Torres Strait Islander; and</w:t>
      </w:r>
    </w:p>
    <w:p w14:paraId="0C7D5F1B" w14:textId="77777777" w:rsidR="00D441CB" w:rsidRPr="00F51496" w:rsidRDefault="00D441CB" w:rsidP="00FB1EE3">
      <w:pPr>
        <w:numPr>
          <w:ilvl w:val="0"/>
          <w:numId w:val="56"/>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Aborigine or Torres Strait Islander by an Aboriginal or Torres Strait Islander community.</w:t>
      </w:r>
    </w:p>
    <w:p w14:paraId="40B63805" w14:textId="77777777" w:rsidR="00D441CB" w:rsidRDefault="00D441CB" w:rsidP="00132E50">
      <w:pPr>
        <w:ind w:left="363" w:hanging="363"/>
        <w:jc w:val="both"/>
        <w:rPr>
          <w:rFonts w:ascii="Arial" w:hAnsi="Arial" w:cs="Arial"/>
          <w:b/>
          <w:bCs/>
          <w:sz w:val="20"/>
        </w:rPr>
      </w:pPr>
    </w:p>
    <w:p w14:paraId="298FEDE9" w14:textId="77777777" w:rsidR="000F5059" w:rsidRDefault="000F5059" w:rsidP="000F5059">
      <w:pPr>
        <w:pBdr>
          <w:top w:val="single" w:sz="4" w:space="1" w:color="auto"/>
          <w:left w:val="single" w:sz="4" w:space="4" w:color="auto"/>
          <w:bottom w:val="single" w:sz="4" w:space="1" w:color="auto"/>
          <w:right w:val="single" w:sz="4" w:space="4" w:color="auto"/>
        </w:pBdr>
        <w:jc w:val="both"/>
        <w:rPr>
          <w:rFonts w:ascii="Arial" w:hAnsi="Arial" w:cs="Arial"/>
          <w:sz w:val="20"/>
        </w:rPr>
      </w:pPr>
      <w:r>
        <w:rPr>
          <w:rFonts w:ascii="Arial" w:hAnsi="Arial" w:cs="Arial"/>
          <w:sz w:val="20"/>
        </w:rPr>
        <w:t xml:space="preserve">“Most Victorian Aboriginal children are cared for in loving families, where they are cherished, protected and nurtured, where their connection to community and culture is strong, their Koori identity is affirmed and they are thriving, empowered and safe”: see </w:t>
      </w:r>
      <w:r w:rsidRPr="00705C9E">
        <w:rPr>
          <w:rFonts w:ascii="Arial" w:hAnsi="Arial" w:cs="Arial"/>
          <w:i/>
          <w:iCs/>
          <w:sz w:val="20"/>
        </w:rPr>
        <w:t xml:space="preserve">Always Was, Always Will </w:t>
      </w:r>
      <w:r w:rsidR="00535682">
        <w:rPr>
          <w:rFonts w:ascii="Arial" w:hAnsi="Arial" w:cs="Arial"/>
          <w:i/>
          <w:iCs/>
          <w:sz w:val="20"/>
        </w:rPr>
        <w:t>b</w:t>
      </w:r>
      <w:r w:rsidRPr="00705C9E">
        <w:rPr>
          <w:rFonts w:ascii="Arial" w:hAnsi="Arial" w:cs="Arial"/>
          <w:i/>
          <w:iCs/>
          <w:sz w:val="20"/>
        </w:rPr>
        <w:t>e Koori Children</w:t>
      </w:r>
      <w:r w:rsidR="00535682" w:rsidRPr="00535682">
        <w:rPr>
          <w:rFonts w:ascii="Arial" w:hAnsi="Arial" w:cs="Arial"/>
          <w:sz w:val="20"/>
        </w:rPr>
        <w:t>,</w:t>
      </w:r>
      <w:r>
        <w:rPr>
          <w:rFonts w:ascii="Arial" w:hAnsi="Arial" w:cs="Arial"/>
          <w:sz w:val="20"/>
        </w:rPr>
        <w:t xml:space="preserve"> Report of Taskforce 1000 (October 2016).</w:t>
      </w:r>
      <w:r w:rsidR="00816B30">
        <w:rPr>
          <w:rFonts w:ascii="Arial" w:hAnsi="Arial" w:cs="Arial"/>
          <w:sz w:val="20"/>
        </w:rPr>
        <w:t xml:space="preserve">  </w:t>
      </w:r>
      <w:r w:rsidR="00816B30" w:rsidRPr="00816B30">
        <w:rPr>
          <w:rFonts w:ascii="Arial" w:hAnsi="Arial" w:cs="Arial"/>
          <w:sz w:val="20"/>
          <w:szCs w:val="20"/>
        </w:rPr>
        <w:t xml:space="preserve">The term </w:t>
      </w:r>
      <w:r w:rsidR="00816B30" w:rsidRPr="00816B30">
        <w:rPr>
          <w:rFonts w:ascii="Arial" w:hAnsi="Arial" w:cs="Arial"/>
          <w:i/>
          <w:iCs/>
          <w:sz w:val="20"/>
          <w:szCs w:val="20"/>
        </w:rPr>
        <w:t>Koori</w:t>
      </w:r>
      <w:r w:rsidR="00816B30" w:rsidRPr="00816B30">
        <w:rPr>
          <w:rFonts w:ascii="Arial" w:hAnsi="Arial" w:cs="Arial"/>
          <w:sz w:val="20"/>
          <w:szCs w:val="20"/>
        </w:rPr>
        <w:t xml:space="preserve"> is used throughout this </w:t>
      </w:r>
      <w:r w:rsidR="00816B30">
        <w:rPr>
          <w:rFonts w:ascii="Arial" w:hAnsi="Arial" w:cs="Arial"/>
          <w:sz w:val="20"/>
          <w:szCs w:val="20"/>
        </w:rPr>
        <w:t>sec</w:t>
      </w:r>
      <w:r w:rsidR="00816B30" w:rsidRPr="00816B30">
        <w:rPr>
          <w:rFonts w:ascii="Arial" w:hAnsi="Arial" w:cs="Arial"/>
          <w:sz w:val="20"/>
          <w:szCs w:val="20"/>
        </w:rPr>
        <w:t>tion to describe the traditional inhabitants of Victoria and is intended to be inclusive of all Aboriginal and/or Torres Strait Islander people.</w:t>
      </w:r>
    </w:p>
    <w:p w14:paraId="11A6D22C" w14:textId="77777777" w:rsidR="00816B30" w:rsidRDefault="00816B30" w:rsidP="00132E50">
      <w:pPr>
        <w:ind w:left="363" w:hanging="363"/>
        <w:jc w:val="both"/>
        <w:rPr>
          <w:rFonts w:ascii="Arial" w:hAnsi="Arial" w:cs="Arial"/>
          <w:b/>
          <w:bCs/>
          <w:sz w:val="20"/>
        </w:rPr>
      </w:pPr>
    </w:p>
    <w:p w14:paraId="47D9A33F" w14:textId="77777777" w:rsidR="00DD3832" w:rsidRDefault="001B14AB" w:rsidP="00705C9E">
      <w:pPr>
        <w:jc w:val="both"/>
        <w:rPr>
          <w:rFonts w:ascii="Arial" w:hAnsi="Arial" w:cs="Arial"/>
          <w:color w:val="000000"/>
          <w:sz w:val="20"/>
        </w:rPr>
      </w:pPr>
      <w:r>
        <w:rPr>
          <w:rFonts w:ascii="Arial" w:hAnsi="Arial" w:cs="Arial"/>
          <w:color w:val="000000"/>
          <w:sz w:val="20"/>
        </w:rPr>
        <w:t>Developed over a 6 month period, t</w:t>
      </w:r>
      <w:r w:rsidR="00705C9E">
        <w:rPr>
          <w:rFonts w:ascii="Arial" w:hAnsi="Arial" w:cs="Arial"/>
          <w:color w:val="000000"/>
          <w:sz w:val="20"/>
        </w:rPr>
        <w:t xml:space="preserve">he Marram-Ngala </w:t>
      </w:r>
      <w:proofErr w:type="spellStart"/>
      <w:r w:rsidR="00705C9E">
        <w:rPr>
          <w:rFonts w:ascii="Arial" w:hAnsi="Arial" w:cs="Arial"/>
          <w:color w:val="000000"/>
          <w:sz w:val="20"/>
        </w:rPr>
        <w:t>Ganbu</w:t>
      </w:r>
      <w:proofErr w:type="spellEnd"/>
      <w:r w:rsidR="00705C9E">
        <w:rPr>
          <w:rFonts w:ascii="Arial" w:hAnsi="Arial" w:cs="Arial"/>
          <w:color w:val="000000"/>
          <w:sz w:val="20"/>
        </w:rPr>
        <w:t xml:space="preserve"> Program was </w:t>
      </w:r>
      <w:r w:rsidR="00E8430A">
        <w:rPr>
          <w:rFonts w:ascii="Arial" w:hAnsi="Arial" w:cs="Arial"/>
          <w:color w:val="000000"/>
          <w:sz w:val="20"/>
        </w:rPr>
        <w:t>launched</w:t>
      </w:r>
      <w:r w:rsidR="00705C9E">
        <w:rPr>
          <w:rFonts w:ascii="Arial" w:hAnsi="Arial" w:cs="Arial"/>
          <w:color w:val="000000"/>
          <w:sz w:val="20"/>
        </w:rPr>
        <w:t xml:space="preserve"> in </w:t>
      </w:r>
      <w:r w:rsidR="00E8430A">
        <w:rPr>
          <w:rFonts w:ascii="Arial" w:hAnsi="Arial" w:cs="Arial"/>
          <w:color w:val="000000"/>
          <w:sz w:val="20"/>
        </w:rPr>
        <w:t xml:space="preserve">August </w:t>
      </w:r>
      <w:r w:rsidR="00705C9E">
        <w:rPr>
          <w:rFonts w:ascii="Arial" w:hAnsi="Arial" w:cs="Arial"/>
          <w:color w:val="000000"/>
          <w:sz w:val="20"/>
        </w:rPr>
        <w:t xml:space="preserve">2016 </w:t>
      </w:r>
      <w:r w:rsidR="00E8430A">
        <w:rPr>
          <w:rFonts w:ascii="Arial" w:hAnsi="Arial" w:cs="Arial"/>
          <w:color w:val="000000"/>
          <w:sz w:val="20"/>
        </w:rPr>
        <w:t xml:space="preserve">at the Broadmeadows Children’s Court </w:t>
      </w:r>
      <w:r w:rsidR="00705C9E">
        <w:rPr>
          <w:rFonts w:ascii="Arial" w:hAnsi="Arial" w:cs="Arial"/>
          <w:color w:val="000000"/>
          <w:sz w:val="20"/>
        </w:rPr>
        <w:t>as an acknowledgement of the above fact and as an innovative response to the over-representation of Aboriginal children and families in the child protection system in Victoria.</w:t>
      </w:r>
      <w:r w:rsidR="00DD3832">
        <w:rPr>
          <w:rFonts w:ascii="Arial" w:hAnsi="Arial" w:cs="Arial"/>
          <w:color w:val="000000"/>
          <w:sz w:val="20"/>
        </w:rPr>
        <w:t xml:space="preserve">  </w:t>
      </w:r>
      <w:r w:rsidR="008C5570">
        <w:rPr>
          <w:rFonts w:ascii="Arial" w:hAnsi="Arial" w:cs="Arial"/>
          <w:color w:val="000000"/>
          <w:sz w:val="20"/>
        </w:rPr>
        <w:t xml:space="preserve">Marram-Ngala </w:t>
      </w:r>
      <w:proofErr w:type="spellStart"/>
      <w:r w:rsidR="008C5570">
        <w:rPr>
          <w:rFonts w:ascii="Arial" w:hAnsi="Arial" w:cs="Arial"/>
          <w:color w:val="000000"/>
          <w:sz w:val="20"/>
        </w:rPr>
        <w:t>Ganbu</w:t>
      </w:r>
      <w:proofErr w:type="spellEnd"/>
      <w:r w:rsidR="008C5570">
        <w:rPr>
          <w:rFonts w:ascii="Arial" w:hAnsi="Arial" w:cs="Arial"/>
          <w:color w:val="000000"/>
          <w:sz w:val="20"/>
        </w:rPr>
        <w:t xml:space="preserve"> means “We are one” in the </w:t>
      </w:r>
      <w:proofErr w:type="spellStart"/>
      <w:r w:rsidR="008C5570">
        <w:rPr>
          <w:rFonts w:ascii="Arial" w:hAnsi="Arial" w:cs="Arial"/>
          <w:color w:val="000000"/>
          <w:sz w:val="20"/>
        </w:rPr>
        <w:t>Woiwurrung</w:t>
      </w:r>
      <w:proofErr w:type="spellEnd"/>
      <w:r w:rsidR="008C5570">
        <w:rPr>
          <w:rFonts w:ascii="Arial" w:hAnsi="Arial" w:cs="Arial"/>
          <w:color w:val="000000"/>
          <w:sz w:val="20"/>
        </w:rPr>
        <w:t xml:space="preserve"> language.  </w:t>
      </w:r>
      <w:r w:rsidR="00DD3832">
        <w:rPr>
          <w:rFonts w:ascii="Arial" w:hAnsi="Arial" w:cs="Arial"/>
          <w:color w:val="000000"/>
          <w:sz w:val="20"/>
        </w:rPr>
        <w:t xml:space="preserve">The material </w:t>
      </w:r>
      <w:r w:rsidR="008B36BD">
        <w:rPr>
          <w:rFonts w:ascii="Arial" w:hAnsi="Arial" w:cs="Arial"/>
          <w:color w:val="000000"/>
          <w:sz w:val="20"/>
        </w:rPr>
        <w:t xml:space="preserve">in this section </w:t>
      </w:r>
      <w:r w:rsidR="00DD3832">
        <w:rPr>
          <w:rFonts w:ascii="Arial" w:hAnsi="Arial" w:cs="Arial"/>
          <w:color w:val="000000"/>
          <w:sz w:val="20"/>
        </w:rPr>
        <w:t>is taken from</w:t>
      </w:r>
      <w:r w:rsidR="008D0BD2">
        <w:rPr>
          <w:rFonts w:ascii="Arial" w:hAnsi="Arial" w:cs="Arial"/>
          <w:color w:val="000000"/>
          <w:sz w:val="20"/>
        </w:rPr>
        <w:t xml:space="preserve"> the very positive</w:t>
      </w:r>
      <w:r w:rsidR="00DD3832">
        <w:rPr>
          <w:rFonts w:ascii="Arial" w:hAnsi="Arial" w:cs="Arial"/>
          <w:color w:val="000000"/>
          <w:sz w:val="20"/>
        </w:rPr>
        <w:t xml:space="preserve"> </w:t>
      </w:r>
      <w:r w:rsidR="00DD3832" w:rsidRPr="00DD3832">
        <w:rPr>
          <w:rFonts w:ascii="Arial" w:hAnsi="Arial" w:cs="Arial"/>
          <w:i/>
          <w:iCs/>
          <w:color w:val="000000"/>
          <w:sz w:val="20"/>
        </w:rPr>
        <w:t xml:space="preserve">Evaluation of Marram-Ngala </w:t>
      </w:r>
      <w:proofErr w:type="spellStart"/>
      <w:r w:rsidR="00DD3832" w:rsidRPr="00DD3832">
        <w:rPr>
          <w:rFonts w:ascii="Arial" w:hAnsi="Arial" w:cs="Arial"/>
          <w:i/>
          <w:iCs/>
          <w:color w:val="000000"/>
          <w:sz w:val="20"/>
        </w:rPr>
        <w:t>Ganbu</w:t>
      </w:r>
      <w:proofErr w:type="spellEnd"/>
      <w:r w:rsidR="00DD3832">
        <w:rPr>
          <w:rFonts w:ascii="Arial" w:hAnsi="Arial" w:cs="Arial"/>
          <w:color w:val="000000"/>
          <w:sz w:val="20"/>
        </w:rPr>
        <w:t xml:space="preserve"> (November 2019)</w:t>
      </w:r>
      <w:r w:rsidR="008D0BD2">
        <w:rPr>
          <w:rFonts w:ascii="Arial" w:hAnsi="Arial" w:cs="Arial"/>
          <w:color w:val="000000"/>
          <w:sz w:val="20"/>
        </w:rPr>
        <w:t>.</w:t>
      </w:r>
    </w:p>
    <w:p w14:paraId="035889BF" w14:textId="77777777" w:rsidR="00DD3832" w:rsidRDefault="00DD3832" w:rsidP="00705C9E">
      <w:pPr>
        <w:jc w:val="both"/>
        <w:rPr>
          <w:rFonts w:ascii="Arial" w:hAnsi="Arial" w:cs="Arial"/>
          <w:color w:val="000000"/>
          <w:sz w:val="20"/>
        </w:rPr>
      </w:pPr>
    </w:p>
    <w:p w14:paraId="76A92067" w14:textId="77777777" w:rsidR="000F5059" w:rsidRDefault="008B36BD" w:rsidP="00705C9E">
      <w:pPr>
        <w:jc w:val="both"/>
        <w:rPr>
          <w:rFonts w:ascii="Arial" w:hAnsi="Arial" w:cs="Arial"/>
          <w:color w:val="000000"/>
          <w:sz w:val="20"/>
        </w:rPr>
      </w:pPr>
      <w:r>
        <w:rPr>
          <w:rFonts w:ascii="Arial" w:hAnsi="Arial" w:cs="Arial"/>
          <w:color w:val="000000"/>
          <w:sz w:val="20"/>
        </w:rPr>
        <w:t xml:space="preserve">The following statistics are taken from SNAICC (2019) </w:t>
      </w:r>
      <w:r w:rsidRPr="007D6AD3">
        <w:rPr>
          <w:rFonts w:ascii="Arial" w:hAnsi="Arial" w:cs="Arial"/>
          <w:i/>
          <w:iCs/>
          <w:color w:val="000000"/>
          <w:sz w:val="20"/>
        </w:rPr>
        <w:t>The Family Matters</w:t>
      </w:r>
      <w:r>
        <w:rPr>
          <w:rFonts w:ascii="Arial" w:hAnsi="Arial" w:cs="Arial"/>
          <w:color w:val="000000"/>
          <w:sz w:val="20"/>
        </w:rPr>
        <w:t xml:space="preserve"> Report and from A</w:t>
      </w:r>
      <w:r w:rsidR="007D6AD3">
        <w:rPr>
          <w:rFonts w:ascii="Arial" w:hAnsi="Arial" w:cs="Arial"/>
          <w:color w:val="000000"/>
          <w:sz w:val="20"/>
        </w:rPr>
        <w:t> </w:t>
      </w:r>
      <w:r>
        <w:rPr>
          <w:rFonts w:ascii="Arial" w:hAnsi="Arial" w:cs="Arial"/>
          <w:color w:val="000000"/>
          <w:sz w:val="20"/>
        </w:rPr>
        <w:t xml:space="preserve">Morris &amp; K Macpherson, 2017, </w:t>
      </w:r>
      <w:r w:rsidRPr="008B36BD">
        <w:rPr>
          <w:rFonts w:ascii="Arial" w:hAnsi="Arial" w:cs="Arial"/>
          <w:i/>
          <w:iCs/>
          <w:color w:val="000000"/>
          <w:sz w:val="20"/>
        </w:rPr>
        <w:t xml:space="preserve">‘Marram-Ngala </w:t>
      </w:r>
      <w:proofErr w:type="spellStart"/>
      <w:r w:rsidRPr="008B36BD">
        <w:rPr>
          <w:rFonts w:ascii="Arial" w:hAnsi="Arial" w:cs="Arial"/>
          <w:i/>
          <w:iCs/>
          <w:color w:val="000000"/>
          <w:sz w:val="20"/>
        </w:rPr>
        <w:t>Ganbu</w:t>
      </w:r>
      <w:proofErr w:type="spellEnd"/>
      <w:r w:rsidRPr="008B36BD">
        <w:rPr>
          <w:rFonts w:ascii="Arial" w:hAnsi="Arial" w:cs="Arial"/>
          <w:i/>
          <w:iCs/>
          <w:color w:val="000000"/>
          <w:sz w:val="20"/>
        </w:rPr>
        <w:t>: We are one’</w:t>
      </w:r>
      <w:r>
        <w:rPr>
          <w:rFonts w:ascii="Arial" w:hAnsi="Arial" w:cs="Arial"/>
          <w:color w:val="000000"/>
          <w:sz w:val="20"/>
        </w:rPr>
        <w:t xml:space="preserve"> in AIJA Proceedings of the NAJ 2017 Conference: Non-</w:t>
      </w:r>
      <w:r w:rsidR="00F10752">
        <w:rPr>
          <w:rFonts w:ascii="Arial" w:hAnsi="Arial" w:cs="Arial"/>
          <w:color w:val="000000"/>
          <w:sz w:val="20"/>
        </w:rPr>
        <w:t>a</w:t>
      </w:r>
      <w:r>
        <w:rPr>
          <w:rFonts w:ascii="Arial" w:hAnsi="Arial" w:cs="Arial"/>
          <w:color w:val="000000"/>
          <w:sz w:val="20"/>
        </w:rPr>
        <w:t xml:space="preserve">dversarial Justice, Indigenous Justice, Melbourne.  </w:t>
      </w:r>
      <w:r w:rsidR="00705C9E">
        <w:rPr>
          <w:rFonts w:ascii="Arial" w:hAnsi="Arial" w:cs="Arial"/>
          <w:color w:val="000000"/>
          <w:sz w:val="20"/>
        </w:rPr>
        <w:t>In March 2019, although the majority of Aboriginal children in Victoria were living wi</w:t>
      </w:r>
      <w:r w:rsidR="00DD3832">
        <w:rPr>
          <w:rFonts w:ascii="Arial" w:hAnsi="Arial" w:cs="Arial"/>
          <w:color w:val="000000"/>
          <w:sz w:val="20"/>
        </w:rPr>
        <w:t>t</w:t>
      </w:r>
      <w:r w:rsidR="00705C9E">
        <w:rPr>
          <w:rFonts w:ascii="Arial" w:hAnsi="Arial" w:cs="Arial"/>
          <w:color w:val="000000"/>
          <w:sz w:val="20"/>
        </w:rPr>
        <w:t xml:space="preserve">h their families and </w:t>
      </w:r>
      <w:r w:rsidR="000F5059">
        <w:rPr>
          <w:rFonts w:ascii="Arial" w:hAnsi="Arial" w:cs="Arial"/>
          <w:color w:val="000000"/>
          <w:sz w:val="20"/>
        </w:rPr>
        <w:t xml:space="preserve">were </w:t>
      </w:r>
      <w:r w:rsidR="00705C9E">
        <w:rPr>
          <w:rFonts w:ascii="Arial" w:hAnsi="Arial" w:cs="Arial"/>
          <w:color w:val="000000"/>
          <w:sz w:val="20"/>
        </w:rPr>
        <w:t>not in contact with the child</w:t>
      </w:r>
      <w:r w:rsidR="00DD3832">
        <w:rPr>
          <w:rFonts w:ascii="Arial" w:hAnsi="Arial" w:cs="Arial"/>
          <w:color w:val="000000"/>
          <w:sz w:val="20"/>
        </w:rPr>
        <w:t xml:space="preserve"> protection system, 19.1% were involved with child protection compared with 1.4% of non-indigenous children.  </w:t>
      </w:r>
      <w:r w:rsidR="000F5059">
        <w:rPr>
          <w:rFonts w:ascii="Arial" w:hAnsi="Arial" w:cs="Arial"/>
          <w:color w:val="000000"/>
          <w:sz w:val="20"/>
        </w:rPr>
        <w:t xml:space="preserve">Aboriginal children in Victoria were 16.4 times more likely to be removed from their families than non-Aboriginal children, the second highest over-representation of any state of Australia.  Unborn children were also susceptible, with 21% of child protection reports for unborn Aboriginal children in Victoria progressing to out-of-home care placements within 12 months of birth, compared with 13% for non-Aboriginal children.  </w:t>
      </w:r>
      <w:r>
        <w:rPr>
          <w:rFonts w:ascii="Arial" w:hAnsi="Arial" w:cs="Arial"/>
          <w:color w:val="000000"/>
          <w:sz w:val="20"/>
        </w:rPr>
        <w:t xml:space="preserve">Victoria and the ACT exhibit the largest percentage increase of Aboriginal children in out-of-home care, with the number more than doubling between 2011 &amp; 2018.  In Victoria, the percentage increase is almost double that of the percentage increase in the Aboriginal general population.  </w:t>
      </w:r>
      <w:r w:rsidR="00535682">
        <w:rPr>
          <w:rFonts w:ascii="Arial" w:hAnsi="Arial" w:cs="Arial"/>
          <w:color w:val="000000"/>
          <w:sz w:val="20"/>
        </w:rPr>
        <w:t>Despite the Aboriginal Child Placement Principles set out in ss.12-14 of the CYFA, m</w:t>
      </w:r>
      <w:r>
        <w:rPr>
          <w:rFonts w:ascii="Arial" w:hAnsi="Arial" w:cs="Arial"/>
          <w:color w:val="000000"/>
          <w:sz w:val="20"/>
        </w:rPr>
        <w:t xml:space="preserve">ore than 60% of </w:t>
      </w:r>
      <w:r w:rsidR="00535682">
        <w:rPr>
          <w:rFonts w:ascii="Arial" w:hAnsi="Arial" w:cs="Arial"/>
          <w:color w:val="000000"/>
          <w:sz w:val="20"/>
        </w:rPr>
        <w:t>Aboriginal children removed from their families were placed with a non-Aboriginal carer and over 40% of Aboriginal children with siblings were placed separately from their siblings.  Aboriginal children in Victoria are also more likely to stay removed from their parents, being over-represented on permanent care orders at rates significantly higher than the national average.</w:t>
      </w:r>
    </w:p>
    <w:p w14:paraId="514CFC37" w14:textId="77777777" w:rsidR="00705C9E" w:rsidRDefault="00705C9E" w:rsidP="00705C9E">
      <w:pPr>
        <w:jc w:val="both"/>
        <w:rPr>
          <w:rFonts w:ascii="Arial" w:hAnsi="Arial" w:cs="Arial"/>
          <w:color w:val="000000"/>
          <w:sz w:val="20"/>
        </w:rPr>
      </w:pPr>
    </w:p>
    <w:p w14:paraId="117499EF" w14:textId="77777777" w:rsidR="00705C9E" w:rsidRDefault="00E8430A" w:rsidP="00E8430A">
      <w:pPr>
        <w:jc w:val="both"/>
        <w:rPr>
          <w:rFonts w:ascii="Arial" w:hAnsi="Arial" w:cs="Arial"/>
          <w:color w:val="000000"/>
          <w:sz w:val="20"/>
        </w:rPr>
      </w:pPr>
      <w:r>
        <w:rPr>
          <w:rFonts w:ascii="Arial" w:hAnsi="Arial" w:cs="Arial"/>
          <w:color w:val="000000"/>
          <w:sz w:val="20"/>
        </w:rPr>
        <w:t xml:space="preserve">The </w:t>
      </w:r>
      <w:r w:rsidR="00E21689">
        <w:rPr>
          <w:rFonts w:ascii="Arial" w:hAnsi="Arial" w:cs="Arial"/>
          <w:color w:val="000000"/>
          <w:sz w:val="20"/>
        </w:rPr>
        <w:t xml:space="preserve">aim of the </w:t>
      </w:r>
      <w:r>
        <w:rPr>
          <w:rFonts w:ascii="Arial" w:hAnsi="Arial" w:cs="Arial"/>
          <w:color w:val="000000"/>
          <w:sz w:val="20"/>
        </w:rPr>
        <w:t xml:space="preserve">Marram-Ngala </w:t>
      </w:r>
      <w:proofErr w:type="spellStart"/>
      <w:r>
        <w:rPr>
          <w:rFonts w:ascii="Arial" w:hAnsi="Arial" w:cs="Arial"/>
          <w:color w:val="000000"/>
          <w:sz w:val="20"/>
        </w:rPr>
        <w:t>Ganbu</w:t>
      </w:r>
      <w:proofErr w:type="spellEnd"/>
      <w:r>
        <w:rPr>
          <w:rFonts w:ascii="Arial" w:hAnsi="Arial" w:cs="Arial"/>
          <w:color w:val="000000"/>
          <w:sz w:val="20"/>
        </w:rPr>
        <w:t xml:space="preserve"> Program </w:t>
      </w:r>
      <w:r w:rsidR="00E21689">
        <w:rPr>
          <w:rFonts w:ascii="Arial" w:hAnsi="Arial" w:cs="Arial"/>
          <w:color w:val="000000"/>
          <w:sz w:val="20"/>
        </w:rPr>
        <w:t>i</w:t>
      </w:r>
      <w:r>
        <w:rPr>
          <w:rFonts w:ascii="Arial" w:hAnsi="Arial" w:cs="Arial"/>
          <w:color w:val="000000"/>
          <w:sz w:val="20"/>
        </w:rPr>
        <w:t xml:space="preserve">s to improve outcomes for Koori children and families involved in child protection proceedings.  It </w:t>
      </w:r>
      <w:r w:rsidR="00E21689">
        <w:rPr>
          <w:rFonts w:ascii="Arial" w:hAnsi="Arial" w:cs="Arial"/>
          <w:color w:val="000000"/>
          <w:sz w:val="20"/>
        </w:rPr>
        <w:t>seeks to do this by</w:t>
      </w:r>
      <w:r>
        <w:rPr>
          <w:rFonts w:ascii="Arial" w:hAnsi="Arial" w:cs="Arial"/>
          <w:color w:val="000000"/>
          <w:sz w:val="20"/>
        </w:rPr>
        <w:t xml:space="preserve"> provid</w:t>
      </w:r>
      <w:r w:rsidR="00E21689">
        <w:rPr>
          <w:rFonts w:ascii="Arial" w:hAnsi="Arial" w:cs="Arial"/>
          <w:color w:val="000000"/>
          <w:sz w:val="20"/>
        </w:rPr>
        <w:t>ing</w:t>
      </w:r>
      <w:r>
        <w:rPr>
          <w:rFonts w:ascii="Arial" w:hAnsi="Arial" w:cs="Arial"/>
          <w:color w:val="000000"/>
          <w:sz w:val="20"/>
        </w:rPr>
        <w:t xml:space="preserve"> a more effective, culturally appropriate and just response for Koori families through a culturally appropriate court process that involves greater participation by family members and culturally-informed decision-making.</w:t>
      </w:r>
      <w:r w:rsidR="001B14AB">
        <w:rPr>
          <w:rFonts w:ascii="Arial" w:hAnsi="Arial" w:cs="Arial"/>
          <w:color w:val="000000"/>
          <w:sz w:val="20"/>
        </w:rPr>
        <w:t xml:space="preserve">  The Program is based on a therapeutic justice model that is less adversarial than the traditional model.</w:t>
      </w:r>
      <w:r w:rsidR="003155E1">
        <w:rPr>
          <w:rFonts w:ascii="Arial" w:hAnsi="Arial" w:cs="Arial"/>
          <w:color w:val="000000"/>
          <w:sz w:val="20"/>
        </w:rPr>
        <w:t xml:space="preserve">  Its key features are:</w:t>
      </w:r>
    </w:p>
    <w:p w14:paraId="41421208" w14:textId="77777777" w:rsidR="00112297" w:rsidRDefault="00112297" w:rsidP="00FB1EE3">
      <w:pPr>
        <w:numPr>
          <w:ilvl w:val="0"/>
          <w:numId w:val="57"/>
        </w:numPr>
        <w:ind w:left="357" w:hanging="357"/>
        <w:jc w:val="both"/>
        <w:rPr>
          <w:rFonts w:ascii="Arial" w:hAnsi="Arial" w:cs="Arial"/>
          <w:color w:val="000000"/>
          <w:sz w:val="20"/>
        </w:rPr>
      </w:pPr>
      <w:r w:rsidRPr="001A5C38">
        <w:rPr>
          <w:rFonts w:ascii="Arial" w:hAnsi="Arial" w:cs="Arial"/>
          <w:b/>
          <w:bCs/>
          <w:color w:val="000000"/>
          <w:sz w:val="20"/>
        </w:rPr>
        <w:t xml:space="preserve">A </w:t>
      </w:r>
      <w:r w:rsidRPr="00FB6D2C">
        <w:rPr>
          <w:rFonts w:ascii="Arial" w:hAnsi="Arial" w:cs="Arial"/>
          <w:b/>
          <w:bCs/>
          <w:color w:val="000000"/>
          <w:sz w:val="20"/>
        </w:rPr>
        <w:t>case management approach</w:t>
      </w:r>
      <w:r>
        <w:rPr>
          <w:rFonts w:ascii="Arial" w:hAnsi="Arial" w:cs="Arial"/>
          <w:color w:val="000000"/>
          <w:sz w:val="20"/>
        </w:rPr>
        <w:t xml:space="preserve"> </w:t>
      </w:r>
      <w:r w:rsidR="002F57B0">
        <w:rPr>
          <w:rFonts w:ascii="Arial" w:hAnsi="Arial" w:cs="Arial"/>
          <w:color w:val="000000"/>
          <w:sz w:val="20"/>
        </w:rPr>
        <w:t xml:space="preserve">in which </w:t>
      </w:r>
      <w:r w:rsidR="00FB6D2C">
        <w:rPr>
          <w:rFonts w:ascii="Arial" w:hAnsi="Arial" w:cs="Arial"/>
          <w:color w:val="000000"/>
          <w:sz w:val="20"/>
        </w:rPr>
        <w:t xml:space="preserve">the Koori Services Coordinator, the Koori Family Support Officer and </w:t>
      </w:r>
      <w:r w:rsidR="00785D2D">
        <w:rPr>
          <w:rFonts w:ascii="Arial" w:hAnsi="Arial" w:cs="Arial"/>
          <w:color w:val="000000"/>
          <w:sz w:val="20"/>
        </w:rPr>
        <w:t>DFFH</w:t>
      </w:r>
      <w:r w:rsidR="00FB6D2C">
        <w:rPr>
          <w:rFonts w:ascii="Arial" w:hAnsi="Arial" w:cs="Arial"/>
          <w:color w:val="000000"/>
          <w:sz w:val="20"/>
        </w:rPr>
        <w:t>’</w:t>
      </w:r>
      <w:r w:rsidR="00C72645">
        <w:rPr>
          <w:rFonts w:ascii="Arial" w:hAnsi="Arial" w:cs="Arial"/>
          <w:color w:val="000000"/>
          <w:sz w:val="20"/>
        </w:rPr>
        <w:t>s</w:t>
      </w:r>
      <w:r w:rsidR="00FB6D2C">
        <w:rPr>
          <w:rFonts w:ascii="Arial" w:hAnsi="Arial" w:cs="Arial"/>
          <w:color w:val="000000"/>
          <w:sz w:val="20"/>
        </w:rPr>
        <w:t xml:space="preserve"> (Child Protection) Practice Leader M-NG oversee each court case to ensure it continues to progress.</w:t>
      </w:r>
    </w:p>
    <w:p w14:paraId="1EBA9D31" w14:textId="77777777" w:rsidR="003155E1" w:rsidRDefault="003155E1" w:rsidP="00FB1EE3">
      <w:pPr>
        <w:numPr>
          <w:ilvl w:val="0"/>
          <w:numId w:val="57"/>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emotional and practical support provided to families</w:t>
      </w:r>
      <w:r>
        <w:rPr>
          <w:rFonts w:ascii="Arial" w:hAnsi="Arial" w:cs="Arial"/>
          <w:color w:val="000000"/>
          <w:sz w:val="20"/>
        </w:rPr>
        <w:t xml:space="preserve"> by the</w:t>
      </w:r>
      <w:r w:rsidR="00813A34">
        <w:rPr>
          <w:rFonts w:ascii="Arial" w:hAnsi="Arial" w:cs="Arial"/>
          <w:color w:val="000000"/>
          <w:sz w:val="20"/>
        </w:rPr>
        <w:t>se</w:t>
      </w:r>
      <w:r>
        <w:rPr>
          <w:rFonts w:ascii="Arial" w:hAnsi="Arial" w:cs="Arial"/>
          <w:color w:val="000000"/>
          <w:sz w:val="20"/>
        </w:rPr>
        <w:t xml:space="preserve"> </w:t>
      </w:r>
      <w:r w:rsidR="00813A34">
        <w:rPr>
          <w:rFonts w:ascii="Arial" w:hAnsi="Arial" w:cs="Arial"/>
          <w:color w:val="000000"/>
          <w:sz w:val="20"/>
        </w:rPr>
        <w:t>three</w:t>
      </w:r>
      <w:r w:rsidR="00FB6D2C">
        <w:rPr>
          <w:rFonts w:ascii="Arial" w:hAnsi="Arial" w:cs="Arial"/>
          <w:color w:val="000000"/>
          <w:sz w:val="20"/>
        </w:rPr>
        <w:t xml:space="preserve"> </w:t>
      </w:r>
      <w:r w:rsidR="00813A34">
        <w:rPr>
          <w:rFonts w:ascii="Arial" w:hAnsi="Arial" w:cs="Arial"/>
          <w:color w:val="000000"/>
          <w:sz w:val="20"/>
        </w:rPr>
        <w:t>Court</w:t>
      </w:r>
      <w:r w:rsidR="00FB6D2C">
        <w:rPr>
          <w:rFonts w:ascii="Arial" w:hAnsi="Arial" w:cs="Arial"/>
          <w:color w:val="000000"/>
          <w:sz w:val="20"/>
        </w:rPr>
        <w:t xml:space="preserve"> officers </w:t>
      </w:r>
      <w:r w:rsidR="00813A34">
        <w:rPr>
          <w:rFonts w:ascii="Arial" w:hAnsi="Arial" w:cs="Arial"/>
          <w:color w:val="000000"/>
          <w:sz w:val="20"/>
        </w:rPr>
        <w:t xml:space="preserve">is of central importance </w:t>
      </w:r>
      <w:r w:rsidR="001A5C38">
        <w:rPr>
          <w:rFonts w:ascii="Arial" w:hAnsi="Arial" w:cs="Arial"/>
          <w:color w:val="000000"/>
          <w:sz w:val="20"/>
        </w:rPr>
        <w:t>to</w:t>
      </w:r>
      <w:r w:rsidR="00813A34">
        <w:rPr>
          <w:rFonts w:ascii="Arial" w:hAnsi="Arial" w:cs="Arial"/>
          <w:color w:val="000000"/>
          <w:sz w:val="20"/>
        </w:rPr>
        <w:t xml:space="preserve"> the Program and </w:t>
      </w:r>
      <w:r>
        <w:rPr>
          <w:rFonts w:ascii="Arial" w:hAnsi="Arial" w:cs="Arial"/>
          <w:color w:val="000000"/>
          <w:sz w:val="20"/>
        </w:rPr>
        <w:t>ensures that families are supported at each step of the process.  Such support includes home visits when required, support to access services and comply with court orders (for example, helping parents enrol children in school) and encouragement to parents to attend court.</w:t>
      </w:r>
    </w:p>
    <w:p w14:paraId="782D23EF" w14:textId="77777777" w:rsidR="00AA3936" w:rsidRPr="00AA3936" w:rsidRDefault="003155E1" w:rsidP="00FB1EE3">
      <w:pPr>
        <w:numPr>
          <w:ilvl w:val="0"/>
          <w:numId w:val="57"/>
        </w:numPr>
        <w:ind w:left="357" w:hanging="357"/>
        <w:jc w:val="both"/>
        <w:rPr>
          <w:rFonts w:ascii="Arial" w:hAnsi="Arial" w:cs="Arial"/>
          <w:color w:val="000000"/>
          <w:sz w:val="20"/>
        </w:rPr>
      </w:pPr>
      <w:r w:rsidRPr="001A5C38">
        <w:rPr>
          <w:rFonts w:ascii="Arial" w:hAnsi="Arial" w:cs="Arial"/>
          <w:b/>
          <w:bCs/>
          <w:color w:val="000000"/>
          <w:sz w:val="20"/>
        </w:rPr>
        <w:lastRenderedPageBreak/>
        <w:t xml:space="preserve">The </w:t>
      </w:r>
      <w:r w:rsidRPr="00112297">
        <w:rPr>
          <w:rFonts w:ascii="Arial" w:hAnsi="Arial" w:cs="Arial"/>
          <w:b/>
          <w:bCs/>
          <w:color w:val="000000"/>
          <w:sz w:val="20"/>
        </w:rPr>
        <w:t>informal nature of the hearings</w:t>
      </w:r>
      <w:r w:rsidRPr="00AA3936">
        <w:rPr>
          <w:rFonts w:ascii="Arial" w:hAnsi="Arial" w:cs="Arial"/>
          <w:color w:val="000000"/>
          <w:sz w:val="20"/>
        </w:rPr>
        <w:t xml:space="preserve"> – with everyone sitting at the bar table</w:t>
      </w:r>
      <w:r w:rsidR="008D0BD2">
        <w:rPr>
          <w:rFonts w:ascii="Arial" w:hAnsi="Arial" w:cs="Arial"/>
          <w:color w:val="000000"/>
          <w:sz w:val="20"/>
        </w:rPr>
        <w:t xml:space="preserve"> in an adapted court setting</w:t>
      </w:r>
      <w:r w:rsidRPr="00AA3936">
        <w:rPr>
          <w:rFonts w:ascii="Arial" w:hAnsi="Arial" w:cs="Arial"/>
          <w:color w:val="000000"/>
          <w:sz w:val="20"/>
        </w:rPr>
        <w:t xml:space="preserve"> – encourages all the participants </w:t>
      </w:r>
      <w:r w:rsidR="00062A4F" w:rsidRPr="00AA3936">
        <w:rPr>
          <w:rFonts w:ascii="Arial" w:hAnsi="Arial" w:cs="Arial"/>
          <w:color w:val="000000"/>
          <w:sz w:val="20"/>
        </w:rPr>
        <w:t xml:space="preserve">– parents, children, extended family members, child protection practitioners, family support services and lawyers – </w:t>
      </w:r>
      <w:r w:rsidRPr="00AA3936">
        <w:rPr>
          <w:rFonts w:ascii="Arial" w:hAnsi="Arial" w:cs="Arial"/>
          <w:color w:val="000000"/>
          <w:sz w:val="20"/>
        </w:rPr>
        <w:t>to</w:t>
      </w:r>
      <w:r w:rsidR="00062A4F" w:rsidRPr="00AA3936">
        <w:rPr>
          <w:rFonts w:ascii="Arial" w:hAnsi="Arial" w:cs="Arial"/>
          <w:color w:val="000000"/>
          <w:sz w:val="20"/>
        </w:rPr>
        <w:t xml:space="preserve"> </w:t>
      </w:r>
      <w:r w:rsidRPr="00AA3936">
        <w:rPr>
          <w:rFonts w:ascii="Arial" w:hAnsi="Arial" w:cs="Arial"/>
          <w:color w:val="000000"/>
          <w:sz w:val="20"/>
        </w:rPr>
        <w:t xml:space="preserve">speak freely </w:t>
      </w:r>
      <w:r w:rsidR="00062A4F" w:rsidRPr="00AA3936">
        <w:rPr>
          <w:rFonts w:ascii="Arial" w:hAnsi="Arial" w:cs="Arial"/>
          <w:color w:val="000000"/>
          <w:sz w:val="20"/>
        </w:rPr>
        <w:t>with</w:t>
      </w:r>
      <w:r w:rsidRPr="00AA3936">
        <w:rPr>
          <w:rFonts w:ascii="Arial" w:hAnsi="Arial" w:cs="Arial"/>
          <w:color w:val="000000"/>
          <w:sz w:val="20"/>
        </w:rPr>
        <w:t xml:space="preserve"> the judicial officer</w:t>
      </w:r>
      <w:r w:rsidR="00062A4F" w:rsidRPr="00AA3936">
        <w:rPr>
          <w:rFonts w:ascii="Arial" w:hAnsi="Arial" w:cs="Arial"/>
          <w:color w:val="000000"/>
          <w:sz w:val="20"/>
        </w:rPr>
        <w:t xml:space="preserve"> in a conversational manner.</w:t>
      </w:r>
      <w:r w:rsidR="00AA3936" w:rsidRPr="00AA3936">
        <w:rPr>
          <w:rFonts w:ascii="Arial" w:hAnsi="Arial" w:cs="Arial"/>
          <w:color w:val="000000"/>
          <w:sz w:val="20"/>
        </w:rPr>
        <w:t xml:space="preserve">  The judicial officer adopts an encouraging and empathetic approach to the conduct of hearings and </w:t>
      </w:r>
      <w:r w:rsidR="00706F2C">
        <w:rPr>
          <w:rFonts w:ascii="Arial" w:hAnsi="Arial" w:cs="Arial"/>
          <w:color w:val="000000"/>
          <w:sz w:val="20"/>
        </w:rPr>
        <w:t xml:space="preserve">to </w:t>
      </w:r>
      <w:r w:rsidR="00AA3936" w:rsidRPr="00AA3936">
        <w:rPr>
          <w:rFonts w:ascii="Arial" w:hAnsi="Arial" w:cs="Arial"/>
          <w:color w:val="000000"/>
          <w:sz w:val="20"/>
        </w:rPr>
        <w:t>communicati</w:t>
      </w:r>
      <w:r w:rsidR="00706F2C">
        <w:rPr>
          <w:rFonts w:ascii="Arial" w:hAnsi="Arial" w:cs="Arial"/>
          <w:color w:val="000000"/>
          <w:sz w:val="20"/>
        </w:rPr>
        <w:t>on</w:t>
      </w:r>
      <w:r w:rsidR="00AA3936" w:rsidRPr="00AA3936">
        <w:rPr>
          <w:rFonts w:ascii="Arial" w:hAnsi="Arial" w:cs="Arial"/>
          <w:color w:val="000000"/>
          <w:sz w:val="20"/>
        </w:rPr>
        <w:t xml:space="preserve"> with families.</w:t>
      </w:r>
    </w:p>
    <w:p w14:paraId="76C87E6F" w14:textId="77777777" w:rsidR="00062A4F" w:rsidRDefault="00062A4F" w:rsidP="00FB1EE3">
      <w:pPr>
        <w:numPr>
          <w:ilvl w:val="0"/>
          <w:numId w:val="57"/>
        </w:numPr>
        <w:ind w:left="357" w:hanging="357"/>
        <w:jc w:val="both"/>
        <w:rPr>
          <w:rFonts w:ascii="Arial" w:hAnsi="Arial" w:cs="Arial"/>
          <w:color w:val="000000"/>
          <w:sz w:val="20"/>
        </w:rPr>
      </w:pPr>
      <w:r w:rsidRPr="00FB6D2C">
        <w:rPr>
          <w:rFonts w:ascii="Arial" w:hAnsi="Arial" w:cs="Arial"/>
          <w:b/>
          <w:bCs/>
          <w:color w:val="000000"/>
          <w:sz w:val="20"/>
        </w:rPr>
        <w:t>Fewer cases</w:t>
      </w:r>
      <w:r>
        <w:rPr>
          <w:rFonts w:ascii="Arial" w:hAnsi="Arial" w:cs="Arial"/>
          <w:color w:val="000000"/>
          <w:sz w:val="20"/>
        </w:rPr>
        <w:t xml:space="preserve"> (typically 10-12) are listed on a Marram-Ngala </w:t>
      </w:r>
      <w:proofErr w:type="spellStart"/>
      <w:r>
        <w:rPr>
          <w:rFonts w:ascii="Arial" w:hAnsi="Arial" w:cs="Arial"/>
          <w:color w:val="000000"/>
          <w:sz w:val="20"/>
        </w:rPr>
        <w:t>Ganbu</w:t>
      </w:r>
      <w:proofErr w:type="spellEnd"/>
      <w:r>
        <w:rPr>
          <w:rFonts w:ascii="Arial" w:hAnsi="Arial" w:cs="Arial"/>
          <w:color w:val="000000"/>
          <w:sz w:val="20"/>
        </w:rPr>
        <w:t xml:space="preserve"> court day than in a mainstream mention court (typically 30-50), allowing more time for each case, giving all </w:t>
      </w:r>
      <w:r w:rsidR="00AA3936">
        <w:rPr>
          <w:rFonts w:ascii="Arial" w:hAnsi="Arial" w:cs="Arial"/>
          <w:color w:val="000000"/>
          <w:sz w:val="20"/>
        </w:rPr>
        <w:t>participants</w:t>
      </w:r>
      <w:r>
        <w:rPr>
          <w:rFonts w:ascii="Arial" w:hAnsi="Arial" w:cs="Arial"/>
          <w:color w:val="000000"/>
          <w:sz w:val="20"/>
        </w:rPr>
        <w:t xml:space="preserve"> a better opportunity to be heard and enabling hearings to be conducted in a way that is less adversarial and more collaborative.  The hearings focus on finding mutually agreeable solutions and place high value on decisions reached in Aboriginal Family-Led Decision Making meetings and conciliation conferences.</w:t>
      </w:r>
    </w:p>
    <w:p w14:paraId="04A756D9" w14:textId="77777777" w:rsidR="00062A4F" w:rsidRPr="00F51496" w:rsidRDefault="00062A4F" w:rsidP="00FB1EE3">
      <w:pPr>
        <w:numPr>
          <w:ilvl w:val="0"/>
          <w:numId w:val="57"/>
        </w:numPr>
        <w:ind w:left="357" w:hanging="357"/>
        <w:jc w:val="both"/>
        <w:rPr>
          <w:rFonts w:ascii="Arial" w:hAnsi="Arial" w:cs="Arial"/>
          <w:color w:val="000000"/>
          <w:sz w:val="20"/>
        </w:rPr>
      </w:pPr>
      <w:r>
        <w:rPr>
          <w:rFonts w:ascii="Arial" w:hAnsi="Arial" w:cs="Arial"/>
          <w:color w:val="000000"/>
          <w:sz w:val="20"/>
        </w:rPr>
        <w:t xml:space="preserve">There is a strong </w:t>
      </w:r>
      <w:r w:rsidR="00813A34">
        <w:rPr>
          <w:rFonts w:ascii="Arial" w:hAnsi="Arial" w:cs="Arial"/>
          <w:color w:val="000000"/>
          <w:sz w:val="20"/>
        </w:rPr>
        <w:t>emphasis</w:t>
      </w:r>
      <w:r>
        <w:rPr>
          <w:rFonts w:ascii="Arial" w:hAnsi="Arial" w:cs="Arial"/>
          <w:color w:val="000000"/>
          <w:sz w:val="20"/>
        </w:rPr>
        <w:t xml:space="preserve"> on ensuring that families’ needs and protective concerns are identified early and that referrals are made to appropriate Aboriginal-controlled services.</w:t>
      </w:r>
      <w:r w:rsidR="00AA3936">
        <w:rPr>
          <w:rFonts w:ascii="Arial" w:hAnsi="Arial" w:cs="Arial"/>
          <w:color w:val="000000"/>
          <w:sz w:val="20"/>
        </w:rPr>
        <w:t xml:space="preserve">  Services working with families are also invited to participate in hearings and provide input about families’ progress and needs.</w:t>
      </w:r>
    </w:p>
    <w:p w14:paraId="22BB7350" w14:textId="77777777" w:rsidR="00705C9E" w:rsidRPr="00816B30" w:rsidRDefault="00705C9E" w:rsidP="00816B30">
      <w:pPr>
        <w:jc w:val="both"/>
        <w:rPr>
          <w:rFonts w:ascii="Arial" w:hAnsi="Arial" w:cs="Arial"/>
          <w:sz w:val="20"/>
        </w:rPr>
      </w:pPr>
    </w:p>
    <w:p w14:paraId="0C438B8C" w14:textId="77777777" w:rsidR="008534CC" w:rsidRDefault="008628E2" w:rsidP="00AA3936">
      <w:pPr>
        <w:jc w:val="both"/>
        <w:rPr>
          <w:rFonts w:ascii="Arial" w:hAnsi="Arial" w:cs="Arial"/>
          <w:color w:val="000000"/>
          <w:sz w:val="20"/>
        </w:rPr>
      </w:pPr>
      <w:r w:rsidRPr="00816B30">
        <w:rPr>
          <w:rFonts w:ascii="Arial" w:hAnsi="Arial" w:cs="Arial"/>
          <w:sz w:val="20"/>
        </w:rPr>
        <w:t xml:space="preserve">Following an independent evaluation of Marram-Ngala </w:t>
      </w:r>
      <w:proofErr w:type="spellStart"/>
      <w:r w:rsidRPr="00816B30">
        <w:rPr>
          <w:rFonts w:ascii="Arial" w:hAnsi="Arial" w:cs="Arial"/>
          <w:sz w:val="20"/>
        </w:rPr>
        <w:t>Ganbu</w:t>
      </w:r>
      <w:proofErr w:type="spellEnd"/>
      <w:r w:rsidRPr="00816B30">
        <w:rPr>
          <w:rFonts w:ascii="Arial" w:hAnsi="Arial" w:cs="Arial"/>
          <w:sz w:val="20"/>
        </w:rPr>
        <w:t xml:space="preserve"> in 2019, the Koori Family Hearing day was expanded to </w:t>
      </w:r>
      <w:r w:rsidR="00816B30" w:rsidRPr="00816B30">
        <w:rPr>
          <w:rFonts w:ascii="Arial" w:hAnsi="Arial" w:cs="Arial"/>
          <w:sz w:val="20"/>
        </w:rPr>
        <w:t xml:space="preserve">the </w:t>
      </w:r>
      <w:r w:rsidR="008534CC">
        <w:rPr>
          <w:rFonts w:ascii="Arial" w:hAnsi="Arial" w:cs="Arial"/>
          <w:sz w:val="20"/>
        </w:rPr>
        <w:t xml:space="preserve">Shepparton </w:t>
      </w:r>
      <w:r w:rsidR="00816B30" w:rsidRPr="00816B30">
        <w:rPr>
          <w:rFonts w:ascii="Arial" w:hAnsi="Arial" w:cs="Arial"/>
          <w:sz w:val="20"/>
        </w:rPr>
        <w:t>Children’s Court in February 2021.</w:t>
      </w:r>
      <w:r w:rsidR="00816B30">
        <w:rPr>
          <w:rFonts w:ascii="Arial" w:hAnsi="Arial" w:cs="Arial"/>
          <w:sz w:val="20"/>
        </w:rPr>
        <w:t xml:space="preserve">  The </w:t>
      </w:r>
      <w:r w:rsidR="00AA3936">
        <w:rPr>
          <w:rFonts w:ascii="Arial" w:hAnsi="Arial" w:cs="Arial"/>
          <w:color w:val="000000"/>
          <w:sz w:val="20"/>
        </w:rPr>
        <w:t xml:space="preserve">Marram-Ngala </w:t>
      </w:r>
      <w:proofErr w:type="spellStart"/>
      <w:r w:rsidR="00AA3936">
        <w:rPr>
          <w:rFonts w:ascii="Arial" w:hAnsi="Arial" w:cs="Arial"/>
          <w:color w:val="000000"/>
          <w:sz w:val="20"/>
        </w:rPr>
        <w:t>Ganbu</w:t>
      </w:r>
      <w:proofErr w:type="spellEnd"/>
      <w:r w:rsidR="00AA3936">
        <w:rPr>
          <w:rFonts w:ascii="Arial" w:hAnsi="Arial" w:cs="Arial"/>
          <w:color w:val="000000"/>
          <w:sz w:val="20"/>
        </w:rPr>
        <w:t xml:space="preserve"> Court sits </w:t>
      </w:r>
      <w:r w:rsidR="00FB6D2C">
        <w:rPr>
          <w:rFonts w:ascii="Arial" w:hAnsi="Arial" w:cs="Arial"/>
          <w:color w:val="000000"/>
          <w:sz w:val="20"/>
        </w:rPr>
        <w:t>weekly</w:t>
      </w:r>
      <w:r w:rsidR="00816B30">
        <w:rPr>
          <w:rFonts w:ascii="Arial" w:hAnsi="Arial" w:cs="Arial"/>
          <w:color w:val="000000"/>
          <w:sz w:val="20"/>
        </w:rPr>
        <w:t xml:space="preserve"> at Broadmeadows and on one day every 3 weeks at Shepparton</w:t>
      </w:r>
      <w:r w:rsidR="00AA3936">
        <w:rPr>
          <w:rFonts w:ascii="Arial" w:hAnsi="Arial" w:cs="Arial"/>
          <w:color w:val="000000"/>
          <w:sz w:val="20"/>
        </w:rPr>
        <w:t xml:space="preserve">.  </w:t>
      </w:r>
      <w:r w:rsidR="008534CC">
        <w:rPr>
          <w:rFonts w:ascii="Arial" w:hAnsi="Arial" w:cs="Arial"/>
          <w:color w:val="000000"/>
          <w:sz w:val="20"/>
        </w:rPr>
        <w:t>Save that i</w:t>
      </w:r>
      <w:r w:rsidR="00FB6D2C">
        <w:rPr>
          <w:rFonts w:ascii="Arial" w:hAnsi="Arial" w:cs="Arial"/>
          <w:color w:val="000000"/>
          <w:sz w:val="20"/>
        </w:rPr>
        <w:t>t does not hear contested cases</w:t>
      </w:r>
      <w:r w:rsidR="008534CC">
        <w:rPr>
          <w:rFonts w:ascii="Arial" w:hAnsi="Arial" w:cs="Arial"/>
          <w:color w:val="000000"/>
          <w:sz w:val="20"/>
        </w:rPr>
        <w:t>, every family with a Koori child whose case is listed at Broadmeadows or Shepparton Children’s Courts is heard at MNG unless the family wishes to opt out</w:t>
      </w:r>
      <w:r w:rsidR="00FB6D2C">
        <w:rPr>
          <w:rFonts w:ascii="Arial" w:hAnsi="Arial" w:cs="Arial"/>
          <w:color w:val="000000"/>
          <w:sz w:val="20"/>
        </w:rPr>
        <w:t>.</w:t>
      </w:r>
    </w:p>
    <w:p w14:paraId="164D3847" w14:textId="77777777" w:rsidR="008534CC" w:rsidRDefault="008534CC" w:rsidP="00AA3936">
      <w:pPr>
        <w:jc w:val="both"/>
        <w:rPr>
          <w:rFonts w:ascii="Arial" w:hAnsi="Arial" w:cs="Arial"/>
          <w:color w:val="000000"/>
          <w:sz w:val="20"/>
        </w:rPr>
      </w:pPr>
    </w:p>
    <w:p w14:paraId="2B74BB09" w14:textId="77777777" w:rsidR="00816B30" w:rsidRDefault="00816B30" w:rsidP="00AA3936">
      <w:pPr>
        <w:jc w:val="both"/>
        <w:rPr>
          <w:rFonts w:ascii="Arial" w:hAnsi="Arial" w:cs="Arial"/>
          <w:sz w:val="20"/>
          <w:szCs w:val="20"/>
        </w:rPr>
      </w:pPr>
      <w:r>
        <w:rPr>
          <w:rFonts w:ascii="Arial" w:hAnsi="Arial" w:cs="Arial"/>
          <w:color w:val="000000"/>
          <w:sz w:val="20"/>
        </w:rPr>
        <w:t xml:space="preserve">The Koori Services Coordinator (KSC) is </w:t>
      </w:r>
      <w:r w:rsidRPr="00816B30">
        <w:rPr>
          <w:rFonts w:ascii="Arial" w:hAnsi="Arial" w:cs="Arial"/>
          <w:sz w:val="20"/>
          <w:szCs w:val="20"/>
        </w:rPr>
        <w:t xml:space="preserve">responsible for co-ordination of the Koori Family Hearing Day. The KSC </w:t>
      </w:r>
      <w:r w:rsidR="008534CC">
        <w:rPr>
          <w:rFonts w:ascii="Arial" w:hAnsi="Arial" w:cs="Arial"/>
          <w:sz w:val="20"/>
          <w:szCs w:val="20"/>
        </w:rPr>
        <w:t xml:space="preserve">is </w:t>
      </w:r>
      <w:r w:rsidRPr="00816B30">
        <w:rPr>
          <w:rFonts w:ascii="Arial" w:hAnsi="Arial" w:cs="Arial"/>
          <w:sz w:val="20"/>
          <w:szCs w:val="20"/>
        </w:rPr>
        <w:t>the contact point for Koori children and their families and will provide information and referrals to relevant services in collaboration with child protection, including culturally appropriate support programs and legal services. The KSC aims to assist Koori children and families to participate fully in culturally appropriate court processes.</w:t>
      </w:r>
    </w:p>
    <w:p w14:paraId="3838076F" w14:textId="77777777" w:rsidR="00816B30" w:rsidRDefault="00816B30" w:rsidP="00AA3936">
      <w:pPr>
        <w:jc w:val="both"/>
        <w:rPr>
          <w:rFonts w:ascii="Arial" w:hAnsi="Arial" w:cs="Arial"/>
          <w:sz w:val="20"/>
          <w:szCs w:val="20"/>
        </w:rPr>
      </w:pPr>
    </w:p>
    <w:p w14:paraId="58820BE2" w14:textId="77777777" w:rsidR="00816B30" w:rsidRDefault="00816B30" w:rsidP="00AA3936">
      <w:pPr>
        <w:jc w:val="both"/>
        <w:rPr>
          <w:rFonts w:ascii="Arial" w:hAnsi="Arial" w:cs="Arial"/>
          <w:sz w:val="20"/>
          <w:szCs w:val="20"/>
        </w:rPr>
      </w:pPr>
      <w:r w:rsidRPr="00816B30">
        <w:rPr>
          <w:rFonts w:ascii="Arial" w:hAnsi="Arial" w:cs="Arial"/>
          <w:sz w:val="20"/>
          <w:szCs w:val="20"/>
        </w:rPr>
        <w:t>Subject to the direction of the presiding judicial officer</w:t>
      </w:r>
      <w:r>
        <w:rPr>
          <w:rFonts w:ascii="Arial" w:hAnsi="Arial" w:cs="Arial"/>
          <w:sz w:val="20"/>
          <w:szCs w:val="20"/>
        </w:rPr>
        <w:t>:</w:t>
      </w:r>
    </w:p>
    <w:p w14:paraId="100EBFC9" w14:textId="77777777" w:rsidR="00816B30" w:rsidRPr="00816B30" w:rsidRDefault="00816B30" w:rsidP="00FB1EE3">
      <w:pPr>
        <w:numPr>
          <w:ilvl w:val="0"/>
          <w:numId w:val="63"/>
        </w:numPr>
        <w:ind w:left="357" w:hanging="357"/>
        <w:jc w:val="both"/>
        <w:rPr>
          <w:rFonts w:ascii="Arial" w:hAnsi="Arial" w:cs="Arial"/>
          <w:color w:val="000000"/>
          <w:sz w:val="20"/>
        </w:rPr>
      </w:pPr>
      <w:r w:rsidRPr="00816B30">
        <w:rPr>
          <w:rFonts w:ascii="Arial" w:hAnsi="Arial" w:cs="Arial"/>
          <w:sz w:val="20"/>
          <w:szCs w:val="20"/>
        </w:rPr>
        <w:t xml:space="preserve">proceedings </w:t>
      </w:r>
      <w:r w:rsidR="00C75E68">
        <w:rPr>
          <w:rFonts w:ascii="Arial" w:hAnsi="Arial" w:cs="Arial"/>
          <w:sz w:val="20"/>
          <w:szCs w:val="20"/>
        </w:rPr>
        <w:t>i</w:t>
      </w:r>
      <w:r w:rsidRPr="00816B30">
        <w:rPr>
          <w:rFonts w:ascii="Arial" w:hAnsi="Arial" w:cs="Arial"/>
          <w:sz w:val="20"/>
          <w:szCs w:val="20"/>
        </w:rPr>
        <w:t xml:space="preserve">n the Koori Family Hearing Day </w:t>
      </w:r>
      <w:r>
        <w:rPr>
          <w:rFonts w:ascii="Arial" w:hAnsi="Arial" w:cs="Arial"/>
          <w:sz w:val="20"/>
          <w:szCs w:val="20"/>
        </w:rPr>
        <w:t xml:space="preserve">are </w:t>
      </w:r>
      <w:r w:rsidRPr="00816B30">
        <w:rPr>
          <w:rFonts w:ascii="Arial" w:hAnsi="Arial" w:cs="Arial"/>
          <w:sz w:val="20"/>
          <w:szCs w:val="20"/>
        </w:rPr>
        <w:t>conducted at the bar table where all participants are seated</w:t>
      </w:r>
      <w:r>
        <w:rPr>
          <w:rFonts w:ascii="Arial" w:hAnsi="Arial" w:cs="Arial"/>
          <w:sz w:val="20"/>
          <w:szCs w:val="20"/>
        </w:rPr>
        <w:t>; however, d</w:t>
      </w:r>
      <w:r w:rsidRPr="00816B30">
        <w:rPr>
          <w:rFonts w:ascii="Arial" w:hAnsi="Arial" w:cs="Arial"/>
          <w:sz w:val="20"/>
          <w:szCs w:val="20"/>
        </w:rPr>
        <w:t>ue to COVID-19 restrictions some or all the parties and service providers may be required to appear by audio visual link</w:t>
      </w:r>
      <w:r>
        <w:rPr>
          <w:rFonts w:ascii="Arial" w:hAnsi="Arial" w:cs="Arial"/>
          <w:sz w:val="20"/>
          <w:szCs w:val="20"/>
        </w:rPr>
        <w:t>;</w:t>
      </w:r>
    </w:p>
    <w:p w14:paraId="20E03DF7" w14:textId="77777777" w:rsidR="00816B30" w:rsidRPr="00816B30" w:rsidRDefault="00816B30" w:rsidP="00FB1EE3">
      <w:pPr>
        <w:numPr>
          <w:ilvl w:val="0"/>
          <w:numId w:val="63"/>
        </w:numPr>
        <w:ind w:left="357" w:hanging="357"/>
        <w:jc w:val="both"/>
        <w:rPr>
          <w:rFonts w:ascii="Arial" w:hAnsi="Arial" w:cs="Arial"/>
          <w:color w:val="000000"/>
          <w:sz w:val="20"/>
        </w:rPr>
      </w:pPr>
      <w:r w:rsidRPr="00816B30">
        <w:rPr>
          <w:rFonts w:ascii="Arial" w:hAnsi="Arial" w:cs="Arial"/>
          <w:sz w:val="20"/>
          <w:szCs w:val="20"/>
        </w:rPr>
        <w:t xml:space="preserve">participants in the Koori Family Hearing Day will include the parties and their legal representatives, the case worker, a </w:t>
      </w:r>
      <w:proofErr w:type="spellStart"/>
      <w:r w:rsidRPr="00816B30">
        <w:rPr>
          <w:rFonts w:ascii="Arial" w:hAnsi="Arial" w:cs="Arial"/>
          <w:sz w:val="20"/>
          <w:szCs w:val="20"/>
        </w:rPr>
        <w:t>Lakidjeka</w:t>
      </w:r>
      <w:proofErr w:type="spellEnd"/>
      <w:r w:rsidRPr="00816B30">
        <w:rPr>
          <w:rFonts w:ascii="Arial" w:hAnsi="Arial" w:cs="Arial"/>
          <w:sz w:val="20"/>
          <w:szCs w:val="20"/>
        </w:rPr>
        <w:t>/ACSASS4 worker and, where appropriate, the KSC and representatives from service providers utilised by the child or family</w:t>
      </w:r>
      <w:r w:rsidR="00517EC1">
        <w:rPr>
          <w:rFonts w:ascii="Arial" w:hAnsi="Arial" w:cs="Arial"/>
          <w:sz w:val="20"/>
          <w:szCs w:val="20"/>
        </w:rPr>
        <w:t xml:space="preserve">; the </w:t>
      </w:r>
      <w:proofErr w:type="spellStart"/>
      <w:r w:rsidR="00517EC1">
        <w:rPr>
          <w:rFonts w:ascii="Arial" w:hAnsi="Arial" w:cs="Arial"/>
          <w:sz w:val="20"/>
          <w:szCs w:val="20"/>
        </w:rPr>
        <w:t>Lakidjeka</w:t>
      </w:r>
      <w:proofErr w:type="spellEnd"/>
      <w:r w:rsidR="00517EC1">
        <w:rPr>
          <w:rFonts w:ascii="Arial" w:hAnsi="Arial" w:cs="Arial"/>
          <w:sz w:val="20"/>
          <w:szCs w:val="20"/>
        </w:rPr>
        <w:t xml:space="preserve"> Aboriginal Child Specialist Advice and Support Service (ACSASS) program provides culturally appropriate advice and consultation on decisions that determine the future of at-risk Aboriginal children.</w:t>
      </w:r>
    </w:p>
    <w:p w14:paraId="55B5EC32" w14:textId="77777777" w:rsidR="00816B30" w:rsidRPr="00816B30" w:rsidRDefault="00816B30" w:rsidP="00816B30">
      <w:pPr>
        <w:jc w:val="both"/>
        <w:rPr>
          <w:rFonts w:ascii="Arial" w:hAnsi="Arial" w:cs="Arial"/>
          <w:color w:val="000000"/>
          <w:sz w:val="20"/>
        </w:rPr>
      </w:pPr>
    </w:p>
    <w:p w14:paraId="3F330E3C" w14:textId="77777777" w:rsidR="00816B30" w:rsidRDefault="00816B30" w:rsidP="00816B30">
      <w:pPr>
        <w:jc w:val="both"/>
        <w:rPr>
          <w:rFonts w:ascii="Arial" w:hAnsi="Arial" w:cs="Arial"/>
          <w:color w:val="000000"/>
          <w:sz w:val="20"/>
        </w:rPr>
      </w:pPr>
      <w:r w:rsidRPr="00816B30">
        <w:rPr>
          <w:rFonts w:ascii="Arial" w:hAnsi="Arial" w:cs="Arial"/>
          <w:sz w:val="20"/>
          <w:szCs w:val="20"/>
        </w:rPr>
        <w:t xml:space="preserve">Where practicable, child protection applications heard in the Koori Family Hearing Day </w:t>
      </w:r>
      <w:r>
        <w:rPr>
          <w:rFonts w:ascii="Arial" w:hAnsi="Arial" w:cs="Arial"/>
          <w:sz w:val="20"/>
          <w:szCs w:val="20"/>
        </w:rPr>
        <w:t>are</w:t>
      </w:r>
      <w:r w:rsidRPr="00816B30">
        <w:rPr>
          <w:rFonts w:ascii="Arial" w:hAnsi="Arial" w:cs="Arial"/>
          <w:sz w:val="20"/>
          <w:szCs w:val="20"/>
        </w:rPr>
        <w:t xml:space="preserve"> listed before the one judicial officer. Where a child protection application is referred for a conciliation conference under s217 of the Act, a conciliation conference </w:t>
      </w:r>
      <w:r>
        <w:rPr>
          <w:rFonts w:ascii="Arial" w:hAnsi="Arial" w:cs="Arial"/>
          <w:sz w:val="20"/>
          <w:szCs w:val="20"/>
        </w:rPr>
        <w:t>is</w:t>
      </w:r>
      <w:r w:rsidRPr="00816B30">
        <w:rPr>
          <w:rFonts w:ascii="Arial" w:hAnsi="Arial" w:cs="Arial"/>
          <w:sz w:val="20"/>
          <w:szCs w:val="20"/>
        </w:rPr>
        <w:t xml:space="preserve"> conducted, where practicable, by a Koori convener appointed under s227 of the Act on a Koori Family Hearing Day.</w:t>
      </w:r>
    </w:p>
    <w:p w14:paraId="24B5E5FF" w14:textId="77777777" w:rsidR="00816B30" w:rsidRDefault="00816B30" w:rsidP="00AA3936">
      <w:pPr>
        <w:jc w:val="both"/>
        <w:rPr>
          <w:rFonts w:ascii="Arial" w:hAnsi="Arial" w:cs="Arial"/>
          <w:color w:val="000000"/>
          <w:sz w:val="20"/>
        </w:rPr>
      </w:pPr>
    </w:p>
    <w:p w14:paraId="71452513" w14:textId="77777777" w:rsidR="0091415A" w:rsidRDefault="00E5421A" w:rsidP="00775B9E">
      <w:pPr>
        <w:spacing w:after="120"/>
        <w:jc w:val="both"/>
        <w:rPr>
          <w:rFonts w:ascii="Arial" w:hAnsi="Arial" w:cs="Arial"/>
          <w:color w:val="000000"/>
          <w:sz w:val="20"/>
        </w:rPr>
      </w:pPr>
      <w:r>
        <w:rPr>
          <w:rFonts w:ascii="Arial" w:hAnsi="Arial" w:cs="Arial"/>
          <w:color w:val="000000"/>
          <w:sz w:val="20"/>
        </w:rPr>
        <w:t>Between</w:t>
      </w:r>
      <w:r w:rsidR="00AA3936">
        <w:rPr>
          <w:rFonts w:ascii="Arial" w:hAnsi="Arial" w:cs="Arial"/>
          <w:color w:val="000000"/>
          <w:sz w:val="20"/>
        </w:rPr>
        <w:t xml:space="preserve"> its launch on 25 August 2016 </w:t>
      </w:r>
      <w:r>
        <w:rPr>
          <w:rFonts w:ascii="Arial" w:hAnsi="Arial" w:cs="Arial"/>
          <w:color w:val="000000"/>
          <w:sz w:val="20"/>
        </w:rPr>
        <w:t xml:space="preserve">and 25 July 2019 </w:t>
      </w:r>
      <w:r w:rsidR="00816B30">
        <w:rPr>
          <w:rFonts w:ascii="Arial" w:hAnsi="Arial" w:cs="Arial"/>
          <w:color w:val="000000"/>
          <w:sz w:val="20"/>
        </w:rPr>
        <w:t xml:space="preserve">the Marram-Ngala </w:t>
      </w:r>
      <w:proofErr w:type="spellStart"/>
      <w:r w:rsidR="00816B30">
        <w:rPr>
          <w:rFonts w:ascii="Arial" w:hAnsi="Arial" w:cs="Arial"/>
          <w:color w:val="000000"/>
          <w:sz w:val="20"/>
        </w:rPr>
        <w:t>Ganbu</w:t>
      </w:r>
      <w:proofErr w:type="spellEnd"/>
      <w:r w:rsidR="00816B30">
        <w:rPr>
          <w:rFonts w:ascii="Arial" w:hAnsi="Arial" w:cs="Arial"/>
          <w:color w:val="000000"/>
          <w:sz w:val="20"/>
        </w:rPr>
        <w:t xml:space="preserve"> Court </w:t>
      </w:r>
      <w:r>
        <w:rPr>
          <w:rFonts w:ascii="Arial" w:hAnsi="Arial" w:cs="Arial"/>
          <w:color w:val="000000"/>
          <w:sz w:val="20"/>
        </w:rPr>
        <w:t>dealt with</w:t>
      </w:r>
      <w:r w:rsidR="00AA3936">
        <w:rPr>
          <w:rFonts w:ascii="Arial" w:hAnsi="Arial" w:cs="Arial"/>
          <w:color w:val="000000"/>
          <w:sz w:val="20"/>
        </w:rPr>
        <w:t xml:space="preserve"> 380 cases, comprising 16½% of all </w:t>
      </w:r>
      <w:r w:rsidR="001A5C38">
        <w:rPr>
          <w:rFonts w:ascii="Arial" w:hAnsi="Arial" w:cs="Arial"/>
          <w:color w:val="000000"/>
          <w:sz w:val="20"/>
        </w:rPr>
        <w:t xml:space="preserve">Family Division </w:t>
      </w:r>
      <w:r w:rsidR="00AA3936">
        <w:rPr>
          <w:rFonts w:ascii="Arial" w:hAnsi="Arial" w:cs="Arial"/>
          <w:color w:val="000000"/>
          <w:sz w:val="20"/>
        </w:rPr>
        <w:t xml:space="preserve">cases </w:t>
      </w:r>
      <w:r w:rsidR="00706F2C">
        <w:rPr>
          <w:rFonts w:ascii="Arial" w:hAnsi="Arial" w:cs="Arial"/>
          <w:color w:val="000000"/>
          <w:sz w:val="20"/>
        </w:rPr>
        <w:t>liste</w:t>
      </w:r>
      <w:r w:rsidR="00AA3936">
        <w:rPr>
          <w:rFonts w:ascii="Arial" w:hAnsi="Arial" w:cs="Arial"/>
          <w:color w:val="000000"/>
          <w:sz w:val="20"/>
        </w:rPr>
        <w:t>d at Broadmeadows Children’s Court</w:t>
      </w:r>
      <w:r w:rsidR="006858AB">
        <w:rPr>
          <w:rFonts w:ascii="Arial" w:hAnsi="Arial" w:cs="Arial"/>
          <w:color w:val="000000"/>
          <w:sz w:val="20"/>
        </w:rPr>
        <w:t xml:space="preserve"> in that period.</w:t>
      </w:r>
      <w:r w:rsidR="008534CC">
        <w:rPr>
          <w:rFonts w:ascii="Arial" w:hAnsi="Arial" w:cs="Arial"/>
          <w:color w:val="000000"/>
          <w:sz w:val="20"/>
        </w:rPr>
        <w:t xml:space="preserve">  </w:t>
      </w:r>
      <w:r w:rsidR="000E260E">
        <w:rPr>
          <w:rFonts w:ascii="Arial" w:hAnsi="Arial" w:cs="Arial"/>
          <w:color w:val="000000"/>
          <w:sz w:val="20"/>
        </w:rPr>
        <w:t xml:space="preserve">The MNG statistics since 2019/20 are </w:t>
      </w:r>
      <w:r w:rsidR="00C445B6">
        <w:rPr>
          <w:rFonts w:ascii="Arial" w:hAnsi="Arial" w:cs="Arial"/>
          <w:color w:val="000000"/>
          <w:sz w:val="20"/>
        </w:rPr>
        <w:t>set out below.</w:t>
      </w:r>
      <w:r w:rsidR="006212DA">
        <w:rPr>
          <w:rFonts w:ascii="Arial" w:hAnsi="Arial" w:cs="Arial"/>
          <w:color w:val="000000"/>
          <w:sz w:val="20"/>
        </w:rPr>
        <w:t xml:space="preserve">  *Multiple children in the one family are counted as one family hearing.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80"/>
        <w:gridCol w:w="1396"/>
        <w:gridCol w:w="1375"/>
        <w:gridCol w:w="1381"/>
        <w:gridCol w:w="1396"/>
      </w:tblGrid>
      <w:tr w:rsidR="000E260E" w:rsidRPr="00870270" w14:paraId="7544F601" w14:textId="77777777" w:rsidTr="00870270">
        <w:tc>
          <w:tcPr>
            <w:tcW w:w="4264" w:type="dxa"/>
            <w:gridSpan w:val="3"/>
            <w:shd w:val="clear" w:color="auto" w:fill="000000"/>
          </w:tcPr>
          <w:p w14:paraId="04AC4803" w14:textId="77777777" w:rsidR="000E260E" w:rsidRPr="00870270" w:rsidRDefault="000E260E" w:rsidP="00870270">
            <w:pPr>
              <w:jc w:val="center"/>
              <w:rPr>
                <w:rFonts w:ascii="Arial" w:hAnsi="Arial" w:cs="Arial"/>
                <w:b/>
                <w:bCs/>
                <w:color w:val="FFFFFF"/>
                <w:sz w:val="22"/>
                <w:szCs w:val="28"/>
              </w:rPr>
            </w:pPr>
            <w:r w:rsidRPr="00870270">
              <w:rPr>
                <w:rFonts w:ascii="Arial" w:hAnsi="Arial" w:cs="Arial"/>
                <w:b/>
                <w:bCs/>
                <w:color w:val="FFFFFF"/>
                <w:sz w:val="22"/>
                <w:szCs w:val="28"/>
              </w:rPr>
              <w:t>BROADMEADOWS</w:t>
            </w:r>
          </w:p>
        </w:tc>
        <w:tc>
          <w:tcPr>
            <w:tcW w:w="4264" w:type="dxa"/>
            <w:gridSpan w:val="3"/>
            <w:shd w:val="clear" w:color="auto" w:fill="000000"/>
          </w:tcPr>
          <w:p w14:paraId="6053432D" w14:textId="77777777" w:rsidR="000E260E" w:rsidRPr="00870270" w:rsidRDefault="000E260E" w:rsidP="00870270">
            <w:pPr>
              <w:jc w:val="center"/>
              <w:rPr>
                <w:rFonts w:ascii="Arial" w:hAnsi="Arial" w:cs="Arial"/>
                <w:b/>
                <w:bCs/>
                <w:color w:val="FFFFFF"/>
                <w:sz w:val="22"/>
                <w:szCs w:val="28"/>
              </w:rPr>
            </w:pPr>
            <w:r w:rsidRPr="00870270">
              <w:rPr>
                <w:rFonts w:ascii="Arial" w:hAnsi="Arial" w:cs="Arial"/>
                <w:b/>
                <w:bCs/>
                <w:color w:val="FFFFFF"/>
                <w:sz w:val="22"/>
                <w:szCs w:val="28"/>
              </w:rPr>
              <w:t>SHEPPARTON</w:t>
            </w:r>
          </w:p>
        </w:tc>
      </w:tr>
      <w:tr w:rsidR="00F66746" w:rsidRPr="00870270" w14:paraId="04012EC6" w14:textId="77777777" w:rsidTr="00870270">
        <w:tc>
          <w:tcPr>
            <w:tcW w:w="1421" w:type="dxa"/>
            <w:shd w:val="clear" w:color="auto" w:fill="DDDDDD"/>
          </w:tcPr>
          <w:p w14:paraId="719E6A57"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Year</w:t>
            </w:r>
          </w:p>
        </w:tc>
        <w:tc>
          <w:tcPr>
            <w:tcW w:w="1421" w:type="dxa"/>
            <w:shd w:val="clear" w:color="auto" w:fill="DDDDDD"/>
          </w:tcPr>
          <w:p w14:paraId="65626DAF"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sittings</w:t>
            </w:r>
          </w:p>
        </w:tc>
        <w:tc>
          <w:tcPr>
            <w:tcW w:w="1422" w:type="dxa"/>
            <w:shd w:val="clear" w:color="auto" w:fill="DDDDDD"/>
          </w:tcPr>
          <w:p w14:paraId="0C16C9F0"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 xml:space="preserve">Number of </w:t>
            </w:r>
            <w:r w:rsidR="00C445B6" w:rsidRPr="00870270">
              <w:rPr>
                <w:rFonts w:ascii="Arial" w:hAnsi="Arial" w:cs="Arial"/>
                <w:color w:val="000000"/>
                <w:sz w:val="22"/>
                <w:szCs w:val="28"/>
              </w:rPr>
              <w:t xml:space="preserve">family </w:t>
            </w:r>
            <w:r w:rsidR="000C0319" w:rsidRPr="00870270">
              <w:rPr>
                <w:rFonts w:ascii="Arial" w:hAnsi="Arial" w:cs="Arial"/>
                <w:color w:val="000000"/>
                <w:sz w:val="22"/>
                <w:szCs w:val="28"/>
              </w:rPr>
              <w:t>hearing</w:t>
            </w:r>
            <w:r w:rsidRPr="00870270">
              <w:rPr>
                <w:rFonts w:ascii="Arial" w:hAnsi="Arial" w:cs="Arial"/>
                <w:color w:val="000000"/>
                <w:sz w:val="22"/>
                <w:szCs w:val="28"/>
              </w:rPr>
              <w:t>s</w:t>
            </w:r>
            <w:r w:rsidR="006212DA" w:rsidRPr="00870270">
              <w:rPr>
                <w:rFonts w:ascii="Arial" w:hAnsi="Arial" w:cs="Arial"/>
                <w:color w:val="000000"/>
                <w:sz w:val="22"/>
                <w:szCs w:val="28"/>
              </w:rPr>
              <w:t>*</w:t>
            </w:r>
          </w:p>
        </w:tc>
        <w:tc>
          <w:tcPr>
            <w:tcW w:w="1421" w:type="dxa"/>
            <w:shd w:val="clear" w:color="auto" w:fill="auto"/>
          </w:tcPr>
          <w:p w14:paraId="614DBD39"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Year</w:t>
            </w:r>
          </w:p>
        </w:tc>
        <w:tc>
          <w:tcPr>
            <w:tcW w:w="1421" w:type="dxa"/>
            <w:shd w:val="clear" w:color="auto" w:fill="auto"/>
          </w:tcPr>
          <w:p w14:paraId="7E612705"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sittings</w:t>
            </w:r>
          </w:p>
        </w:tc>
        <w:tc>
          <w:tcPr>
            <w:tcW w:w="1422" w:type="dxa"/>
            <w:shd w:val="clear" w:color="auto" w:fill="auto"/>
          </w:tcPr>
          <w:p w14:paraId="7022D98F"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famil</w:t>
            </w:r>
            <w:r w:rsidR="000C0319" w:rsidRPr="00870270">
              <w:rPr>
                <w:rFonts w:ascii="Arial" w:hAnsi="Arial" w:cs="Arial"/>
                <w:color w:val="000000"/>
                <w:sz w:val="22"/>
                <w:szCs w:val="28"/>
              </w:rPr>
              <w:t>y hearings</w:t>
            </w:r>
            <w:r w:rsidR="006212DA" w:rsidRPr="00870270">
              <w:rPr>
                <w:rFonts w:ascii="Arial" w:hAnsi="Arial" w:cs="Arial"/>
                <w:color w:val="000000"/>
                <w:sz w:val="22"/>
                <w:szCs w:val="28"/>
              </w:rPr>
              <w:t>*</w:t>
            </w:r>
          </w:p>
        </w:tc>
      </w:tr>
      <w:tr w:rsidR="00F66746" w:rsidRPr="00870270" w14:paraId="2069E5B5" w14:textId="77777777" w:rsidTr="00870270">
        <w:tc>
          <w:tcPr>
            <w:tcW w:w="1421" w:type="dxa"/>
            <w:shd w:val="clear" w:color="auto" w:fill="auto"/>
          </w:tcPr>
          <w:p w14:paraId="3C6C2418"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421" w:type="dxa"/>
            <w:shd w:val="clear" w:color="auto" w:fill="auto"/>
          </w:tcPr>
          <w:p w14:paraId="1BB16F1C"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w:t>
            </w:r>
          </w:p>
        </w:tc>
        <w:tc>
          <w:tcPr>
            <w:tcW w:w="1422" w:type="dxa"/>
            <w:shd w:val="clear" w:color="auto" w:fill="auto"/>
          </w:tcPr>
          <w:p w14:paraId="0100361B"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502</w:t>
            </w:r>
          </w:p>
        </w:tc>
        <w:tc>
          <w:tcPr>
            <w:tcW w:w="1421" w:type="dxa"/>
            <w:shd w:val="clear" w:color="auto" w:fill="auto"/>
          </w:tcPr>
          <w:p w14:paraId="00284E61"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421" w:type="dxa"/>
            <w:shd w:val="clear" w:color="auto" w:fill="auto"/>
          </w:tcPr>
          <w:p w14:paraId="255384EE"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c>
          <w:tcPr>
            <w:tcW w:w="1422" w:type="dxa"/>
            <w:shd w:val="clear" w:color="auto" w:fill="auto"/>
          </w:tcPr>
          <w:p w14:paraId="101F6B7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r>
      <w:tr w:rsidR="00F66746" w:rsidRPr="00870270" w14:paraId="78EE94AB" w14:textId="77777777" w:rsidTr="00870270">
        <w:tc>
          <w:tcPr>
            <w:tcW w:w="1421" w:type="dxa"/>
            <w:shd w:val="clear" w:color="auto" w:fill="auto"/>
          </w:tcPr>
          <w:p w14:paraId="199E1CCF"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421" w:type="dxa"/>
            <w:shd w:val="clear" w:color="auto" w:fill="auto"/>
          </w:tcPr>
          <w:p w14:paraId="61C3F2AF"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49</w:t>
            </w:r>
          </w:p>
        </w:tc>
        <w:tc>
          <w:tcPr>
            <w:tcW w:w="1422" w:type="dxa"/>
            <w:shd w:val="clear" w:color="auto" w:fill="auto"/>
          </w:tcPr>
          <w:p w14:paraId="35421A56"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451</w:t>
            </w:r>
          </w:p>
        </w:tc>
        <w:tc>
          <w:tcPr>
            <w:tcW w:w="1421" w:type="dxa"/>
            <w:shd w:val="clear" w:color="auto" w:fill="auto"/>
          </w:tcPr>
          <w:p w14:paraId="43F92B4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421" w:type="dxa"/>
            <w:shd w:val="clear" w:color="auto" w:fill="auto"/>
          </w:tcPr>
          <w:p w14:paraId="48FD70E5"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w:t>
            </w:r>
          </w:p>
        </w:tc>
        <w:tc>
          <w:tcPr>
            <w:tcW w:w="1422" w:type="dxa"/>
            <w:shd w:val="clear" w:color="auto" w:fill="auto"/>
          </w:tcPr>
          <w:p w14:paraId="3DE0ECF0"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87</w:t>
            </w:r>
          </w:p>
        </w:tc>
      </w:tr>
    </w:tbl>
    <w:p w14:paraId="73CA4A05" w14:textId="77777777" w:rsidR="0091415A" w:rsidRDefault="0091415A" w:rsidP="00F66746">
      <w:pPr>
        <w:jc w:val="both"/>
        <w:rPr>
          <w:rFonts w:ascii="Arial" w:hAnsi="Arial" w:cs="Arial"/>
          <w:color w:val="000000"/>
          <w:sz w:val="20"/>
        </w:rPr>
      </w:pPr>
    </w:p>
    <w:p w14:paraId="3286A338" w14:textId="77777777" w:rsidR="008628E2" w:rsidRPr="008628E2" w:rsidRDefault="008628E2" w:rsidP="00F66746">
      <w:pPr>
        <w:jc w:val="both"/>
        <w:rPr>
          <w:rFonts w:ascii="Arial" w:hAnsi="Arial" w:cs="Arial"/>
          <w:sz w:val="20"/>
        </w:rPr>
      </w:pPr>
      <w:r w:rsidRPr="008628E2">
        <w:rPr>
          <w:rFonts w:ascii="Arial" w:hAnsi="Arial" w:cs="Arial"/>
          <w:sz w:val="20"/>
        </w:rPr>
        <w:t>For further information see Practice Direction No.1 of 2021 – Koori Family Hearing Day – Broadmeadows and Shepparton Children’s Courts</w:t>
      </w:r>
    </w:p>
    <w:p w14:paraId="7230697E" w14:textId="77777777" w:rsidR="008628E2" w:rsidRDefault="008628E2" w:rsidP="00132E50">
      <w:pPr>
        <w:ind w:left="363" w:hanging="363"/>
        <w:jc w:val="both"/>
        <w:rPr>
          <w:rFonts w:ascii="Arial" w:hAnsi="Arial" w:cs="Arial"/>
          <w:b/>
          <w:bCs/>
          <w:sz w:val="20"/>
        </w:rPr>
      </w:pPr>
      <w:bookmarkStart w:id="1503" w:name="_4.10_Alternative_Dispute"/>
      <w:bookmarkEnd w:id="1503"/>
    </w:p>
    <w:p w14:paraId="33EE1DA1" w14:textId="77777777" w:rsidR="00132E50" w:rsidRPr="00132E50" w:rsidRDefault="00166C52" w:rsidP="00855531">
      <w:pPr>
        <w:pStyle w:val="Heading2"/>
        <w:widowControl/>
        <w:tabs>
          <w:tab w:val="left" w:pos="567"/>
        </w:tabs>
        <w:spacing w:line="240" w:lineRule="auto"/>
        <w:rPr>
          <w:rFonts w:ascii="Arial" w:hAnsi="Arial" w:cs="Arial"/>
          <w:b/>
          <w:bCs/>
          <w:color w:val="000000"/>
        </w:rPr>
      </w:pPr>
      <w:bookmarkStart w:id="1504" w:name="B410"/>
      <w:bookmarkEnd w:id="1504"/>
      <w:r>
        <w:rPr>
          <w:rFonts w:ascii="Arial" w:hAnsi="Arial" w:cs="Arial"/>
          <w:b/>
          <w:bCs/>
          <w:color w:val="000000"/>
        </w:rPr>
        <w:br w:type="page"/>
      </w:r>
      <w:r w:rsidR="00132E50" w:rsidRPr="00132E50">
        <w:rPr>
          <w:rFonts w:ascii="Arial" w:hAnsi="Arial" w:cs="Arial"/>
          <w:b/>
          <w:bCs/>
          <w:color w:val="000000"/>
        </w:rPr>
        <w:lastRenderedPageBreak/>
        <w:t>4.10</w:t>
      </w:r>
      <w:r w:rsidR="00132E50" w:rsidRPr="00132E50">
        <w:rPr>
          <w:rFonts w:ascii="Arial" w:hAnsi="Arial" w:cs="Arial"/>
          <w:b/>
          <w:bCs/>
          <w:color w:val="000000"/>
        </w:rPr>
        <w:tab/>
        <w:t>Alternative Dispute Resolution</w:t>
      </w:r>
    </w:p>
    <w:p w14:paraId="50F37949" w14:textId="77777777" w:rsidR="00132E50" w:rsidRPr="00132E50" w:rsidRDefault="00132E50" w:rsidP="00AA3936">
      <w:pPr>
        <w:keepNext/>
        <w:keepLines/>
        <w:jc w:val="both"/>
        <w:rPr>
          <w:rFonts w:ascii="Arial" w:hAnsi="Arial" w:cs="Arial"/>
          <w:color w:val="000000"/>
          <w:sz w:val="20"/>
        </w:rPr>
      </w:pPr>
    </w:p>
    <w:p w14:paraId="2780D085"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 xml:space="preserve">There are presently two different </w:t>
      </w:r>
      <w:r w:rsidR="00D6777A">
        <w:rPr>
          <w:rFonts w:ascii="Arial" w:hAnsi="Arial" w:cs="Arial"/>
          <w:color w:val="000000"/>
          <w:sz w:val="20"/>
        </w:rPr>
        <w:t>type</w:t>
      </w:r>
      <w:r w:rsidRPr="00132E50">
        <w:rPr>
          <w:rFonts w:ascii="Arial" w:hAnsi="Arial" w:cs="Arial"/>
          <w:color w:val="000000"/>
          <w:sz w:val="20"/>
        </w:rPr>
        <w:t>s of Alternative Dispute Resolution used in the Family Division.  These are:</w:t>
      </w:r>
    </w:p>
    <w:p w14:paraId="13CC407B" w14:textId="77777777" w:rsidR="00132E50" w:rsidRPr="00132E50" w:rsidRDefault="00132E50" w:rsidP="00FB1EE3">
      <w:pPr>
        <w:numPr>
          <w:ilvl w:val="0"/>
          <w:numId w:val="39"/>
        </w:numPr>
        <w:jc w:val="both"/>
        <w:rPr>
          <w:rFonts w:ascii="Arial" w:hAnsi="Arial" w:cs="Arial"/>
          <w:color w:val="000000"/>
          <w:sz w:val="20"/>
        </w:rPr>
      </w:pPr>
      <w:r w:rsidRPr="00132E50">
        <w:rPr>
          <w:rFonts w:ascii="Arial" w:hAnsi="Arial" w:cs="Arial"/>
          <w:color w:val="000000"/>
          <w:sz w:val="20"/>
        </w:rPr>
        <w:t>a Conciliation Conference [‘CC’]; and</w:t>
      </w:r>
    </w:p>
    <w:p w14:paraId="1DD27113" w14:textId="77777777" w:rsidR="00132E50" w:rsidRPr="00132E50" w:rsidRDefault="00132E50" w:rsidP="00FB1EE3">
      <w:pPr>
        <w:numPr>
          <w:ilvl w:val="0"/>
          <w:numId w:val="39"/>
        </w:numPr>
        <w:jc w:val="both"/>
        <w:rPr>
          <w:rFonts w:ascii="Arial" w:hAnsi="Arial" w:cs="Arial"/>
          <w:color w:val="000000"/>
          <w:sz w:val="20"/>
        </w:rPr>
      </w:pPr>
      <w:r w:rsidRPr="00132E50">
        <w:rPr>
          <w:rFonts w:ascii="Arial" w:hAnsi="Arial" w:cs="Arial"/>
          <w:color w:val="000000"/>
          <w:sz w:val="20"/>
        </w:rPr>
        <w:t>a Judicial Resolution Conference [‘JRC’].</w:t>
      </w:r>
    </w:p>
    <w:p w14:paraId="2D4896D5"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Court has a strong commitment to the on-going development and strengthening of its ADR processes.</w:t>
      </w:r>
    </w:p>
    <w:p w14:paraId="54CF344E" w14:textId="77777777" w:rsidR="00132E50" w:rsidRPr="00132E50" w:rsidRDefault="00132E50" w:rsidP="00132E50">
      <w:pPr>
        <w:jc w:val="both"/>
        <w:rPr>
          <w:rFonts w:ascii="Arial" w:hAnsi="Arial" w:cs="Arial"/>
          <w:color w:val="000000"/>
          <w:sz w:val="20"/>
        </w:rPr>
      </w:pPr>
    </w:p>
    <w:p w14:paraId="2C1686C1" w14:textId="77777777" w:rsidR="00132E50" w:rsidRPr="00132E50" w:rsidRDefault="00132E50" w:rsidP="00132E50">
      <w:pPr>
        <w:pStyle w:val="Heading3"/>
        <w:keepNext/>
        <w:keepLines/>
        <w:spacing w:after="120" w:line="240" w:lineRule="auto"/>
        <w:rPr>
          <w:rFonts w:ascii="Arial" w:hAnsi="Arial" w:cs="Arial"/>
          <w:b/>
          <w:bCs/>
          <w:color w:val="000000"/>
          <w:sz w:val="20"/>
        </w:rPr>
      </w:pPr>
      <w:bookmarkStart w:id="1505" w:name="_4.10.1_Conciliation_Conferences"/>
      <w:bookmarkStart w:id="1506" w:name="B4101"/>
      <w:bookmarkEnd w:id="1505"/>
      <w:bookmarkEnd w:id="1506"/>
      <w:r w:rsidRPr="00132E50">
        <w:rPr>
          <w:rFonts w:ascii="Arial" w:hAnsi="Arial" w:cs="Arial"/>
          <w:b/>
          <w:bCs/>
          <w:color w:val="000000"/>
          <w:sz w:val="20"/>
        </w:rPr>
        <w:t>4.10.1</w:t>
      </w:r>
      <w:r w:rsidRPr="00132E50">
        <w:rPr>
          <w:rFonts w:ascii="Arial" w:hAnsi="Arial" w:cs="Arial"/>
          <w:b/>
          <w:bCs/>
          <w:color w:val="000000"/>
          <w:sz w:val="20"/>
        </w:rPr>
        <w:tab/>
        <w:t>Conciliation Conferences</w:t>
      </w:r>
    </w:p>
    <w:p w14:paraId="773C5B99"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Sections 217-218 &amp; 220-227 of the CYFA form the statutory basis for CCs</w:t>
      </w:r>
      <w:r w:rsidR="00B87BB0">
        <w:rPr>
          <w:rFonts w:ascii="Arial" w:hAnsi="Arial" w:cs="Arial"/>
          <w:color w:val="000000"/>
          <w:sz w:val="20"/>
        </w:rPr>
        <w:t xml:space="preserve">.  These </w:t>
      </w:r>
      <w:r w:rsidRPr="00132E50">
        <w:rPr>
          <w:rFonts w:ascii="Arial" w:hAnsi="Arial" w:cs="Arial"/>
          <w:color w:val="000000"/>
          <w:sz w:val="20"/>
        </w:rPr>
        <w:t>are court ordered conciliations presided over by one or two convenors appointed by the President of the Children’s Court.</w:t>
      </w:r>
    </w:p>
    <w:p w14:paraId="6192F357" w14:textId="77777777" w:rsidR="00B87BB0" w:rsidRPr="00132E50" w:rsidRDefault="00B87BB0" w:rsidP="00B87BB0">
      <w:pPr>
        <w:jc w:val="both"/>
        <w:rPr>
          <w:rFonts w:ascii="Arial" w:hAnsi="Arial" w:cs="Arial"/>
          <w:color w:val="000000"/>
          <w:sz w:val="20"/>
        </w:rPr>
      </w:pPr>
    </w:p>
    <w:p w14:paraId="5D8E4D0F" w14:textId="77777777" w:rsidR="00B87BB0" w:rsidRPr="00B87BB0" w:rsidRDefault="00B87BB0" w:rsidP="00B87BB0">
      <w:pPr>
        <w:jc w:val="both"/>
        <w:rPr>
          <w:rFonts w:ascii="Arial" w:hAnsi="Arial" w:cs="Arial"/>
          <w:color w:val="000000"/>
          <w:sz w:val="20"/>
        </w:rPr>
      </w:pPr>
      <w:r>
        <w:rPr>
          <w:rFonts w:ascii="Arial" w:hAnsi="Arial" w:cs="Arial"/>
          <w:color w:val="000000"/>
          <w:sz w:val="20"/>
        </w:rPr>
        <w:t xml:space="preserve">A </w:t>
      </w:r>
      <w:r w:rsidR="003B4C54">
        <w:rPr>
          <w:rFonts w:ascii="Arial" w:hAnsi="Arial" w:cs="Arial"/>
          <w:color w:val="000000"/>
          <w:sz w:val="20"/>
        </w:rPr>
        <w:t>“</w:t>
      </w:r>
      <w:r>
        <w:rPr>
          <w:rFonts w:ascii="Arial" w:hAnsi="Arial" w:cs="Arial"/>
          <w:color w:val="000000"/>
          <w:sz w:val="20"/>
        </w:rPr>
        <w:t>conciliation conference</w:t>
      </w:r>
      <w:r w:rsidR="003B4C54">
        <w:rPr>
          <w:rFonts w:ascii="Arial" w:hAnsi="Arial" w:cs="Arial"/>
          <w:color w:val="000000"/>
          <w:sz w:val="20"/>
        </w:rPr>
        <w:t>”</w:t>
      </w:r>
      <w:r w:rsidRPr="00B87BB0">
        <w:rPr>
          <w:rFonts w:ascii="Arial" w:hAnsi="Arial" w:cs="Arial"/>
          <w:color w:val="000000"/>
          <w:sz w:val="20"/>
        </w:rPr>
        <w:t xml:space="preserve"> – first introduced in 1993</w:t>
      </w:r>
      <w:r>
        <w:rPr>
          <w:rFonts w:ascii="Arial" w:hAnsi="Arial" w:cs="Arial"/>
          <w:color w:val="000000"/>
          <w:sz w:val="20"/>
        </w:rPr>
        <w:t xml:space="preserve"> under the name “pre-hearing conference” and subsequently under the name</w:t>
      </w:r>
      <w:r w:rsidR="00DC3FFE">
        <w:rPr>
          <w:rFonts w:ascii="Arial" w:hAnsi="Arial" w:cs="Arial"/>
          <w:color w:val="000000"/>
          <w:sz w:val="20"/>
        </w:rPr>
        <w:t>s</w:t>
      </w:r>
      <w:r>
        <w:rPr>
          <w:rFonts w:ascii="Arial" w:hAnsi="Arial" w:cs="Arial"/>
          <w:color w:val="000000"/>
          <w:sz w:val="20"/>
        </w:rPr>
        <w:t xml:space="preserve"> “dispute resolution conference”</w:t>
      </w:r>
      <w:r w:rsidRPr="00B87BB0">
        <w:rPr>
          <w:rFonts w:ascii="Arial" w:hAnsi="Arial" w:cs="Arial"/>
          <w:color w:val="000000"/>
          <w:sz w:val="20"/>
        </w:rPr>
        <w:t xml:space="preserve"> </w:t>
      </w:r>
      <w:r w:rsidR="00DC3FFE">
        <w:rPr>
          <w:rFonts w:ascii="Arial" w:hAnsi="Arial" w:cs="Arial"/>
          <w:color w:val="000000"/>
          <w:sz w:val="20"/>
        </w:rPr>
        <w:t xml:space="preserve">&amp; “new model conference” </w:t>
      </w:r>
      <w:r w:rsidRPr="00B87BB0">
        <w:rPr>
          <w:rFonts w:ascii="Arial" w:hAnsi="Arial" w:cs="Arial"/>
          <w:color w:val="000000"/>
          <w:sz w:val="20"/>
        </w:rPr>
        <w:t>– provide</w:t>
      </w:r>
      <w:r>
        <w:rPr>
          <w:rFonts w:ascii="Arial" w:hAnsi="Arial" w:cs="Arial"/>
          <w:color w:val="000000"/>
          <w:sz w:val="20"/>
        </w:rPr>
        <w:t>s</w:t>
      </w:r>
      <w:r w:rsidR="003B4C54">
        <w:rPr>
          <w:rFonts w:ascii="Arial" w:hAnsi="Arial" w:cs="Arial"/>
          <w:color w:val="000000"/>
          <w:sz w:val="20"/>
        </w:rPr>
        <w:t xml:space="preserve"> a means of </w:t>
      </w:r>
      <w:r w:rsidRPr="00B87BB0">
        <w:rPr>
          <w:rFonts w:ascii="Arial" w:hAnsi="Arial" w:cs="Arial"/>
          <w:color w:val="000000"/>
          <w:sz w:val="20"/>
        </w:rPr>
        <w:t xml:space="preserve">dispute resolution </w:t>
      </w:r>
      <w:r w:rsidR="003B4C54">
        <w:rPr>
          <w:rFonts w:ascii="Arial" w:hAnsi="Arial" w:cs="Arial"/>
          <w:color w:val="000000"/>
          <w:sz w:val="20"/>
        </w:rPr>
        <w:t xml:space="preserve">alternative </w:t>
      </w:r>
      <w:r w:rsidRPr="00B87BB0">
        <w:rPr>
          <w:rFonts w:ascii="Arial" w:hAnsi="Arial" w:cs="Arial"/>
          <w:color w:val="000000"/>
          <w:sz w:val="20"/>
        </w:rPr>
        <w:t xml:space="preserve">to that provided by a traditional formal court hearing.  In particular, </w:t>
      </w:r>
      <w:r>
        <w:rPr>
          <w:rFonts w:ascii="Arial" w:hAnsi="Arial" w:cs="Arial"/>
          <w:color w:val="000000"/>
          <w:sz w:val="20"/>
        </w:rPr>
        <w:t>it</w:t>
      </w:r>
      <w:r w:rsidRPr="00B87BB0">
        <w:rPr>
          <w:rFonts w:ascii="Arial" w:hAnsi="Arial" w:cs="Arial"/>
          <w:color w:val="000000"/>
          <w:sz w:val="20"/>
        </w:rPr>
        <w:t xml:space="preserve"> give</w:t>
      </w:r>
      <w:r>
        <w:rPr>
          <w:rFonts w:ascii="Arial" w:hAnsi="Arial" w:cs="Arial"/>
          <w:color w:val="000000"/>
          <w:sz w:val="20"/>
        </w:rPr>
        <w:t>s</w:t>
      </w:r>
      <w:r w:rsidRPr="00B87BB0">
        <w:rPr>
          <w:rFonts w:ascii="Arial" w:hAnsi="Arial" w:cs="Arial"/>
          <w:color w:val="000000"/>
          <w:sz w:val="20"/>
        </w:rPr>
        <w:t xml:space="preserve"> participants a greater opportunity to be heard and to speak for</w:t>
      </w:r>
      <w:r w:rsidRPr="00B87BB0">
        <w:rPr>
          <w:rFonts w:ascii="Arial" w:hAnsi="Arial" w:cs="Arial"/>
          <w:color w:val="000000"/>
        </w:rPr>
        <w:t xml:space="preserve"> </w:t>
      </w:r>
      <w:r w:rsidRPr="00B87BB0">
        <w:rPr>
          <w:rFonts w:ascii="Arial" w:hAnsi="Arial" w:cs="Arial"/>
          <w:color w:val="000000"/>
          <w:sz w:val="20"/>
        </w:rPr>
        <w:t>themselves than do traditional court proceedings in the adversarial environment of the courtroom.</w:t>
      </w:r>
    </w:p>
    <w:p w14:paraId="372F2D57" w14:textId="77777777" w:rsidR="00B87BB0" w:rsidRPr="00B87BB0" w:rsidRDefault="00B87BB0" w:rsidP="00B87BB0">
      <w:pPr>
        <w:jc w:val="both"/>
        <w:rPr>
          <w:rFonts w:ascii="Arial" w:hAnsi="Arial" w:cs="Arial"/>
          <w:color w:val="000000"/>
          <w:sz w:val="20"/>
        </w:rPr>
      </w:pPr>
    </w:p>
    <w:p w14:paraId="27EB23DF" w14:textId="77777777" w:rsidR="00132E50" w:rsidRPr="00132E50" w:rsidRDefault="00DC3FFE" w:rsidP="00132E50">
      <w:pPr>
        <w:jc w:val="both"/>
        <w:rPr>
          <w:rFonts w:ascii="Arial" w:hAnsi="Arial" w:cs="Arial"/>
          <w:color w:val="000000"/>
          <w:sz w:val="20"/>
        </w:rPr>
      </w:pPr>
      <w:r>
        <w:rPr>
          <w:rFonts w:ascii="Arial" w:hAnsi="Arial" w:cs="Arial"/>
          <w:color w:val="000000"/>
          <w:sz w:val="20"/>
        </w:rPr>
        <w:t>Adapted from a model developed by the Harvard Law School, t</w:t>
      </w:r>
      <w:r w:rsidR="00132E50" w:rsidRPr="00132E50">
        <w:rPr>
          <w:rFonts w:ascii="Arial" w:hAnsi="Arial" w:cs="Arial"/>
          <w:color w:val="000000"/>
          <w:sz w:val="20"/>
        </w:rPr>
        <w:t>he Court</w:t>
      </w:r>
      <w:r>
        <w:rPr>
          <w:rFonts w:ascii="Arial" w:hAnsi="Arial" w:cs="Arial"/>
          <w:color w:val="000000"/>
          <w:sz w:val="20"/>
        </w:rPr>
        <w:t xml:space="preserve">’s </w:t>
      </w:r>
      <w:r w:rsidR="003B4C54">
        <w:rPr>
          <w:rFonts w:ascii="Arial" w:hAnsi="Arial" w:cs="Arial"/>
          <w:color w:val="000000"/>
          <w:sz w:val="20"/>
        </w:rPr>
        <w:t xml:space="preserve">current </w:t>
      </w:r>
      <w:r>
        <w:rPr>
          <w:rFonts w:ascii="Arial" w:hAnsi="Arial" w:cs="Arial"/>
          <w:color w:val="000000"/>
          <w:sz w:val="20"/>
        </w:rPr>
        <w:t>model for its conciliation conferences</w:t>
      </w:r>
      <w:r w:rsidR="00132E50" w:rsidRPr="00132E50">
        <w:rPr>
          <w:rFonts w:ascii="Arial" w:hAnsi="Arial" w:cs="Arial"/>
          <w:color w:val="000000"/>
          <w:sz w:val="20"/>
        </w:rPr>
        <w:t>:</w:t>
      </w:r>
    </w:p>
    <w:p w14:paraId="02CBDD82" w14:textId="77777777" w:rsidR="00132E50" w:rsidRPr="00785E1A" w:rsidRDefault="00132E50" w:rsidP="00FB1EE3">
      <w:pPr>
        <w:numPr>
          <w:ilvl w:val="0"/>
          <w:numId w:val="40"/>
        </w:numPr>
        <w:jc w:val="both"/>
        <w:rPr>
          <w:rFonts w:ascii="Arial" w:hAnsi="Arial" w:cs="Arial"/>
          <w:color w:val="000000"/>
          <w:sz w:val="20"/>
        </w:rPr>
      </w:pPr>
      <w:r w:rsidRPr="00785E1A">
        <w:rPr>
          <w:rFonts w:ascii="Arial" w:hAnsi="Arial" w:cs="Arial"/>
          <w:color w:val="000000"/>
          <w:sz w:val="20"/>
        </w:rPr>
        <w:t>requires conferences to be conducted at the earliest practical point in the process (the guidelines require the Court to use the second</w:t>
      </w:r>
      <w:r>
        <w:rPr>
          <w:rFonts w:ascii="Arial" w:hAnsi="Arial" w:cs="Arial"/>
          <w:color w:val="000000"/>
          <w:sz w:val="20"/>
        </w:rPr>
        <w:t xml:space="preserve"> or third</w:t>
      </w:r>
      <w:r w:rsidRPr="00785E1A">
        <w:rPr>
          <w:rFonts w:ascii="Arial" w:hAnsi="Arial" w:cs="Arial"/>
          <w:color w:val="000000"/>
          <w:sz w:val="20"/>
        </w:rPr>
        <w:t xml:space="preserve"> mention as the trigger point for consideration of referral to </w:t>
      </w:r>
      <w:r>
        <w:rPr>
          <w:rFonts w:ascii="Arial" w:hAnsi="Arial" w:cs="Arial"/>
          <w:color w:val="000000"/>
          <w:sz w:val="20"/>
        </w:rPr>
        <w:t>C</w:t>
      </w:r>
      <w:r w:rsidRPr="00785E1A">
        <w:rPr>
          <w:rFonts w:ascii="Arial" w:hAnsi="Arial" w:cs="Arial"/>
          <w:color w:val="000000"/>
          <w:sz w:val="20"/>
        </w:rPr>
        <w:t>C);</w:t>
      </w:r>
    </w:p>
    <w:p w14:paraId="61FD803E" w14:textId="77777777" w:rsidR="00132E50" w:rsidRPr="00785E1A" w:rsidRDefault="00132E50" w:rsidP="00FB1EE3">
      <w:pPr>
        <w:numPr>
          <w:ilvl w:val="0"/>
          <w:numId w:val="40"/>
        </w:numPr>
        <w:jc w:val="both"/>
        <w:rPr>
          <w:rFonts w:ascii="Arial" w:hAnsi="Arial" w:cs="Arial"/>
          <w:color w:val="000000"/>
          <w:sz w:val="20"/>
        </w:rPr>
      </w:pPr>
      <w:r w:rsidRPr="00785E1A">
        <w:rPr>
          <w:rFonts w:ascii="Arial" w:hAnsi="Arial" w:cs="Arial"/>
          <w:color w:val="000000"/>
          <w:sz w:val="20"/>
        </w:rPr>
        <w:t xml:space="preserve">makes more time available for discussion in an appropriate environment (at a venue away from the Court </w:t>
      </w:r>
      <w:r>
        <w:rPr>
          <w:rFonts w:ascii="Arial" w:hAnsi="Arial" w:cs="Arial"/>
          <w:color w:val="000000"/>
          <w:sz w:val="20"/>
        </w:rPr>
        <w:t xml:space="preserve">wherever possible </w:t>
      </w:r>
      <w:r w:rsidRPr="00785E1A">
        <w:rPr>
          <w:rFonts w:ascii="Arial" w:hAnsi="Arial" w:cs="Arial"/>
          <w:color w:val="000000"/>
          <w:sz w:val="20"/>
        </w:rPr>
        <w:t>unless there are identified security issues or a party is in custody);</w:t>
      </w:r>
    </w:p>
    <w:p w14:paraId="552DB752" w14:textId="77777777" w:rsidR="00132E50" w:rsidRPr="00785E1A" w:rsidRDefault="00132E50" w:rsidP="00FB1EE3">
      <w:pPr>
        <w:numPr>
          <w:ilvl w:val="0"/>
          <w:numId w:val="40"/>
        </w:numPr>
        <w:jc w:val="both"/>
        <w:rPr>
          <w:rFonts w:ascii="Arial" w:hAnsi="Arial" w:cs="Arial"/>
          <w:color w:val="000000"/>
          <w:sz w:val="20"/>
        </w:rPr>
      </w:pPr>
      <w:r w:rsidRPr="00785E1A">
        <w:rPr>
          <w:rFonts w:ascii="Arial" w:hAnsi="Arial" w:cs="Arial"/>
          <w:color w:val="000000"/>
          <w:sz w:val="20"/>
        </w:rPr>
        <w:t>supports convenors to exercise appropriate authority;</w:t>
      </w:r>
    </w:p>
    <w:p w14:paraId="55DEABBD" w14:textId="77777777" w:rsidR="00132E50" w:rsidRPr="00785E1A" w:rsidRDefault="00132E50" w:rsidP="00FB1EE3">
      <w:pPr>
        <w:numPr>
          <w:ilvl w:val="0"/>
          <w:numId w:val="40"/>
        </w:numPr>
        <w:jc w:val="both"/>
        <w:rPr>
          <w:rFonts w:ascii="Arial" w:hAnsi="Arial" w:cs="Arial"/>
          <w:color w:val="000000"/>
          <w:sz w:val="20"/>
        </w:rPr>
      </w:pPr>
      <w:r w:rsidRPr="00785E1A">
        <w:rPr>
          <w:rFonts w:ascii="Arial" w:hAnsi="Arial" w:cs="Arial"/>
          <w:color w:val="000000"/>
          <w:sz w:val="20"/>
        </w:rPr>
        <w:t>requires mandatory training and accreditation of convenors;</w:t>
      </w:r>
    </w:p>
    <w:p w14:paraId="5A6F6187" w14:textId="77777777" w:rsidR="00132E50" w:rsidRPr="00785E1A" w:rsidRDefault="00132E50" w:rsidP="00FB1EE3">
      <w:pPr>
        <w:numPr>
          <w:ilvl w:val="0"/>
          <w:numId w:val="40"/>
        </w:numPr>
        <w:jc w:val="both"/>
        <w:rPr>
          <w:rFonts w:ascii="Arial" w:hAnsi="Arial" w:cs="Arial"/>
          <w:color w:val="000000"/>
          <w:sz w:val="20"/>
        </w:rPr>
      </w:pPr>
      <w:r w:rsidRPr="00785E1A">
        <w:rPr>
          <w:rFonts w:ascii="Arial" w:hAnsi="Arial" w:cs="Arial"/>
          <w:color w:val="000000"/>
          <w:sz w:val="20"/>
        </w:rPr>
        <w:t>requires pre-conference preparation by convenors and parties (including requiring information exchange by the parties prior to the conference);</w:t>
      </w:r>
    </w:p>
    <w:p w14:paraId="7DFD5926" w14:textId="77777777" w:rsidR="00132E50" w:rsidRPr="00785E1A" w:rsidRDefault="00132E50" w:rsidP="00FB1EE3">
      <w:pPr>
        <w:numPr>
          <w:ilvl w:val="0"/>
          <w:numId w:val="40"/>
        </w:numPr>
        <w:jc w:val="both"/>
        <w:rPr>
          <w:rFonts w:ascii="Arial" w:hAnsi="Arial" w:cs="Arial"/>
          <w:color w:val="000000"/>
          <w:sz w:val="20"/>
        </w:rPr>
      </w:pPr>
      <w:r w:rsidRPr="00785E1A">
        <w:rPr>
          <w:rFonts w:ascii="Arial" w:hAnsi="Arial" w:cs="Arial"/>
          <w:color w:val="000000"/>
          <w:sz w:val="20"/>
        </w:rPr>
        <w:t>ensures that participants are better prepared for conferences;</w:t>
      </w:r>
    </w:p>
    <w:p w14:paraId="7B51F03A" w14:textId="77777777" w:rsidR="00132E50" w:rsidRPr="00785E1A" w:rsidRDefault="00132E50" w:rsidP="00FB1EE3">
      <w:pPr>
        <w:numPr>
          <w:ilvl w:val="0"/>
          <w:numId w:val="40"/>
        </w:numPr>
        <w:jc w:val="both"/>
        <w:rPr>
          <w:rFonts w:ascii="Arial" w:hAnsi="Arial" w:cs="Arial"/>
          <w:color w:val="000000"/>
          <w:sz w:val="20"/>
        </w:rPr>
      </w:pPr>
      <w:r w:rsidRPr="00785E1A">
        <w:rPr>
          <w:rFonts w:ascii="Arial" w:hAnsi="Arial" w:cs="Arial"/>
          <w:color w:val="000000"/>
          <w:sz w:val="20"/>
        </w:rPr>
        <w:t>requires appropriate behaviour by all participants (including legal practitioners);</w:t>
      </w:r>
    </w:p>
    <w:p w14:paraId="1179D0CB" w14:textId="77777777" w:rsidR="00132E50" w:rsidRPr="00785E1A" w:rsidRDefault="00132E50" w:rsidP="00FB1EE3">
      <w:pPr>
        <w:numPr>
          <w:ilvl w:val="0"/>
          <w:numId w:val="40"/>
        </w:numPr>
        <w:jc w:val="both"/>
        <w:rPr>
          <w:rFonts w:ascii="Arial" w:hAnsi="Arial" w:cs="Arial"/>
          <w:color w:val="000000"/>
          <w:sz w:val="20"/>
        </w:rPr>
      </w:pPr>
      <w:r w:rsidRPr="00785E1A">
        <w:rPr>
          <w:rFonts w:ascii="Arial" w:hAnsi="Arial" w:cs="Arial"/>
          <w:color w:val="000000"/>
          <w:sz w:val="20"/>
        </w:rPr>
        <w:t xml:space="preserve">requires that </w:t>
      </w:r>
      <w:r w:rsidR="00785D2D">
        <w:rPr>
          <w:rFonts w:ascii="Arial" w:hAnsi="Arial" w:cs="Arial"/>
          <w:color w:val="000000"/>
          <w:sz w:val="20"/>
        </w:rPr>
        <w:t>DFFH</w:t>
      </w:r>
      <w:r w:rsidRPr="00785E1A">
        <w:rPr>
          <w:rFonts w:ascii="Arial" w:hAnsi="Arial" w:cs="Arial"/>
          <w:color w:val="000000"/>
          <w:sz w:val="20"/>
        </w:rPr>
        <w:t xml:space="preserve"> has a decision-maker in attendance;</w:t>
      </w:r>
    </w:p>
    <w:p w14:paraId="094BA8A2" w14:textId="77777777" w:rsidR="00132E50" w:rsidRPr="00785E1A" w:rsidRDefault="00132E50" w:rsidP="00FB1EE3">
      <w:pPr>
        <w:numPr>
          <w:ilvl w:val="0"/>
          <w:numId w:val="40"/>
        </w:numPr>
        <w:jc w:val="both"/>
        <w:rPr>
          <w:rFonts w:ascii="Arial" w:hAnsi="Arial" w:cs="Arial"/>
          <w:color w:val="000000"/>
          <w:sz w:val="20"/>
        </w:rPr>
      </w:pPr>
      <w:r w:rsidRPr="00785E1A">
        <w:rPr>
          <w:rFonts w:ascii="Arial" w:hAnsi="Arial" w:cs="Arial"/>
          <w:color w:val="000000"/>
          <w:sz w:val="20"/>
        </w:rPr>
        <w:t>provides an appropriate process for those children who wish to attend and participate;</w:t>
      </w:r>
    </w:p>
    <w:p w14:paraId="3690FAC3" w14:textId="77777777" w:rsidR="00132E50" w:rsidRPr="00785E1A" w:rsidRDefault="00132E50" w:rsidP="00FB1EE3">
      <w:pPr>
        <w:numPr>
          <w:ilvl w:val="0"/>
          <w:numId w:val="40"/>
        </w:numPr>
        <w:jc w:val="both"/>
        <w:rPr>
          <w:rFonts w:ascii="Arial" w:hAnsi="Arial" w:cs="Arial"/>
          <w:color w:val="000000"/>
          <w:sz w:val="20"/>
        </w:rPr>
      </w:pPr>
      <w:r w:rsidRPr="00785E1A">
        <w:rPr>
          <w:rFonts w:ascii="Arial" w:hAnsi="Arial" w:cs="Arial"/>
          <w:color w:val="000000"/>
          <w:sz w:val="20"/>
        </w:rPr>
        <w:t>reduces the time spent by families in adversarial court proceedings and by child protection practitioners in attending at Court; and</w:t>
      </w:r>
    </w:p>
    <w:p w14:paraId="72F0CF3F" w14:textId="77777777" w:rsidR="00132E50" w:rsidRPr="00785E1A" w:rsidRDefault="00132E50" w:rsidP="00FB1EE3">
      <w:pPr>
        <w:numPr>
          <w:ilvl w:val="0"/>
          <w:numId w:val="40"/>
        </w:numPr>
        <w:jc w:val="both"/>
        <w:rPr>
          <w:rFonts w:ascii="Arial" w:hAnsi="Arial" w:cs="Arial"/>
          <w:color w:val="000000"/>
          <w:sz w:val="20"/>
        </w:rPr>
      </w:pPr>
      <w:r w:rsidRPr="00785E1A">
        <w:rPr>
          <w:rFonts w:ascii="Arial" w:hAnsi="Arial" w:cs="Arial"/>
          <w:color w:val="000000"/>
          <w:sz w:val="20"/>
        </w:rPr>
        <w:t>reduces Court delay.</w:t>
      </w:r>
    </w:p>
    <w:p w14:paraId="1B4B9DDF" w14:textId="77777777" w:rsidR="00132E50" w:rsidRPr="00785E1A" w:rsidRDefault="00132E50" w:rsidP="00132E50">
      <w:pPr>
        <w:jc w:val="both"/>
        <w:rPr>
          <w:rFonts w:ascii="Arial" w:hAnsi="Arial" w:cs="Arial"/>
          <w:color w:val="000000"/>
          <w:sz w:val="20"/>
        </w:rPr>
      </w:pPr>
    </w:p>
    <w:p w14:paraId="3EF442C3" w14:textId="77777777" w:rsidR="00132E50" w:rsidRPr="00132E50" w:rsidRDefault="00DC3FFE" w:rsidP="00132E50">
      <w:pPr>
        <w:jc w:val="both"/>
        <w:rPr>
          <w:rFonts w:ascii="Arial" w:hAnsi="Arial" w:cs="Arial"/>
          <w:color w:val="000000"/>
          <w:sz w:val="20"/>
        </w:rPr>
      </w:pPr>
      <w:r>
        <w:rPr>
          <w:rFonts w:ascii="Arial" w:hAnsi="Arial" w:cs="Arial"/>
          <w:color w:val="000000"/>
          <w:sz w:val="20"/>
        </w:rPr>
        <w:t xml:space="preserve">In addition, the </w:t>
      </w:r>
      <w:r w:rsidR="00132E50" w:rsidRPr="00132E50">
        <w:rPr>
          <w:rFonts w:ascii="Arial" w:hAnsi="Arial" w:cs="Arial"/>
          <w:color w:val="000000"/>
          <w:sz w:val="20"/>
        </w:rPr>
        <w:t xml:space="preserve">CC model is </w:t>
      </w:r>
      <w:r w:rsidR="00132E50" w:rsidRPr="00132E50">
        <w:rPr>
          <w:rFonts w:ascii="Arial" w:hAnsi="Arial" w:cs="Arial"/>
          <w:i/>
          <w:color w:val="000000"/>
          <w:sz w:val="20"/>
        </w:rPr>
        <w:t xml:space="preserve">strength-based. </w:t>
      </w:r>
      <w:r w:rsidR="00132E50" w:rsidRPr="00132E50">
        <w:rPr>
          <w:rFonts w:ascii="Arial" w:hAnsi="Arial" w:cs="Arial"/>
          <w:color w:val="000000"/>
          <w:sz w:val="20"/>
        </w:rPr>
        <w:t xml:space="preserve"> By allowing family strengths to be identified early in the conference, it creates a less adversarial dynamic.</w:t>
      </w:r>
    </w:p>
    <w:p w14:paraId="3BB20902" w14:textId="77777777" w:rsidR="00132E50" w:rsidRPr="00132E50" w:rsidRDefault="00132E50" w:rsidP="00132E50">
      <w:pPr>
        <w:jc w:val="both"/>
        <w:rPr>
          <w:rFonts w:ascii="Arial" w:hAnsi="Arial" w:cs="Arial"/>
          <w:color w:val="000000"/>
          <w:sz w:val="20"/>
        </w:rPr>
      </w:pPr>
    </w:p>
    <w:p w14:paraId="38106738"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developm</w:t>
      </w:r>
      <w:r w:rsidR="00DC3FFE">
        <w:rPr>
          <w:rFonts w:ascii="Arial" w:hAnsi="Arial" w:cs="Arial"/>
          <w:color w:val="000000"/>
          <w:sz w:val="20"/>
        </w:rPr>
        <w:t xml:space="preserve">ent and introduction of this </w:t>
      </w:r>
      <w:r w:rsidRPr="00132E50">
        <w:rPr>
          <w:rFonts w:ascii="Arial" w:hAnsi="Arial" w:cs="Arial"/>
          <w:color w:val="000000"/>
          <w:sz w:val="20"/>
        </w:rPr>
        <w:t xml:space="preserve">CC model was a collaborative effort involving the Court, </w:t>
      </w:r>
      <w:r w:rsidR="00785D2D">
        <w:rPr>
          <w:rFonts w:ascii="Arial" w:hAnsi="Arial" w:cs="Arial"/>
          <w:color w:val="000000"/>
          <w:sz w:val="20"/>
        </w:rPr>
        <w:t>DFFH</w:t>
      </w:r>
      <w:r w:rsidRPr="00132E50">
        <w:rPr>
          <w:rFonts w:ascii="Arial" w:hAnsi="Arial" w:cs="Arial"/>
          <w:color w:val="000000"/>
          <w:sz w:val="20"/>
        </w:rPr>
        <w:t xml:space="preserve"> and Victoria Legal Aid (VLA).  Cross-agency training of private solicitors and barristers, VLA solicitors and </w:t>
      </w:r>
      <w:r w:rsidR="00785D2D">
        <w:rPr>
          <w:rFonts w:ascii="Arial" w:hAnsi="Arial" w:cs="Arial"/>
          <w:color w:val="000000"/>
          <w:sz w:val="20"/>
        </w:rPr>
        <w:t>DFFH</w:t>
      </w:r>
      <w:r w:rsidRPr="00132E50">
        <w:rPr>
          <w:rFonts w:ascii="Arial" w:hAnsi="Arial" w:cs="Arial"/>
          <w:color w:val="000000"/>
          <w:sz w:val="20"/>
        </w:rPr>
        <w:t xml:space="preserve"> child protection practitioners and lawyers has been – and will continue to be – conducted.</w:t>
      </w:r>
    </w:p>
    <w:p w14:paraId="6854B2D9" w14:textId="77777777" w:rsidR="00132E50" w:rsidRPr="00132E50" w:rsidRDefault="00132E50" w:rsidP="00132E50">
      <w:pPr>
        <w:jc w:val="both"/>
        <w:rPr>
          <w:rFonts w:ascii="Arial" w:hAnsi="Arial" w:cs="Arial"/>
          <w:color w:val="000000"/>
          <w:sz w:val="20"/>
        </w:rPr>
      </w:pPr>
    </w:p>
    <w:p w14:paraId="145E1111" w14:textId="77777777" w:rsidR="0090541F" w:rsidRDefault="00DC3FFE" w:rsidP="00132E50">
      <w:pPr>
        <w:jc w:val="both"/>
        <w:rPr>
          <w:rFonts w:ascii="Arial" w:hAnsi="Arial" w:cs="Arial"/>
          <w:color w:val="000000"/>
          <w:sz w:val="20"/>
        </w:rPr>
      </w:pPr>
      <w:r>
        <w:rPr>
          <w:rFonts w:ascii="Arial" w:hAnsi="Arial" w:cs="Arial"/>
          <w:color w:val="000000"/>
          <w:sz w:val="20"/>
        </w:rPr>
        <w:t xml:space="preserve">The Children’s Court </w:t>
      </w:r>
      <w:r w:rsidR="00132E50" w:rsidRPr="00132E50">
        <w:rPr>
          <w:rFonts w:ascii="Arial" w:hAnsi="Arial" w:cs="Arial"/>
          <w:color w:val="000000"/>
          <w:sz w:val="20"/>
        </w:rPr>
        <w:t>C</w:t>
      </w:r>
      <w:r>
        <w:rPr>
          <w:rFonts w:ascii="Arial" w:hAnsi="Arial" w:cs="Arial"/>
          <w:color w:val="000000"/>
          <w:sz w:val="20"/>
        </w:rPr>
        <w:t xml:space="preserve">onference staff </w:t>
      </w:r>
      <w:r w:rsidR="00132E50" w:rsidRPr="00132E50">
        <w:rPr>
          <w:rFonts w:ascii="Arial" w:hAnsi="Arial" w:cs="Arial"/>
          <w:color w:val="000000"/>
          <w:sz w:val="20"/>
        </w:rPr>
        <w:t>consist</w:t>
      </w:r>
      <w:r>
        <w:rPr>
          <w:rFonts w:ascii="Arial" w:hAnsi="Arial" w:cs="Arial"/>
          <w:color w:val="000000"/>
          <w:sz w:val="20"/>
        </w:rPr>
        <w:t>s</w:t>
      </w:r>
      <w:r w:rsidR="00132E50" w:rsidRPr="00132E50">
        <w:rPr>
          <w:rFonts w:ascii="Arial" w:hAnsi="Arial" w:cs="Arial"/>
          <w:color w:val="000000"/>
          <w:sz w:val="20"/>
        </w:rPr>
        <w:t xml:space="preserve"> of</w:t>
      </w:r>
      <w:r w:rsidR="0090541F">
        <w:rPr>
          <w:rFonts w:ascii="Arial" w:hAnsi="Arial" w:cs="Arial"/>
          <w:color w:val="000000"/>
          <w:sz w:val="20"/>
        </w:rPr>
        <w:t>:</w:t>
      </w:r>
    </w:p>
    <w:p w14:paraId="77C171AB" w14:textId="77777777" w:rsidR="0090541F" w:rsidRDefault="00DC3FFE" w:rsidP="00FB1EE3">
      <w:pPr>
        <w:numPr>
          <w:ilvl w:val="0"/>
          <w:numId w:val="40"/>
        </w:numPr>
        <w:jc w:val="both"/>
        <w:rPr>
          <w:rFonts w:ascii="Arial" w:hAnsi="Arial" w:cs="Arial"/>
          <w:color w:val="000000"/>
          <w:sz w:val="20"/>
        </w:rPr>
      </w:pPr>
      <w:r>
        <w:rPr>
          <w:rFonts w:ascii="Arial" w:hAnsi="Arial" w:cs="Arial"/>
          <w:color w:val="000000"/>
          <w:sz w:val="20"/>
        </w:rPr>
        <w:t>8</w:t>
      </w:r>
      <w:r w:rsidR="00132E50" w:rsidRPr="00132E50">
        <w:rPr>
          <w:rFonts w:ascii="Arial" w:hAnsi="Arial" w:cs="Arial"/>
          <w:color w:val="000000"/>
          <w:sz w:val="20"/>
        </w:rPr>
        <w:t xml:space="preserve"> Conference Intake Officers and 1</w:t>
      </w:r>
      <w:r>
        <w:rPr>
          <w:rFonts w:ascii="Arial" w:hAnsi="Arial" w:cs="Arial"/>
          <w:color w:val="000000"/>
          <w:sz w:val="20"/>
        </w:rPr>
        <w:t>3 </w:t>
      </w:r>
      <w:r w:rsidR="00132E50" w:rsidRPr="00132E50">
        <w:rPr>
          <w:rFonts w:ascii="Arial" w:hAnsi="Arial" w:cs="Arial"/>
          <w:color w:val="000000"/>
          <w:sz w:val="20"/>
        </w:rPr>
        <w:t>convenors located in Melbourne</w:t>
      </w:r>
      <w:r w:rsidR="0090541F">
        <w:rPr>
          <w:rFonts w:ascii="Arial" w:hAnsi="Arial" w:cs="Arial"/>
          <w:color w:val="000000"/>
          <w:sz w:val="20"/>
        </w:rPr>
        <w:t>; and</w:t>
      </w:r>
    </w:p>
    <w:p w14:paraId="5332ABAD" w14:textId="77777777" w:rsidR="0090541F" w:rsidRPr="00785E1A" w:rsidRDefault="0090541F" w:rsidP="00FB1EE3">
      <w:pPr>
        <w:numPr>
          <w:ilvl w:val="0"/>
          <w:numId w:val="40"/>
        </w:numPr>
        <w:jc w:val="both"/>
        <w:rPr>
          <w:rFonts w:ascii="Arial" w:hAnsi="Arial" w:cs="Arial"/>
          <w:color w:val="000000"/>
          <w:sz w:val="20"/>
        </w:rPr>
      </w:pPr>
      <w:r w:rsidRPr="00132E50">
        <w:rPr>
          <w:rFonts w:ascii="Arial" w:hAnsi="Arial" w:cs="Arial"/>
          <w:color w:val="000000"/>
          <w:sz w:val="20"/>
        </w:rPr>
        <w:t>5 Conference Intake Officers and 5</w:t>
      </w:r>
      <w:r>
        <w:rPr>
          <w:rFonts w:ascii="Arial" w:hAnsi="Arial" w:cs="Arial"/>
          <w:color w:val="000000"/>
          <w:sz w:val="20"/>
        </w:rPr>
        <w:t> </w:t>
      </w:r>
      <w:r w:rsidRPr="00132E50">
        <w:rPr>
          <w:rFonts w:ascii="Arial" w:hAnsi="Arial" w:cs="Arial"/>
          <w:color w:val="000000"/>
          <w:sz w:val="20"/>
        </w:rPr>
        <w:t>convenors regionally based</w:t>
      </w:r>
      <w:r>
        <w:rPr>
          <w:rFonts w:ascii="Arial" w:hAnsi="Arial" w:cs="Arial"/>
          <w:color w:val="000000"/>
          <w:sz w:val="20"/>
        </w:rPr>
        <w:t>.</w:t>
      </w:r>
    </w:p>
    <w:p w14:paraId="59F0DDBE"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All convenors are nationally accredited mediators and are provided with ongoing training and professional development opportunities.</w:t>
      </w:r>
      <w:r w:rsidR="00DC3FFE">
        <w:rPr>
          <w:rFonts w:ascii="Arial" w:hAnsi="Arial" w:cs="Arial"/>
          <w:color w:val="000000"/>
          <w:sz w:val="20"/>
        </w:rPr>
        <w:t xml:space="preserve">  All Conference staff are now required to be trained in the Common Risk Assessment Framework for assessing risk in cases involving Family Violence.</w:t>
      </w:r>
    </w:p>
    <w:p w14:paraId="0877B052" w14:textId="77777777" w:rsidR="00132E50" w:rsidRPr="00132E50" w:rsidRDefault="00132E50" w:rsidP="00132E50">
      <w:pPr>
        <w:jc w:val="both"/>
        <w:rPr>
          <w:rFonts w:ascii="Arial" w:hAnsi="Arial" w:cs="Arial"/>
          <w:color w:val="000000"/>
          <w:sz w:val="20"/>
        </w:rPr>
      </w:pPr>
    </w:p>
    <w:p w14:paraId="49D0766C" w14:textId="01EDDBA7" w:rsidR="00132E50" w:rsidRPr="00132E50" w:rsidRDefault="00132E50" w:rsidP="00132E50">
      <w:pPr>
        <w:jc w:val="both"/>
        <w:rPr>
          <w:rFonts w:ascii="Arial" w:hAnsi="Arial" w:cs="Arial"/>
          <w:color w:val="000000"/>
          <w:sz w:val="20"/>
        </w:rPr>
      </w:pPr>
      <w:r w:rsidRPr="00132E50">
        <w:rPr>
          <w:rFonts w:ascii="Arial" w:hAnsi="Arial" w:cs="Arial"/>
          <w:color w:val="000000"/>
          <w:sz w:val="20"/>
        </w:rPr>
        <w:t>In June 2013 the Court introduced Koori Conciliation Conferences for Melbourne matters involving children of Aboriginal or Torres Strait Island</w:t>
      </w:r>
      <w:r w:rsidR="00855531">
        <w:rPr>
          <w:rFonts w:ascii="Arial" w:hAnsi="Arial" w:cs="Arial"/>
          <w:color w:val="000000"/>
          <w:sz w:val="20"/>
        </w:rPr>
        <w:t>er</w:t>
      </w:r>
      <w:r w:rsidRPr="00132E50">
        <w:rPr>
          <w:rFonts w:ascii="Arial" w:hAnsi="Arial" w:cs="Arial"/>
          <w:color w:val="000000"/>
          <w:sz w:val="20"/>
        </w:rPr>
        <w:t xml:space="preserve"> heritage. These conferences involve a Koori co-convenor whose role is to provide appropriate cultural support and input to the process.</w:t>
      </w:r>
    </w:p>
    <w:p w14:paraId="5D5BE4AD" w14:textId="77777777" w:rsidR="00132E50" w:rsidRPr="00132E50" w:rsidRDefault="00132E50" w:rsidP="00132E50">
      <w:pPr>
        <w:jc w:val="both"/>
        <w:rPr>
          <w:rFonts w:ascii="Arial" w:hAnsi="Arial" w:cs="Arial"/>
          <w:color w:val="000000"/>
          <w:sz w:val="20"/>
        </w:rPr>
      </w:pPr>
    </w:p>
    <w:p w14:paraId="296099B7" w14:textId="77777777" w:rsidR="00132E50" w:rsidRPr="00B87BB0" w:rsidRDefault="00132E50" w:rsidP="00132E50">
      <w:pPr>
        <w:pStyle w:val="Heading3"/>
        <w:keepNext/>
        <w:keepLines/>
        <w:spacing w:after="120" w:line="240" w:lineRule="auto"/>
        <w:rPr>
          <w:rFonts w:ascii="Arial" w:hAnsi="Arial" w:cs="Arial"/>
          <w:b/>
          <w:color w:val="000000"/>
          <w:sz w:val="20"/>
        </w:rPr>
      </w:pPr>
      <w:bookmarkStart w:id="1507" w:name="_4.10.2_Jurisdiction_&amp;"/>
      <w:bookmarkStart w:id="1508" w:name="B4102"/>
      <w:bookmarkEnd w:id="1507"/>
      <w:bookmarkEnd w:id="1508"/>
      <w:r w:rsidRPr="00B87BB0">
        <w:rPr>
          <w:rFonts w:ascii="Arial" w:hAnsi="Arial" w:cs="Arial"/>
          <w:b/>
          <w:bCs/>
          <w:color w:val="000000"/>
          <w:sz w:val="20"/>
        </w:rPr>
        <w:t>4.10.2</w:t>
      </w:r>
      <w:r w:rsidRPr="00B87BB0">
        <w:rPr>
          <w:rFonts w:ascii="Arial" w:hAnsi="Arial" w:cs="Arial"/>
          <w:b/>
          <w:bCs/>
          <w:color w:val="000000"/>
          <w:sz w:val="20"/>
        </w:rPr>
        <w:tab/>
        <w:t>Jurisdiction &amp; Purpose of CC</w:t>
      </w:r>
    </w:p>
    <w:p w14:paraId="79F5C54A"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Under s.217(1) of the CYFA the Family Division may, on the application of a party or on its own motion, order that any application made to the Family Division under the CYFA be referred for a conciliation conference to one or two convenors appointed under s.227.</w:t>
      </w:r>
    </w:p>
    <w:p w14:paraId="649E907B" w14:textId="77777777" w:rsidR="00132E50" w:rsidRPr="00785E1A" w:rsidRDefault="00132E50" w:rsidP="00132E50">
      <w:pPr>
        <w:jc w:val="both"/>
        <w:rPr>
          <w:rFonts w:ascii="Arial" w:hAnsi="Arial" w:cs="Arial"/>
          <w:color w:val="000000"/>
          <w:sz w:val="20"/>
        </w:rPr>
      </w:pPr>
    </w:p>
    <w:p w14:paraId="3219AE67" w14:textId="77777777" w:rsidR="00132E50" w:rsidRPr="00B87BB0" w:rsidRDefault="00132E50" w:rsidP="00855531">
      <w:pPr>
        <w:jc w:val="both"/>
        <w:rPr>
          <w:rFonts w:ascii="Arial" w:hAnsi="Arial" w:cs="Arial"/>
          <w:color w:val="000000"/>
          <w:sz w:val="20"/>
        </w:rPr>
      </w:pPr>
      <w:r w:rsidRPr="00B87BB0">
        <w:rPr>
          <w:rFonts w:ascii="Arial" w:hAnsi="Arial" w:cs="Arial"/>
          <w:color w:val="000000"/>
          <w:sz w:val="20"/>
        </w:rPr>
        <w:t xml:space="preserve">Under the CYPA the Court had no power to order what was then called a “pre-hearing conference” in relation to any application other than a protection application.  There was no bar to a pre-hearing conference being held in respect of any other application {e.g. breach, variation or extension} if all parties consented and this was usually what happened in practice.  Under the CYFA the Court may refer </w:t>
      </w:r>
      <w:r w:rsidRPr="00B87BB0">
        <w:rPr>
          <w:rFonts w:ascii="Arial" w:hAnsi="Arial" w:cs="Arial"/>
          <w:color w:val="000000"/>
          <w:sz w:val="20"/>
          <w:u w:val="single"/>
        </w:rPr>
        <w:t>any</w:t>
      </w:r>
      <w:r w:rsidRPr="00B87BB0">
        <w:rPr>
          <w:rFonts w:ascii="Arial" w:hAnsi="Arial" w:cs="Arial"/>
          <w:color w:val="000000"/>
          <w:sz w:val="20"/>
        </w:rPr>
        <w:t xml:space="preserve"> application under the CYFA to a CC.  This is clearly broad enough to include irreconcilable difference applications and applications for permanent care orders as well as secondary applications such as breaches, variations or extensions of existing protection orders.  It is also broad enough to allow the referral of applications for intervention orders which - although deriving from the </w:t>
      </w:r>
      <w:r w:rsidRPr="00B87BB0">
        <w:rPr>
          <w:rFonts w:ascii="Arial" w:hAnsi="Arial" w:cs="Arial"/>
          <w:color w:val="000000"/>
          <w:sz w:val="20"/>
          <w:u w:val="single"/>
        </w:rPr>
        <w:t>Family Violence Protection Act 2008 (Vic)</w:t>
      </w:r>
      <w:r w:rsidRPr="00B87BB0">
        <w:rPr>
          <w:rFonts w:ascii="Arial" w:hAnsi="Arial" w:cs="Arial"/>
          <w:color w:val="000000"/>
          <w:sz w:val="20"/>
        </w:rPr>
        <w:t xml:space="preserve"> and the </w:t>
      </w:r>
      <w:r w:rsidRPr="00B87BB0">
        <w:rPr>
          <w:rFonts w:ascii="Arial" w:hAnsi="Arial" w:cs="Arial"/>
          <w:color w:val="000000"/>
          <w:sz w:val="20"/>
          <w:u w:val="single"/>
        </w:rPr>
        <w:t>Personal Safety Intervention Orders Act 2010 (Vic)</w:t>
      </w:r>
      <w:r w:rsidRPr="00B87BB0">
        <w:rPr>
          <w:rFonts w:ascii="Arial" w:hAnsi="Arial" w:cs="Arial"/>
          <w:color w:val="000000"/>
          <w:sz w:val="20"/>
        </w:rPr>
        <w:t xml:space="preserve"> – are matters which fall within the jurisdiction of the Family Division: see s.515(2) of the CYFA.</w:t>
      </w:r>
    </w:p>
    <w:p w14:paraId="1E447897" w14:textId="77777777" w:rsidR="00132E50" w:rsidRPr="00B87BB0" w:rsidRDefault="00132E50" w:rsidP="00132E50">
      <w:pPr>
        <w:jc w:val="both"/>
        <w:rPr>
          <w:rFonts w:ascii="Arial" w:hAnsi="Arial" w:cs="Arial"/>
          <w:color w:val="000000"/>
          <w:sz w:val="20"/>
        </w:rPr>
      </w:pPr>
    </w:p>
    <w:p w14:paraId="43D30429"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Section 217(2) of the CYFA provides that the purpose of a CC is to give the parties to the application an opportunity to agree or advise on the action that should be taken in the best interests of the child.  Section 218 provides that the purpose of a CC is to enable the parties with the assistance of the convenor(s)-</w:t>
      </w:r>
    </w:p>
    <w:p w14:paraId="1153616E"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(a)</w:t>
      </w:r>
      <w:r w:rsidRPr="00B87BB0">
        <w:rPr>
          <w:rFonts w:ascii="Arial" w:hAnsi="Arial" w:cs="Arial"/>
          <w:color w:val="000000"/>
          <w:sz w:val="20"/>
        </w:rPr>
        <w:tab/>
        <w:t>to identify the issues in dispute; and</w:t>
      </w:r>
    </w:p>
    <w:p w14:paraId="46CD65D8"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(b)</w:t>
      </w:r>
      <w:r w:rsidRPr="00B87BB0">
        <w:rPr>
          <w:rFonts w:ascii="Arial" w:hAnsi="Arial" w:cs="Arial"/>
          <w:color w:val="000000"/>
          <w:sz w:val="20"/>
        </w:rPr>
        <w:tab/>
        <w:t>to consider alternatives; and</w:t>
      </w:r>
    </w:p>
    <w:p w14:paraId="50C8E1BD" w14:textId="77777777" w:rsidR="00132E50" w:rsidRPr="00B87BB0" w:rsidRDefault="00132E50" w:rsidP="00132E50">
      <w:pPr>
        <w:tabs>
          <w:tab w:val="left" w:pos="363"/>
        </w:tabs>
        <w:ind w:left="720" w:hanging="720"/>
        <w:jc w:val="both"/>
        <w:rPr>
          <w:rFonts w:ascii="Arial" w:hAnsi="Arial" w:cs="Arial"/>
          <w:color w:val="000000"/>
          <w:sz w:val="20"/>
        </w:rPr>
      </w:pPr>
      <w:r w:rsidRPr="00B87BB0">
        <w:rPr>
          <w:rFonts w:ascii="Arial" w:hAnsi="Arial" w:cs="Arial"/>
          <w:color w:val="000000"/>
          <w:sz w:val="20"/>
        </w:rPr>
        <w:t>(c)</w:t>
      </w:r>
      <w:r w:rsidRPr="00B87BB0">
        <w:rPr>
          <w:rFonts w:ascii="Arial" w:hAnsi="Arial" w:cs="Arial"/>
          <w:color w:val="000000"/>
          <w:sz w:val="20"/>
        </w:rPr>
        <w:tab/>
        <w:t>to try to reach an agreement as to the action to be taken in the best interests of the child.</w:t>
      </w:r>
    </w:p>
    <w:p w14:paraId="4588FA6F" w14:textId="77777777" w:rsidR="00132E50" w:rsidRPr="00B87BB0" w:rsidRDefault="00132E50" w:rsidP="00132E50">
      <w:pPr>
        <w:jc w:val="both"/>
        <w:rPr>
          <w:rFonts w:ascii="Arial" w:hAnsi="Arial" w:cs="Arial"/>
          <w:color w:val="000000"/>
          <w:sz w:val="20"/>
        </w:rPr>
      </w:pPr>
    </w:p>
    <w:p w14:paraId="32FC47F2" w14:textId="77777777" w:rsidR="00132E50" w:rsidRPr="00B87BB0" w:rsidRDefault="00132E50" w:rsidP="00855531">
      <w:pPr>
        <w:jc w:val="both"/>
        <w:rPr>
          <w:rFonts w:ascii="Arial" w:hAnsi="Arial" w:cs="Arial"/>
          <w:color w:val="000000"/>
          <w:sz w:val="20"/>
        </w:rPr>
      </w:pPr>
      <w:r w:rsidRPr="00B87BB0">
        <w:rPr>
          <w:rFonts w:ascii="Arial" w:hAnsi="Arial" w:cs="Arial"/>
          <w:color w:val="000000"/>
          <w:sz w:val="20"/>
        </w:rPr>
        <w:t>A CC is an exercise in negotiation and joint problem solving.  It establishes a process that parties to an application (and other approved persons) meet together in an environment controlled by an independent convenor.  Through the CC process the participants, with the assistance of the convenor(s), attempt to-</w:t>
      </w:r>
    </w:p>
    <w:p w14:paraId="1360DDAB" w14:textId="77777777" w:rsidR="00132E50" w:rsidRPr="00B87BB0" w:rsidRDefault="00132E50" w:rsidP="00132E50">
      <w:pPr>
        <w:numPr>
          <w:ilvl w:val="0"/>
          <w:numId w:val="16"/>
        </w:numPr>
        <w:jc w:val="both"/>
        <w:rPr>
          <w:rFonts w:ascii="Arial" w:hAnsi="Arial" w:cs="Arial"/>
          <w:bCs/>
          <w:color w:val="000000"/>
          <w:sz w:val="20"/>
        </w:rPr>
      </w:pPr>
      <w:r w:rsidRPr="00B87BB0">
        <w:rPr>
          <w:rFonts w:ascii="Arial" w:hAnsi="Arial" w:cs="Arial"/>
          <w:bCs/>
          <w:color w:val="000000"/>
          <w:sz w:val="20"/>
        </w:rPr>
        <w:t>identify and clarify disputed issues;</w:t>
      </w:r>
    </w:p>
    <w:p w14:paraId="062498EE" w14:textId="77777777" w:rsidR="00132E50" w:rsidRPr="00B87BB0" w:rsidRDefault="00132E50" w:rsidP="00132E50">
      <w:pPr>
        <w:numPr>
          <w:ilvl w:val="0"/>
          <w:numId w:val="16"/>
        </w:numPr>
        <w:jc w:val="both"/>
        <w:rPr>
          <w:rFonts w:ascii="Arial" w:hAnsi="Arial" w:cs="Arial"/>
          <w:bCs/>
          <w:color w:val="000000"/>
          <w:sz w:val="20"/>
        </w:rPr>
      </w:pPr>
      <w:r w:rsidRPr="00B87BB0">
        <w:rPr>
          <w:rFonts w:ascii="Arial" w:hAnsi="Arial" w:cs="Arial"/>
          <w:bCs/>
          <w:color w:val="000000"/>
          <w:sz w:val="20"/>
        </w:rPr>
        <w:t>identify and clarify areas of agreement;</w:t>
      </w:r>
    </w:p>
    <w:p w14:paraId="450B9197" w14:textId="77777777" w:rsidR="00132E50" w:rsidRPr="00B87BB0" w:rsidRDefault="00132E50" w:rsidP="00132E50">
      <w:pPr>
        <w:numPr>
          <w:ilvl w:val="0"/>
          <w:numId w:val="16"/>
        </w:numPr>
        <w:jc w:val="both"/>
        <w:rPr>
          <w:rFonts w:ascii="Arial" w:hAnsi="Arial" w:cs="Arial"/>
          <w:bCs/>
          <w:color w:val="000000"/>
          <w:sz w:val="20"/>
        </w:rPr>
      </w:pPr>
      <w:r w:rsidRPr="00B87BB0">
        <w:rPr>
          <w:rFonts w:ascii="Arial" w:hAnsi="Arial" w:cs="Arial"/>
          <w:bCs/>
          <w:color w:val="000000"/>
          <w:sz w:val="20"/>
        </w:rPr>
        <w:t>develop options and consider alternatives;</w:t>
      </w:r>
    </w:p>
    <w:p w14:paraId="67DD315C" w14:textId="77777777" w:rsidR="00132E50" w:rsidRPr="00B87BB0" w:rsidRDefault="00132E50" w:rsidP="00132E50">
      <w:pPr>
        <w:numPr>
          <w:ilvl w:val="0"/>
          <w:numId w:val="16"/>
        </w:numPr>
        <w:jc w:val="both"/>
        <w:rPr>
          <w:rFonts w:ascii="Arial" w:hAnsi="Arial" w:cs="Arial"/>
          <w:bCs/>
          <w:color w:val="000000"/>
          <w:sz w:val="20"/>
        </w:rPr>
      </w:pPr>
      <w:r w:rsidRPr="00B87BB0">
        <w:rPr>
          <w:rFonts w:ascii="Arial" w:hAnsi="Arial" w:cs="Arial"/>
          <w:bCs/>
          <w:color w:val="000000"/>
          <w:sz w:val="20"/>
        </w:rPr>
        <w:t>enhance communication; and</w:t>
      </w:r>
    </w:p>
    <w:p w14:paraId="2BBB78A8" w14:textId="77777777" w:rsidR="00132E50" w:rsidRPr="00B87BB0" w:rsidRDefault="00132E50" w:rsidP="00132E50">
      <w:pPr>
        <w:numPr>
          <w:ilvl w:val="0"/>
          <w:numId w:val="16"/>
        </w:numPr>
        <w:jc w:val="both"/>
        <w:rPr>
          <w:rFonts w:ascii="Arial" w:hAnsi="Arial" w:cs="Arial"/>
          <w:bCs/>
          <w:color w:val="000000"/>
          <w:sz w:val="20"/>
        </w:rPr>
      </w:pPr>
      <w:r w:rsidRPr="00B87BB0">
        <w:rPr>
          <w:rFonts w:ascii="Arial" w:hAnsi="Arial" w:cs="Arial"/>
          <w:bCs/>
          <w:color w:val="000000"/>
          <w:sz w:val="20"/>
        </w:rPr>
        <w:t>reach agreement on issues of dispute between the parties in order to avoid – or limit the scope of – a hearing.</w:t>
      </w:r>
    </w:p>
    <w:p w14:paraId="52107D87" w14:textId="77777777" w:rsidR="007229AB" w:rsidRDefault="007229AB" w:rsidP="007229AB">
      <w:pPr>
        <w:jc w:val="both"/>
        <w:rPr>
          <w:rFonts w:ascii="Arial" w:hAnsi="Arial" w:cs="Arial"/>
          <w:b/>
          <w:bCs/>
          <w:color w:val="000000"/>
          <w:sz w:val="20"/>
        </w:rPr>
      </w:pPr>
      <w:bookmarkStart w:id="1509" w:name="_4.10.3_Convenor"/>
      <w:bookmarkEnd w:id="1509"/>
    </w:p>
    <w:p w14:paraId="5DAC7C3B" w14:textId="77777777" w:rsidR="00132E50" w:rsidRPr="00785E1A" w:rsidRDefault="00132E50" w:rsidP="007229AB">
      <w:pPr>
        <w:spacing w:after="120"/>
        <w:jc w:val="both"/>
        <w:rPr>
          <w:rFonts w:ascii="Arial" w:hAnsi="Arial" w:cs="Arial"/>
          <w:color w:val="000000"/>
          <w:sz w:val="20"/>
        </w:rPr>
      </w:pPr>
      <w:bookmarkStart w:id="1510" w:name="B4103"/>
      <w:bookmarkEnd w:id="1510"/>
      <w:r w:rsidRPr="00785E1A">
        <w:rPr>
          <w:rFonts w:ascii="Arial" w:hAnsi="Arial" w:cs="Arial"/>
          <w:b/>
          <w:bCs/>
          <w:color w:val="000000"/>
          <w:sz w:val="20"/>
        </w:rPr>
        <w:t>4.10.3</w:t>
      </w:r>
      <w:r w:rsidRPr="00785E1A">
        <w:rPr>
          <w:rFonts w:ascii="Arial" w:hAnsi="Arial" w:cs="Arial"/>
          <w:b/>
          <w:bCs/>
          <w:color w:val="000000"/>
          <w:sz w:val="20"/>
        </w:rPr>
        <w:tab/>
        <w:t>Convenor</w:t>
      </w:r>
    </w:p>
    <w:p w14:paraId="3D26DB9E" w14:textId="77777777" w:rsidR="00132E50" w:rsidRPr="00D00CAA" w:rsidRDefault="00132E50" w:rsidP="00855531">
      <w:pPr>
        <w:jc w:val="both"/>
        <w:rPr>
          <w:rFonts w:ascii="Arial" w:hAnsi="Arial" w:cs="Arial"/>
          <w:color w:val="000000"/>
          <w:sz w:val="20"/>
        </w:rPr>
      </w:pPr>
      <w:r w:rsidRPr="00D00CAA">
        <w:rPr>
          <w:rFonts w:ascii="Arial" w:hAnsi="Arial" w:cs="Arial"/>
          <w:color w:val="000000"/>
          <w:sz w:val="20"/>
        </w:rPr>
        <w:t>Under ss.227(1) &amp; 227(2) of the CYPA a convenor is appointed by the President of the Children’s Court on the terms and conditions set out in the instrument of appointment.  Under s.227(3), the Attorney-General must not recommend a person for appointment as a convenor unless satisfied that the person is of good character and has appropriate qualifications and experience.  Under s.227(4) the President may remove a convenor from office at any time.</w:t>
      </w:r>
    </w:p>
    <w:p w14:paraId="16C423BA" w14:textId="77777777" w:rsidR="00132E50" w:rsidRPr="00D00CAA" w:rsidRDefault="00132E50" w:rsidP="00132E50">
      <w:pPr>
        <w:jc w:val="both"/>
        <w:rPr>
          <w:rFonts w:ascii="Arial" w:hAnsi="Arial" w:cs="Arial"/>
          <w:color w:val="000000"/>
          <w:sz w:val="20"/>
        </w:rPr>
      </w:pPr>
    </w:p>
    <w:p w14:paraId="7D9B5C8D"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 xml:space="preserve">Section 227(5) provides that a convenor is not, in respect of the office of convenor, subject to the </w:t>
      </w:r>
      <w:r w:rsidRPr="00785E1A">
        <w:rPr>
          <w:rFonts w:ascii="Arial" w:hAnsi="Arial" w:cs="Arial"/>
          <w:color w:val="000000"/>
          <w:sz w:val="20"/>
          <w:u w:val="single"/>
        </w:rPr>
        <w:t>Public Administration Act 2004 (Vic)</w:t>
      </w:r>
      <w:r w:rsidRPr="00785E1A">
        <w:rPr>
          <w:rFonts w:ascii="Arial" w:hAnsi="Arial" w:cs="Arial"/>
          <w:color w:val="000000"/>
          <w:sz w:val="20"/>
        </w:rPr>
        <w:t>.</w:t>
      </w:r>
    </w:p>
    <w:p w14:paraId="4C3A8016" w14:textId="77777777" w:rsidR="00132E50" w:rsidRDefault="00132E50" w:rsidP="00132E50">
      <w:pPr>
        <w:jc w:val="both"/>
        <w:rPr>
          <w:rFonts w:ascii="Arial" w:hAnsi="Arial" w:cs="Arial"/>
          <w:color w:val="000000"/>
          <w:sz w:val="20"/>
        </w:rPr>
      </w:pPr>
    </w:p>
    <w:p w14:paraId="7B50B75C" w14:textId="77777777" w:rsidR="00132E50" w:rsidRPr="00785E1A" w:rsidRDefault="00132E50" w:rsidP="00132E50">
      <w:pPr>
        <w:jc w:val="both"/>
        <w:rPr>
          <w:rFonts w:ascii="Arial" w:hAnsi="Arial" w:cs="Arial"/>
          <w:color w:val="000000"/>
          <w:sz w:val="20"/>
        </w:rPr>
      </w:pPr>
      <w:r>
        <w:rPr>
          <w:rFonts w:ascii="Arial" w:hAnsi="Arial" w:cs="Arial"/>
          <w:color w:val="000000"/>
          <w:sz w:val="20"/>
        </w:rPr>
        <w:t>Section 218(2) provides that t</w:t>
      </w:r>
      <w:r w:rsidRPr="00785E1A">
        <w:rPr>
          <w:rFonts w:ascii="Arial" w:hAnsi="Arial" w:cs="Arial"/>
          <w:color w:val="000000"/>
          <w:sz w:val="20"/>
        </w:rPr>
        <w:t>he role of the convenor(s) at a</w:t>
      </w:r>
      <w:r w:rsidRPr="0090541F">
        <w:rPr>
          <w:rFonts w:ascii="Arial" w:hAnsi="Arial" w:cs="Arial"/>
          <w:color w:val="000000"/>
          <w:sz w:val="20"/>
        </w:rPr>
        <w:t xml:space="preserve"> CC </w:t>
      </w:r>
      <w:r w:rsidRPr="00785E1A">
        <w:rPr>
          <w:rFonts w:ascii="Arial" w:hAnsi="Arial" w:cs="Arial"/>
          <w:color w:val="000000"/>
          <w:sz w:val="20"/>
        </w:rPr>
        <w:t>is-</w:t>
      </w:r>
    </w:p>
    <w:p w14:paraId="62974FC9"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to chair the conference; and</w:t>
      </w:r>
    </w:p>
    <w:p w14:paraId="61DCCC87"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to advise on and determine the process to be followed for the conference; and</w:t>
      </w:r>
    </w:p>
    <w:p w14:paraId="6E9F3035"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(c)</w:t>
      </w:r>
      <w:r w:rsidRPr="00785E1A">
        <w:rPr>
          <w:rFonts w:ascii="Arial" w:hAnsi="Arial" w:cs="Arial"/>
          <w:color w:val="000000"/>
          <w:sz w:val="20"/>
        </w:rPr>
        <w:tab/>
        <w:t>to provide to the Court a written report of the conclusions reached at the conference.</w:t>
      </w:r>
    </w:p>
    <w:p w14:paraId="6C0940EF" w14:textId="77777777" w:rsidR="00132E50" w:rsidRPr="00785E1A" w:rsidRDefault="00132E50" w:rsidP="00132E50">
      <w:pPr>
        <w:jc w:val="both"/>
        <w:rPr>
          <w:rFonts w:ascii="Arial" w:hAnsi="Arial" w:cs="Arial"/>
          <w:color w:val="000000"/>
          <w:sz w:val="20"/>
        </w:rPr>
      </w:pPr>
    </w:p>
    <w:p w14:paraId="3A0D0F61" w14:textId="77777777" w:rsidR="00132E50" w:rsidRPr="001544BF" w:rsidRDefault="00132E50" w:rsidP="00132E50">
      <w:pPr>
        <w:pStyle w:val="Heading3"/>
        <w:keepNext/>
        <w:spacing w:after="120" w:line="240" w:lineRule="auto"/>
        <w:rPr>
          <w:rFonts w:ascii="Arial" w:hAnsi="Arial" w:cs="Arial"/>
          <w:color w:val="000000"/>
          <w:sz w:val="20"/>
        </w:rPr>
      </w:pPr>
      <w:bookmarkStart w:id="1511" w:name="_4.10.4_Repeal_of"/>
      <w:bookmarkStart w:id="1512" w:name="B4104"/>
      <w:bookmarkEnd w:id="1511"/>
      <w:bookmarkEnd w:id="1512"/>
      <w:r w:rsidRPr="001544BF">
        <w:rPr>
          <w:rFonts w:ascii="Arial" w:hAnsi="Arial" w:cs="Arial"/>
          <w:b/>
          <w:bCs/>
          <w:color w:val="000000"/>
          <w:sz w:val="20"/>
        </w:rPr>
        <w:t>4.10.4</w:t>
      </w:r>
      <w:r w:rsidRPr="001544BF">
        <w:rPr>
          <w:rFonts w:ascii="Arial" w:hAnsi="Arial" w:cs="Arial"/>
          <w:b/>
          <w:bCs/>
          <w:color w:val="000000"/>
          <w:sz w:val="20"/>
        </w:rPr>
        <w:tab/>
        <w:t>Repeal of advisory conference provisions</w:t>
      </w:r>
    </w:p>
    <w:p w14:paraId="2213CE23"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Prior to 01/12/2013, s.217(3) of the CYFA had allowed the convenor to determine whether a conference was to be:</w:t>
      </w:r>
    </w:p>
    <w:p w14:paraId="6CD7DCA5" w14:textId="77777777" w:rsidR="00132E50" w:rsidRPr="001544BF" w:rsidRDefault="00132E50" w:rsidP="00FB1EE3">
      <w:pPr>
        <w:numPr>
          <w:ilvl w:val="0"/>
          <w:numId w:val="51"/>
        </w:numPr>
        <w:tabs>
          <w:tab w:val="clear" w:pos="1634"/>
        </w:tabs>
        <w:ind w:left="289" w:hanging="289"/>
        <w:jc w:val="both"/>
        <w:rPr>
          <w:rFonts w:ascii="Arial" w:hAnsi="Arial" w:cs="Arial"/>
          <w:color w:val="000000"/>
          <w:sz w:val="20"/>
        </w:rPr>
      </w:pPr>
      <w:r w:rsidRPr="001544BF">
        <w:rPr>
          <w:rFonts w:ascii="Arial" w:hAnsi="Arial" w:cs="Arial"/>
          <w:color w:val="000000"/>
          <w:sz w:val="20"/>
        </w:rPr>
        <w:t>“a facilitative conference” whose primary purpose was to try to reach an agreement as to the action to be taken in the best interests of the child [s.218(1)(c)]; or</w:t>
      </w:r>
    </w:p>
    <w:p w14:paraId="30388E2B" w14:textId="77777777" w:rsidR="00132E50" w:rsidRPr="001544BF" w:rsidRDefault="00132E50" w:rsidP="00FB1EE3">
      <w:pPr>
        <w:numPr>
          <w:ilvl w:val="0"/>
          <w:numId w:val="51"/>
        </w:numPr>
        <w:tabs>
          <w:tab w:val="clear" w:pos="1634"/>
        </w:tabs>
        <w:ind w:left="289" w:hanging="289"/>
        <w:jc w:val="both"/>
        <w:rPr>
          <w:rFonts w:ascii="Arial" w:hAnsi="Arial" w:cs="Arial"/>
          <w:color w:val="000000"/>
          <w:sz w:val="20"/>
        </w:rPr>
      </w:pPr>
      <w:r w:rsidRPr="001544BF">
        <w:rPr>
          <w:rFonts w:ascii="Arial" w:hAnsi="Arial" w:cs="Arial"/>
          <w:color w:val="000000"/>
          <w:sz w:val="20"/>
        </w:rPr>
        <w:t>“an advisory conference” whose primary purpose was to provide to the Court a written report as to the facts of the dispute and the possible outcomes of the dispute and how these outcomes might be achieved [s.219(2)(c)].</w:t>
      </w:r>
    </w:p>
    <w:p w14:paraId="04B2D494" w14:textId="77777777" w:rsidR="00132E50" w:rsidRPr="001544BF" w:rsidRDefault="00132E50" w:rsidP="00132E50">
      <w:pPr>
        <w:jc w:val="both"/>
        <w:rPr>
          <w:rFonts w:ascii="Arial" w:hAnsi="Arial" w:cs="Arial"/>
          <w:color w:val="000000"/>
          <w:sz w:val="20"/>
        </w:rPr>
      </w:pPr>
    </w:p>
    <w:p w14:paraId="5B91D3C8"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lastRenderedPageBreak/>
        <w:t>In practice there ha</w:t>
      </w:r>
      <w:r w:rsidR="003B4C54">
        <w:rPr>
          <w:rFonts w:ascii="Arial" w:hAnsi="Arial" w:cs="Arial"/>
          <w:color w:val="000000"/>
          <w:sz w:val="20"/>
        </w:rPr>
        <w:t>d</w:t>
      </w:r>
      <w:r w:rsidRPr="001544BF">
        <w:rPr>
          <w:rFonts w:ascii="Arial" w:hAnsi="Arial" w:cs="Arial"/>
          <w:color w:val="000000"/>
          <w:sz w:val="20"/>
        </w:rPr>
        <w:t xml:space="preserve"> been very few advisory conferences.  On 01/12/2013 the “advisory conference” provisions in ss.217(3), 219 &amp; 223(2) were repealed and the word “facilitative” was replaced by the word “conciliation” in ss.218 &amp; 223(1).</w:t>
      </w:r>
    </w:p>
    <w:p w14:paraId="04768B55" w14:textId="77777777" w:rsidR="00132E50" w:rsidRPr="00785E1A" w:rsidRDefault="00132E50" w:rsidP="00132E50">
      <w:pPr>
        <w:jc w:val="both"/>
        <w:rPr>
          <w:rFonts w:ascii="Arial" w:hAnsi="Arial" w:cs="Arial"/>
          <w:color w:val="000000"/>
          <w:sz w:val="20"/>
        </w:rPr>
      </w:pPr>
    </w:p>
    <w:p w14:paraId="52CBF007" w14:textId="77777777" w:rsidR="00132E50" w:rsidRPr="00677920" w:rsidRDefault="00132E50" w:rsidP="00132E50">
      <w:pPr>
        <w:pStyle w:val="Heading3"/>
        <w:keepNext/>
        <w:spacing w:after="120" w:line="240" w:lineRule="auto"/>
        <w:rPr>
          <w:rFonts w:ascii="Arial" w:hAnsi="Arial" w:cs="Arial"/>
          <w:color w:val="000000"/>
          <w:sz w:val="20"/>
        </w:rPr>
      </w:pPr>
      <w:bookmarkStart w:id="1513" w:name="_4.10.5_Attendance_at"/>
      <w:bookmarkStart w:id="1514" w:name="B4105"/>
      <w:bookmarkEnd w:id="1513"/>
      <w:bookmarkEnd w:id="1514"/>
      <w:r w:rsidRPr="00677920">
        <w:rPr>
          <w:rFonts w:ascii="Arial" w:hAnsi="Arial" w:cs="Arial"/>
          <w:b/>
          <w:bCs/>
          <w:color w:val="000000"/>
          <w:sz w:val="20"/>
        </w:rPr>
        <w:t>4.10.5</w:t>
      </w:r>
      <w:r w:rsidRPr="00677920">
        <w:rPr>
          <w:rFonts w:ascii="Arial" w:hAnsi="Arial" w:cs="Arial"/>
          <w:b/>
          <w:bCs/>
          <w:color w:val="000000"/>
          <w:sz w:val="20"/>
        </w:rPr>
        <w:tab/>
        <w:t>Attendance at</w:t>
      </w:r>
      <w:r w:rsidRPr="00677920">
        <w:rPr>
          <w:rFonts w:ascii="Arial" w:hAnsi="Arial" w:cs="Arial"/>
          <w:b/>
          <w:color w:val="000000"/>
          <w:sz w:val="20"/>
        </w:rPr>
        <w:t xml:space="preserve"> CC</w:t>
      </w:r>
    </w:p>
    <w:p w14:paraId="74C42690"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 conciliation conference is attended by the child's parents and a nominee of the Secretary: s.222(1).</w:t>
      </w:r>
    </w:p>
    <w:p w14:paraId="24086357" w14:textId="77777777" w:rsidR="00132E50" w:rsidRPr="00677920" w:rsidRDefault="00132E50" w:rsidP="00132E50">
      <w:pPr>
        <w:jc w:val="both"/>
        <w:rPr>
          <w:rFonts w:ascii="Arial" w:hAnsi="Arial" w:cs="Arial"/>
          <w:color w:val="000000"/>
          <w:sz w:val="20"/>
        </w:rPr>
      </w:pPr>
    </w:p>
    <w:p w14:paraId="70D7D259"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In the past the Secretary ha</w:t>
      </w:r>
      <w:r w:rsidR="003B4C54">
        <w:rPr>
          <w:rFonts w:ascii="Arial" w:hAnsi="Arial" w:cs="Arial"/>
          <w:color w:val="000000"/>
          <w:sz w:val="20"/>
        </w:rPr>
        <w:t>d</w:t>
      </w:r>
      <w:r w:rsidRPr="00677920">
        <w:rPr>
          <w:rFonts w:ascii="Arial" w:hAnsi="Arial" w:cs="Arial"/>
          <w:color w:val="000000"/>
          <w:sz w:val="20"/>
        </w:rPr>
        <w:t xml:space="preserve"> generally not been legally represented, though that </w:t>
      </w:r>
      <w:r w:rsidR="003B4C54">
        <w:rPr>
          <w:rFonts w:ascii="Arial" w:hAnsi="Arial" w:cs="Arial"/>
          <w:color w:val="000000"/>
          <w:sz w:val="20"/>
        </w:rPr>
        <w:t>wa</w:t>
      </w:r>
      <w:r w:rsidRPr="00677920">
        <w:rPr>
          <w:rFonts w:ascii="Arial" w:hAnsi="Arial" w:cs="Arial"/>
          <w:color w:val="000000"/>
          <w:sz w:val="20"/>
        </w:rPr>
        <w:t>s a decision of the Secretary, not a legislative bar or something desired by the Court.  The</w:t>
      </w:r>
      <w:r w:rsidR="00677920">
        <w:rPr>
          <w:rFonts w:ascii="Arial" w:hAnsi="Arial" w:cs="Arial"/>
          <w:color w:val="000000"/>
          <w:sz w:val="20"/>
        </w:rPr>
        <w:t xml:space="preserve"> guidelines for the </w:t>
      </w:r>
      <w:r w:rsidR="0090541F">
        <w:rPr>
          <w:rFonts w:ascii="Arial" w:hAnsi="Arial" w:cs="Arial"/>
          <w:color w:val="000000"/>
          <w:sz w:val="20"/>
        </w:rPr>
        <w:t>current</w:t>
      </w:r>
      <w:r w:rsidRPr="00677920">
        <w:rPr>
          <w:rFonts w:ascii="Arial" w:hAnsi="Arial" w:cs="Arial"/>
          <w:color w:val="000000"/>
          <w:sz w:val="20"/>
        </w:rPr>
        <w:t xml:space="preserve"> </w:t>
      </w:r>
      <w:r w:rsidR="00862BCE">
        <w:rPr>
          <w:rFonts w:ascii="Arial" w:hAnsi="Arial" w:cs="Arial"/>
          <w:color w:val="000000"/>
          <w:sz w:val="20"/>
        </w:rPr>
        <w:t>model</w:t>
      </w:r>
      <w:r w:rsidR="00677920">
        <w:rPr>
          <w:rFonts w:ascii="Arial" w:hAnsi="Arial" w:cs="Arial"/>
          <w:color w:val="000000"/>
          <w:sz w:val="20"/>
        </w:rPr>
        <w:t xml:space="preserve"> of </w:t>
      </w:r>
      <w:r w:rsidRPr="00677920">
        <w:rPr>
          <w:rFonts w:ascii="Arial" w:hAnsi="Arial" w:cs="Arial"/>
          <w:color w:val="000000"/>
          <w:sz w:val="20"/>
        </w:rPr>
        <w:t>conference</w:t>
      </w:r>
      <w:r w:rsidR="00677920">
        <w:rPr>
          <w:rFonts w:ascii="Arial" w:hAnsi="Arial" w:cs="Arial"/>
          <w:color w:val="000000"/>
          <w:sz w:val="20"/>
        </w:rPr>
        <w:t xml:space="preserve"> </w:t>
      </w:r>
      <w:r w:rsidRPr="00677920">
        <w:rPr>
          <w:rFonts w:ascii="Arial" w:hAnsi="Arial" w:cs="Arial"/>
          <w:color w:val="000000"/>
          <w:sz w:val="20"/>
        </w:rPr>
        <w:t>state [at p.8]: “DHS at [a conference] must be legally represented or have legal representation during the final phase of the conference to assist with negotiation and drafting of minutes.  In all circumstances DHS must have a person present at [a conference] with the necessary authority to negotiate a range of possible outcomes and make decisions that may lead to settlement.”</w:t>
      </w:r>
    </w:p>
    <w:p w14:paraId="22ADA70E" w14:textId="77777777" w:rsidR="00132E50" w:rsidRPr="00785E1A" w:rsidRDefault="00132E50" w:rsidP="00132E50">
      <w:pPr>
        <w:jc w:val="both"/>
        <w:rPr>
          <w:rFonts w:ascii="Arial" w:hAnsi="Arial" w:cs="Arial"/>
          <w:color w:val="000000"/>
          <w:sz w:val="20"/>
        </w:rPr>
      </w:pPr>
    </w:p>
    <w:p w14:paraId="7AEE8E56" w14:textId="77777777" w:rsidR="00132E50" w:rsidRPr="00677920" w:rsidRDefault="00132E50" w:rsidP="00132E50">
      <w:pPr>
        <w:jc w:val="both"/>
        <w:rPr>
          <w:rFonts w:ascii="Arial" w:hAnsi="Arial" w:cs="Arial"/>
          <w:color w:val="000000"/>
          <w:sz w:val="20"/>
        </w:rPr>
      </w:pPr>
      <w:r w:rsidRPr="00785E1A">
        <w:rPr>
          <w:rFonts w:ascii="Arial" w:hAnsi="Arial" w:cs="Arial"/>
          <w:color w:val="000000"/>
          <w:sz w:val="20"/>
        </w:rPr>
        <w:t xml:space="preserve">A legal representative of the parent may attend: s.222(3).  If the child is mature enough to give instructions, a separate legal representative of the child may attend: s.222(4).  If, in exceptional circumstances, the Court determines that it is in the best interests of a child who, in the opinion of the Court is not mature enough to give instructions, for the child to be legally </w:t>
      </w:r>
      <w:r w:rsidRPr="00677920">
        <w:rPr>
          <w:rFonts w:ascii="Arial" w:hAnsi="Arial" w:cs="Arial"/>
          <w:color w:val="000000"/>
          <w:sz w:val="20"/>
        </w:rPr>
        <w:t>represented at a conference, such legal representative may attend: s.222(5).</w:t>
      </w:r>
    </w:p>
    <w:p w14:paraId="2CD779AC" w14:textId="77777777" w:rsidR="00132E50" w:rsidRPr="00785E1A" w:rsidRDefault="00132E50" w:rsidP="00132E50">
      <w:pPr>
        <w:jc w:val="both"/>
        <w:rPr>
          <w:rFonts w:ascii="Arial" w:hAnsi="Arial" w:cs="Arial"/>
          <w:color w:val="000000"/>
          <w:sz w:val="20"/>
        </w:rPr>
      </w:pPr>
    </w:p>
    <w:p w14:paraId="61637BD9"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In addition, under s.222(2), the Court may order the attendance of-</w:t>
      </w:r>
    </w:p>
    <w:p w14:paraId="40930ECC" w14:textId="77777777" w:rsidR="00132E50" w:rsidRPr="00785E1A" w:rsidRDefault="00132E50" w:rsidP="00132E50">
      <w:pPr>
        <w:numPr>
          <w:ilvl w:val="0"/>
          <w:numId w:val="14"/>
        </w:numPr>
        <w:tabs>
          <w:tab w:val="clear" w:pos="420"/>
          <w:tab w:val="num" w:pos="363"/>
        </w:tabs>
        <w:ind w:left="0"/>
        <w:jc w:val="both"/>
        <w:rPr>
          <w:rFonts w:ascii="Arial" w:hAnsi="Arial" w:cs="Arial"/>
          <w:color w:val="000000"/>
          <w:sz w:val="20"/>
        </w:rPr>
      </w:pPr>
      <w:r w:rsidRPr="00785E1A">
        <w:rPr>
          <w:rFonts w:ascii="Arial" w:hAnsi="Arial" w:cs="Arial"/>
          <w:color w:val="000000"/>
          <w:sz w:val="20"/>
        </w:rPr>
        <w:t>the child;</w:t>
      </w:r>
    </w:p>
    <w:p w14:paraId="64AB6F37" w14:textId="77777777" w:rsidR="00132E50" w:rsidRPr="00785E1A" w:rsidRDefault="00132E50" w:rsidP="00132E50">
      <w:pPr>
        <w:numPr>
          <w:ilvl w:val="0"/>
          <w:numId w:val="14"/>
        </w:numPr>
        <w:tabs>
          <w:tab w:val="clear" w:pos="420"/>
          <w:tab w:val="num" w:pos="363"/>
        </w:tabs>
        <w:ind w:left="0"/>
        <w:jc w:val="both"/>
        <w:rPr>
          <w:rFonts w:ascii="Arial" w:hAnsi="Arial" w:cs="Arial"/>
          <w:color w:val="000000"/>
          <w:sz w:val="20"/>
        </w:rPr>
      </w:pPr>
      <w:r w:rsidRPr="00785E1A">
        <w:rPr>
          <w:rFonts w:ascii="Arial" w:hAnsi="Arial" w:cs="Arial"/>
          <w:color w:val="000000"/>
          <w:sz w:val="20"/>
        </w:rPr>
        <w:t>his or her relative(s);</w:t>
      </w:r>
    </w:p>
    <w:p w14:paraId="1FD67948" w14:textId="77777777" w:rsidR="00132E50" w:rsidRPr="00785E1A" w:rsidRDefault="00132E50" w:rsidP="00132E50">
      <w:pPr>
        <w:numPr>
          <w:ilvl w:val="0"/>
          <w:numId w:val="14"/>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an Aboriginal child, a member of the child’s Aboriginal community as agreed to by the child;</w:t>
      </w:r>
    </w:p>
    <w:p w14:paraId="01F79301" w14:textId="77777777" w:rsidR="00132E50" w:rsidRPr="00785E1A" w:rsidRDefault="00132E50" w:rsidP="00132E50">
      <w:pPr>
        <w:numPr>
          <w:ilvl w:val="0"/>
          <w:numId w:val="14"/>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child’s parent is an Aboriginal person, a member of the parent’s Aboriginal community as agreed to by the parent;</w:t>
      </w:r>
    </w:p>
    <w:p w14:paraId="11CF4AA8" w14:textId="77777777" w:rsidR="00132E50" w:rsidRPr="00785E1A" w:rsidRDefault="00132E50" w:rsidP="00132E50">
      <w:pPr>
        <w:numPr>
          <w:ilvl w:val="0"/>
          <w:numId w:val="14"/>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 child from an ethnic background, a member of the appropriate ethnic community who is chosen or agreed to by the child or by his or her parent;</w:t>
      </w:r>
    </w:p>
    <w:p w14:paraId="586FD8D6" w14:textId="77777777" w:rsidR="00132E50" w:rsidRPr="00785E1A" w:rsidRDefault="00132E50" w:rsidP="00132E50">
      <w:pPr>
        <w:numPr>
          <w:ilvl w:val="0"/>
          <w:numId w:val="14"/>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 has a disability, an advocate for the child;</w:t>
      </w:r>
    </w:p>
    <w:p w14:paraId="55DE775C" w14:textId="77777777" w:rsidR="00132E50" w:rsidRPr="00785E1A" w:rsidRDefault="00132E50" w:rsidP="00132E50">
      <w:pPr>
        <w:numPr>
          <w:ilvl w:val="0"/>
          <w:numId w:val="14"/>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parent has a disability, an advocate for the parent;</w:t>
      </w:r>
    </w:p>
    <w:p w14:paraId="5295FAA8" w14:textId="77777777" w:rsidR="00132E50" w:rsidRPr="00785E1A" w:rsidRDefault="00132E50" w:rsidP="00132E50">
      <w:pPr>
        <w:numPr>
          <w:ilvl w:val="0"/>
          <w:numId w:val="14"/>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any other support person for the child requested by the child.</w:t>
      </w:r>
    </w:p>
    <w:p w14:paraId="5EBDF0FF" w14:textId="77777777" w:rsidR="00132E50" w:rsidRDefault="00132E50" w:rsidP="00132E50">
      <w:pPr>
        <w:jc w:val="both"/>
        <w:rPr>
          <w:rFonts w:ascii="Arial" w:hAnsi="Arial" w:cs="Arial"/>
          <w:color w:val="000000"/>
          <w:sz w:val="20"/>
        </w:rPr>
      </w:pPr>
    </w:p>
    <w:p w14:paraId="37D34B0B" w14:textId="77777777" w:rsidR="00132E50" w:rsidRPr="00677920" w:rsidRDefault="0090541F" w:rsidP="00132E50">
      <w:pPr>
        <w:jc w:val="both"/>
        <w:rPr>
          <w:rFonts w:ascii="Arial" w:hAnsi="Arial" w:cs="Arial"/>
          <w:color w:val="000000"/>
          <w:sz w:val="20"/>
        </w:rPr>
      </w:pPr>
      <w:r>
        <w:rPr>
          <w:rFonts w:ascii="Arial" w:hAnsi="Arial" w:cs="Arial"/>
          <w:color w:val="000000"/>
          <w:sz w:val="20"/>
        </w:rPr>
        <w:t xml:space="preserve">Section </w:t>
      </w:r>
      <w:r w:rsidR="00132E50" w:rsidRPr="00677920">
        <w:rPr>
          <w:rFonts w:ascii="Arial" w:hAnsi="Arial" w:cs="Arial"/>
          <w:color w:val="000000"/>
          <w:sz w:val="20"/>
        </w:rPr>
        <w:t>226(7) of the CYFA gives the convenor(s) of a CC power to-</w:t>
      </w:r>
    </w:p>
    <w:p w14:paraId="3FF2A7C2"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w:t>
      </w:r>
      <w:r w:rsidRPr="00677920">
        <w:rPr>
          <w:rFonts w:ascii="Arial" w:hAnsi="Arial" w:cs="Arial"/>
          <w:color w:val="000000"/>
          <w:sz w:val="20"/>
        </w:rPr>
        <w:tab/>
        <w:t>permit any other person to attend the conference;</w:t>
      </w:r>
    </w:p>
    <w:p w14:paraId="5B1A913F"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(b)</w:t>
      </w:r>
      <w:r w:rsidRPr="00677920">
        <w:rPr>
          <w:rFonts w:ascii="Arial" w:hAnsi="Arial" w:cs="Arial"/>
          <w:color w:val="000000"/>
          <w:sz w:val="20"/>
        </w:rPr>
        <w:tab/>
        <w:t>specify whether, or in what manner, the person may participate in the conference;</w:t>
      </w:r>
    </w:p>
    <w:p w14:paraId="2542FA93"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(c)</w:t>
      </w:r>
      <w:r w:rsidRPr="00677920">
        <w:rPr>
          <w:rFonts w:ascii="Arial" w:hAnsi="Arial" w:cs="Arial"/>
          <w:color w:val="000000"/>
          <w:sz w:val="20"/>
        </w:rPr>
        <w:tab/>
        <w:t>require the person to leave the conference at any time; and</w:t>
      </w:r>
    </w:p>
    <w:p w14:paraId="1593A755"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(d)</w:t>
      </w:r>
      <w:r w:rsidRPr="00677920">
        <w:rPr>
          <w:rFonts w:ascii="Arial" w:hAnsi="Arial" w:cs="Arial"/>
          <w:color w:val="000000"/>
          <w:sz w:val="20"/>
        </w:rPr>
        <w:tab/>
        <w:t>require that any other specified person not attend the conference.</w:t>
      </w:r>
    </w:p>
    <w:p w14:paraId="5C8717C2" w14:textId="77777777" w:rsidR="00132E50" w:rsidRPr="00677920" w:rsidRDefault="00132E50" w:rsidP="00132E50">
      <w:pPr>
        <w:jc w:val="both"/>
        <w:rPr>
          <w:rFonts w:ascii="Arial" w:hAnsi="Arial" w:cs="Arial"/>
          <w:color w:val="000000"/>
          <w:sz w:val="20"/>
        </w:rPr>
      </w:pPr>
    </w:p>
    <w:p w14:paraId="45A749F0" w14:textId="77777777" w:rsidR="00132E50" w:rsidRPr="00785E1A" w:rsidRDefault="00132E50" w:rsidP="00132E50">
      <w:pPr>
        <w:pStyle w:val="Heading3"/>
        <w:keepNext/>
        <w:spacing w:after="120" w:line="240" w:lineRule="auto"/>
        <w:rPr>
          <w:rFonts w:ascii="Arial" w:hAnsi="Arial" w:cs="Arial"/>
          <w:color w:val="000000"/>
          <w:sz w:val="20"/>
        </w:rPr>
      </w:pPr>
      <w:bookmarkStart w:id="1515" w:name="_4.10.6_Guidelines_&amp;"/>
      <w:bookmarkStart w:id="1516" w:name="B4106"/>
      <w:bookmarkEnd w:id="1515"/>
      <w:bookmarkEnd w:id="1516"/>
      <w:r w:rsidRPr="00785E1A">
        <w:rPr>
          <w:rFonts w:ascii="Arial" w:hAnsi="Arial" w:cs="Arial"/>
          <w:b/>
          <w:bCs/>
          <w:color w:val="000000"/>
          <w:sz w:val="20"/>
        </w:rPr>
        <w:t>4.10.6</w:t>
      </w:r>
      <w:r w:rsidRPr="00785E1A">
        <w:rPr>
          <w:rFonts w:ascii="Arial" w:hAnsi="Arial" w:cs="Arial"/>
          <w:b/>
          <w:bCs/>
          <w:color w:val="000000"/>
          <w:sz w:val="20"/>
        </w:rPr>
        <w:tab/>
        <w:t>Guidelines &amp; procedure</w:t>
      </w:r>
    </w:p>
    <w:p w14:paraId="3DCC5B92" w14:textId="77777777" w:rsidR="00132E50" w:rsidRPr="00862BCE" w:rsidRDefault="00132E50" w:rsidP="00132E50">
      <w:pPr>
        <w:jc w:val="both"/>
        <w:rPr>
          <w:rFonts w:ascii="Arial" w:hAnsi="Arial" w:cs="Arial"/>
          <w:color w:val="000000"/>
          <w:sz w:val="20"/>
        </w:rPr>
      </w:pPr>
      <w:r w:rsidRPr="00785E1A">
        <w:rPr>
          <w:rFonts w:ascii="Arial" w:hAnsi="Arial" w:cs="Arial"/>
          <w:color w:val="000000"/>
          <w:sz w:val="20"/>
        </w:rPr>
        <w:t xml:space="preserve">Section 220 of the CYFA requires a </w:t>
      </w:r>
      <w:r w:rsidRPr="00677920">
        <w:rPr>
          <w:rFonts w:ascii="Arial" w:hAnsi="Arial" w:cs="Arial"/>
          <w:color w:val="000000"/>
          <w:sz w:val="20"/>
        </w:rPr>
        <w:t>conciliation conference</w:t>
      </w:r>
      <w:r w:rsidRPr="00785E1A">
        <w:rPr>
          <w:rFonts w:ascii="Arial" w:hAnsi="Arial" w:cs="Arial"/>
          <w:color w:val="000000"/>
          <w:sz w:val="20"/>
        </w:rPr>
        <w:t xml:space="preserve"> to be conducted in accordance with any guidelines issued from time to time by the Court.</w:t>
      </w:r>
      <w:r w:rsidR="00AB3180">
        <w:rPr>
          <w:rFonts w:ascii="Arial" w:hAnsi="Arial" w:cs="Arial"/>
          <w:color w:val="000000"/>
          <w:sz w:val="20"/>
        </w:rPr>
        <w:t xml:space="preserve">  </w:t>
      </w:r>
      <w:r w:rsidR="00862BCE" w:rsidRPr="00862BCE">
        <w:rPr>
          <w:rFonts w:ascii="Arial" w:hAnsi="Arial" w:cs="Arial"/>
          <w:color w:val="000000"/>
          <w:sz w:val="20"/>
        </w:rPr>
        <w:t xml:space="preserve">The </w:t>
      </w:r>
      <w:r w:rsidRPr="00862BCE">
        <w:rPr>
          <w:rFonts w:ascii="Arial" w:hAnsi="Arial" w:cs="Arial"/>
          <w:color w:val="000000"/>
          <w:sz w:val="20"/>
        </w:rPr>
        <w:t xml:space="preserve">guidelines </w:t>
      </w:r>
      <w:r w:rsidR="00862BCE" w:rsidRPr="00862BCE">
        <w:rPr>
          <w:rFonts w:ascii="Arial" w:hAnsi="Arial" w:cs="Arial"/>
          <w:color w:val="000000"/>
          <w:sz w:val="20"/>
        </w:rPr>
        <w:t xml:space="preserve">for the </w:t>
      </w:r>
      <w:r w:rsidR="0090541F">
        <w:rPr>
          <w:rFonts w:ascii="Arial" w:hAnsi="Arial" w:cs="Arial"/>
          <w:color w:val="000000"/>
          <w:sz w:val="20"/>
        </w:rPr>
        <w:t>current</w:t>
      </w:r>
      <w:r w:rsidR="00862BCE" w:rsidRPr="00862BCE">
        <w:rPr>
          <w:rFonts w:ascii="Arial" w:hAnsi="Arial" w:cs="Arial"/>
          <w:color w:val="000000"/>
          <w:sz w:val="20"/>
        </w:rPr>
        <w:t xml:space="preserve"> model of conciliation conferenc</w:t>
      </w:r>
      <w:r w:rsidR="0090541F">
        <w:rPr>
          <w:rFonts w:ascii="Arial" w:hAnsi="Arial" w:cs="Arial"/>
          <w:color w:val="000000"/>
          <w:sz w:val="20"/>
        </w:rPr>
        <w:t>ing</w:t>
      </w:r>
      <w:r w:rsidR="00862BCE" w:rsidRPr="00862BCE">
        <w:rPr>
          <w:rFonts w:ascii="Arial" w:hAnsi="Arial" w:cs="Arial"/>
          <w:color w:val="000000"/>
          <w:sz w:val="20"/>
        </w:rPr>
        <w:t xml:space="preserve"> </w:t>
      </w:r>
      <w:r w:rsidRPr="00862BCE">
        <w:rPr>
          <w:rFonts w:ascii="Arial" w:hAnsi="Arial" w:cs="Arial"/>
          <w:color w:val="000000"/>
          <w:sz w:val="20"/>
        </w:rPr>
        <w:t xml:space="preserve">issued by the Court and effective from 09/09/2013 can be downloaded from the Court’s website.  These guidelines set out, </w:t>
      </w:r>
      <w:r w:rsidRPr="00862BCE">
        <w:rPr>
          <w:rFonts w:ascii="Arial" w:hAnsi="Arial" w:cs="Arial"/>
          <w:i/>
          <w:color w:val="000000"/>
          <w:sz w:val="20"/>
        </w:rPr>
        <w:t>inter alia</w:t>
      </w:r>
      <w:r w:rsidRPr="00862BCE">
        <w:rPr>
          <w:rFonts w:ascii="Arial" w:hAnsi="Arial" w:cs="Arial"/>
          <w:color w:val="000000"/>
          <w:sz w:val="20"/>
        </w:rPr>
        <w:t>-</w:t>
      </w:r>
    </w:p>
    <w:p w14:paraId="63E1D2A5" w14:textId="77777777" w:rsidR="00132E50" w:rsidRPr="00862BCE" w:rsidRDefault="00132E50" w:rsidP="00132E50">
      <w:pPr>
        <w:numPr>
          <w:ilvl w:val="0"/>
          <w:numId w:val="16"/>
        </w:numPr>
        <w:jc w:val="both"/>
        <w:rPr>
          <w:rFonts w:ascii="Arial" w:hAnsi="Arial" w:cs="Arial"/>
          <w:bCs/>
          <w:color w:val="000000"/>
          <w:sz w:val="20"/>
        </w:rPr>
      </w:pPr>
      <w:r w:rsidRPr="00862BCE">
        <w:rPr>
          <w:rFonts w:ascii="Arial" w:hAnsi="Arial" w:cs="Arial"/>
          <w:bCs/>
          <w:color w:val="000000"/>
          <w:sz w:val="20"/>
        </w:rPr>
        <w:t>when the Court will order an CC;</w:t>
      </w:r>
    </w:p>
    <w:p w14:paraId="695ADF47" w14:textId="77777777" w:rsidR="00132E50" w:rsidRPr="00862BCE" w:rsidRDefault="00132E50" w:rsidP="00132E50">
      <w:pPr>
        <w:numPr>
          <w:ilvl w:val="0"/>
          <w:numId w:val="16"/>
        </w:numPr>
        <w:jc w:val="both"/>
        <w:rPr>
          <w:rFonts w:ascii="Arial" w:hAnsi="Arial" w:cs="Arial"/>
          <w:bCs/>
          <w:color w:val="000000"/>
          <w:sz w:val="20"/>
        </w:rPr>
      </w:pPr>
      <w:r w:rsidRPr="00862BCE">
        <w:rPr>
          <w:rFonts w:ascii="Arial" w:hAnsi="Arial" w:cs="Arial"/>
          <w:bCs/>
          <w:color w:val="000000"/>
          <w:sz w:val="20"/>
        </w:rPr>
        <w:t>the preliminary process and the role of the Conference Intake Officer, including the conduct of a risk assessment for parties other than the children;</w:t>
      </w:r>
    </w:p>
    <w:p w14:paraId="5E3490BD" w14:textId="77777777" w:rsidR="00132E50" w:rsidRPr="00862BCE" w:rsidRDefault="00132E50" w:rsidP="00132E50">
      <w:pPr>
        <w:numPr>
          <w:ilvl w:val="0"/>
          <w:numId w:val="16"/>
        </w:numPr>
        <w:jc w:val="both"/>
        <w:rPr>
          <w:rFonts w:ascii="Arial" w:hAnsi="Arial" w:cs="Arial"/>
          <w:bCs/>
          <w:color w:val="000000"/>
          <w:sz w:val="20"/>
        </w:rPr>
      </w:pPr>
      <w:r w:rsidRPr="00862BCE">
        <w:rPr>
          <w:rFonts w:ascii="Arial" w:hAnsi="Arial" w:cs="Arial"/>
          <w:bCs/>
          <w:color w:val="000000"/>
          <w:sz w:val="20"/>
        </w:rPr>
        <w:t>information exchange requirements;</w:t>
      </w:r>
    </w:p>
    <w:p w14:paraId="21A19CB8" w14:textId="77777777" w:rsidR="00132E50" w:rsidRPr="00862BCE" w:rsidRDefault="00132E50" w:rsidP="00132E50">
      <w:pPr>
        <w:numPr>
          <w:ilvl w:val="0"/>
          <w:numId w:val="16"/>
        </w:numPr>
        <w:jc w:val="both"/>
        <w:rPr>
          <w:rFonts w:ascii="Arial" w:hAnsi="Arial" w:cs="Arial"/>
          <w:bCs/>
          <w:color w:val="000000"/>
          <w:sz w:val="20"/>
        </w:rPr>
      </w:pPr>
      <w:r w:rsidRPr="00862BCE">
        <w:rPr>
          <w:rFonts w:ascii="Arial" w:hAnsi="Arial" w:cs="Arial"/>
          <w:bCs/>
          <w:color w:val="000000"/>
          <w:sz w:val="20"/>
        </w:rPr>
        <w:t>the conference is to be conducted at a venue away from the Court unless there are identified security issues or a party is in custody;</w:t>
      </w:r>
    </w:p>
    <w:p w14:paraId="50061490" w14:textId="77777777" w:rsidR="00132E50" w:rsidRPr="00862BCE" w:rsidRDefault="00132E50" w:rsidP="00132E50">
      <w:pPr>
        <w:numPr>
          <w:ilvl w:val="0"/>
          <w:numId w:val="16"/>
        </w:numPr>
        <w:jc w:val="both"/>
        <w:rPr>
          <w:rFonts w:ascii="Arial" w:hAnsi="Arial" w:cs="Arial"/>
          <w:bCs/>
          <w:color w:val="000000"/>
          <w:sz w:val="20"/>
        </w:rPr>
      </w:pPr>
      <w:r w:rsidRPr="00862BCE">
        <w:rPr>
          <w:rFonts w:ascii="Arial" w:hAnsi="Arial" w:cs="Arial"/>
          <w:bCs/>
          <w:color w:val="000000"/>
          <w:sz w:val="20"/>
        </w:rPr>
        <w:t>the purpose of an CC;</w:t>
      </w:r>
    </w:p>
    <w:p w14:paraId="144FAA5D" w14:textId="77777777" w:rsidR="00132E50" w:rsidRPr="00862BCE" w:rsidRDefault="00132E50" w:rsidP="00132E50">
      <w:pPr>
        <w:numPr>
          <w:ilvl w:val="0"/>
          <w:numId w:val="16"/>
        </w:numPr>
        <w:jc w:val="both"/>
        <w:rPr>
          <w:rFonts w:ascii="Arial" w:hAnsi="Arial" w:cs="Arial"/>
          <w:bCs/>
          <w:color w:val="000000"/>
          <w:sz w:val="20"/>
        </w:rPr>
      </w:pPr>
      <w:r w:rsidRPr="00862BCE">
        <w:rPr>
          <w:rFonts w:ascii="Arial" w:hAnsi="Arial" w:cs="Arial"/>
          <w:bCs/>
          <w:color w:val="000000"/>
          <w:sz w:val="20"/>
        </w:rPr>
        <w:t>the responsibilities of all participants in a CC;</w:t>
      </w:r>
    </w:p>
    <w:p w14:paraId="4F47614A" w14:textId="77777777" w:rsidR="00132E50" w:rsidRPr="00862BCE" w:rsidRDefault="00132E50" w:rsidP="00132E50">
      <w:pPr>
        <w:numPr>
          <w:ilvl w:val="0"/>
          <w:numId w:val="16"/>
        </w:numPr>
        <w:jc w:val="both"/>
        <w:rPr>
          <w:rFonts w:ascii="Arial" w:hAnsi="Arial" w:cs="Arial"/>
          <w:bCs/>
          <w:color w:val="000000"/>
          <w:sz w:val="20"/>
        </w:rPr>
      </w:pPr>
      <w:r w:rsidRPr="00862BCE">
        <w:rPr>
          <w:rFonts w:ascii="Arial" w:hAnsi="Arial" w:cs="Arial"/>
          <w:bCs/>
          <w:color w:val="000000"/>
          <w:sz w:val="20"/>
        </w:rPr>
        <w:t>the roles of convenors, lawyers, child protection practitioners, family &amp; community members; and</w:t>
      </w:r>
    </w:p>
    <w:p w14:paraId="006C33DF" w14:textId="77777777" w:rsidR="00132E50" w:rsidRPr="00862BCE" w:rsidRDefault="00132E50" w:rsidP="00132E50">
      <w:pPr>
        <w:numPr>
          <w:ilvl w:val="0"/>
          <w:numId w:val="16"/>
        </w:numPr>
        <w:jc w:val="both"/>
        <w:rPr>
          <w:rFonts w:ascii="Arial" w:hAnsi="Arial" w:cs="Arial"/>
          <w:bCs/>
          <w:color w:val="000000"/>
          <w:sz w:val="20"/>
        </w:rPr>
      </w:pPr>
      <w:r w:rsidRPr="00862BCE">
        <w:rPr>
          <w:rFonts w:ascii="Arial" w:hAnsi="Arial" w:cs="Arial"/>
          <w:bCs/>
          <w:color w:val="000000"/>
          <w:sz w:val="20"/>
        </w:rPr>
        <w:t>the process for conducting the conference.</w:t>
      </w:r>
    </w:p>
    <w:p w14:paraId="520E9946" w14:textId="77777777" w:rsidR="00132E50" w:rsidRPr="00862BCE" w:rsidRDefault="00132E50" w:rsidP="00132E50">
      <w:pPr>
        <w:jc w:val="both"/>
        <w:rPr>
          <w:rFonts w:ascii="Arial" w:hAnsi="Arial" w:cs="Arial"/>
          <w:color w:val="000000"/>
          <w:sz w:val="20"/>
        </w:rPr>
      </w:pPr>
    </w:p>
    <w:p w14:paraId="151AF32B"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These guidelines specify [at p.5] that all those participating in a CC-</w:t>
      </w:r>
    </w:p>
    <w:p w14:paraId="45EF644E" w14:textId="77777777" w:rsidR="00132E50" w:rsidRPr="00785E1A" w:rsidRDefault="00132E50" w:rsidP="00FB1EE3">
      <w:pPr>
        <w:numPr>
          <w:ilvl w:val="0"/>
          <w:numId w:val="38"/>
        </w:numPr>
        <w:ind w:left="357" w:hanging="357"/>
        <w:jc w:val="both"/>
        <w:rPr>
          <w:rFonts w:ascii="Arial" w:hAnsi="Arial" w:cs="Arial"/>
          <w:bCs/>
          <w:color w:val="000000"/>
          <w:sz w:val="20"/>
        </w:rPr>
      </w:pPr>
      <w:r w:rsidRPr="00785E1A">
        <w:rPr>
          <w:rFonts w:ascii="Arial" w:hAnsi="Arial" w:cs="Arial"/>
          <w:color w:val="000000"/>
          <w:sz w:val="20"/>
        </w:rPr>
        <w:t>must respect the authority of the convenor;</w:t>
      </w:r>
    </w:p>
    <w:p w14:paraId="0BE7DA35" w14:textId="77777777" w:rsidR="00132E50" w:rsidRPr="00862BCE" w:rsidRDefault="00132E50" w:rsidP="00FB1EE3">
      <w:pPr>
        <w:numPr>
          <w:ilvl w:val="0"/>
          <w:numId w:val="38"/>
        </w:numPr>
        <w:ind w:left="357" w:hanging="357"/>
        <w:jc w:val="both"/>
        <w:rPr>
          <w:rFonts w:ascii="Arial" w:hAnsi="Arial" w:cs="Arial"/>
          <w:bCs/>
          <w:color w:val="000000"/>
          <w:sz w:val="20"/>
        </w:rPr>
      </w:pPr>
      <w:r w:rsidRPr="00862BCE">
        <w:rPr>
          <w:rFonts w:ascii="Arial" w:hAnsi="Arial" w:cs="Arial"/>
          <w:color w:val="000000"/>
          <w:sz w:val="20"/>
        </w:rPr>
        <w:t>must respect the roles and responsibilities of all other participants in an CC;</w:t>
      </w:r>
    </w:p>
    <w:p w14:paraId="58AADCDF" w14:textId="77777777" w:rsidR="00132E50" w:rsidRPr="00785E1A" w:rsidRDefault="00132E50" w:rsidP="00FB1EE3">
      <w:pPr>
        <w:numPr>
          <w:ilvl w:val="0"/>
          <w:numId w:val="38"/>
        </w:numPr>
        <w:ind w:left="357" w:hanging="357"/>
        <w:jc w:val="both"/>
        <w:rPr>
          <w:rFonts w:ascii="Arial" w:hAnsi="Arial" w:cs="Arial"/>
          <w:bCs/>
          <w:color w:val="000000"/>
          <w:sz w:val="20"/>
        </w:rPr>
      </w:pPr>
      <w:r w:rsidRPr="00785E1A">
        <w:rPr>
          <w:rFonts w:ascii="Arial" w:hAnsi="Arial" w:cs="Arial"/>
          <w:color w:val="000000"/>
          <w:sz w:val="20"/>
        </w:rPr>
        <w:lastRenderedPageBreak/>
        <w:t>must clearly state their point of view and listen to and discuss the views of others;</w:t>
      </w:r>
    </w:p>
    <w:p w14:paraId="2DE84B01" w14:textId="77777777" w:rsidR="00132E50" w:rsidRPr="00785E1A" w:rsidRDefault="00132E50" w:rsidP="00FB1EE3">
      <w:pPr>
        <w:numPr>
          <w:ilvl w:val="0"/>
          <w:numId w:val="38"/>
        </w:numPr>
        <w:ind w:left="357" w:hanging="357"/>
        <w:jc w:val="both"/>
        <w:rPr>
          <w:rFonts w:ascii="Arial" w:hAnsi="Arial" w:cs="Arial"/>
          <w:bCs/>
          <w:color w:val="000000"/>
          <w:sz w:val="20"/>
        </w:rPr>
      </w:pPr>
      <w:r w:rsidRPr="00785E1A">
        <w:rPr>
          <w:rFonts w:ascii="Arial" w:hAnsi="Arial" w:cs="Arial"/>
          <w:color w:val="000000"/>
          <w:sz w:val="20"/>
        </w:rPr>
        <w:t>must highlight the strengths within the family;</w:t>
      </w:r>
    </w:p>
    <w:p w14:paraId="43921FBC" w14:textId="77777777" w:rsidR="00132E50" w:rsidRPr="00785E1A" w:rsidRDefault="00132E50" w:rsidP="00FB1EE3">
      <w:pPr>
        <w:numPr>
          <w:ilvl w:val="0"/>
          <w:numId w:val="38"/>
        </w:numPr>
        <w:ind w:left="357" w:hanging="357"/>
        <w:jc w:val="both"/>
        <w:rPr>
          <w:rFonts w:ascii="Arial" w:hAnsi="Arial" w:cs="Arial"/>
          <w:bCs/>
          <w:color w:val="000000"/>
          <w:sz w:val="20"/>
        </w:rPr>
      </w:pPr>
      <w:r w:rsidRPr="00785E1A">
        <w:rPr>
          <w:rFonts w:ascii="Arial" w:hAnsi="Arial" w:cs="Arial"/>
          <w:color w:val="000000"/>
          <w:sz w:val="20"/>
        </w:rPr>
        <w:t xml:space="preserve">must consider the options </w:t>
      </w:r>
      <w:r w:rsidRPr="00785E1A">
        <w:rPr>
          <w:rFonts w:ascii="Arial" w:hAnsi="Arial" w:cs="Arial"/>
          <w:bCs/>
          <w:color w:val="000000"/>
          <w:sz w:val="20"/>
        </w:rPr>
        <w:t>for resolving the protective concerns which gave rise to the application; and</w:t>
      </w:r>
    </w:p>
    <w:p w14:paraId="57D835E1" w14:textId="77777777" w:rsidR="00132E50" w:rsidRPr="00785E1A" w:rsidRDefault="00132E50" w:rsidP="00FB1EE3">
      <w:pPr>
        <w:numPr>
          <w:ilvl w:val="0"/>
          <w:numId w:val="38"/>
        </w:numPr>
        <w:ind w:left="357" w:hanging="357"/>
        <w:jc w:val="both"/>
        <w:rPr>
          <w:rFonts w:ascii="Arial" w:hAnsi="Arial" w:cs="Arial"/>
          <w:bCs/>
          <w:color w:val="000000"/>
          <w:sz w:val="20"/>
        </w:rPr>
      </w:pPr>
      <w:r w:rsidRPr="00785E1A">
        <w:rPr>
          <w:rFonts w:ascii="Arial" w:hAnsi="Arial" w:cs="Arial"/>
          <w:bCs/>
          <w:color w:val="000000"/>
          <w:sz w:val="20"/>
        </w:rPr>
        <w:t>must consider the arrangements that are in the best interests of the child.</w:t>
      </w:r>
    </w:p>
    <w:p w14:paraId="1C97D6A0" w14:textId="77777777" w:rsidR="00132E50" w:rsidRPr="00785E1A" w:rsidRDefault="00132E50" w:rsidP="00132E50">
      <w:pPr>
        <w:jc w:val="both"/>
        <w:rPr>
          <w:rFonts w:ascii="Arial" w:hAnsi="Arial" w:cs="Arial"/>
          <w:color w:val="000000"/>
          <w:sz w:val="20"/>
        </w:rPr>
      </w:pPr>
    </w:p>
    <w:p w14:paraId="08118275"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Annexed to these guidelines are a number of documents including:</w:t>
      </w:r>
    </w:p>
    <w:p w14:paraId="22C67D2D" w14:textId="77777777" w:rsidR="00132E50" w:rsidRPr="00862BCE" w:rsidRDefault="00132E50" w:rsidP="00FB1EE3">
      <w:pPr>
        <w:numPr>
          <w:ilvl w:val="0"/>
          <w:numId w:val="41"/>
        </w:numPr>
        <w:tabs>
          <w:tab w:val="clear" w:pos="720"/>
        </w:tabs>
        <w:ind w:left="357" w:hanging="357"/>
        <w:jc w:val="both"/>
        <w:rPr>
          <w:rFonts w:ascii="Arial" w:hAnsi="Arial" w:cs="Arial"/>
          <w:color w:val="000000"/>
          <w:sz w:val="20"/>
        </w:rPr>
      </w:pPr>
      <w:r w:rsidRPr="00862BCE">
        <w:rPr>
          <w:rFonts w:ascii="Arial" w:hAnsi="Arial" w:cs="Arial"/>
          <w:color w:val="000000"/>
          <w:sz w:val="20"/>
        </w:rPr>
        <w:t>Information Exchange Documents to be filed and served by all parties or their lawyers prior to each CC</w:t>
      </w:r>
    </w:p>
    <w:p w14:paraId="33BCE371" w14:textId="77777777" w:rsidR="00132E50" w:rsidRPr="00862BCE" w:rsidRDefault="00132E50" w:rsidP="00FB1EE3">
      <w:pPr>
        <w:numPr>
          <w:ilvl w:val="0"/>
          <w:numId w:val="41"/>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A CC Addendum report to be filed and served by </w:t>
      </w:r>
      <w:r w:rsidR="00785D2D">
        <w:rPr>
          <w:rFonts w:ascii="Arial" w:hAnsi="Arial" w:cs="Arial"/>
          <w:color w:val="000000"/>
          <w:sz w:val="20"/>
        </w:rPr>
        <w:t>DFFH</w:t>
      </w:r>
      <w:r w:rsidRPr="00862BCE">
        <w:rPr>
          <w:rFonts w:ascii="Arial" w:hAnsi="Arial" w:cs="Arial"/>
          <w:color w:val="000000"/>
          <w:sz w:val="20"/>
        </w:rPr>
        <w:t>.</w:t>
      </w:r>
    </w:p>
    <w:p w14:paraId="706E3373" w14:textId="77777777" w:rsidR="00132E50" w:rsidRPr="00862BCE" w:rsidRDefault="00132E50" w:rsidP="00FB1EE3">
      <w:pPr>
        <w:numPr>
          <w:ilvl w:val="0"/>
          <w:numId w:val="41"/>
        </w:numPr>
        <w:tabs>
          <w:tab w:val="clear" w:pos="720"/>
        </w:tabs>
        <w:ind w:left="357" w:hanging="357"/>
        <w:jc w:val="both"/>
        <w:rPr>
          <w:rFonts w:ascii="Arial" w:hAnsi="Arial" w:cs="Arial"/>
          <w:color w:val="000000"/>
          <w:sz w:val="20"/>
        </w:rPr>
      </w:pPr>
      <w:r w:rsidRPr="00862BCE">
        <w:rPr>
          <w:rFonts w:ascii="Arial" w:hAnsi="Arial" w:cs="Arial"/>
          <w:color w:val="000000"/>
          <w:sz w:val="20"/>
        </w:rPr>
        <w:t>Convenor’s report form.</w:t>
      </w:r>
    </w:p>
    <w:p w14:paraId="4EB8B4F8" w14:textId="77777777" w:rsidR="00132E50" w:rsidRPr="00785E1A" w:rsidRDefault="00132E50" w:rsidP="00132E50">
      <w:pPr>
        <w:jc w:val="both"/>
        <w:rPr>
          <w:rFonts w:ascii="Arial" w:hAnsi="Arial" w:cs="Arial"/>
          <w:color w:val="000000"/>
          <w:sz w:val="20"/>
        </w:rPr>
      </w:pPr>
    </w:p>
    <w:p w14:paraId="1F03610B"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The roles of the various participants in a CC are discussed in the guidelines [at pp.6-9] and may be summarized as follows-</w:t>
      </w:r>
    </w:p>
    <w:p w14:paraId="5FAE9964" w14:textId="77777777" w:rsidR="00132E50" w:rsidRPr="00785E1A" w:rsidRDefault="00132E50" w:rsidP="00132E50">
      <w:pPr>
        <w:jc w:val="both"/>
        <w:rPr>
          <w:rFonts w:ascii="Arial" w:hAnsi="Arial" w:cs="Arial"/>
          <w:color w:val="000000"/>
          <w:sz w:val="20"/>
        </w:rPr>
      </w:pPr>
    </w:p>
    <w:tbl>
      <w:tblPr>
        <w:tblW w:w="8278"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5"/>
        <w:gridCol w:w="6573"/>
      </w:tblGrid>
      <w:tr w:rsidR="00132E50" w:rsidRPr="00DB31F5" w14:paraId="4C7FEBDF" w14:textId="77777777" w:rsidTr="004767BE">
        <w:tc>
          <w:tcPr>
            <w:tcW w:w="1000" w:type="pct"/>
            <w:tcBorders>
              <w:top w:val="single" w:sz="12" w:space="0" w:color="auto"/>
              <w:bottom w:val="single" w:sz="12" w:space="0" w:color="auto"/>
              <w:right w:val="single" w:sz="12" w:space="0" w:color="auto"/>
            </w:tcBorders>
            <w:shd w:val="clear" w:color="auto" w:fill="D9D9D9"/>
          </w:tcPr>
          <w:p w14:paraId="483F8C96" w14:textId="77777777" w:rsidR="00132E50" w:rsidRPr="00DB31F5" w:rsidRDefault="00132E50" w:rsidP="00DB31F5">
            <w:pPr>
              <w:keepNext/>
              <w:jc w:val="center"/>
              <w:rPr>
                <w:rFonts w:ascii="Arial" w:hAnsi="Arial" w:cs="Arial"/>
                <w:b/>
                <w:color w:val="000000"/>
              </w:rPr>
            </w:pPr>
            <w:r w:rsidRPr="00DB31F5">
              <w:rPr>
                <w:rFonts w:ascii="Arial" w:hAnsi="Arial" w:cs="Arial"/>
                <w:b/>
                <w:color w:val="000000"/>
              </w:rPr>
              <w:t>PERSON</w:t>
            </w:r>
          </w:p>
        </w:tc>
        <w:tc>
          <w:tcPr>
            <w:tcW w:w="4000" w:type="pct"/>
            <w:tcBorders>
              <w:left w:val="single" w:sz="12" w:space="0" w:color="auto"/>
              <w:bottom w:val="single" w:sz="12" w:space="0" w:color="auto"/>
            </w:tcBorders>
            <w:shd w:val="clear" w:color="auto" w:fill="D9D9D9"/>
          </w:tcPr>
          <w:p w14:paraId="4901289D" w14:textId="77777777" w:rsidR="00132E50" w:rsidRPr="00DB31F5" w:rsidRDefault="00132E50" w:rsidP="00DB31F5">
            <w:pPr>
              <w:keepNext/>
              <w:jc w:val="center"/>
              <w:rPr>
                <w:rFonts w:ascii="Arial" w:hAnsi="Arial" w:cs="Arial"/>
                <w:b/>
                <w:color w:val="000000"/>
              </w:rPr>
            </w:pPr>
            <w:r w:rsidRPr="00DB31F5">
              <w:rPr>
                <w:rFonts w:ascii="Arial" w:hAnsi="Arial" w:cs="Arial"/>
                <w:b/>
                <w:color w:val="000000"/>
              </w:rPr>
              <w:t>ROLE</w:t>
            </w:r>
          </w:p>
        </w:tc>
      </w:tr>
      <w:tr w:rsidR="00132E50" w:rsidRPr="00DB31F5" w14:paraId="37285016" w14:textId="77777777" w:rsidTr="00DB31F5">
        <w:tc>
          <w:tcPr>
            <w:tcW w:w="1000" w:type="pct"/>
            <w:tcBorders>
              <w:top w:val="single" w:sz="12" w:space="0" w:color="auto"/>
              <w:bottom w:val="single" w:sz="4" w:space="0" w:color="auto"/>
              <w:right w:val="single" w:sz="12" w:space="0" w:color="auto"/>
            </w:tcBorders>
            <w:shd w:val="clear" w:color="auto" w:fill="auto"/>
          </w:tcPr>
          <w:p w14:paraId="6288A5DF" w14:textId="77777777" w:rsidR="00132E50" w:rsidRPr="00DB31F5" w:rsidRDefault="00132E50" w:rsidP="00DB31F5">
            <w:pPr>
              <w:keepNext/>
              <w:spacing w:before="640"/>
              <w:jc w:val="center"/>
              <w:rPr>
                <w:rFonts w:ascii="Arial" w:hAnsi="Arial" w:cs="Arial"/>
                <w:color w:val="000000"/>
                <w:sz w:val="20"/>
              </w:rPr>
            </w:pPr>
            <w:r w:rsidRPr="00DB31F5">
              <w:rPr>
                <w:rFonts w:ascii="Arial" w:hAnsi="Arial" w:cs="Arial"/>
                <w:color w:val="000000"/>
                <w:sz w:val="20"/>
              </w:rPr>
              <w:t>CONVENOR</w:t>
            </w:r>
          </w:p>
        </w:tc>
        <w:tc>
          <w:tcPr>
            <w:tcW w:w="4000" w:type="pct"/>
            <w:tcBorders>
              <w:top w:val="single" w:sz="12" w:space="0" w:color="auto"/>
              <w:left w:val="single" w:sz="12" w:space="0" w:color="auto"/>
              <w:bottom w:val="single" w:sz="4" w:space="0" w:color="auto"/>
            </w:tcBorders>
            <w:shd w:val="clear" w:color="auto" w:fill="auto"/>
          </w:tcPr>
          <w:p w14:paraId="2F505060" w14:textId="77777777" w:rsidR="00132E50" w:rsidRPr="00DB31F5" w:rsidRDefault="00132E50" w:rsidP="00DB31F5">
            <w:pPr>
              <w:keepNext/>
              <w:jc w:val="both"/>
              <w:rPr>
                <w:rFonts w:ascii="Arial" w:hAnsi="Arial" w:cs="Arial"/>
                <w:color w:val="000000"/>
                <w:sz w:val="20"/>
              </w:rPr>
            </w:pPr>
            <w:r w:rsidRPr="00DB31F5">
              <w:rPr>
                <w:rFonts w:ascii="Arial" w:hAnsi="Arial" w:cs="Arial"/>
                <w:color w:val="000000"/>
                <w:sz w:val="20"/>
              </w:rPr>
              <w:t xml:space="preserve">As an independent chairperson </w:t>
            </w:r>
            <w:r w:rsidRPr="00DB31F5">
              <w:rPr>
                <w:rFonts w:ascii="Arial" w:hAnsi="Arial" w:cs="Arial"/>
                <w:i/>
                <w:color w:val="000000"/>
                <w:sz w:val="20"/>
              </w:rPr>
              <w:t>acting with the authority of the Court</w:t>
            </w:r>
            <w:r w:rsidRPr="00DB31F5">
              <w:rPr>
                <w:rFonts w:ascii="Arial" w:hAnsi="Arial" w:cs="Arial"/>
                <w:color w:val="000000"/>
                <w:sz w:val="20"/>
              </w:rPr>
              <w:t>, the convenor is responsible for controlling the proceedings and ensuring that each participant has the opportunity to participate fully.  A convenor must adopt an independent and objective approach, free of bias.  He or she should accept the participation of the parties in shaping decisions that are fair, practical and achievable and made in the child’s best interests.</w:t>
            </w:r>
          </w:p>
        </w:tc>
      </w:tr>
      <w:tr w:rsidR="00132E50" w:rsidRPr="00DB31F5" w14:paraId="4924CC4C" w14:textId="77777777" w:rsidTr="00DB31F5">
        <w:tc>
          <w:tcPr>
            <w:tcW w:w="1000" w:type="pct"/>
            <w:tcBorders>
              <w:top w:val="single" w:sz="4" w:space="0" w:color="auto"/>
              <w:right w:val="single" w:sz="12" w:space="0" w:color="auto"/>
            </w:tcBorders>
            <w:shd w:val="clear" w:color="auto" w:fill="auto"/>
          </w:tcPr>
          <w:p w14:paraId="20953456" w14:textId="77777777" w:rsidR="00132E50" w:rsidRPr="00DB31F5" w:rsidRDefault="00132E50" w:rsidP="00DB31F5">
            <w:pPr>
              <w:spacing w:before="360"/>
              <w:jc w:val="center"/>
              <w:rPr>
                <w:rFonts w:ascii="Arial" w:hAnsi="Arial" w:cs="Arial"/>
                <w:color w:val="000000"/>
                <w:sz w:val="20"/>
              </w:rPr>
            </w:pPr>
            <w:r w:rsidRPr="00DB31F5">
              <w:rPr>
                <w:rFonts w:ascii="Arial" w:hAnsi="Arial" w:cs="Arial"/>
                <w:color w:val="000000"/>
                <w:sz w:val="20"/>
              </w:rPr>
              <w:t>LAWYER</w:t>
            </w:r>
          </w:p>
        </w:tc>
        <w:tc>
          <w:tcPr>
            <w:tcW w:w="4000" w:type="pct"/>
            <w:tcBorders>
              <w:top w:val="single" w:sz="4" w:space="0" w:color="auto"/>
              <w:left w:val="single" w:sz="12" w:space="0" w:color="auto"/>
            </w:tcBorders>
            <w:shd w:val="clear" w:color="auto" w:fill="auto"/>
          </w:tcPr>
          <w:p w14:paraId="170580A4" w14:textId="77777777" w:rsidR="00132E50" w:rsidRPr="00DB31F5" w:rsidRDefault="00132E50" w:rsidP="00DB31F5">
            <w:pPr>
              <w:jc w:val="both"/>
              <w:rPr>
                <w:rFonts w:ascii="Arial" w:hAnsi="Arial" w:cs="Arial"/>
                <w:color w:val="000000"/>
                <w:sz w:val="20"/>
              </w:rPr>
            </w:pPr>
            <w:r w:rsidRPr="00DB31F5">
              <w:rPr>
                <w:rFonts w:ascii="Arial" w:hAnsi="Arial" w:cs="Arial"/>
                <w:color w:val="000000"/>
                <w:sz w:val="20"/>
              </w:rPr>
              <w:t>A lawyer is required to adopt a non-adversarial role while representing his or her client in facilitated negotiations that take place in a problem-solving environment.  The lawyer must have an understanding of the CC process and should have participated in appropriate training.</w:t>
            </w:r>
          </w:p>
        </w:tc>
      </w:tr>
      <w:tr w:rsidR="00132E50" w:rsidRPr="00DB31F5" w14:paraId="1ECFFD12" w14:textId="77777777" w:rsidTr="00DB31F5">
        <w:tc>
          <w:tcPr>
            <w:tcW w:w="1000" w:type="pct"/>
            <w:tcBorders>
              <w:right w:val="single" w:sz="12" w:space="0" w:color="auto"/>
            </w:tcBorders>
            <w:shd w:val="clear" w:color="auto" w:fill="auto"/>
          </w:tcPr>
          <w:p w14:paraId="23BE6CB5" w14:textId="77777777" w:rsidR="00132E50" w:rsidRPr="00DB31F5" w:rsidRDefault="00132E50" w:rsidP="00DB31F5">
            <w:pPr>
              <w:keepNext/>
              <w:keepLines/>
              <w:spacing w:before="240"/>
              <w:jc w:val="center"/>
              <w:rPr>
                <w:rFonts w:ascii="Arial" w:hAnsi="Arial" w:cs="Arial"/>
                <w:color w:val="000000"/>
                <w:sz w:val="20"/>
              </w:rPr>
            </w:pPr>
            <w:r w:rsidRPr="00DB31F5">
              <w:rPr>
                <w:rFonts w:ascii="Arial" w:hAnsi="Arial" w:cs="Arial"/>
                <w:color w:val="000000"/>
                <w:sz w:val="20"/>
              </w:rPr>
              <w:t>CHILD PROTECTION PRACTITIONER</w:t>
            </w:r>
          </w:p>
        </w:tc>
        <w:tc>
          <w:tcPr>
            <w:tcW w:w="4000" w:type="pct"/>
            <w:tcBorders>
              <w:left w:val="single" w:sz="12" w:space="0" w:color="auto"/>
            </w:tcBorders>
            <w:shd w:val="clear" w:color="auto" w:fill="auto"/>
          </w:tcPr>
          <w:p w14:paraId="5B5D2136" w14:textId="77777777" w:rsidR="00132E50" w:rsidRPr="00DB31F5" w:rsidRDefault="00132E50" w:rsidP="00DB31F5">
            <w:pPr>
              <w:keepNext/>
              <w:keepLines/>
              <w:jc w:val="both"/>
              <w:rPr>
                <w:rFonts w:ascii="Arial" w:hAnsi="Arial" w:cs="Arial"/>
                <w:color w:val="000000"/>
                <w:sz w:val="20"/>
              </w:rPr>
            </w:pPr>
            <w:r w:rsidRPr="00DB31F5">
              <w:rPr>
                <w:rFonts w:ascii="Arial" w:hAnsi="Arial" w:cs="Arial"/>
                <w:color w:val="000000"/>
                <w:sz w:val="20"/>
              </w:rPr>
              <w:t>The protective worker is required to adopt a non-adversarial role and to promote the child’s safety and best interests in facilitated negotiations that take place in a problem-solving environment.  He or she must have an understanding of the CC process and should have participated in appropriate training.</w:t>
            </w:r>
          </w:p>
        </w:tc>
      </w:tr>
      <w:tr w:rsidR="00132E50" w:rsidRPr="00DB31F5" w14:paraId="6C18636C" w14:textId="77777777" w:rsidTr="00DB31F5">
        <w:tc>
          <w:tcPr>
            <w:tcW w:w="1000" w:type="pct"/>
            <w:tcBorders>
              <w:bottom w:val="single" w:sz="12" w:space="0" w:color="auto"/>
              <w:right w:val="single" w:sz="12" w:space="0" w:color="auto"/>
            </w:tcBorders>
            <w:shd w:val="clear" w:color="auto" w:fill="auto"/>
          </w:tcPr>
          <w:p w14:paraId="2C2C56F5" w14:textId="77777777" w:rsidR="00132E50" w:rsidRPr="00DB31F5" w:rsidRDefault="00132E50" w:rsidP="00DB31F5">
            <w:pPr>
              <w:spacing w:before="240"/>
              <w:jc w:val="center"/>
              <w:rPr>
                <w:rFonts w:ascii="Arial" w:hAnsi="Arial" w:cs="Arial"/>
                <w:color w:val="000000"/>
                <w:sz w:val="20"/>
              </w:rPr>
            </w:pPr>
            <w:r w:rsidRPr="00DB31F5">
              <w:rPr>
                <w:rFonts w:ascii="Arial" w:hAnsi="Arial" w:cs="Arial"/>
                <w:color w:val="000000"/>
                <w:sz w:val="20"/>
              </w:rPr>
              <w:t>FAMILY &amp; COMMUNITY MEMBERS</w:t>
            </w:r>
          </w:p>
        </w:tc>
        <w:tc>
          <w:tcPr>
            <w:tcW w:w="4000" w:type="pct"/>
            <w:tcBorders>
              <w:left w:val="single" w:sz="12" w:space="0" w:color="auto"/>
            </w:tcBorders>
            <w:shd w:val="clear" w:color="auto" w:fill="auto"/>
          </w:tcPr>
          <w:p w14:paraId="3C10D06B" w14:textId="77777777" w:rsidR="00132E50" w:rsidRPr="00DB31F5" w:rsidRDefault="00132E50" w:rsidP="00DB31F5">
            <w:pPr>
              <w:jc w:val="both"/>
              <w:rPr>
                <w:rFonts w:ascii="Arial" w:hAnsi="Arial" w:cs="Arial"/>
                <w:color w:val="000000"/>
                <w:sz w:val="20"/>
              </w:rPr>
            </w:pPr>
            <w:r w:rsidRPr="00DB31F5">
              <w:rPr>
                <w:rFonts w:ascii="Arial" w:hAnsi="Arial" w:cs="Arial"/>
                <w:color w:val="000000"/>
                <w:sz w:val="20"/>
              </w:rPr>
              <w:t>A CC aims to encourage families and relevant community members to be involved and empowered in the decisions made about children.  Family or community members may contribute to the resolution of protective concerns or act as a support to the child and/or the family.  They are not to act as an advocate for one party against another.</w:t>
            </w:r>
          </w:p>
        </w:tc>
      </w:tr>
    </w:tbl>
    <w:p w14:paraId="7EAB1C2B" w14:textId="77777777" w:rsidR="00132E50" w:rsidRPr="00785E1A" w:rsidRDefault="00132E50" w:rsidP="00132E50">
      <w:pPr>
        <w:jc w:val="both"/>
        <w:rPr>
          <w:rFonts w:ascii="Arial" w:hAnsi="Arial" w:cs="Arial"/>
          <w:color w:val="000000"/>
          <w:sz w:val="20"/>
        </w:rPr>
      </w:pPr>
    </w:p>
    <w:p w14:paraId="05649A3B" w14:textId="77777777" w:rsidR="00132E50" w:rsidRPr="00862BCE" w:rsidRDefault="00132E50" w:rsidP="00855531">
      <w:pPr>
        <w:jc w:val="both"/>
        <w:rPr>
          <w:rFonts w:ascii="Arial" w:hAnsi="Arial" w:cs="Arial"/>
          <w:color w:val="000000"/>
          <w:sz w:val="20"/>
        </w:rPr>
      </w:pPr>
      <w:r w:rsidRPr="00862BCE">
        <w:rPr>
          <w:rFonts w:ascii="Arial" w:hAnsi="Arial" w:cs="Arial"/>
          <w:color w:val="000000"/>
          <w:sz w:val="20"/>
        </w:rPr>
        <w:t>The procedure adopted at CCs is set out in section 9 of the guidelines and may be summarized as follows-</w:t>
      </w:r>
    </w:p>
    <w:p w14:paraId="7F7D7F9A" w14:textId="77777777" w:rsidR="00132E50" w:rsidRPr="00862BCE" w:rsidRDefault="00132E50" w:rsidP="00FB1EE3">
      <w:pPr>
        <w:numPr>
          <w:ilvl w:val="0"/>
          <w:numId w:val="42"/>
        </w:numPr>
        <w:spacing w:before="80"/>
        <w:jc w:val="both"/>
        <w:rPr>
          <w:rFonts w:ascii="Arial" w:hAnsi="Arial" w:cs="Arial"/>
          <w:color w:val="000000"/>
          <w:sz w:val="20"/>
        </w:rPr>
      </w:pPr>
      <w:r w:rsidRPr="00862BCE">
        <w:rPr>
          <w:rFonts w:ascii="Arial" w:hAnsi="Arial" w:cs="Arial"/>
          <w:b/>
          <w:color w:val="000000"/>
          <w:sz w:val="20"/>
          <w:u w:val="single"/>
        </w:rPr>
        <w:t>Commencing a CC</w:t>
      </w:r>
      <w:r w:rsidRPr="00862BCE">
        <w:rPr>
          <w:rFonts w:ascii="Arial" w:hAnsi="Arial" w:cs="Arial"/>
          <w:color w:val="000000"/>
          <w:sz w:val="20"/>
        </w:rPr>
        <w:t>: After resolving any question that may arise regarding the appropriateness of a person’s participation in the CC, the convenor explains her or his independent role, the way in which the conference will be conducted and circumstances in which the conference will be concluded.  During this process the convenor explains to the parties that one purpose of the CC is to attempt to reach agreement about the resolution of the application(s) through the parties discussing their respective points of view and negotiating.  However if agreement cannot be reached, it remains the purpose of a CC to identify what has been agreed and what are the points of disagreement.</w:t>
      </w:r>
    </w:p>
    <w:p w14:paraId="0C9543AA" w14:textId="77777777" w:rsidR="00132E50" w:rsidRPr="00862BCE" w:rsidRDefault="00132E50" w:rsidP="00FB1EE3">
      <w:pPr>
        <w:numPr>
          <w:ilvl w:val="0"/>
          <w:numId w:val="42"/>
        </w:numPr>
        <w:spacing w:before="80"/>
        <w:jc w:val="both"/>
        <w:rPr>
          <w:rFonts w:ascii="Arial" w:hAnsi="Arial" w:cs="Arial"/>
          <w:color w:val="000000"/>
          <w:sz w:val="20"/>
        </w:rPr>
      </w:pPr>
      <w:r w:rsidRPr="00862BCE">
        <w:rPr>
          <w:rFonts w:ascii="Arial" w:hAnsi="Arial" w:cs="Arial"/>
          <w:b/>
          <w:color w:val="000000"/>
          <w:sz w:val="20"/>
          <w:u w:val="single"/>
        </w:rPr>
        <w:t>Statement of interests</w:t>
      </w:r>
      <w:r w:rsidRPr="00862BCE">
        <w:rPr>
          <w:rFonts w:ascii="Arial" w:hAnsi="Arial" w:cs="Arial"/>
          <w:color w:val="000000"/>
          <w:sz w:val="20"/>
        </w:rPr>
        <w:t>: In discussion with the participants the convenor establishes what are-</w:t>
      </w:r>
    </w:p>
    <w:p w14:paraId="55518907" w14:textId="77777777" w:rsidR="00132E50" w:rsidRPr="00862BCE" w:rsidRDefault="00132E50" w:rsidP="00FB1EE3">
      <w:pPr>
        <w:numPr>
          <w:ilvl w:val="1"/>
          <w:numId w:val="42"/>
        </w:numPr>
        <w:jc w:val="both"/>
        <w:rPr>
          <w:rFonts w:ascii="Arial" w:hAnsi="Arial" w:cs="Arial"/>
          <w:color w:val="000000"/>
          <w:sz w:val="20"/>
        </w:rPr>
      </w:pPr>
      <w:r w:rsidRPr="00862BCE">
        <w:rPr>
          <w:rFonts w:ascii="Arial" w:hAnsi="Arial" w:cs="Arial"/>
          <w:color w:val="000000"/>
          <w:sz w:val="20"/>
        </w:rPr>
        <w:t>the current application(s) before the Court;</w:t>
      </w:r>
    </w:p>
    <w:p w14:paraId="3402BB31" w14:textId="77777777" w:rsidR="00132E50" w:rsidRPr="00862BCE" w:rsidRDefault="00132E50" w:rsidP="00FB1EE3">
      <w:pPr>
        <w:numPr>
          <w:ilvl w:val="1"/>
          <w:numId w:val="42"/>
        </w:numPr>
        <w:jc w:val="both"/>
        <w:rPr>
          <w:rFonts w:ascii="Arial" w:hAnsi="Arial" w:cs="Arial"/>
          <w:color w:val="000000"/>
          <w:sz w:val="20"/>
        </w:rPr>
      </w:pPr>
      <w:r w:rsidRPr="00862BCE">
        <w:rPr>
          <w:rFonts w:ascii="Arial" w:hAnsi="Arial" w:cs="Arial"/>
          <w:color w:val="000000"/>
          <w:sz w:val="20"/>
        </w:rPr>
        <w:t>the current situation regarding placement of the child(ren);</w:t>
      </w:r>
    </w:p>
    <w:p w14:paraId="67D424FC" w14:textId="77777777" w:rsidR="00132E50" w:rsidRPr="00862BCE" w:rsidRDefault="00132E50" w:rsidP="00FB1EE3">
      <w:pPr>
        <w:numPr>
          <w:ilvl w:val="1"/>
          <w:numId w:val="42"/>
        </w:numPr>
        <w:jc w:val="both"/>
        <w:rPr>
          <w:rFonts w:ascii="Arial" w:hAnsi="Arial" w:cs="Arial"/>
          <w:color w:val="000000"/>
          <w:sz w:val="20"/>
        </w:rPr>
      </w:pPr>
      <w:r w:rsidRPr="00862BCE">
        <w:rPr>
          <w:rFonts w:ascii="Arial" w:hAnsi="Arial" w:cs="Arial"/>
          <w:color w:val="000000"/>
          <w:sz w:val="20"/>
        </w:rPr>
        <w:t>any current Court orders;</w:t>
      </w:r>
    </w:p>
    <w:p w14:paraId="509BBDC0" w14:textId="77777777" w:rsidR="00132E50" w:rsidRPr="00862BCE" w:rsidRDefault="00132E50" w:rsidP="00FB1EE3">
      <w:pPr>
        <w:numPr>
          <w:ilvl w:val="1"/>
          <w:numId w:val="42"/>
        </w:numPr>
        <w:jc w:val="both"/>
        <w:rPr>
          <w:rFonts w:ascii="Arial" w:hAnsi="Arial" w:cs="Arial"/>
          <w:color w:val="000000"/>
          <w:sz w:val="20"/>
        </w:rPr>
      </w:pPr>
      <w:r w:rsidRPr="00862BCE">
        <w:rPr>
          <w:rFonts w:ascii="Arial" w:hAnsi="Arial" w:cs="Arial"/>
          <w:color w:val="000000"/>
          <w:sz w:val="20"/>
        </w:rPr>
        <w:t xml:space="preserve">the disposition and conditions sought by </w:t>
      </w:r>
      <w:r w:rsidR="00785D2D">
        <w:rPr>
          <w:rFonts w:ascii="Arial" w:hAnsi="Arial" w:cs="Arial"/>
          <w:color w:val="000000"/>
          <w:sz w:val="20"/>
        </w:rPr>
        <w:t>DFFH</w:t>
      </w:r>
      <w:r w:rsidRPr="00862BCE">
        <w:rPr>
          <w:rFonts w:ascii="Arial" w:hAnsi="Arial" w:cs="Arial"/>
          <w:color w:val="000000"/>
          <w:sz w:val="20"/>
        </w:rPr>
        <w:t>;</w:t>
      </w:r>
    </w:p>
    <w:p w14:paraId="01CB3F4D" w14:textId="77777777" w:rsidR="00132E50" w:rsidRPr="00862BCE" w:rsidRDefault="00132E50" w:rsidP="00FB1EE3">
      <w:pPr>
        <w:numPr>
          <w:ilvl w:val="1"/>
          <w:numId w:val="42"/>
        </w:numPr>
        <w:jc w:val="both"/>
        <w:rPr>
          <w:rFonts w:ascii="Arial" w:hAnsi="Arial" w:cs="Arial"/>
          <w:color w:val="000000"/>
          <w:sz w:val="20"/>
        </w:rPr>
      </w:pPr>
      <w:r w:rsidRPr="00862BCE">
        <w:rPr>
          <w:rFonts w:ascii="Arial" w:hAnsi="Arial" w:cs="Arial"/>
          <w:color w:val="000000"/>
          <w:sz w:val="20"/>
        </w:rPr>
        <w:t>the position of each party in relation to the applications.</w:t>
      </w:r>
    </w:p>
    <w:p w14:paraId="6D482A90" w14:textId="77777777" w:rsidR="00132E50" w:rsidRPr="00862BCE" w:rsidRDefault="00132E50" w:rsidP="00FB1EE3">
      <w:pPr>
        <w:numPr>
          <w:ilvl w:val="0"/>
          <w:numId w:val="42"/>
        </w:numPr>
        <w:spacing w:before="80"/>
        <w:jc w:val="both"/>
        <w:rPr>
          <w:rFonts w:ascii="Arial" w:hAnsi="Arial" w:cs="Arial"/>
          <w:color w:val="000000"/>
          <w:sz w:val="20"/>
        </w:rPr>
      </w:pPr>
      <w:r w:rsidRPr="00862BCE">
        <w:rPr>
          <w:rFonts w:ascii="Arial" w:hAnsi="Arial" w:cs="Arial"/>
          <w:b/>
          <w:color w:val="000000"/>
          <w:sz w:val="20"/>
          <w:u w:val="single"/>
        </w:rPr>
        <w:t>Identifying and discussing key issues</w:t>
      </w:r>
      <w:r w:rsidRPr="00862BCE">
        <w:rPr>
          <w:rFonts w:ascii="Arial" w:hAnsi="Arial" w:cs="Arial"/>
          <w:color w:val="000000"/>
          <w:sz w:val="20"/>
        </w:rPr>
        <w:t>: After assisting the participants to develop a list of key issues for discussing at the CC and leading a discussion identifying the strengths within the family, the convenor will encourage the parties to discuss the agreed list of key issues.  Family members will be encouraged by the convenor to engage and express their views during the conference process wherever possible.</w:t>
      </w:r>
    </w:p>
    <w:p w14:paraId="0495BBFF" w14:textId="77777777" w:rsidR="00132E50" w:rsidRPr="00862BCE" w:rsidRDefault="00132E50" w:rsidP="00855531">
      <w:pPr>
        <w:numPr>
          <w:ilvl w:val="0"/>
          <w:numId w:val="42"/>
        </w:numPr>
        <w:spacing w:before="80"/>
        <w:jc w:val="both"/>
        <w:rPr>
          <w:rFonts w:ascii="Arial" w:hAnsi="Arial" w:cs="Arial"/>
          <w:color w:val="000000"/>
          <w:sz w:val="20"/>
        </w:rPr>
      </w:pPr>
      <w:r w:rsidRPr="00862BCE">
        <w:rPr>
          <w:rFonts w:ascii="Arial" w:hAnsi="Arial" w:cs="Arial"/>
          <w:b/>
          <w:color w:val="000000"/>
          <w:sz w:val="20"/>
          <w:u w:val="single"/>
        </w:rPr>
        <w:lastRenderedPageBreak/>
        <w:t>Identifying and generating options</w:t>
      </w:r>
      <w:r w:rsidRPr="00862BCE">
        <w:rPr>
          <w:rFonts w:ascii="Arial" w:hAnsi="Arial" w:cs="Arial"/>
          <w:color w:val="000000"/>
          <w:sz w:val="20"/>
        </w:rPr>
        <w:t xml:space="preserve">: At this point </w:t>
      </w:r>
      <w:r w:rsidR="00785D2D">
        <w:rPr>
          <w:rFonts w:ascii="Arial" w:hAnsi="Arial" w:cs="Arial"/>
          <w:color w:val="000000"/>
          <w:sz w:val="20"/>
        </w:rPr>
        <w:t>DFFH</w:t>
      </w:r>
      <w:r w:rsidRPr="00862BCE">
        <w:rPr>
          <w:rFonts w:ascii="Arial" w:hAnsi="Arial" w:cs="Arial"/>
          <w:color w:val="000000"/>
          <w:sz w:val="20"/>
        </w:rPr>
        <w:t xml:space="preserve"> will be given the opportunity to obtain legal representation if not already represented.  The convenor will assist the parties to explore options for settlement.  In this process, the convenor may give a ‘court perspective’ to help parties ‘reality test’ their respective positions.</w:t>
      </w:r>
    </w:p>
    <w:p w14:paraId="7F59DC68" w14:textId="77777777" w:rsidR="00132E50" w:rsidRPr="00862BCE" w:rsidRDefault="00132E50" w:rsidP="00FB1EE3">
      <w:pPr>
        <w:numPr>
          <w:ilvl w:val="0"/>
          <w:numId w:val="42"/>
        </w:numPr>
        <w:spacing w:before="80"/>
        <w:jc w:val="both"/>
        <w:rPr>
          <w:rFonts w:ascii="Arial" w:hAnsi="Arial" w:cs="Arial"/>
          <w:color w:val="000000"/>
          <w:sz w:val="20"/>
        </w:rPr>
      </w:pPr>
      <w:r w:rsidRPr="00862BCE">
        <w:rPr>
          <w:rFonts w:ascii="Arial" w:hAnsi="Arial" w:cs="Arial"/>
          <w:b/>
          <w:color w:val="000000"/>
          <w:sz w:val="20"/>
          <w:u w:val="single"/>
        </w:rPr>
        <w:t>Establishing agreements</w:t>
      </w:r>
      <w:r w:rsidRPr="00862BCE">
        <w:rPr>
          <w:rFonts w:ascii="Arial" w:hAnsi="Arial" w:cs="Arial"/>
          <w:color w:val="000000"/>
          <w:sz w:val="20"/>
        </w:rPr>
        <w:t>: The convenor will work with the participants to reach an outcome that is in the best interests of the child(ren) and is one which the Court is empowered to order.  In this process, the convenor will ensure that all parties appreciate that the agreement is accurate, fair, realistic and appropriate.  If the agreement is to recommend a further CC, the convenor will identify with the participants the issues for a further conference.  If the agreement is to proceed to a contested hearing, the convenor will identify with the parties any case issues which are not in dispute.  The convenor ensures that minutes of proposed orders are prepared that accurately reflect the agreement reached at the CC.</w:t>
      </w:r>
    </w:p>
    <w:p w14:paraId="35697985" w14:textId="77777777" w:rsidR="00132E50" w:rsidRPr="00862BCE" w:rsidRDefault="00862BCE" w:rsidP="00FB1EE3">
      <w:pPr>
        <w:numPr>
          <w:ilvl w:val="0"/>
          <w:numId w:val="42"/>
        </w:numPr>
        <w:spacing w:before="80"/>
        <w:jc w:val="both"/>
        <w:rPr>
          <w:rFonts w:ascii="Arial" w:hAnsi="Arial" w:cs="Arial"/>
          <w:color w:val="000000"/>
          <w:sz w:val="20"/>
        </w:rPr>
      </w:pPr>
      <w:r>
        <w:rPr>
          <w:rFonts w:ascii="Arial" w:hAnsi="Arial" w:cs="Arial"/>
          <w:b/>
          <w:color w:val="000000"/>
          <w:sz w:val="20"/>
          <w:u w:val="single"/>
        </w:rPr>
        <w:t>C</w:t>
      </w:r>
      <w:r w:rsidR="00132E50" w:rsidRPr="00862BCE">
        <w:rPr>
          <w:rFonts w:ascii="Arial" w:hAnsi="Arial" w:cs="Arial"/>
          <w:b/>
          <w:color w:val="000000"/>
          <w:sz w:val="20"/>
          <w:u w:val="single"/>
        </w:rPr>
        <w:t>C report</w:t>
      </w:r>
      <w:r w:rsidR="00132E50" w:rsidRPr="00862BCE">
        <w:rPr>
          <w:rFonts w:ascii="Arial" w:hAnsi="Arial" w:cs="Arial"/>
          <w:color w:val="000000"/>
          <w:sz w:val="20"/>
        </w:rPr>
        <w:t>: The convenor will provide to the Court a written report (in the form in Attachment C to the guidelines) of the conclusions reached at the CC.</w:t>
      </w:r>
    </w:p>
    <w:p w14:paraId="2A67A0FC" w14:textId="77777777" w:rsidR="00132E50" w:rsidRPr="00862BCE" w:rsidRDefault="00132E50" w:rsidP="00132E50">
      <w:pPr>
        <w:jc w:val="both"/>
        <w:rPr>
          <w:rFonts w:ascii="Arial" w:hAnsi="Arial" w:cs="Arial"/>
          <w:color w:val="000000"/>
          <w:sz w:val="20"/>
        </w:rPr>
      </w:pPr>
    </w:p>
    <w:p w14:paraId="6497A9D4" w14:textId="77777777" w:rsidR="00132E50" w:rsidRPr="00862BCE" w:rsidRDefault="00132E50" w:rsidP="00132E50">
      <w:pPr>
        <w:pStyle w:val="Heading3"/>
        <w:keepNext/>
        <w:spacing w:after="120" w:line="240" w:lineRule="auto"/>
        <w:rPr>
          <w:rFonts w:ascii="Arial" w:hAnsi="Arial" w:cs="Arial"/>
          <w:color w:val="000000"/>
          <w:sz w:val="20"/>
        </w:rPr>
      </w:pPr>
      <w:bookmarkStart w:id="1517" w:name="_4.10.7_Reports_&amp;"/>
      <w:bookmarkStart w:id="1518" w:name="B4107"/>
      <w:bookmarkEnd w:id="1517"/>
      <w:bookmarkEnd w:id="1518"/>
      <w:r w:rsidRPr="00862BCE">
        <w:rPr>
          <w:rFonts w:ascii="Arial" w:hAnsi="Arial" w:cs="Arial"/>
          <w:b/>
          <w:bCs/>
          <w:color w:val="000000"/>
          <w:sz w:val="20"/>
        </w:rPr>
        <w:t>4.10.7</w:t>
      </w:r>
      <w:r w:rsidRPr="00862BCE">
        <w:rPr>
          <w:rFonts w:ascii="Arial" w:hAnsi="Arial" w:cs="Arial"/>
          <w:b/>
          <w:bCs/>
          <w:color w:val="000000"/>
          <w:sz w:val="20"/>
        </w:rPr>
        <w:tab/>
        <w:t>Reports &amp; Confidentiality</w:t>
      </w:r>
    </w:p>
    <w:p w14:paraId="295B1264"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Section 223 of the CYFA provides that a written report made by a convenor under either s.218 or s.219 is admissible in the proceedings of the Family Division in respect of the child who is the subject of the </w:t>
      </w:r>
      <w:r w:rsidR="00D6777A">
        <w:rPr>
          <w:rFonts w:ascii="Arial" w:hAnsi="Arial" w:cs="Arial"/>
          <w:color w:val="000000"/>
          <w:sz w:val="20"/>
        </w:rPr>
        <w:t>CC</w:t>
      </w:r>
      <w:r w:rsidRPr="00862BCE">
        <w:rPr>
          <w:rFonts w:ascii="Arial" w:hAnsi="Arial" w:cs="Arial"/>
          <w:color w:val="000000"/>
          <w:sz w:val="20"/>
        </w:rPr>
        <w:t>.  Section 224 empowers the Court to consider such report in determining what order or finding to make in respect of the application.</w:t>
      </w:r>
    </w:p>
    <w:p w14:paraId="25DD6125" w14:textId="77777777" w:rsidR="00132E50" w:rsidRPr="00862BCE" w:rsidRDefault="00132E50" w:rsidP="00132E50">
      <w:pPr>
        <w:jc w:val="both"/>
        <w:rPr>
          <w:rFonts w:ascii="Arial" w:hAnsi="Arial" w:cs="Arial"/>
          <w:color w:val="000000"/>
          <w:sz w:val="20"/>
        </w:rPr>
      </w:pPr>
    </w:p>
    <w:p w14:paraId="38E4819D"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Save for the report provided by the convenor(s), the proceedings of a CC are confidential.  Evidence of anything said or done or admissions made at a CC is only admissible in court proceedings if the court grants leave or all the parties to the CC consent: s.226(1).  A court may only grant such leave if satisfied that it is necessary to do so to ensure the safety and well-being of the child: s.226(2).  This rarely happens.</w:t>
      </w:r>
    </w:p>
    <w:p w14:paraId="314D2E37" w14:textId="77777777" w:rsidR="00132E50" w:rsidRPr="00862BCE" w:rsidRDefault="00132E50" w:rsidP="00132E50">
      <w:pPr>
        <w:jc w:val="both"/>
        <w:rPr>
          <w:rFonts w:ascii="Arial" w:hAnsi="Arial" w:cs="Arial"/>
          <w:color w:val="000000"/>
          <w:sz w:val="20"/>
        </w:rPr>
      </w:pPr>
    </w:p>
    <w:p w14:paraId="78F2C713" w14:textId="77777777" w:rsidR="00132E50" w:rsidRPr="00785E1A" w:rsidRDefault="00132E50" w:rsidP="00132E50">
      <w:pPr>
        <w:pStyle w:val="Heading3"/>
        <w:keepNext/>
        <w:keepLines/>
        <w:spacing w:after="120" w:line="240" w:lineRule="auto"/>
        <w:rPr>
          <w:rFonts w:ascii="Arial" w:hAnsi="Arial" w:cs="Arial"/>
          <w:color w:val="000000"/>
          <w:sz w:val="20"/>
        </w:rPr>
      </w:pPr>
      <w:bookmarkStart w:id="1519" w:name="_4.10.8_Court_orders"/>
      <w:bookmarkStart w:id="1520" w:name="B4108"/>
      <w:bookmarkEnd w:id="1519"/>
      <w:bookmarkEnd w:id="1520"/>
      <w:r w:rsidRPr="00785E1A">
        <w:rPr>
          <w:rFonts w:ascii="Arial" w:hAnsi="Arial" w:cs="Arial"/>
          <w:b/>
          <w:bCs/>
          <w:color w:val="000000"/>
          <w:sz w:val="20"/>
        </w:rPr>
        <w:t>4.10.8</w:t>
      </w:r>
      <w:r w:rsidRPr="00785E1A">
        <w:rPr>
          <w:rFonts w:ascii="Arial" w:hAnsi="Arial" w:cs="Arial"/>
          <w:b/>
          <w:bCs/>
          <w:color w:val="000000"/>
          <w:sz w:val="20"/>
        </w:rPr>
        <w:tab/>
        <w:t>Court orders</w:t>
      </w:r>
    </w:p>
    <w:p w14:paraId="14CC0E9A"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A convenor has no power to make Family Division orders.  Accordingly</w:t>
      </w:r>
      <w:r w:rsidR="00D6777A">
        <w:rPr>
          <w:rFonts w:ascii="Arial" w:hAnsi="Arial" w:cs="Arial"/>
          <w:color w:val="000000"/>
          <w:sz w:val="20"/>
        </w:rPr>
        <w:t>, at the end of the conference</w:t>
      </w:r>
      <w:r w:rsidRPr="00785E1A">
        <w:rPr>
          <w:rFonts w:ascii="Arial" w:hAnsi="Arial" w:cs="Arial"/>
          <w:color w:val="000000"/>
          <w:sz w:val="20"/>
        </w:rPr>
        <w:t xml:space="preserve"> the case </w:t>
      </w:r>
      <w:r w:rsidR="00D6777A">
        <w:rPr>
          <w:rFonts w:ascii="Arial" w:hAnsi="Arial" w:cs="Arial"/>
          <w:color w:val="000000"/>
          <w:sz w:val="20"/>
        </w:rPr>
        <w:t>is</w:t>
      </w:r>
      <w:r w:rsidRPr="00785E1A">
        <w:rPr>
          <w:rFonts w:ascii="Arial" w:hAnsi="Arial" w:cs="Arial"/>
          <w:color w:val="000000"/>
          <w:sz w:val="20"/>
        </w:rPr>
        <w:t xml:space="preserve"> returned to co</w:t>
      </w:r>
      <w:r w:rsidR="00D6777A">
        <w:rPr>
          <w:rFonts w:ascii="Arial" w:hAnsi="Arial" w:cs="Arial"/>
          <w:color w:val="000000"/>
          <w:sz w:val="20"/>
        </w:rPr>
        <w:t xml:space="preserve">urt and a judicial officer </w:t>
      </w:r>
      <w:r w:rsidRPr="00785E1A">
        <w:rPr>
          <w:rFonts w:ascii="Arial" w:hAnsi="Arial" w:cs="Arial"/>
          <w:color w:val="000000"/>
          <w:sz w:val="20"/>
        </w:rPr>
        <w:t>make</w:t>
      </w:r>
      <w:r w:rsidR="00D6777A">
        <w:rPr>
          <w:rFonts w:ascii="Arial" w:hAnsi="Arial" w:cs="Arial"/>
          <w:color w:val="000000"/>
          <w:sz w:val="20"/>
        </w:rPr>
        <w:t>s</w:t>
      </w:r>
      <w:r w:rsidRPr="00785E1A">
        <w:rPr>
          <w:rFonts w:ascii="Arial" w:hAnsi="Arial" w:cs="Arial"/>
          <w:color w:val="000000"/>
          <w:sz w:val="20"/>
        </w:rPr>
        <w:t xml:space="preserve"> the appropriate orders.  These will usually, though not always, be the orders to which all of the parties at the conference have agreed - or at least have agreed not to oppose.  Sometimes, but rarely, the Court is not prepared to endorse the parties' agreement.  Occasionally this is because the Court considers it has no power in law to make the orders sought or because the Court considers that the orders sought are not in the best interests of an absent party, usually a child.</w:t>
      </w:r>
    </w:p>
    <w:p w14:paraId="7358F698" w14:textId="77777777" w:rsidR="00132E50" w:rsidRPr="00785E1A" w:rsidRDefault="00132E50" w:rsidP="00132E50">
      <w:pPr>
        <w:jc w:val="both"/>
        <w:rPr>
          <w:rFonts w:ascii="Arial" w:hAnsi="Arial" w:cs="Arial"/>
          <w:b/>
          <w:bCs/>
          <w:color w:val="000000"/>
          <w:sz w:val="20"/>
        </w:rPr>
      </w:pPr>
    </w:p>
    <w:p w14:paraId="36F91E74" w14:textId="77777777" w:rsidR="00132E50" w:rsidRPr="00785E1A" w:rsidRDefault="00132E50" w:rsidP="00132E50">
      <w:pPr>
        <w:pStyle w:val="Heading3"/>
        <w:spacing w:after="120" w:line="240" w:lineRule="auto"/>
        <w:rPr>
          <w:rFonts w:ascii="Arial" w:hAnsi="Arial" w:cs="Arial"/>
          <w:color w:val="000000"/>
          <w:sz w:val="20"/>
        </w:rPr>
      </w:pPr>
      <w:bookmarkStart w:id="1521" w:name="_4.10.9_Statistics"/>
      <w:bookmarkStart w:id="1522" w:name="B4109"/>
      <w:bookmarkEnd w:id="1521"/>
      <w:bookmarkEnd w:id="1522"/>
      <w:r w:rsidRPr="00785E1A">
        <w:rPr>
          <w:rFonts w:ascii="Arial" w:hAnsi="Arial" w:cs="Arial"/>
          <w:b/>
          <w:bCs/>
          <w:color w:val="000000"/>
          <w:sz w:val="20"/>
        </w:rPr>
        <w:t>4.10.9</w:t>
      </w:r>
      <w:r w:rsidRPr="00785E1A">
        <w:rPr>
          <w:rFonts w:ascii="Arial" w:hAnsi="Arial" w:cs="Arial"/>
          <w:b/>
          <w:bCs/>
          <w:color w:val="000000"/>
          <w:sz w:val="20"/>
        </w:rPr>
        <w:tab/>
        <w:t>Statistics</w:t>
      </w:r>
    </w:p>
    <w:p w14:paraId="0E121E16" w14:textId="77777777" w:rsidR="00132E50" w:rsidRDefault="00132E50" w:rsidP="00132E50">
      <w:pPr>
        <w:jc w:val="both"/>
        <w:rPr>
          <w:rFonts w:ascii="Arial" w:hAnsi="Arial" w:cs="Arial"/>
          <w:color w:val="000000"/>
          <w:sz w:val="20"/>
        </w:rPr>
      </w:pPr>
      <w:r w:rsidRPr="00785E1A">
        <w:rPr>
          <w:rFonts w:ascii="Arial" w:hAnsi="Arial" w:cs="Arial"/>
          <w:color w:val="000000"/>
          <w:sz w:val="20"/>
        </w:rPr>
        <w:t xml:space="preserve">Between 1999-2000 &amp; 2009-2010 the settlement rate </w:t>
      </w:r>
      <w:r w:rsidR="00FC191C">
        <w:rPr>
          <w:rFonts w:ascii="Arial" w:hAnsi="Arial" w:cs="Arial"/>
          <w:color w:val="000000"/>
          <w:sz w:val="20"/>
        </w:rPr>
        <w:t xml:space="preserve">for conferences based on </w:t>
      </w:r>
      <w:r w:rsidR="003B4C54">
        <w:rPr>
          <w:rFonts w:ascii="Arial" w:hAnsi="Arial" w:cs="Arial"/>
          <w:color w:val="000000"/>
          <w:sz w:val="20"/>
        </w:rPr>
        <w:t>earlier model</w:t>
      </w:r>
      <w:r w:rsidR="00FC191C">
        <w:rPr>
          <w:rFonts w:ascii="Arial" w:hAnsi="Arial" w:cs="Arial"/>
          <w:color w:val="000000"/>
          <w:sz w:val="20"/>
        </w:rPr>
        <w:t>s</w:t>
      </w:r>
      <w:r w:rsidR="003B4C54">
        <w:rPr>
          <w:rFonts w:ascii="Arial" w:hAnsi="Arial" w:cs="Arial"/>
          <w:color w:val="000000"/>
          <w:sz w:val="20"/>
        </w:rPr>
        <w:t xml:space="preserve"> </w:t>
      </w:r>
      <w:r w:rsidRPr="00785E1A">
        <w:rPr>
          <w:rFonts w:ascii="Arial" w:hAnsi="Arial" w:cs="Arial"/>
          <w:color w:val="000000"/>
          <w:sz w:val="20"/>
        </w:rPr>
        <w:t>ha</w:t>
      </w:r>
      <w:r w:rsidR="00D6777A">
        <w:rPr>
          <w:rFonts w:ascii="Arial" w:hAnsi="Arial" w:cs="Arial"/>
          <w:color w:val="000000"/>
          <w:sz w:val="20"/>
        </w:rPr>
        <w:t>d</w:t>
      </w:r>
      <w:r w:rsidRPr="00785E1A">
        <w:rPr>
          <w:rFonts w:ascii="Arial" w:hAnsi="Arial" w:cs="Arial"/>
          <w:color w:val="000000"/>
          <w:sz w:val="20"/>
        </w:rPr>
        <w:t xml:space="preserve"> varied between 28% &amp; 36%.  There appears to </w:t>
      </w:r>
      <w:r w:rsidR="003B4C54">
        <w:rPr>
          <w:rFonts w:ascii="Arial" w:hAnsi="Arial" w:cs="Arial"/>
          <w:color w:val="000000"/>
          <w:sz w:val="20"/>
        </w:rPr>
        <w:t xml:space="preserve">have </w:t>
      </w:r>
      <w:r w:rsidRPr="00785E1A">
        <w:rPr>
          <w:rFonts w:ascii="Arial" w:hAnsi="Arial" w:cs="Arial"/>
          <w:color w:val="000000"/>
          <w:sz w:val="20"/>
        </w:rPr>
        <w:t>be</w:t>
      </w:r>
      <w:r w:rsidR="003B4C54">
        <w:rPr>
          <w:rFonts w:ascii="Arial" w:hAnsi="Arial" w:cs="Arial"/>
          <w:color w:val="000000"/>
          <w:sz w:val="20"/>
        </w:rPr>
        <w:t>en</w:t>
      </w:r>
      <w:r w:rsidRPr="00785E1A">
        <w:rPr>
          <w:rFonts w:ascii="Arial" w:hAnsi="Arial" w:cs="Arial"/>
          <w:color w:val="000000"/>
          <w:sz w:val="20"/>
        </w:rPr>
        <w:t xml:space="preserve"> little difference between the settlement rates in Melbourne and in country regions.</w:t>
      </w:r>
    </w:p>
    <w:p w14:paraId="6818F294" w14:textId="77777777" w:rsidR="003B4C54" w:rsidRPr="00D6777A" w:rsidRDefault="003B4C54" w:rsidP="00132E50">
      <w:pPr>
        <w:jc w:val="both"/>
        <w:rPr>
          <w:rFonts w:ascii="Arial" w:hAnsi="Arial" w:cs="Arial"/>
          <w:b/>
          <w:bCs/>
          <w:color w:val="000000"/>
          <w:sz w:val="20"/>
        </w:rPr>
      </w:pPr>
    </w:p>
    <w:p w14:paraId="201F07A3" w14:textId="77777777" w:rsidR="003B4C54" w:rsidRDefault="00132E50" w:rsidP="00132E50">
      <w:pPr>
        <w:jc w:val="both"/>
        <w:rPr>
          <w:rFonts w:ascii="Arial" w:hAnsi="Arial" w:cs="Arial"/>
          <w:color w:val="000000"/>
          <w:sz w:val="20"/>
        </w:rPr>
      </w:pPr>
      <w:r w:rsidRPr="00D6777A">
        <w:rPr>
          <w:rFonts w:ascii="Arial" w:hAnsi="Arial" w:cs="Arial"/>
          <w:color w:val="000000"/>
          <w:sz w:val="20"/>
        </w:rPr>
        <w:t xml:space="preserve">The </w:t>
      </w:r>
      <w:r w:rsidR="003B4C54">
        <w:rPr>
          <w:rFonts w:ascii="Arial" w:hAnsi="Arial" w:cs="Arial"/>
          <w:color w:val="000000"/>
          <w:sz w:val="20"/>
        </w:rPr>
        <w:t>current</w:t>
      </w:r>
      <w:r w:rsidRPr="00D6777A">
        <w:rPr>
          <w:rFonts w:ascii="Arial" w:hAnsi="Arial" w:cs="Arial"/>
          <w:color w:val="000000"/>
          <w:sz w:val="20"/>
        </w:rPr>
        <w:t xml:space="preserve"> conciliation conference </w:t>
      </w:r>
      <w:r w:rsidR="00D6777A">
        <w:rPr>
          <w:rFonts w:ascii="Arial" w:hAnsi="Arial" w:cs="Arial"/>
          <w:color w:val="000000"/>
          <w:sz w:val="20"/>
        </w:rPr>
        <w:t xml:space="preserve">model </w:t>
      </w:r>
      <w:r w:rsidRPr="00D6777A">
        <w:rPr>
          <w:rFonts w:ascii="Arial" w:hAnsi="Arial" w:cs="Arial"/>
          <w:color w:val="000000"/>
          <w:sz w:val="20"/>
        </w:rPr>
        <w:t>project was subject to evaluation for the first 18</w:t>
      </w:r>
      <w:r w:rsidR="003B4C54">
        <w:rPr>
          <w:rFonts w:ascii="Arial" w:hAnsi="Arial" w:cs="Arial"/>
          <w:color w:val="000000"/>
          <w:sz w:val="20"/>
        </w:rPr>
        <w:t> </w:t>
      </w:r>
      <w:r w:rsidRPr="00D6777A">
        <w:rPr>
          <w:rFonts w:ascii="Arial" w:hAnsi="Arial" w:cs="Arial"/>
          <w:color w:val="000000"/>
          <w:sz w:val="20"/>
        </w:rPr>
        <w:t xml:space="preserve">months.  Feedback from family members and professional participants was extremely positive. The first CC involving the </w:t>
      </w:r>
      <w:r w:rsidR="009970EC">
        <w:rPr>
          <w:rFonts w:ascii="Arial" w:hAnsi="Arial" w:cs="Arial"/>
          <w:color w:val="000000"/>
          <w:sz w:val="20"/>
        </w:rPr>
        <w:t>current</w:t>
      </w:r>
      <w:r w:rsidRPr="00D6777A">
        <w:rPr>
          <w:rFonts w:ascii="Arial" w:hAnsi="Arial" w:cs="Arial"/>
          <w:color w:val="000000"/>
          <w:sz w:val="20"/>
        </w:rPr>
        <w:t xml:space="preserve"> m</w:t>
      </w:r>
      <w:r w:rsidR="003B4C54">
        <w:rPr>
          <w:rFonts w:ascii="Arial" w:hAnsi="Arial" w:cs="Arial"/>
          <w:color w:val="000000"/>
          <w:sz w:val="20"/>
        </w:rPr>
        <w:t>odel was conducted on 24/08/</w:t>
      </w:r>
      <w:r w:rsidRPr="00D6777A">
        <w:rPr>
          <w:rFonts w:ascii="Arial" w:hAnsi="Arial" w:cs="Arial"/>
          <w:color w:val="000000"/>
          <w:sz w:val="20"/>
        </w:rPr>
        <w:t xml:space="preserve">2010 and </w:t>
      </w:r>
      <w:r w:rsidR="003B4C54">
        <w:rPr>
          <w:rFonts w:ascii="Arial" w:hAnsi="Arial" w:cs="Arial"/>
          <w:color w:val="000000"/>
          <w:sz w:val="20"/>
        </w:rPr>
        <w:t>6804</w:t>
      </w:r>
      <w:r w:rsidR="009970EC">
        <w:rPr>
          <w:rFonts w:ascii="Arial" w:hAnsi="Arial" w:cs="Arial"/>
          <w:color w:val="000000"/>
          <w:sz w:val="20"/>
        </w:rPr>
        <w:t> </w:t>
      </w:r>
      <w:r w:rsidR="003B4C54">
        <w:rPr>
          <w:rFonts w:ascii="Arial" w:hAnsi="Arial" w:cs="Arial"/>
          <w:color w:val="000000"/>
          <w:sz w:val="20"/>
        </w:rPr>
        <w:t xml:space="preserve">CCs have been conducted state-wide up to 15/02/2016.  Between </w:t>
      </w:r>
      <w:r w:rsidR="00FC191C">
        <w:rPr>
          <w:rFonts w:ascii="Arial" w:hAnsi="Arial" w:cs="Arial"/>
          <w:color w:val="000000"/>
          <w:sz w:val="20"/>
        </w:rPr>
        <w:t>01/11/2013 &amp; 31/01/2016 a total of 4774 CCs have been run state-wide.  Of these:</w:t>
      </w:r>
    </w:p>
    <w:p w14:paraId="6174B2F5" w14:textId="77777777" w:rsidR="00D6777A" w:rsidRDefault="00FC191C" w:rsidP="00FB1EE3">
      <w:pPr>
        <w:numPr>
          <w:ilvl w:val="0"/>
          <w:numId w:val="52"/>
        </w:numPr>
        <w:tabs>
          <w:tab w:val="clear" w:pos="1574"/>
        </w:tabs>
        <w:ind w:left="289" w:hanging="289"/>
        <w:jc w:val="both"/>
        <w:rPr>
          <w:rFonts w:ascii="Arial" w:hAnsi="Arial" w:cs="Arial"/>
          <w:color w:val="000000"/>
          <w:sz w:val="20"/>
        </w:rPr>
      </w:pPr>
      <w:r>
        <w:rPr>
          <w:rFonts w:ascii="Arial" w:hAnsi="Arial" w:cs="Arial"/>
          <w:color w:val="000000"/>
          <w:sz w:val="20"/>
        </w:rPr>
        <w:t>46</w:t>
      </w:r>
      <w:r w:rsidR="00132E50" w:rsidRPr="00D6777A">
        <w:rPr>
          <w:rFonts w:ascii="Arial" w:hAnsi="Arial" w:cs="Arial"/>
          <w:color w:val="000000"/>
          <w:sz w:val="20"/>
        </w:rPr>
        <w:t xml:space="preserve">% have resulted in </w:t>
      </w:r>
      <w:r>
        <w:rPr>
          <w:rFonts w:ascii="Arial" w:hAnsi="Arial" w:cs="Arial"/>
          <w:color w:val="000000"/>
          <w:sz w:val="20"/>
        </w:rPr>
        <w:t xml:space="preserve">full </w:t>
      </w:r>
      <w:r w:rsidR="00132E50" w:rsidRPr="00D6777A">
        <w:rPr>
          <w:rFonts w:ascii="Arial" w:hAnsi="Arial" w:cs="Arial"/>
          <w:color w:val="000000"/>
          <w:sz w:val="20"/>
        </w:rPr>
        <w:t>settlement</w:t>
      </w:r>
      <w:r w:rsidR="00D6777A">
        <w:rPr>
          <w:rFonts w:ascii="Arial" w:hAnsi="Arial" w:cs="Arial"/>
          <w:color w:val="000000"/>
          <w:sz w:val="20"/>
        </w:rPr>
        <w:t>;</w:t>
      </w:r>
    </w:p>
    <w:p w14:paraId="55024A6D" w14:textId="77777777" w:rsidR="00FC191C" w:rsidRDefault="00FC191C" w:rsidP="00FB1EE3">
      <w:pPr>
        <w:numPr>
          <w:ilvl w:val="0"/>
          <w:numId w:val="52"/>
        </w:numPr>
        <w:tabs>
          <w:tab w:val="clear" w:pos="1574"/>
        </w:tabs>
        <w:ind w:left="289" w:hanging="289"/>
        <w:jc w:val="both"/>
        <w:rPr>
          <w:rFonts w:ascii="Arial" w:hAnsi="Arial" w:cs="Arial"/>
          <w:color w:val="000000"/>
          <w:sz w:val="20"/>
        </w:rPr>
      </w:pPr>
      <w:r>
        <w:rPr>
          <w:rFonts w:ascii="Arial" w:hAnsi="Arial" w:cs="Arial"/>
          <w:color w:val="000000"/>
          <w:sz w:val="20"/>
        </w:rPr>
        <w:t>36% have been partially settled and have resulted in interim protection orders, further CCs or mentions; and</w:t>
      </w:r>
    </w:p>
    <w:p w14:paraId="53EE273D" w14:textId="77777777" w:rsidR="00132E50" w:rsidRPr="00D6777A" w:rsidRDefault="00FC191C" w:rsidP="00FB1EE3">
      <w:pPr>
        <w:numPr>
          <w:ilvl w:val="0"/>
          <w:numId w:val="52"/>
        </w:numPr>
        <w:tabs>
          <w:tab w:val="clear" w:pos="1574"/>
        </w:tabs>
        <w:ind w:left="289" w:hanging="289"/>
        <w:jc w:val="both"/>
        <w:rPr>
          <w:rFonts w:ascii="Arial" w:hAnsi="Arial" w:cs="Arial"/>
          <w:color w:val="000000"/>
          <w:sz w:val="20"/>
        </w:rPr>
      </w:pPr>
      <w:r>
        <w:rPr>
          <w:rFonts w:ascii="Arial" w:hAnsi="Arial" w:cs="Arial"/>
          <w:color w:val="000000"/>
          <w:sz w:val="20"/>
        </w:rPr>
        <w:t>18</w:t>
      </w:r>
      <w:r w:rsidR="00132E50" w:rsidRPr="00D6777A">
        <w:rPr>
          <w:rFonts w:ascii="Arial" w:hAnsi="Arial" w:cs="Arial"/>
          <w:color w:val="000000"/>
          <w:sz w:val="20"/>
        </w:rPr>
        <w:t xml:space="preserve">% have been adjourned for </w:t>
      </w:r>
      <w:r>
        <w:rPr>
          <w:rFonts w:ascii="Arial" w:hAnsi="Arial" w:cs="Arial"/>
          <w:color w:val="000000"/>
          <w:sz w:val="20"/>
        </w:rPr>
        <w:t>f</w:t>
      </w:r>
      <w:r w:rsidR="00D6777A">
        <w:rPr>
          <w:rFonts w:ascii="Arial" w:hAnsi="Arial" w:cs="Arial"/>
          <w:color w:val="000000"/>
          <w:sz w:val="20"/>
        </w:rPr>
        <w:t>irst d</w:t>
      </w:r>
      <w:r w:rsidR="00132E50" w:rsidRPr="00D6777A">
        <w:rPr>
          <w:rFonts w:ascii="Arial" w:hAnsi="Arial" w:cs="Arial"/>
          <w:color w:val="000000"/>
          <w:sz w:val="20"/>
        </w:rPr>
        <w:t xml:space="preserve">irections </w:t>
      </w:r>
      <w:r w:rsidR="00D6777A">
        <w:rPr>
          <w:rFonts w:ascii="Arial" w:hAnsi="Arial" w:cs="Arial"/>
          <w:color w:val="000000"/>
          <w:sz w:val="20"/>
        </w:rPr>
        <w:t>h</w:t>
      </w:r>
      <w:r w:rsidR="00132E50" w:rsidRPr="00D6777A">
        <w:rPr>
          <w:rFonts w:ascii="Arial" w:hAnsi="Arial" w:cs="Arial"/>
          <w:color w:val="000000"/>
          <w:sz w:val="20"/>
        </w:rPr>
        <w:t xml:space="preserve">earing or </w:t>
      </w:r>
      <w:r>
        <w:rPr>
          <w:rFonts w:ascii="Arial" w:hAnsi="Arial" w:cs="Arial"/>
          <w:color w:val="000000"/>
          <w:sz w:val="20"/>
        </w:rPr>
        <w:t>d</w:t>
      </w:r>
      <w:r w:rsidR="00D6777A">
        <w:rPr>
          <w:rFonts w:ascii="Arial" w:hAnsi="Arial" w:cs="Arial"/>
          <w:color w:val="000000"/>
          <w:sz w:val="20"/>
        </w:rPr>
        <w:t xml:space="preserve">irections hearing &amp; </w:t>
      </w:r>
      <w:r w:rsidR="00132E50" w:rsidRPr="00D6777A">
        <w:rPr>
          <w:rFonts w:ascii="Arial" w:hAnsi="Arial" w:cs="Arial"/>
          <w:color w:val="000000"/>
          <w:sz w:val="20"/>
        </w:rPr>
        <w:t>contest.</w:t>
      </w:r>
    </w:p>
    <w:p w14:paraId="726441B9" w14:textId="77777777" w:rsidR="004518FB" w:rsidRDefault="004518FB">
      <w:pPr>
        <w:jc w:val="both"/>
        <w:rPr>
          <w:rFonts w:ascii="Arial" w:hAnsi="Arial" w:cs="Arial"/>
          <w:color w:val="000000"/>
          <w:sz w:val="20"/>
        </w:rPr>
      </w:pPr>
    </w:p>
    <w:p w14:paraId="0B3A4BFF" w14:textId="77777777" w:rsidR="00FC191C" w:rsidRDefault="003B4C54" w:rsidP="003B4C54">
      <w:pPr>
        <w:jc w:val="both"/>
        <w:rPr>
          <w:rFonts w:ascii="Arial" w:hAnsi="Arial" w:cs="Arial"/>
          <w:color w:val="000000"/>
          <w:sz w:val="20"/>
        </w:rPr>
      </w:pPr>
      <w:r w:rsidRPr="00785E1A">
        <w:rPr>
          <w:rFonts w:ascii="Arial" w:hAnsi="Arial" w:cs="Arial"/>
          <w:color w:val="000000"/>
          <w:sz w:val="20"/>
        </w:rPr>
        <w:t xml:space="preserve">However, these figures do not reveal, nor should one under-estimate, the contribution of </w:t>
      </w:r>
      <w:r w:rsidR="009970EC">
        <w:rPr>
          <w:rFonts w:ascii="Arial" w:hAnsi="Arial" w:cs="Arial"/>
          <w:color w:val="000000"/>
          <w:sz w:val="20"/>
        </w:rPr>
        <w:t>conciliation</w:t>
      </w:r>
      <w:r w:rsidRPr="00785E1A">
        <w:rPr>
          <w:rFonts w:ascii="Arial" w:hAnsi="Arial" w:cs="Arial"/>
          <w:color w:val="000000"/>
          <w:sz w:val="20"/>
        </w:rPr>
        <w:t xml:space="preserve"> conferences to the </w:t>
      </w:r>
      <w:r w:rsidR="00FC191C">
        <w:rPr>
          <w:rFonts w:ascii="Arial" w:hAnsi="Arial" w:cs="Arial"/>
          <w:color w:val="000000"/>
          <w:sz w:val="20"/>
        </w:rPr>
        <w:t>subsequent</w:t>
      </w:r>
      <w:r w:rsidRPr="00785E1A">
        <w:rPr>
          <w:rFonts w:ascii="Arial" w:hAnsi="Arial" w:cs="Arial"/>
          <w:color w:val="000000"/>
          <w:sz w:val="20"/>
        </w:rPr>
        <w:t xml:space="preserve"> settlement of cases</w:t>
      </w:r>
      <w:r w:rsidR="00FC191C">
        <w:rPr>
          <w:rFonts w:ascii="Arial" w:hAnsi="Arial" w:cs="Arial"/>
          <w:color w:val="000000"/>
          <w:sz w:val="20"/>
        </w:rPr>
        <w:t xml:space="preserve">.  In particular, where CCs are part-heard or listed for mention or result in IPOs, a number of issues have </w:t>
      </w:r>
      <w:r w:rsidR="009970EC">
        <w:rPr>
          <w:rFonts w:ascii="Arial" w:hAnsi="Arial" w:cs="Arial"/>
          <w:color w:val="000000"/>
          <w:sz w:val="20"/>
        </w:rPr>
        <w:t xml:space="preserve">been clarified and </w:t>
      </w:r>
      <w:r w:rsidR="00FC191C">
        <w:rPr>
          <w:rFonts w:ascii="Arial" w:hAnsi="Arial" w:cs="Arial"/>
          <w:color w:val="000000"/>
          <w:sz w:val="20"/>
        </w:rPr>
        <w:t xml:space="preserve">parties </w:t>
      </w:r>
      <w:r w:rsidR="009970EC">
        <w:rPr>
          <w:rFonts w:ascii="Arial" w:hAnsi="Arial" w:cs="Arial"/>
          <w:color w:val="000000"/>
          <w:sz w:val="20"/>
        </w:rPr>
        <w:t xml:space="preserve">have </w:t>
      </w:r>
      <w:r w:rsidR="00FC191C">
        <w:rPr>
          <w:rFonts w:ascii="Arial" w:hAnsi="Arial" w:cs="Arial"/>
          <w:color w:val="000000"/>
          <w:sz w:val="20"/>
        </w:rPr>
        <w:t>agree</w:t>
      </w:r>
      <w:r w:rsidR="009970EC">
        <w:rPr>
          <w:rFonts w:ascii="Arial" w:hAnsi="Arial" w:cs="Arial"/>
          <w:color w:val="000000"/>
          <w:sz w:val="20"/>
        </w:rPr>
        <w:t>d</w:t>
      </w:r>
      <w:r w:rsidR="00FC191C">
        <w:rPr>
          <w:rFonts w:ascii="Arial" w:hAnsi="Arial" w:cs="Arial"/>
          <w:color w:val="000000"/>
          <w:sz w:val="20"/>
        </w:rPr>
        <w:t xml:space="preserve"> on a course of action in the best interests of the subject children.  These </w:t>
      </w:r>
      <w:r w:rsidR="009970EC">
        <w:rPr>
          <w:rFonts w:ascii="Arial" w:hAnsi="Arial" w:cs="Arial"/>
          <w:color w:val="000000"/>
          <w:sz w:val="20"/>
        </w:rPr>
        <w:t xml:space="preserve">cases </w:t>
      </w:r>
      <w:r w:rsidR="00FC191C">
        <w:rPr>
          <w:rFonts w:ascii="Arial" w:hAnsi="Arial" w:cs="Arial"/>
          <w:color w:val="000000"/>
          <w:sz w:val="20"/>
        </w:rPr>
        <w:t xml:space="preserve">frequently resolve without requiring a traditional evidence-based contest.  And where a case has been adjourned for directions hearing </w:t>
      </w:r>
      <w:r w:rsidR="009970EC">
        <w:rPr>
          <w:rFonts w:ascii="Arial" w:hAnsi="Arial" w:cs="Arial"/>
          <w:color w:val="000000"/>
          <w:sz w:val="20"/>
        </w:rPr>
        <w:t>&amp; contest, the discussions at CC often result either in a subsequent settlement or in a narrowing of issues for resolution in a contest.</w:t>
      </w:r>
    </w:p>
    <w:p w14:paraId="56823DCB" w14:textId="77777777" w:rsidR="003B4C54" w:rsidRDefault="003B4C54">
      <w:pPr>
        <w:jc w:val="both"/>
        <w:rPr>
          <w:rFonts w:ascii="Arial" w:hAnsi="Arial" w:cs="Arial"/>
          <w:color w:val="000000"/>
          <w:sz w:val="20"/>
        </w:rPr>
      </w:pPr>
    </w:p>
    <w:p w14:paraId="5D896B83" w14:textId="77777777" w:rsidR="00DD004D" w:rsidRDefault="00DD004D">
      <w:pPr>
        <w:jc w:val="both"/>
        <w:rPr>
          <w:rFonts w:ascii="Arial" w:hAnsi="Arial" w:cs="Arial"/>
          <w:color w:val="000000"/>
          <w:sz w:val="20"/>
        </w:rPr>
      </w:pPr>
      <w:r>
        <w:rPr>
          <w:rFonts w:ascii="Arial" w:hAnsi="Arial" w:cs="Arial"/>
          <w:color w:val="000000"/>
          <w:sz w:val="20"/>
        </w:rPr>
        <w:lastRenderedPageBreak/>
        <w:t xml:space="preserve">The CC statistics for the past 3 years are </w:t>
      </w:r>
      <w:r w:rsidR="009E6FE8">
        <w:rPr>
          <w:rFonts w:ascii="Arial" w:hAnsi="Arial" w:cs="Arial"/>
          <w:color w:val="000000"/>
          <w:sz w:val="20"/>
        </w:rPr>
        <w:t>in the following tables.  The METROPOLITAN figures are from Melbourne, Moorabbin &amp; Broadmeadows Children’s Courts.</w:t>
      </w:r>
    </w:p>
    <w:p w14:paraId="7BEE6777" w14:textId="77777777" w:rsidR="00DD004D" w:rsidRDefault="00DD004D">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DD004D" w:rsidRPr="00870270" w14:paraId="3AD3D7DD" w14:textId="77777777" w:rsidTr="00870270">
        <w:tc>
          <w:tcPr>
            <w:tcW w:w="1705" w:type="dxa"/>
            <w:shd w:val="clear" w:color="auto" w:fill="000000"/>
          </w:tcPr>
          <w:p w14:paraId="04042922" w14:textId="77777777" w:rsidR="00DD004D" w:rsidRPr="00870270" w:rsidRDefault="00DD004D" w:rsidP="00870270">
            <w:pPr>
              <w:spacing w:before="120"/>
              <w:jc w:val="center"/>
              <w:rPr>
                <w:rFonts w:ascii="Arial" w:hAnsi="Arial" w:cs="Arial"/>
                <w:b/>
                <w:bCs/>
                <w:color w:val="FFFFFF"/>
                <w:szCs w:val="32"/>
              </w:rPr>
            </w:pPr>
            <w:r w:rsidRPr="00870270">
              <w:rPr>
                <w:rFonts w:ascii="Arial" w:hAnsi="Arial" w:cs="Arial"/>
                <w:b/>
                <w:bCs/>
                <w:color w:val="FFFFFF"/>
                <w:szCs w:val="32"/>
              </w:rPr>
              <w:t>2018/19</w:t>
            </w:r>
          </w:p>
        </w:tc>
        <w:tc>
          <w:tcPr>
            <w:tcW w:w="1705" w:type="dxa"/>
            <w:shd w:val="clear" w:color="auto" w:fill="auto"/>
          </w:tcPr>
          <w:p w14:paraId="2EAABC38"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67037307" w14:textId="77777777" w:rsidR="00DD004D"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0A60C6B6"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3DB3EE90" w14:textId="77777777" w:rsidR="00DD004D"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DD004D" w:rsidRPr="00870270" w14:paraId="5A2836ED" w14:textId="77777777" w:rsidTr="00870270">
        <w:tc>
          <w:tcPr>
            <w:tcW w:w="1705" w:type="dxa"/>
            <w:shd w:val="clear" w:color="auto" w:fill="auto"/>
          </w:tcPr>
          <w:p w14:paraId="6C0D130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ME</w:t>
            </w:r>
            <w:r w:rsidR="009E6FE8" w:rsidRPr="00870270">
              <w:rPr>
                <w:rFonts w:ascii="Arial" w:hAnsi="Arial" w:cs="Arial"/>
                <w:b/>
                <w:bCs/>
                <w:color w:val="000000"/>
                <w:sz w:val="20"/>
              </w:rPr>
              <w:t>TROPOLITAN</w:t>
            </w:r>
          </w:p>
        </w:tc>
        <w:tc>
          <w:tcPr>
            <w:tcW w:w="1705" w:type="dxa"/>
            <w:shd w:val="clear" w:color="auto" w:fill="auto"/>
          </w:tcPr>
          <w:p w14:paraId="4CA0A46D"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49D0C72F"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612</w:t>
            </w:r>
          </w:p>
        </w:tc>
        <w:tc>
          <w:tcPr>
            <w:tcW w:w="1706" w:type="dxa"/>
            <w:shd w:val="clear" w:color="auto" w:fill="auto"/>
          </w:tcPr>
          <w:p w14:paraId="69762AE4"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655</w:t>
            </w:r>
          </w:p>
        </w:tc>
        <w:tc>
          <w:tcPr>
            <w:tcW w:w="1706" w:type="dxa"/>
            <w:shd w:val="clear" w:color="auto" w:fill="auto"/>
          </w:tcPr>
          <w:p w14:paraId="75585E57"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559</w:t>
            </w:r>
          </w:p>
        </w:tc>
      </w:tr>
      <w:tr w:rsidR="00DD004D" w:rsidRPr="00870270" w14:paraId="16E921D7" w14:textId="77777777" w:rsidTr="00870270">
        <w:tc>
          <w:tcPr>
            <w:tcW w:w="1705" w:type="dxa"/>
            <w:shd w:val="clear" w:color="auto" w:fill="auto"/>
          </w:tcPr>
          <w:p w14:paraId="53CFFDB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6D45F4C1"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1449</w:t>
            </w:r>
          </w:p>
        </w:tc>
        <w:tc>
          <w:tcPr>
            <w:tcW w:w="1706" w:type="dxa"/>
            <w:shd w:val="clear" w:color="auto" w:fill="auto"/>
          </w:tcPr>
          <w:p w14:paraId="2FCB79B0"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674</w:t>
            </w:r>
          </w:p>
        </w:tc>
        <w:tc>
          <w:tcPr>
            <w:tcW w:w="1706" w:type="dxa"/>
            <w:shd w:val="clear" w:color="auto" w:fill="auto"/>
          </w:tcPr>
          <w:p w14:paraId="2C082C3B"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536</w:t>
            </w:r>
          </w:p>
        </w:tc>
        <w:tc>
          <w:tcPr>
            <w:tcW w:w="1706" w:type="dxa"/>
            <w:shd w:val="clear" w:color="auto" w:fill="auto"/>
          </w:tcPr>
          <w:p w14:paraId="50959E5C"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239</w:t>
            </w:r>
          </w:p>
        </w:tc>
      </w:tr>
      <w:tr w:rsidR="0011018E" w:rsidRPr="00870270" w14:paraId="26809274" w14:textId="77777777" w:rsidTr="00870270">
        <w:tc>
          <w:tcPr>
            <w:tcW w:w="1705" w:type="dxa"/>
            <w:shd w:val="clear" w:color="auto" w:fill="000000"/>
          </w:tcPr>
          <w:p w14:paraId="08C3F699" w14:textId="77777777" w:rsidR="00DD004D" w:rsidRPr="00870270" w:rsidRDefault="00DD004D"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60D7F59D"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3275</w:t>
            </w:r>
          </w:p>
        </w:tc>
        <w:tc>
          <w:tcPr>
            <w:tcW w:w="1706" w:type="dxa"/>
            <w:shd w:val="clear" w:color="auto" w:fill="000000"/>
          </w:tcPr>
          <w:p w14:paraId="57F6846A"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1286</w:t>
            </w:r>
          </w:p>
        </w:tc>
        <w:tc>
          <w:tcPr>
            <w:tcW w:w="1706" w:type="dxa"/>
            <w:shd w:val="clear" w:color="auto" w:fill="000000"/>
          </w:tcPr>
          <w:p w14:paraId="2742C46E"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1191</w:t>
            </w:r>
          </w:p>
        </w:tc>
        <w:tc>
          <w:tcPr>
            <w:tcW w:w="1706" w:type="dxa"/>
            <w:shd w:val="clear" w:color="auto" w:fill="000000"/>
          </w:tcPr>
          <w:p w14:paraId="47767558"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798</w:t>
            </w:r>
          </w:p>
        </w:tc>
      </w:tr>
    </w:tbl>
    <w:p w14:paraId="2D7F2BAE"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11018E" w:rsidRPr="00870270" w14:paraId="628153FA" w14:textId="77777777" w:rsidTr="00870270">
        <w:tc>
          <w:tcPr>
            <w:tcW w:w="1705" w:type="dxa"/>
            <w:shd w:val="clear" w:color="auto" w:fill="000000"/>
          </w:tcPr>
          <w:p w14:paraId="02BB8D41" w14:textId="77777777" w:rsidR="0011018E" w:rsidRPr="00870270" w:rsidRDefault="0011018E" w:rsidP="00870270">
            <w:pPr>
              <w:spacing w:before="120"/>
              <w:jc w:val="center"/>
              <w:rPr>
                <w:rFonts w:ascii="Arial" w:hAnsi="Arial" w:cs="Arial"/>
                <w:b/>
                <w:bCs/>
                <w:color w:val="FFFFFF"/>
                <w:szCs w:val="32"/>
              </w:rPr>
            </w:pPr>
            <w:r w:rsidRPr="00870270">
              <w:rPr>
                <w:rFonts w:ascii="Arial" w:hAnsi="Arial" w:cs="Arial"/>
                <w:b/>
                <w:bCs/>
                <w:color w:val="FFFFFF"/>
                <w:szCs w:val="32"/>
              </w:rPr>
              <w:t>2019/20</w:t>
            </w:r>
          </w:p>
        </w:tc>
        <w:tc>
          <w:tcPr>
            <w:tcW w:w="1705" w:type="dxa"/>
            <w:shd w:val="clear" w:color="auto" w:fill="auto"/>
          </w:tcPr>
          <w:p w14:paraId="70269E53"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1494BA56"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28BD3A1A"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7E6ACE82"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11018E" w:rsidRPr="00870270" w14:paraId="73F0E3E2" w14:textId="77777777" w:rsidTr="00870270">
        <w:tc>
          <w:tcPr>
            <w:tcW w:w="1705" w:type="dxa"/>
            <w:shd w:val="clear" w:color="auto" w:fill="auto"/>
          </w:tcPr>
          <w:p w14:paraId="167F7650"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705" w:type="dxa"/>
            <w:shd w:val="clear" w:color="auto" w:fill="auto"/>
          </w:tcPr>
          <w:p w14:paraId="32EAA26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6E64D388"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2D13F64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71DADA2D"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582</w:t>
            </w:r>
          </w:p>
        </w:tc>
      </w:tr>
      <w:tr w:rsidR="0011018E" w:rsidRPr="00870270" w14:paraId="7114E94B" w14:textId="77777777" w:rsidTr="00870270">
        <w:tc>
          <w:tcPr>
            <w:tcW w:w="1705" w:type="dxa"/>
            <w:shd w:val="clear" w:color="auto" w:fill="auto"/>
          </w:tcPr>
          <w:p w14:paraId="7B6358E6"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2D565CE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1444</w:t>
            </w:r>
          </w:p>
        </w:tc>
        <w:tc>
          <w:tcPr>
            <w:tcW w:w="1706" w:type="dxa"/>
            <w:shd w:val="clear" w:color="auto" w:fill="auto"/>
          </w:tcPr>
          <w:p w14:paraId="6535D7D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659</w:t>
            </w:r>
          </w:p>
        </w:tc>
        <w:tc>
          <w:tcPr>
            <w:tcW w:w="1706" w:type="dxa"/>
            <w:shd w:val="clear" w:color="auto" w:fill="auto"/>
          </w:tcPr>
          <w:p w14:paraId="5DA5299E"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515</w:t>
            </w:r>
          </w:p>
        </w:tc>
        <w:tc>
          <w:tcPr>
            <w:tcW w:w="1706" w:type="dxa"/>
            <w:shd w:val="clear" w:color="auto" w:fill="auto"/>
          </w:tcPr>
          <w:p w14:paraId="243A712F"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270</w:t>
            </w:r>
          </w:p>
        </w:tc>
      </w:tr>
      <w:tr w:rsidR="009E6FE8" w:rsidRPr="00870270" w14:paraId="1E4D4DB5" w14:textId="77777777" w:rsidTr="00870270">
        <w:tc>
          <w:tcPr>
            <w:tcW w:w="1705" w:type="dxa"/>
            <w:shd w:val="clear" w:color="auto" w:fill="000000"/>
          </w:tcPr>
          <w:p w14:paraId="4A46DE8D"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1BD4AE40"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3260</w:t>
            </w:r>
          </w:p>
        </w:tc>
        <w:tc>
          <w:tcPr>
            <w:tcW w:w="1706" w:type="dxa"/>
            <w:shd w:val="clear" w:color="auto" w:fill="000000"/>
          </w:tcPr>
          <w:p w14:paraId="492D9DB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1276</w:t>
            </w:r>
          </w:p>
        </w:tc>
        <w:tc>
          <w:tcPr>
            <w:tcW w:w="1706" w:type="dxa"/>
            <w:shd w:val="clear" w:color="auto" w:fill="000000"/>
          </w:tcPr>
          <w:p w14:paraId="76089F31"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1132</w:t>
            </w:r>
          </w:p>
        </w:tc>
        <w:tc>
          <w:tcPr>
            <w:tcW w:w="1706" w:type="dxa"/>
            <w:shd w:val="clear" w:color="auto" w:fill="000000"/>
          </w:tcPr>
          <w:p w14:paraId="43D0049A"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852</w:t>
            </w:r>
          </w:p>
        </w:tc>
      </w:tr>
    </w:tbl>
    <w:p w14:paraId="16AAD05B"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7"/>
        <w:gridCol w:w="1697"/>
        <w:gridCol w:w="1697"/>
        <w:gridCol w:w="1475"/>
      </w:tblGrid>
      <w:tr w:rsidR="0011018E" w:rsidRPr="00870270" w14:paraId="26D39C8B" w14:textId="77777777" w:rsidTr="00870270">
        <w:tc>
          <w:tcPr>
            <w:tcW w:w="1816" w:type="dxa"/>
            <w:shd w:val="clear" w:color="auto" w:fill="000000"/>
          </w:tcPr>
          <w:p w14:paraId="3207DDFE" w14:textId="77777777" w:rsidR="0011018E" w:rsidRPr="00870270" w:rsidRDefault="009E6FE8" w:rsidP="00870270">
            <w:pPr>
              <w:spacing w:before="120"/>
              <w:jc w:val="center"/>
              <w:rPr>
                <w:rFonts w:ascii="Arial" w:hAnsi="Arial" w:cs="Arial"/>
                <w:b/>
                <w:bCs/>
                <w:color w:val="FFFFFF"/>
                <w:szCs w:val="32"/>
              </w:rPr>
            </w:pPr>
            <w:r w:rsidRPr="00870270">
              <w:rPr>
                <w:rFonts w:ascii="Arial" w:hAnsi="Arial" w:cs="Arial"/>
                <w:b/>
                <w:bCs/>
                <w:color w:val="FFFFFF"/>
                <w:szCs w:val="32"/>
              </w:rPr>
              <w:t>2020/21</w:t>
            </w:r>
          </w:p>
        </w:tc>
        <w:tc>
          <w:tcPr>
            <w:tcW w:w="1676" w:type="dxa"/>
            <w:shd w:val="clear" w:color="auto" w:fill="auto"/>
          </w:tcPr>
          <w:p w14:paraId="72DC362F"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3" w:type="dxa"/>
            <w:shd w:val="clear" w:color="auto" w:fill="auto"/>
          </w:tcPr>
          <w:p w14:paraId="05178BE9"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3" w:type="dxa"/>
            <w:shd w:val="clear" w:color="auto" w:fill="auto"/>
          </w:tcPr>
          <w:p w14:paraId="735F0D3C"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630" w:type="dxa"/>
            <w:shd w:val="clear" w:color="auto" w:fill="auto"/>
          </w:tcPr>
          <w:p w14:paraId="208B9B5A"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 xml:space="preserve">CCs LEADING TO </w:t>
            </w:r>
            <w:r w:rsidR="009E6FE8" w:rsidRPr="00870270">
              <w:rPr>
                <w:rFonts w:ascii="Arial" w:hAnsi="Arial" w:cs="Arial"/>
                <w:b/>
                <w:bCs/>
                <w:color w:val="000000"/>
                <w:sz w:val="16"/>
                <w:szCs w:val="20"/>
              </w:rPr>
              <w:t>READINESS</w:t>
            </w:r>
            <w:r w:rsidRPr="00870270">
              <w:rPr>
                <w:rFonts w:ascii="Arial" w:hAnsi="Arial" w:cs="Arial"/>
                <w:b/>
                <w:bCs/>
                <w:color w:val="000000"/>
                <w:sz w:val="16"/>
                <w:szCs w:val="20"/>
              </w:rPr>
              <w:t xml:space="preserve"> HEARINGS</w:t>
            </w:r>
          </w:p>
        </w:tc>
      </w:tr>
      <w:tr w:rsidR="0011018E" w:rsidRPr="00870270" w14:paraId="67707016" w14:textId="77777777" w:rsidTr="00870270">
        <w:tc>
          <w:tcPr>
            <w:tcW w:w="1816" w:type="dxa"/>
            <w:shd w:val="clear" w:color="auto" w:fill="auto"/>
          </w:tcPr>
          <w:p w14:paraId="1F2959F6"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676" w:type="dxa"/>
            <w:shd w:val="clear" w:color="auto" w:fill="auto"/>
          </w:tcPr>
          <w:p w14:paraId="106D079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1628</w:t>
            </w:r>
          </w:p>
        </w:tc>
        <w:tc>
          <w:tcPr>
            <w:tcW w:w="1703" w:type="dxa"/>
            <w:shd w:val="clear" w:color="auto" w:fill="auto"/>
          </w:tcPr>
          <w:p w14:paraId="41C7E6F2"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c>
          <w:tcPr>
            <w:tcW w:w="1703" w:type="dxa"/>
            <w:shd w:val="clear" w:color="auto" w:fill="auto"/>
          </w:tcPr>
          <w:p w14:paraId="2CF39E4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554</w:t>
            </w:r>
          </w:p>
        </w:tc>
        <w:tc>
          <w:tcPr>
            <w:tcW w:w="1630" w:type="dxa"/>
            <w:shd w:val="clear" w:color="auto" w:fill="auto"/>
          </w:tcPr>
          <w:p w14:paraId="190B741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r>
      <w:tr w:rsidR="0011018E" w:rsidRPr="00870270" w14:paraId="3FFC0D32" w14:textId="77777777" w:rsidTr="00870270">
        <w:tc>
          <w:tcPr>
            <w:tcW w:w="1816" w:type="dxa"/>
            <w:shd w:val="clear" w:color="auto" w:fill="auto"/>
          </w:tcPr>
          <w:p w14:paraId="5F88F9DF"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676" w:type="dxa"/>
            <w:shd w:val="clear" w:color="auto" w:fill="auto"/>
          </w:tcPr>
          <w:p w14:paraId="24E6BFD9"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1360</w:t>
            </w:r>
          </w:p>
        </w:tc>
        <w:tc>
          <w:tcPr>
            <w:tcW w:w="1703" w:type="dxa"/>
            <w:shd w:val="clear" w:color="auto" w:fill="auto"/>
          </w:tcPr>
          <w:p w14:paraId="435AA78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653</w:t>
            </w:r>
          </w:p>
        </w:tc>
        <w:tc>
          <w:tcPr>
            <w:tcW w:w="1703" w:type="dxa"/>
            <w:shd w:val="clear" w:color="auto" w:fill="auto"/>
          </w:tcPr>
          <w:p w14:paraId="07D9824B"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394</w:t>
            </w:r>
          </w:p>
        </w:tc>
        <w:tc>
          <w:tcPr>
            <w:tcW w:w="1630" w:type="dxa"/>
            <w:shd w:val="clear" w:color="auto" w:fill="auto"/>
          </w:tcPr>
          <w:p w14:paraId="3E683D1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313</w:t>
            </w:r>
          </w:p>
        </w:tc>
      </w:tr>
      <w:tr w:rsidR="009E6FE8" w:rsidRPr="00870270" w14:paraId="712B43E4" w14:textId="77777777" w:rsidTr="00870270">
        <w:tc>
          <w:tcPr>
            <w:tcW w:w="1816" w:type="dxa"/>
            <w:shd w:val="clear" w:color="auto" w:fill="000000"/>
          </w:tcPr>
          <w:p w14:paraId="43930457"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676" w:type="dxa"/>
            <w:shd w:val="clear" w:color="auto" w:fill="000000"/>
          </w:tcPr>
          <w:p w14:paraId="7A1A5AE3"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2988</w:t>
            </w:r>
          </w:p>
        </w:tc>
        <w:tc>
          <w:tcPr>
            <w:tcW w:w="1703" w:type="dxa"/>
            <w:shd w:val="clear" w:color="auto" w:fill="000000"/>
          </w:tcPr>
          <w:p w14:paraId="601DBC23"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1</w:t>
            </w:r>
            <w:r w:rsidR="009E6FE8" w:rsidRPr="00870270">
              <w:rPr>
                <w:rFonts w:ascii="Arial" w:hAnsi="Arial" w:cs="Arial"/>
                <w:b/>
                <w:bCs/>
                <w:color w:val="FFFFFF"/>
                <w:sz w:val="20"/>
              </w:rPr>
              <w:t>190</w:t>
            </w:r>
          </w:p>
        </w:tc>
        <w:tc>
          <w:tcPr>
            <w:tcW w:w="1703" w:type="dxa"/>
            <w:shd w:val="clear" w:color="auto" w:fill="000000"/>
          </w:tcPr>
          <w:p w14:paraId="6FC7665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948</w:t>
            </w:r>
          </w:p>
        </w:tc>
        <w:tc>
          <w:tcPr>
            <w:tcW w:w="1630" w:type="dxa"/>
            <w:shd w:val="clear" w:color="auto" w:fill="000000"/>
          </w:tcPr>
          <w:p w14:paraId="4FAE6A27"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850</w:t>
            </w:r>
          </w:p>
        </w:tc>
      </w:tr>
      <w:tr w:rsidR="009E6FE8" w:rsidRPr="00870270" w14:paraId="3FF38D6A" w14:textId="77777777" w:rsidTr="00870270">
        <w:tc>
          <w:tcPr>
            <w:tcW w:w="8528" w:type="dxa"/>
            <w:gridSpan w:val="5"/>
            <w:shd w:val="clear" w:color="auto" w:fill="auto"/>
          </w:tcPr>
          <w:p w14:paraId="23D866FC" w14:textId="77777777" w:rsidR="009E6FE8" w:rsidRPr="00870270" w:rsidRDefault="009E6FE8" w:rsidP="00870270">
            <w:pPr>
              <w:jc w:val="both"/>
              <w:rPr>
                <w:rFonts w:ascii="Arial" w:hAnsi="Arial" w:cs="Arial"/>
                <w:color w:val="000000"/>
                <w:sz w:val="20"/>
              </w:rPr>
            </w:pPr>
            <w:r w:rsidRPr="00870270">
              <w:rPr>
                <w:rFonts w:ascii="Arial" w:hAnsi="Arial" w:cs="Arial"/>
                <w:color w:val="000000"/>
                <w:sz w:val="20"/>
              </w:rPr>
              <w:t xml:space="preserve">All CCs in this reporting period were conducted </w:t>
            </w:r>
            <w:r w:rsidR="0091415A" w:rsidRPr="00870270">
              <w:rPr>
                <w:rFonts w:ascii="Arial" w:hAnsi="Arial" w:cs="Arial"/>
                <w:color w:val="000000"/>
                <w:sz w:val="20"/>
              </w:rPr>
              <w:t>online with families being supported by the Court to participate using online hearing software.  Over 20,000 people participated in 2,988 CCs state-wide.</w:t>
            </w:r>
          </w:p>
        </w:tc>
      </w:tr>
    </w:tbl>
    <w:p w14:paraId="7D84FA5D" w14:textId="77777777" w:rsidR="00DD004D" w:rsidRPr="00785E1A" w:rsidRDefault="00DD004D">
      <w:pPr>
        <w:jc w:val="both"/>
        <w:rPr>
          <w:rFonts w:ascii="Arial" w:hAnsi="Arial" w:cs="Arial"/>
          <w:color w:val="000000"/>
          <w:sz w:val="20"/>
        </w:rPr>
      </w:pPr>
    </w:p>
    <w:p w14:paraId="7185C056" w14:textId="77777777" w:rsidR="00EC3E40" w:rsidRPr="00785E1A" w:rsidRDefault="00EC3E40" w:rsidP="00EC3E40">
      <w:pPr>
        <w:pStyle w:val="Heading3"/>
        <w:spacing w:after="120" w:line="240" w:lineRule="auto"/>
        <w:rPr>
          <w:rFonts w:ascii="Arial" w:hAnsi="Arial" w:cs="Arial"/>
          <w:color w:val="000000"/>
          <w:sz w:val="20"/>
        </w:rPr>
      </w:pPr>
      <w:bookmarkStart w:id="1523" w:name="_4.10.10__Judicial"/>
      <w:bookmarkStart w:id="1524" w:name="B41010"/>
      <w:bookmarkEnd w:id="1523"/>
      <w:bookmarkEnd w:id="1524"/>
      <w:r w:rsidRPr="00785E1A">
        <w:rPr>
          <w:rFonts w:ascii="Arial" w:hAnsi="Arial" w:cs="Arial"/>
          <w:b/>
          <w:bCs/>
          <w:color w:val="000000"/>
          <w:sz w:val="20"/>
        </w:rPr>
        <w:t>4.10.</w:t>
      </w:r>
      <w:r w:rsidR="000E530E" w:rsidRPr="00785E1A">
        <w:rPr>
          <w:rFonts w:ascii="Arial" w:hAnsi="Arial" w:cs="Arial"/>
          <w:b/>
          <w:bCs/>
          <w:color w:val="000000"/>
          <w:sz w:val="20"/>
        </w:rPr>
        <w:t>10</w:t>
      </w:r>
      <w:r w:rsidRPr="00785E1A">
        <w:rPr>
          <w:rFonts w:ascii="Arial" w:hAnsi="Arial" w:cs="Arial"/>
          <w:b/>
          <w:bCs/>
          <w:color w:val="000000"/>
          <w:sz w:val="20"/>
        </w:rPr>
        <w:tab/>
      </w:r>
      <w:r w:rsidRPr="00785E1A">
        <w:rPr>
          <w:rFonts w:ascii="Arial" w:hAnsi="Arial" w:cs="Arial"/>
          <w:b/>
          <w:bCs/>
          <w:color w:val="000000"/>
          <w:sz w:val="20"/>
        </w:rPr>
        <w:tab/>
        <w:t>Judicial Resolution Conferences</w:t>
      </w:r>
    </w:p>
    <w:p w14:paraId="33309B81"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The </w:t>
      </w:r>
      <w:r w:rsidRPr="00785E1A">
        <w:rPr>
          <w:rFonts w:ascii="Arial" w:hAnsi="Arial" w:cs="Arial"/>
          <w:bCs/>
          <w:color w:val="000000"/>
          <w:sz w:val="20"/>
          <w:u w:val="single"/>
        </w:rPr>
        <w:t xml:space="preserve">Courts Legislation Amendment (Judicial Resolution Conference) Act 2009 (Vic) </w:t>
      </w:r>
      <w:r w:rsidRPr="00785E1A">
        <w:rPr>
          <w:rFonts w:ascii="Arial" w:hAnsi="Arial" w:cs="Arial"/>
          <w:bCs/>
          <w:color w:val="000000"/>
          <w:sz w:val="20"/>
        </w:rPr>
        <w:t>[No.50/2009] came into operation on 14/09/2009.  That Act amended the CYFA by adding sections-</w:t>
      </w:r>
    </w:p>
    <w:p w14:paraId="6ACA6BDE" w14:textId="77777777" w:rsidR="005623CD" w:rsidRDefault="005623CD" w:rsidP="00855531">
      <w:pPr>
        <w:numPr>
          <w:ilvl w:val="0"/>
          <w:numId w:val="76"/>
        </w:numPr>
        <w:ind w:left="357" w:hanging="357"/>
        <w:rPr>
          <w:rFonts w:ascii="Arial" w:hAnsi="Arial" w:cs="Arial"/>
          <w:sz w:val="20"/>
          <w:szCs w:val="20"/>
        </w:rPr>
      </w:pPr>
      <w:r w:rsidRPr="007D7E39">
        <w:rPr>
          <w:rFonts w:ascii="Arial" w:hAnsi="Arial" w:cs="Arial"/>
          <w:sz w:val="20"/>
          <w:szCs w:val="20"/>
        </w:rPr>
        <w:t>to make provision for the conduct of judicial resolution conferences in the Family Division of the Children’s Court by the President and magistrates; and</w:t>
      </w:r>
    </w:p>
    <w:p w14:paraId="729912D7" w14:textId="77777777" w:rsidR="007D7E39" w:rsidRPr="007D7E39" w:rsidRDefault="007D7E39" w:rsidP="00855531">
      <w:pPr>
        <w:numPr>
          <w:ilvl w:val="0"/>
          <w:numId w:val="76"/>
        </w:numPr>
        <w:ind w:left="357" w:hanging="357"/>
        <w:rPr>
          <w:rFonts w:ascii="Arial" w:hAnsi="Arial" w:cs="Arial"/>
          <w:sz w:val="20"/>
          <w:szCs w:val="20"/>
        </w:rPr>
      </w:pPr>
      <w:r w:rsidRPr="007D7E39">
        <w:rPr>
          <w:rFonts w:ascii="Arial" w:hAnsi="Arial" w:cs="Arial"/>
          <w:sz w:val="20"/>
          <w:szCs w:val="20"/>
        </w:rPr>
        <w:t>to clarify that judicial immunity applies to the President and magistrates when carrying out judicial resolution conferences.</w:t>
      </w:r>
    </w:p>
    <w:p w14:paraId="7574B139" w14:textId="77777777" w:rsidR="005623CD" w:rsidRPr="00785E1A" w:rsidRDefault="005623CD" w:rsidP="005623CD">
      <w:pPr>
        <w:pStyle w:val="Heading3"/>
        <w:spacing w:line="240" w:lineRule="auto"/>
        <w:rPr>
          <w:rFonts w:ascii="Arial" w:hAnsi="Arial" w:cs="Arial"/>
          <w:bCs/>
          <w:color w:val="000000"/>
          <w:sz w:val="20"/>
        </w:rPr>
      </w:pPr>
    </w:p>
    <w:p w14:paraId="18BFBFEF"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Under s.3(1) of the CYFA [as amended] “judicial resolution conference” [hereinafter ‘JRC’] means a resolution process in the Family Division of the Court (other than a </w:t>
      </w:r>
      <w:r w:rsidR="005C7996">
        <w:rPr>
          <w:rFonts w:ascii="Arial" w:hAnsi="Arial" w:cs="Arial"/>
          <w:bCs/>
          <w:color w:val="000000"/>
          <w:sz w:val="20"/>
        </w:rPr>
        <w:t>conciliation</w:t>
      </w:r>
      <w:r w:rsidRPr="00785E1A">
        <w:rPr>
          <w:rFonts w:ascii="Arial" w:hAnsi="Arial" w:cs="Arial"/>
          <w:bCs/>
          <w:color w:val="000000"/>
          <w:sz w:val="20"/>
        </w:rPr>
        <w:t xml:space="preserve"> conference under s.217) which is presided over by the President or a magistrate for the purposes of negotiating a settlement of a dispute including, but not limited to-</w:t>
      </w:r>
    </w:p>
    <w:p w14:paraId="0F3300C7" w14:textId="77777777" w:rsidR="005623CD" w:rsidRPr="007D7E39" w:rsidRDefault="005623CD" w:rsidP="007D7E39">
      <w:pPr>
        <w:rPr>
          <w:rFonts w:ascii="Arial" w:hAnsi="Arial" w:cs="Arial"/>
          <w:sz w:val="20"/>
          <w:szCs w:val="20"/>
        </w:rPr>
      </w:pPr>
      <w:r w:rsidRPr="007D7E39">
        <w:rPr>
          <w:rFonts w:ascii="Arial" w:hAnsi="Arial" w:cs="Arial"/>
          <w:sz w:val="20"/>
          <w:szCs w:val="20"/>
        </w:rPr>
        <w:t>(i)</w:t>
      </w:r>
      <w:r w:rsidRPr="007D7E39">
        <w:rPr>
          <w:rFonts w:ascii="Arial" w:hAnsi="Arial" w:cs="Arial"/>
          <w:sz w:val="20"/>
          <w:szCs w:val="20"/>
        </w:rPr>
        <w:tab/>
        <w:t>mediation; or</w:t>
      </w:r>
    </w:p>
    <w:p w14:paraId="32B19AAD"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w:t>
      </w:r>
      <w:r w:rsidRPr="00785E1A">
        <w:rPr>
          <w:rFonts w:ascii="Arial" w:hAnsi="Arial" w:cs="Arial"/>
          <w:bCs/>
          <w:color w:val="000000"/>
          <w:sz w:val="20"/>
        </w:rPr>
        <w:tab/>
        <w:t>early neutral evaluation; or</w:t>
      </w:r>
    </w:p>
    <w:p w14:paraId="6287A428"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(iii)</w:t>
      </w:r>
      <w:r w:rsidRPr="00785E1A">
        <w:rPr>
          <w:rFonts w:ascii="Arial" w:hAnsi="Arial" w:cs="Arial"/>
          <w:bCs/>
          <w:color w:val="000000"/>
          <w:sz w:val="20"/>
        </w:rPr>
        <w:tab/>
        <w:t>settlement conference; or</w:t>
      </w:r>
    </w:p>
    <w:p w14:paraId="08B16D0C"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(iv)</w:t>
      </w:r>
      <w:r w:rsidRPr="00785E1A">
        <w:rPr>
          <w:rFonts w:ascii="Arial" w:hAnsi="Arial" w:cs="Arial"/>
          <w:bCs/>
          <w:color w:val="000000"/>
          <w:sz w:val="20"/>
        </w:rPr>
        <w:tab/>
        <w:t>conciliation.</w:t>
      </w:r>
    </w:p>
    <w:p w14:paraId="19B12906" w14:textId="77777777" w:rsidR="005623CD" w:rsidRPr="00785E1A" w:rsidRDefault="005623CD" w:rsidP="005623CD">
      <w:pPr>
        <w:pStyle w:val="Heading3"/>
        <w:spacing w:line="240" w:lineRule="auto"/>
        <w:rPr>
          <w:rFonts w:ascii="Arial" w:hAnsi="Arial" w:cs="Arial"/>
          <w:bCs/>
          <w:color w:val="000000"/>
          <w:sz w:val="20"/>
        </w:rPr>
      </w:pPr>
    </w:p>
    <w:p w14:paraId="3C7F7F7B"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527</w:t>
      </w:r>
      <w:proofErr w:type="gramStart"/>
      <w:r w:rsidRPr="00785E1A">
        <w:rPr>
          <w:rFonts w:ascii="Arial" w:hAnsi="Arial" w:cs="Arial"/>
          <w:bCs/>
          <w:color w:val="000000"/>
          <w:sz w:val="20"/>
        </w:rPr>
        <w:t>A(</w:t>
      </w:r>
      <w:proofErr w:type="gramEnd"/>
      <w:r w:rsidRPr="00785E1A">
        <w:rPr>
          <w:rFonts w:ascii="Arial" w:hAnsi="Arial" w:cs="Arial"/>
          <w:bCs/>
          <w:color w:val="000000"/>
          <w:sz w:val="20"/>
        </w:rPr>
        <w:t>1) of the CYFA provides that no evidence is admissible at the hearing of any proceeding in the Family Division of anything said or done by any person in the course of the conduct of a JRC unless the court otherwise orders, having regard to the interests of justice and fairness.  However, it is noteworthy that s.527A(1) does not provide any bar to the admissibility in any other court process of anything said or done by a person in the course of a JRC.  So, for instance, an admission made at a JRC by a parent of the use of drugs would not be privileged in a criminal prosecution in another court.  Section 527</w:t>
      </w:r>
      <w:proofErr w:type="gramStart"/>
      <w:r w:rsidRPr="00785E1A">
        <w:rPr>
          <w:rFonts w:ascii="Arial" w:hAnsi="Arial" w:cs="Arial"/>
          <w:bCs/>
          <w:color w:val="000000"/>
          <w:sz w:val="20"/>
        </w:rPr>
        <w:t>A(</w:t>
      </w:r>
      <w:proofErr w:type="gramEnd"/>
      <w:r w:rsidRPr="00785E1A">
        <w:rPr>
          <w:rFonts w:ascii="Arial" w:hAnsi="Arial" w:cs="Arial"/>
          <w:bCs/>
          <w:color w:val="000000"/>
          <w:sz w:val="20"/>
        </w:rPr>
        <w:t>2) provides that the President or a magistrate is not compellable to give evidence in any proceeding of anything said or done or arising from the conduct of a JRC.  Section 527B gives the President or a magistrate conducting a JRC the same protection and immunity as a justice of the Supreme Court.</w:t>
      </w:r>
    </w:p>
    <w:p w14:paraId="024A6349" w14:textId="77777777" w:rsidR="005623CD" w:rsidRPr="003400E4" w:rsidRDefault="005623CD" w:rsidP="005623CD">
      <w:pPr>
        <w:pStyle w:val="Heading3"/>
        <w:spacing w:line="240" w:lineRule="auto"/>
        <w:rPr>
          <w:rFonts w:ascii="Arial" w:hAnsi="Arial" w:cs="Arial"/>
          <w:bCs/>
          <w:color w:val="000000"/>
          <w:sz w:val="20"/>
          <w:lang w:val="en-AU"/>
        </w:rPr>
      </w:pPr>
    </w:p>
    <w:p w14:paraId="7ACF9393"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523(1) of the CYFA [as amended] provides that proceedings in the Court are, subject to s.523(2) &amp; 527A, to be conducted in open court.</w:t>
      </w:r>
    </w:p>
    <w:p w14:paraId="085D671E" w14:textId="77777777" w:rsidR="005623CD" w:rsidRPr="00785E1A" w:rsidRDefault="005623CD" w:rsidP="005623CD">
      <w:pPr>
        <w:pStyle w:val="Heading3"/>
        <w:spacing w:line="240" w:lineRule="auto"/>
        <w:rPr>
          <w:rFonts w:ascii="Arial" w:hAnsi="Arial" w:cs="Arial"/>
          <w:bCs/>
          <w:color w:val="000000"/>
          <w:sz w:val="20"/>
        </w:rPr>
      </w:pPr>
    </w:p>
    <w:p w14:paraId="0249A5EC" w14:textId="77777777" w:rsidR="00BE5170" w:rsidRDefault="005623CD" w:rsidP="00BE5170">
      <w:pPr>
        <w:jc w:val="both"/>
        <w:rPr>
          <w:rFonts w:ascii="Arial" w:hAnsi="Arial" w:cs="Arial"/>
          <w:color w:val="000000"/>
          <w:sz w:val="20"/>
        </w:rPr>
      </w:pPr>
      <w:r w:rsidRPr="00785E1A">
        <w:rPr>
          <w:rFonts w:ascii="Arial" w:hAnsi="Arial" w:cs="Arial"/>
          <w:color w:val="000000"/>
          <w:sz w:val="20"/>
        </w:rPr>
        <w:t xml:space="preserve">Section 588(1)(b) of the CYFA empowers the President, together with two or more magistrates for the Court, jointly to make rules for or with respect to judicial resolution conferences, including </w:t>
      </w:r>
      <w:r w:rsidRPr="00785E1A">
        <w:rPr>
          <w:rFonts w:ascii="Arial" w:hAnsi="Arial" w:cs="Arial"/>
          <w:color w:val="000000"/>
          <w:sz w:val="20"/>
        </w:rPr>
        <w:lastRenderedPageBreak/>
        <w:t>but not limited to the practice and procedure of the Court in relation to judicial resolution conferences.  As yet no such rules have been made.</w:t>
      </w:r>
    </w:p>
    <w:p w14:paraId="5E6EEECD" w14:textId="77777777" w:rsidR="005623CD" w:rsidRPr="00785E1A" w:rsidRDefault="005623CD" w:rsidP="005623CD">
      <w:pPr>
        <w:pStyle w:val="Heading3"/>
        <w:spacing w:line="240" w:lineRule="auto"/>
        <w:rPr>
          <w:rFonts w:ascii="Arial" w:hAnsi="Arial" w:cs="Arial"/>
          <w:bCs/>
          <w:color w:val="000000"/>
          <w:sz w:val="20"/>
        </w:rPr>
      </w:pPr>
    </w:p>
    <w:p w14:paraId="60CC24C9"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There is no reason why a JRC could not be conducted at any time between the commencement and the final determination of a case in the Family Division of the Court.  As the Court has not yet been provided with the requisite training or resources, the President has not as yet issued any formal guidelines as to the preferred position of a JRC in the flow-chart of hearing types.  However it should be noted that for many years the Court has conducted Directions Hearing which are sometimes in the nature of a mini-JRC.</w:t>
      </w:r>
    </w:p>
    <w:p w14:paraId="12AC1C99" w14:textId="77777777" w:rsidR="00411866" w:rsidRPr="00785E1A" w:rsidRDefault="00411866">
      <w:pPr>
        <w:jc w:val="both"/>
        <w:rPr>
          <w:rFonts w:ascii="Arial" w:hAnsi="Arial" w:cs="Arial"/>
          <w:color w:val="000000"/>
        </w:rPr>
      </w:pPr>
    </w:p>
    <w:p w14:paraId="6FD1CA6F" w14:textId="77777777" w:rsidR="00693223" w:rsidRDefault="00693223" w:rsidP="00BB1A34">
      <w:pPr>
        <w:pStyle w:val="Heading2"/>
        <w:keepNext/>
        <w:keepLines/>
        <w:tabs>
          <w:tab w:val="left" w:pos="567"/>
        </w:tabs>
        <w:spacing w:line="240" w:lineRule="auto"/>
        <w:rPr>
          <w:rFonts w:ascii="Arial" w:hAnsi="Arial" w:cs="Arial"/>
          <w:b/>
          <w:bCs/>
        </w:rPr>
      </w:pPr>
      <w:bookmarkStart w:id="1525" w:name="_4.11_Children's_Court"/>
      <w:bookmarkStart w:id="1526" w:name="B411"/>
      <w:bookmarkStart w:id="1527" w:name="_Toc30649085"/>
      <w:bookmarkStart w:id="1528" w:name="_Toc30649161"/>
      <w:bookmarkStart w:id="1529" w:name="_Toc30649424"/>
      <w:bookmarkStart w:id="1530" w:name="_Toc30649749"/>
      <w:bookmarkStart w:id="1531" w:name="_Toc30651693"/>
      <w:bookmarkStart w:id="1532" w:name="_Toc30652683"/>
      <w:bookmarkStart w:id="1533" w:name="_Toc30652779"/>
      <w:bookmarkStart w:id="1534" w:name="_Toc30654129"/>
      <w:bookmarkStart w:id="1535" w:name="_Toc30654486"/>
      <w:bookmarkStart w:id="1536" w:name="_Toc30655105"/>
      <w:bookmarkStart w:id="1537" w:name="_Toc30655362"/>
      <w:bookmarkStart w:id="1538" w:name="_Toc30657040"/>
      <w:bookmarkStart w:id="1539" w:name="_Toc30661789"/>
      <w:bookmarkStart w:id="1540" w:name="_Toc30666477"/>
      <w:bookmarkStart w:id="1541" w:name="_Toc30666707"/>
      <w:bookmarkStart w:id="1542" w:name="_Toc30667882"/>
      <w:bookmarkStart w:id="1543" w:name="_Toc30669260"/>
      <w:bookmarkStart w:id="1544" w:name="_Toc30671476"/>
      <w:bookmarkStart w:id="1545" w:name="_Toc30674003"/>
      <w:bookmarkStart w:id="1546" w:name="_Toc30691225"/>
      <w:bookmarkStart w:id="1547" w:name="_Toc30691598"/>
      <w:bookmarkStart w:id="1548" w:name="_Toc30691978"/>
      <w:bookmarkStart w:id="1549" w:name="_Toc30692737"/>
      <w:bookmarkStart w:id="1550" w:name="_Toc30693116"/>
      <w:bookmarkStart w:id="1551" w:name="_Toc30693494"/>
      <w:bookmarkStart w:id="1552" w:name="_Toc30693872"/>
      <w:bookmarkStart w:id="1553" w:name="_Toc30694253"/>
      <w:bookmarkStart w:id="1554" w:name="_Toc30698842"/>
      <w:bookmarkStart w:id="1555" w:name="_Toc30699220"/>
      <w:bookmarkStart w:id="1556" w:name="_Toc30699605"/>
      <w:bookmarkStart w:id="1557" w:name="_Toc30700760"/>
      <w:bookmarkStart w:id="1558" w:name="_Toc30701147"/>
      <w:bookmarkStart w:id="1559" w:name="_Toc30743756"/>
      <w:bookmarkStart w:id="1560" w:name="_Toc30754579"/>
      <w:bookmarkStart w:id="1561" w:name="_Toc30757019"/>
      <w:bookmarkStart w:id="1562" w:name="_Toc30757567"/>
      <w:bookmarkStart w:id="1563" w:name="_Toc30757967"/>
      <w:bookmarkStart w:id="1564" w:name="_Toc30762728"/>
      <w:bookmarkStart w:id="1565" w:name="_Toc30767382"/>
      <w:bookmarkStart w:id="1566" w:name="_Toc34823397"/>
      <w:bookmarkEnd w:id="1525"/>
      <w:bookmarkEnd w:id="1526"/>
      <w:r>
        <w:rPr>
          <w:rFonts w:ascii="Arial" w:hAnsi="Arial" w:cs="Arial"/>
          <w:b/>
          <w:bCs/>
        </w:rPr>
        <w:t>4.1</w:t>
      </w:r>
      <w:r w:rsidR="002E5754">
        <w:rPr>
          <w:rFonts w:ascii="Arial" w:hAnsi="Arial" w:cs="Arial"/>
          <w:b/>
          <w:bCs/>
        </w:rPr>
        <w:t>1</w:t>
      </w:r>
      <w:r>
        <w:rPr>
          <w:rFonts w:ascii="Arial" w:hAnsi="Arial" w:cs="Arial"/>
          <w:b/>
          <w:bCs/>
        </w:rPr>
        <w:tab/>
        <w:t>Children's Court &amp; Family Court compared &amp; contrasted</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5E4FEEA5" w14:textId="77777777" w:rsidR="00693223" w:rsidRDefault="00693223" w:rsidP="00BB1A34">
      <w:pPr>
        <w:keepNext/>
        <w:keepLines/>
        <w:widowControl w:val="0"/>
        <w:rPr>
          <w:rFonts w:ascii="Arial" w:hAnsi="Arial" w:cs="Arial"/>
        </w:rPr>
      </w:pPr>
    </w:p>
    <w:p w14:paraId="3B83268E" w14:textId="77777777" w:rsidR="00693223" w:rsidRDefault="00693223" w:rsidP="00BB1A34">
      <w:pPr>
        <w:pStyle w:val="Heading3"/>
        <w:keepNext/>
        <w:keepLines/>
        <w:spacing w:after="120" w:line="240" w:lineRule="auto"/>
        <w:rPr>
          <w:rFonts w:ascii="Arial" w:hAnsi="Arial" w:cs="Arial"/>
          <w:sz w:val="20"/>
        </w:rPr>
      </w:pPr>
      <w:bookmarkStart w:id="1567" w:name="_4.11.1__Public"/>
      <w:bookmarkStart w:id="1568" w:name="B4111"/>
      <w:bookmarkStart w:id="1569" w:name="_Toc30743757"/>
      <w:bookmarkStart w:id="1570" w:name="_Toc30754580"/>
      <w:bookmarkStart w:id="1571" w:name="_Toc30757020"/>
      <w:bookmarkStart w:id="1572" w:name="_Toc30757568"/>
      <w:bookmarkStart w:id="1573" w:name="_Toc30757968"/>
      <w:bookmarkStart w:id="1574" w:name="_Toc30762729"/>
      <w:bookmarkStart w:id="1575" w:name="_Toc30767383"/>
      <w:bookmarkStart w:id="1576" w:name="_Toc34823398"/>
      <w:bookmarkEnd w:id="1567"/>
      <w:bookmarkEnd w:id="1568"/>
      <w:r>
        <w:rPr>
          <w:rFonts w:ascii="Arial" w:hAnsi="Arial" w:cs="Arial"/>
          <w:b/>
          <w:bCs/>
          <w:sz w:val="20"/>
        </w:rPr>
        <w:t>4.1</w:t>
      </w:r>
      <w:r w:rsidR="002E5754">
        <w:rPr>
          <w:rFonts w:ascii="Arial" w:hAnsi="Arial" w:cs="Arial"/>
          <w:b/>
          <w:bCs/>
          <w:sz w:val="20"/>
        </w:rPr>
        <w:t>1</w:t>
      </w:r>
      <w:r>
        <w:rPr>
          <w:rFonts w:ascii="Arial" w:hAnsi="Arial" w:cs="Arial"/>
          <w:b/>
          <w:bCs/>
          <w:sz w:val="20"/>
        </w:rPr>
        <w:t>.1</w:t>
      </w:r>
      <w:r w:rsidR="00D0471A">
        <w:rPr>
          <w:rFonts w:ascii="Arial" w:hAnsi="Arial" w:cs="Arial"/>
          <w:b/>
          <w:bCs/>
          <w:sz w:val="20"/>
        </w:rPr>
        <w:tab/>
      </w:r>
      <w:r>
        <w:rPr>
          <w:rFonts w:ascii="Arial" w:hAnsi="Arial" w:cs="Arial"/>
          <w:b/>
          <w:bCs/>
          <w:sz w:val="20"/>
        </w:rPr>
        <w:tab/>
        <w:t>Public law versus private law</w:t>
      </w:r>
      <w:bookmarkEnd w:id="1569"/>
      <w:bookmarkEnd w:id="1570"/>
      <w:bookmarkEnd w:id="1571"/>
      <w:bookmarkEnd w:id="1572"/>
      <w:bookmarkEnd w:id="1573"/>
      <w:bookmarkEnd w:id="1574"/>
      <w:bookmarkEnd w:id="1575"/>
      <w:bookmarkEnd w:id="1576"/>
    </w:p>
    <w:p w14:paraId="316ADDAB" w14:textId="77777777" w:rsidR="00693223" w:rsidRDefault="00693223">
      <w:pPr>
        <w:widowControl w:val="0"/>
        <w:jc w:val="both"/>
        <w:rPr>
          <w:rFonts w:ascii="Arial" w:hAnsi="Arial" w:cs="Arial"/>
          <w:sz w:val="20"/>
        </w:rPr>
      </w:pPr>
      <w:r>
        <w:rPr>
          <w:rFonts w:ascii="Arial" w:hAnsi="Arial" w:cs="Arial"/>
          <w:sz w:val="20"/>
        </w:rPr>
        <w:t xml:space="preserve">Proceedings in the Family Division of the Children's Court are essentially </w:t>
      </w:r>
      <w:r>
        <w:rPr>
          <w:rFonts w:ascii="Arial" w:hAnsi="Arial" w:cs="Arial"/>
          <w:b/>
          <w:bCs/>
          <w:sz w:val="20"/>
        </w:rPr>
        <w:t>public law</w:t>
      </w:r>
      <w:r>
        <w:rPr>
          <w:rFonts w:ascii="Arial" w:hAnsi="Arial" w:cs="Arial"/>
          <w:sz w:val="20"/>
        </w:rPr>
        <w:t xml:space="preserve"> proceedings.  Except at the commencement of an IRD application, the State, in the form of the Department of </w:t>
      </w:r>
      <w:r w:rsidR="009A1245">
        <w:rPr>
          <w:rFonts w:ascii="Arial" w:hAnsi="Arial" w:cs="Arial"/>
          <w:sz w:val="20"/>
          <w:szCs w:val="20"/>
        </w:rPr>
        <w:t>Families, Fairness and Housing</w:t>
      </w:r>
      <w:r>
        <w:rPr>
          <w:rFonts w:ascii="Arial" w:hAnsi="Arial" w:cs="Arial"/>
          <w:sz w:val="20"/>
        </w:rPr>
        <w:t>, is always a party.  The primary purpose of the Court is to provide for the protection of children.</w:t>
      </w:r>
    </w:p>
    <w:p w14:paraId="6BC6B8EB" w14:textId="77777777" w:rsidR="00693223" w:rsidRDefault="00693223">
      <w:pPr>
        <w:widowControl w:val="0"/>
        <w:jc w:val="both"/>
        <w:rPr>
          <w:rFonts w:ascii="Arial" w:hAnsi="Arial" w:cs="Arial"/>
          <w:sz w:val="20"/>
        </w:rPr>
      </w:pPr>
    </w:p>
    <w:p w14:paraId="41B0FA5E" w14:textId="77777777" w:rsidR="00693223" w:rsidRDefault="00693223">
      <w:pPr>
        <w:keepLines/>
        <w:widowControl w:val="0"/>
        <w:jc w:val="both"/>
        <w:rPr>
          <w:rFonts w:ascii="Arial" w:hAnsi="Arial" w:cs="Arial"/>
          <w:sz w:val="20"/>
        </w:rPr>
      </w:pPr>
      <w:r>
        <w:rPr>
          <w:rFonts w:ascii="Arial" w:hAnsi="Arial" w:cs="Arial"/>
          <w:sz w:val="20"/>
        </w:rPr>
        <w:t xml:space="preserve">By contrast, proceedings in the Family Court of Australia and the Federal Magistrates' Service are essentially </w:t>
      </w:r>
      <w:r>
        <w:rPr>
          <w:rFonts w:ascii="Arial" w:hAnsi="Arial" w:cs="Arial"/>
          <w:b/>
          <w:bCs/>
          <w:sz w:val="20"/>
        </w:rPr>
        <w:t>private law</w:t>
      </w:r>
      <w:r>
        <w:rPr>
          <w:rFonts w:ascii="Arial" w:hAnsi="Arial" w:cs="Arial"/>
          <w:sz w:val="20"/>
        </w:rPr>
        <w:t xml:space="preserve"> proceedings, the primary purpose of which is to resolve intra-familial disputes.  The State, in the form of the Department, may intervene in a case if there are protective concerns, but this is comparatively uncommon.</w:t>
      </w:r>
    </w:p>
    <w:p w14:paraId="3D81D0AD" w14:textId="77777777" w:rsidR="00693223" w:rsidRDefault="00693223">
      <w:pPr>
        <w:widowControl w:val="0"/>
        <w:rPr>
          <w:rFonts w:ascii="Arial" w:hAnsi="Arial" w:cs="Arial"/>
          <w:sz w:val="20"/>
        </w:rPr>
      </w:pPr>
    </w:p>
    <w:p w14:paraId="382F3F3C" w14:textId="77777777" w:rsidR="00693223" w:rsidRDefault="00693223" w:rsidP="009970EC">
      <w:pPr>
        <w:pStyle w:val="Heading3"/>
        <w:keepNext/>
        <w:keepLines/>
        <w:widowControl/>
        <w:spacing w:after="120" w:line="240" w:lineRule="auto"/>
        <w:rPr>
          <w:rFonts w:ascii="Arial" w:hAnsi="Arial" w:cs="Arial"/>
          <w:sz w:val="20"/>
        </w:rPr>
      </w:pPr>
      <w:bookmarkStart w:id="1577" w:name="_4.11.2__Responsibilities"/>
      <w:bookmarkStart w:id="1578" w:name="B4112"/>
      <w:bookmarkStart w:id="1579" w:name="_Toc30649086"/>
      <w:bookmarkStart w:id="1580" w:name="_Toc30649162"/>
      <w:bookmarkStart w:id="1581" w:name="_Toc30649425"/>
      <w:bookmarkStart w:id="1582" w:name="_Toc30649750"/>
      <w:bookmarkStart w:id="1583" w:name="_Toc30651694"/>
      <w:bookmarkStart w:id="1584" w:name="_Toc30652684"/>
      <w:bookmarkStart w:id="1585" w:name="_Toc30652780"/>
      <w:bookmarkStart w:id="1586" w:name="_Toc30654130"/>
      <w:bookmarkStart w:id="1587" w:name="_Toc30654487"/>
      <w:bookmarkStart w:id="1588" w:name="_Toc30655106"/>
      <w:bookmarkStart w:id="1589" w:name="_Toc30655363"/>
      <w:bookmarkStart w:id="1590" w:name="_Toc30657041"/>
      <w:bookmarkStart w:id="1591" w:name="_Toc30661790"/>
      <w:bookmarkStart w:id="1592" w:name="_Toc30666478"/>
      <w:bookmarkStart w:id="1593" w:name="_Toc30666708"/>
      <w:bookmarkStart w:id="1594" w:name="_Toc30667883"/>
      <w:bookmarkStart w:id="1595" w:name="_Toc30669261"/>
      <w:bookmarkStart w:id="1596" w:name="_Toc30671477"/>
      <w:bookmarkStart w:id="1597" w:name="_Toc30674004"/>
      <w:bookmarkStart w:id="1598" w:name="_Toc30691226"/>
      <w:bookmarkStart w:id="1599" w:name="_Toc30691599"/>
      <w:bookmarkStart w:id="1600" w:name="_Toc30691979"/>
      <w:bookmarkStart w:id="1601" w:name="_Toc30692738"/>
      <w:bookmarkStart w:id="1602" w:name="_Toc30693117"/>
      <w:bookmarkStart w:id="1603" w:name="_Toc30693495"/>
      <w:bookmarkStart w:id="1604" w:name="_Toc30693873"/>
      <w:bookmarkStart w:id="1605" w:name="_Toc30694254"/>
      <w:bookmarkStart w:id="1606" w:name="_Toc30698843"/>
      <w:bookmarkStart w:id="1607" w:name="_Toc30699221"/>
      <w:bookmarkStart w:id="1608" w:name="_Toc30699606"/>
      <w:bookmarkStart w:id="1609" w:name="_Toc30700761"/>
      <w:bookmarkStart w:id="1610" w:name="_Toc30701148"/>
      <w:bookmarkStart w:id="1611" w:name="_Toc30743758"/>
      <w:bookmarkStart w:id="1612" w:name="_Toc30754581"/>
      <w:bookmarkStart w:id="1613" w:name="_Toc30757021"/>
      <w:bookmarkStart w:id="1614" w:name="_Toc30757569"/>
      <w:bookmarkStart w:id="1615" w:name="_Toc30757969"/>
      <w:bookmarkStart w:id="1616" w:name="_Toc30762730"/>
      <w:bookmarkStart w:id="1617" w:name="_Toc30767384"/>
      <w:bookmarkStart w:id="1618" w:name="_Toc34823399"/>
      <w:bookmarkEnd w:id="1577"/>
      <w:bookmarkEnd w:id="1578"/>
      <w:r>
        <w:rPr>
          <w:rFonts w:ascii="Arial" w:hAnsi="Arial" w:cs="Arial"/>
          <w:b/>
          <w:bCs/>
          <w:sz w:val="20"/>
        </w:rPr>
        <w:t>4.1</w:t>
      </w:r>
      <w:r w:rsidR="002E5754">
        <w:rPr>
          <w:rFonts w:ascii="Arial" w:hAnsi="Arial" w:cs="Arial"/>
          <w:b/>
          <w:bCs/>
          <w:sz w:val="20"/>
        </w:rPr>
        <w:t>1</w:t>
      </w:r>
      <w:r>
        <w:rPr>
          <w:rFonts w:ascii="Arial" w:hAnsi="Arial" w:cs="Arial"/>
          <w:b/>
          <w:bCs/>
          <w:sz w:val="20"/>
        </w:rPr>
        <w:t>.2</w:t>
      </w:r>
      <w:r w:rsidR="00D0471A">
        <w:rPr>
          <w:rFonts w:ascii="Arial" w:hAnsi="Arial" w:cs="Arial"/>
          <w:b/>
          <w:bCs/>
          <w:sz w:val="20"/>
        </w:rPr>
        <w:tab/>
      </w:r>
      <w:r>
        <w:rPr>
          <w:rFonts w:ascii="Arial" w:hAnsi="Arial" w:cs="Arial"/>
          <w:b/>
          <w:bCs/>
          <w:sz w:val="20"/>
        </w:rPr>
        <w:tab/>
        <w:t>Responsibilities and obligations of the Family Court to children</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0799B818" w14:textId="77777777" w:rsidR="00693223" w:rsidRDefault="00693223">
      <w:pPr>
        <w:widowControl w:val="0"/>
        <w:jc w:val="both"/>
        <w:rPr>
          <w:rFonts w:ascii="Arial" w:hAnsi="Arial" w:cs="Arial"/>
          <w:sz w:val="20"/>
        </w:rPr>
      </w:pPr>
      <w:r>
        <w:rPr>
          <w:rFonts w:ascii="Arial" w:hAnsi="Arial" w:cs="Arial"/>
          <w:sz w:val="20"/>
        </w:rPr>
        <w:t xml:space="preserve">Nevertheless, the Family Court's responsibilities and obligations to children within its purview are </w:t>
      </w:r>
      <w:r w:rsidR="009E77AD">
        <w:rPr>
          <w:rFonts w:ascii="Arial" w:hAnsi="Arial" w:cs="Arial"/>
          <w:sz w:val="20"/>
        </w:rPr>
        <w:t>general</w:t>
      </w:r>
      <w:r>
        <w:rPr>
          <w:rFonts w:ascii="Arial" w:hAnsi="Arial" w:cs="Arial"/>
          <w:sz w:val="20"/>
        </w:rPr>
        <w:t>ly the same as those of the Children's Court</w:t>
      </w:r>
      <w:r w:rsidR="009E77AD">
        <w:rPr>
          <w:rFonts w:ascii="Arial" w:hAnsi="Arial" w:cs="Arial"/>
          <w:sz w:val="20"/>
        </w:rPr>
        <w:t>, namely to treat the best interests of the child as paramount</w:t>
      </w:r>
      <w:r>
        <w:rPr>
          <w:rFonts w:ascii="Arial" w:hAnsi="Arial" w:cs="Arial"/>
          <w:sz w:val="20"/>
        </w:rPr>
        <w:t xml:space="preserve">.  The </w:t>
      </w:r>
      <w:r w:rsidR="009E77AD">
        <w:rPr>
          <w:rFonts w:ascii="Arial" w:hAnsi="Arial" w:cs="Arial"/>
          <w:sz w:val="20"/>
        </w:rPr>
        <w:t>Family Court’s responsibilities and obligations were previously</w:t>
      </w:r>
      <w:r>
        <w:rPr>
          <w:rFonts w:ascii="Arial" w:hAnsi="Arial" w:cs="Arial"/>
          <w:sz w:val="20"/>
        </w:rPr>
        <w:t xml:space="preserve"> set out in ss.68F &amp; 68</w:t>
      </w:r>
      <w:proofErr w:type="gramStart"/>
      <w:r>
        <w:rPr>
          <w:rFonts w:ascii="Arial" w:hAnsi="Arial" w:cs="Arial"/>
          <w:sz w:val="20"/>
        </w:rPr>
        <w:t>L(</w:t>
      </w:r>
      <w:proofErr w:type="gramEnd"/>
      <w:r>
        <w:rPr>
          <w:rFonts w:ascii="Arial" w:hAnsi="Arial" w:cs="Arial"/>
          <w:sz w:val="20"/>
        </w:rPr>
        <w:t>1) of the Family Law Act 1975 (</w:t>
      </w:r>
      <w:proofErr w:type="spellStart"/>
      <w:r>
        <w:rPr>
          <w:rFonts w:ascii="Arial" w:hAnsi="Arial" w:cs="Arial"/>
          <w:sz w:val="20"/>
        </w:rPr>
        <w:t>Cth</w:t>
      </w:r>
      <w:proofErr w:type="spellEnd"/>
      <w:r>
        <w:rPr>
          <w:rFonts w:ascii="Arial" w:hAnsi="Arial" w:cs="Arial"/>
          <w:sz w:val="20"/>
        </w:rPr>
        <w:t xml:space="preserve">) and were summarized in </w:t>
      </w:r>
      <w:r>
        <w:rPr>
          <w:rFonts w:ascii="Arial" w:hAnsi="Arial" w:cs="Arial"/>
          <w:i/>
          <w:iCs/>
          <w:sz w:val="20"/>
        </w:rPr>
        <w:t>B and B</w:t>
      </w:r>
      <w:r>
        <w:rPr>
          <w:rFonts w:ascii="Arial" w:hAnsi="Arial" w:cs="Arial"/>
          <w:sz w:val="20"/>
        </w:rPr>
        <w:t xml:space="preserve"> (1993) FLC 92-271 as follows:</w:t>
      </w:r>
    </w:p>
    <w:p w14:paraId="2F381549" w14:textId="77777777" w:rsidR="00693223" w:rsidRDefault="00693223" w:rsidP="002239D1">
      <w:pPr>
        <w:keepNext/>
        <w:keepLines/>
        <w:numPr>
          <w:ilvl w:val="0"/>
          <w:numId w:val="4"/>
        </w:numPr>
        <w:ind w:left="284" w:hanging="284"/>
        <w:jc w:val="both"/>
        <w:rPr>
          <w:rFonts w:ascii="Arial" w:hAnsi="Arial" w:cs="Arial"/>
          <w:sz w:val="20"/>
        </w:rPr>
      </w:pPr>
      <w:r>
        <w:rPr>
          <w:rFonts w:ascii="Arial" w:hAnsi="Arial" w:cs="Arial"/>
          <w:sz w:val="20"/>
        </w:rPr>
        <w:t>to protect the rights of children and promote their welfare;</w:t>
      </w:r>
    </w:p>
    <w:p w14:paraId="15955D93" w14:textId="77777777" w:rsidR="00693223" w:rsidRDefault="00693223" w:rsidP="002239D1">
      <w:pPr>
        <w:keepNext/>
        <w:keepLines/>
        <w:numPr>
          <w:ilvl w:val="0"/>
          <w:numId w:val="4"/>
        </w:numPr>
        <w:ind w:left="284" w:hanging="284"/>
        <w:jc w:val="both"/>
        <w:rPr>
          <w:rFonts w:ascii="Arial" w:hAnsi="Arial" w:cs="Arial"/>
          <w:sz w:val="20"/>
        </w:rPr>
      </w:pPr>
      <w:r>
        <w:rPr>
          <w:rFonts w:ascii="Arial" w:hAnsi="Arial" w:cs="Arial"/>
          <w:sz w:val="20"/>
        </w:rPr>
        <w:t>to regard the welfare of the child as the paramount consideration;</w:t>
      </w:r>
    </w:p>
    <w:p w14:paraId="1E3391E4" w14:textId="77777777" w:rsidR="00693223" w:rsidRDefault="00693223">
      <w:pPr>
        <w:numPr>
          <w:ilvl w:val="0"/>
          <w:numId w:val="4"/>
        </w:numPr>
        <w:jc w:val="both"/>
        <w:rPr>
          <w:rFonts w:ascii="Arial" w:hAnsi="Arial" w:cs="Arial"/>
          <w:sz w:val="20"/>
        </w:rPr>
      </w:pPr>
      <w:r>
        <w:rPr>
          <w:rFonts w:ascii="Arial" w:hAnsi="Arial" w:cs="Arial"/>
          <w:sz w:val="20"/>
        </w:rPr>
        <w:t>to protect the child from abuse, ill-treatment or exposure or subjection to behaviour which psychologically harms the child;</w:t>
      </w:r>
    </w:p>
    <w:p w14:paraId="3B70A83A" w14:textId="77777777" w:rsidR="00693223" w:rsidRDefault="00693223">
      <w:pPr>
        <w:numPr>
          <w:ilvl w:val="0"/>
          <w:numId w:val="4"/>
        </w:numPr>
        <w:jc w:val="both"/>
        <w:rPr>
          <w:rFonts w:ascii="Arial" w:hAnsi="Arial" w:cs="Arial"/>
          <w:sz w:val="20"/>
        </w:rPr>
      </w:pPr>
      <w:r>
        <w:rPr>
          <w:rFonts w:ascii="Arial" w:hAnsi="Arial" w:cs="Arial"/>
          <w:sz w:val="20"/>
        </w:rPr>
        <w:t>to notify the relevant child welfare authorities of any abuse or ill-treatment, or exposure to behaviour which may psychologically harm the child, or of any suspicion that this has occurred or may occur, and the basis for that suspicion.</w:t>
      </w:r>
    </w:p>
    <w:p w14:paraId="6BF28F16" w14:textId="77777777" w:rsidR="00693223" w:rsidRDefault="009E77AD">
      <w:pPr>
        <w:rPr>
          <w:rFonts w:ascii="Arial" w:hAnsi="Arial" w:cs="Arial"/>
          <w:sz w:val="20"/>
        </w:rPr>
      </w:pPr>
      <w:r>
        <w:rPr>
          <w:rFonts w:ascii="Arial" w:hAnsi="Arial" w:cs="Arial"/>
          <w:sz w:val="20"/>
        </w:rPr>
        <w:t xml:space="preserve">See now, </w:t>
      </w:r>
      <w:r w:rsidRPr="009E77AD">
        <w:rPr>
          <w:rFonts w:ascii="Arial" w:hAnsi="Arial" w:cs="Arial"/>
          <w:i/>
          <w:sz w:val="20"/>
        </w:rPr>
        <w:t>inter alia</w:t>
      </w:r>
      <w:r>
        <w:rPr>
          <w:rFonts w:ascii="Arial" w:hAnsi="Arial" w:cs="Arial"/>
          <w:sz w:val="20"/>
        </w:rPr>
        <w:t>, ss.60B, s.60CA, 60CB, 60CC, 60</w:t>
      </w:r>
      <w:proofErr w:type="gramStart"/>
      <w:r>
        <w:rPr>
          <w:rFonts w:ascii="Arial" w:hAnsi="Arial" w:cs="Arial"/>
          <w:sz w:val="20"/>
        </w:rPr>
        <w:t>G(</w:t>
      </w:r>
      <w:proofErr w:type="gramEnd"/>
      <w:r>
        <w:rPr>
          <w:rFonts w:ascii="Arial" w:hAnsi="Arial" w:cs="Arial"/>
          <w:sz w:val="20"/>
        </w:rPr>
        <w:t xml:space="preserve">2), </w:t>
      </w:r>
      <w:r w:rsidR="000F4CD8">
        <w:rPr>
          <w:rFonts w:ascii="Arial" w:hAnsi="Arial" w:cs="Arial"/>
          <w:sz w:val="20"/>
        </w:rPr>
        <w:t xml:space="preserve">63F(2), 63F(6), 68R of the </w:t>
      </w:r>
      <w:smartTag w:uri="urn:schemas-microsoft-com:office:smarttags" w:element="State">
        <w:smartTag w:uri="urn:schemas-microsoft-com:office:smarttags" w:element="place">
          <w:r w:rsidR="000F4CD8">
            <w:rPr>
              <w:rFonts w:ascii="Arial" w:hAnsi="Arial" w:cs="Arial"/>
              <w:sz w:val="20"/>
            </w:rPr>
            <w:t>FLA</w:t>
          </w:r>
        </w:smartTag>
      </w:smartTag>
      <w:r w:rsidR="000F4CD8">
        <w:rPr>
          <w:rFonts w:ascii="Arial" w:hAnsi="Arial" w:cs="Arial"/>
          <w:sz w:val="20"/>
        </w:rPr>
        <w:t xml:space="preserve"> as amended by Act No.46 of 2006.</w:t>
      </w:r>
    </w:p>
    <w:p w14:paraId="53682CE9" w14:textId="77777777" w:rsidR="009E77AD" w:rsidRDefault="009E77AD">
      <w:pPr>
        <w:rPr>
          <w:rFonts w:ascii="Arial" w:hAnsi="Arial" w:cs="Arial"/>
          <w:sz w:val="20"/>
        </w:rPr>
      </w:pPr>
    </w:p>
    <w:p w14:paraId="5E8FD277"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B and B</w:t>
      </w:r>
      <w:r>
        <w:rPr>
          <w:rFonts w:ascii="Arial" w:hAnsi="Arial" w:cs="Arial"/>
          <w:sz w:val="20"/>
        </w:rPr>
        <w:t xml:space="preserve">, the Family Court also recognised the obligation placed on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by its accession to the </w:t>
      </w:r>
      <w:r>
        <w:rPr>
          <w:rFonts w:ascii="Arial" w:hAnsi="Arial" w:cs="Arial"/>
          <w:i/>
          <w:iCs/>
          <w:sz w:val="20"/>
        </w:rPr>
        <w:t>United Nations Convention on the Rights of the Child</w:t>
      </w:r>
      <w:r>
        <w:rPr>
          <w:rFonts w:ascii="Arial" w:hAnsi="Arial" w:cs="Arial"/>
          <w:sz w:val="20"/>
        </w:rPr>
        <w:t>, to</w:t>
      </w:r>
    </w:p>
    <w:p w14:paraId="4E8A07AE" w14:textId="77777777" w:rsidR="00693223" w:rsidRDefault="00693223">
      <w:pPr>
        <w:ind w:left="454" w:right="454"/>
        <w:jc w:val="both"/>
        <w:rPr>
          <w:rFonts w:ascii="Arial" w:hAnsi="Arial" w:cs="Arial"/>
          <w:sz w:val="20"/>
        </w:rPr>
      </w:pPr>
      <w:r>
        <w:rPr>
          <w:rFonts w:ascii="Arial" w:hAnsi="Arial" w:cs="Arial"/>
          <w:sz w:val="20"/>
        </w:rPr>
        <w:t>"take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care of the child." Article 19.1</w:t>
      </w:r>
    </w:p>
    <w:p w14:paraId="20557FFF" w14:textId="77777777" w:rsidR="00693223" w:rsidRDefault="00693223">
      <w:pPr>
        <w:rPr>
          <w:rFonts w:ascii="Arial" w:hAnsi="Arial" w:cs="Arial"/>
          <w:sz w:val="20"/>
        </w:rPr>
      </w:pPr>
    </w:p>
    <w:p w14:paraId="0B1C0EB1" w14:textId="77777777" w:rsidR="00693223" w:rsidRDefault="00693223">
      <w:pPr>
        <w:pStyle w:val="Heading3"/>
        <w:keepNext/>
        <w:keepLines/>
        <w:spacing w:after="120" w:line="240" w:lineRule="auto"/>
        <w:rPr>
          <w:rFonts w:ascii="Arial" w:hAnsi="Arial" w:cs="Arial"/>
          <w:sz w:val="20"/>
        </w:rPr>
      </w:pPr>
      <w:bookmarkStart w:id="1619" w:name="_4.11.3__Notification"/>
      <w:bookmarkStart w:id="1620" w:name="B4113"/>
      <w:bookmarkStart w:id="1621" w:name="_Toc30655107"/>
      <w:bookmarkStart w:id="1622" w:name="_Toc30655364"/>
      <w:bookmarkStart w:id="1623" w:name="_Toc30657042"/>
      <w:bookmarkStart w:id="1624" w:name="_Toc30661791"/>
      <w:bookmarkStart w:id="1625" w:name="_Toc30666479"/>
      <w:bookmarkStart w:id="1626" w:name="_Toc30666709"/>
      <w:bookmarkStart w:id="1627" w:name="_Toc30667884"/>
      <w:bookmarkStart w:id="1628" w:name="_Toc30669262"/>
      <w:bookmarkStart w:id="1629" w:name="_Toc30671478"/>
      <w:bookmarkStart w:id="1630" w:name="_Toc30674005"/>
      <w:bookmarkStart w:id="1631" w:name="_Toc30691227"/>
      <w:bookmarkStart w:id="1632" w:name="_Toc30691600"/>
      <w:bookmarkStart w:id="1633" w:name="_Toc30691980"/>
      <w:bookmarkStart w:id="1634" w:name="_Toc30692739"/>
      <w:bookmarkStart w:id="1635" w:name="_Toc30693118"/>
      <w:bookmarkStart w:id="1636" w:name="_Toc30693496"/>
      <w:bookmarkStart w:id="1637" w:name="_Toc30693874"/>
      <w:bookmarkStart w:id="1638" w:name="_Toc30694255"/>
      <w:bookmarkStart w:id="1639" w:name="_Toc30698844"/>
      <w:bookmarkStart w:id="1640" w:name="_Toc30699222"/>
      <w:bookmarkStart w:id="1641" w:name="_Toc30699607"/>
      <w:bookmarkStart w:id="1642" w:name="_Toc30700762"/>
      <w:bookmarkStart w:id="1643" w:name="_Toc30701149"/>
      <w:bookmarkStart w:id="1644" w:name="_Toc30743759"/>
      <w:bookmarkStart w:id="1645" w:name="_Toc30754582"/>
      <w:bookmarkStart w:id="1646" w:name="_Toc30757022"/>
      <w:bookmarkStart w:id="1647" w:name="_Toc30757570"/>
      <w:bookmarkStart w:id="1648" w:name="_Toc30757970"/>
      <w:bookmarkStart w:id="1649" w:name="_Toc30762731"/>
      <w:bookmarkStart w:id="1650" w:name="_Toc30767385"/>
      <w:bookmarkStart w:id="1651" w:name="_Toc34823400"/>
      <w:bookmarkEnd w:id="1619"/>
      <w:bookmarkEnd w:id="1620"/>
      <w:r>
        <w:rPr>
          <w:rFonts w:ascii="Arial" w:hAnsi="Arial" w:cs="Arial"/>
          <w:b/>
          <w:bCs/>
          <w:sz w:val="20"/>
        </w:rPr>
        <w:t>4.1</w:t>
      </w:r>
      <w:r w:rsidR="002E5754">
        <w:rPr>
          <w:rFonts w:ascii="Arial" w:hAnsi="Arial" w:cs="Arial"/>
          <w:b/>
          <w:bCs/>
          <w:sz w:val="20"/>
        </w:rPr>
        <w:t>1</w:t>
      </w:r>
      <w:r>
        <w:rPr>
          <w:rFonts w:ascii="Arial" w:hAnsi="Arial" w:cs="Arial"/>
          <w:b/>
          <w:bCs/>
          <w:sz w:val="20"/>
        </w:rPr>
        <w:t>.3</w:t>
      </w:r>
      <w:r w:rsidR="00D0471A">
        <w:rPr>
          <w:rFonts w:ascii="Arial" w:hAnsi="Arial" w:cs="Arial"/>
          <w:b/>
          <w:bCs/>
          <w:sz w:val="20"/>
        </w:rPr>
        <w:tab/>
      </w:r>
      <w:r w:rsidR="00C4725F">
        <w:rPr>
          <w:rFonts w:ascii="Arial" w:hAnsi="Arial" w:cs="Arial"/>
          <w:b/>
          <w:bCs/>
          <w:sz w:val="20"/>
        </w:rPr>
        <w:tab/>
      </w:r>
      <w:r>
        <w:rPr>
          <w:rFonts w:ascii="Arial" w:hAnsi="Arial" w:cs="Arial"/>
          <w:b/>
          <w:bCs/>
          <w:sz w:val="20"/>
        </w:rPr>
        <w:t>Notification by the Family Court to State welfare authorities</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4E6C407E" w14:textId="77777777" w:rsidR="00693223" w:rsidRDefault="00693223" w:rsidP="00733EAB">
      <w:pPr>
        <w:keepNext/>
        <w:keepLines/>
        <w:jc w:val="both"/>
        <w:rPr>
          <w:rFonts w:ascii="Arial" w:hAnsi="Arial" w:cs="Arial"/>
          <w:sz w:val="20"/>
        </w:rPr>
      </w:pPr>
      <w:r>
        <w:rPr>
          <w:rFonts w:ascii="Arial" w:hAnsi="Arial" w:cs="Arial"/>
          <w:sz w:val="20"/>
        </w:rPr>
        <w:t>Where it is alleged by one or more parties with proceedings before the Family Court that a child is being abused or is at risk of being abused, the Family Court must notify the State welfare authorities of the allegation.  Members of the Court who suspect abuse must also report their suspicions to the relevant State welfare authorities.</w:t>
      </w:r>
    </w:p>
    <w:p w14:paraId="29F2F159" w14:textId="77777777" w:rsidR="00693223" w:rsidRDefault="00693223">
      <w:pPr>
        <w:rPr>
          <w:rFonts w:ascii="Arial" w:hAnsi="Arial" w:cs="Arial"/>
          <w:sz w:val="20"/>
        </w:rPr>
      </w:pPr>
    </w:p>
    <w:p w14:paraId="6821B96C" w14:textId="77777777" w:rsidR="00693223" w:rsidRDefault="00693223" w:rsidP="009E77AD">
      <w:pPr>
        <w:pStyle w:val="Heading3"/>
        <w:keepNext/>
        <w:keepLines/>
        <w:spacing w:after="120" w:line="240" w:lineRule="auto"/>
        <w:rPr>
          <w:rFonts w:ascii="Arial" w:hAnsi="Arial" w:cs="Arial"/>
          <w:sz w:val="20"/>
        </w:rPr>
      </w:pPr>
      <w:bookmarkStart w:id="1652" w:name="_4.11.4__Representation"/>
      <w:bookmarkStart w:id="1653" w:name="B4114"/>
      <w:bookmarkStart w:id="1654" w:name="_Toc30743760"/>
      <w:bookmarkStart w:id="1655" w:name="_Toc30754583"/>
      <w:bookmarkStart w:id="1656" w:name="_Toc30757023"/>
      <w:bookmarkStart w:id="1657" w:name="_Toc30757571"/>
      <w:bookmarkStart w:id="1658" w:name="_Toc30757971"/>
      <w:bookmarkStart w:id="1659" w:name="_Toc30762732"/>
      <w:bookmarkStart w:id="1660" w:name="_Toc30767386"/>
      <w:bookmarkStart w:id="1661" w:name="_Toc34823401"/>
      <w:bookmarkEnd w:id="1652"/>
      <w:bookmarkEnd w:id="1653"/>
      <w:r>
        <w:rPr>
          <w:rFonts w:ascii="Arial" w:hAnsi="Arial" w:cs="Arial"/>
          <w:b/>
          <w:bCs/>
          <w:sz w:val="20"/>
        </w:rPr>
        <w:t>4.1</w:t>
      </w:r>
      <w:r w:rsidR="002E5754">
        <w:rPr>
          <w:rFonts w:ascii="Arial" w:hAnsi="Arial" w:cs="Arial"/>
          <w:b/>
          <w:bCs/>
          <w:sz w:val="20"/>
        </w:rPr>
        <w:t>1</w:t>
      </w:r>
      <w:r>
        <w:rPr>
          <w:rFonts w:ascii="Arial" w:hAnsi="Arial" w:cs="Arial"/>
          <w:b/>
          <w:bCs/>
          <w:sz w:val="20"/>
        </w:rPr>
        <w:t>.4</w:t>
      </w:r>
      <w:r w:rsidR="00D0471A">
        <w:rPr>
          <w:rFonts w:ascii="Arial" w:hAnsi="Arial" w:cs="Arial"/>
          <w:b/>
          <w:bCs/>
          <w:sz w:val="20"/>
        </w:rPr>
        <w:tab/>
      </w:r>
      <w:r>
        <w:rPr>
          <w:rFonts w:ascii="Arial" w:hAnsi="Arial" w:cs="Arial"/>
          <w:b/>
          <w:bCs/>
          <w:sz w:val="20"/>
        </w:rPr>
        <w:tab/>
        <w:t>Representation of children</w:t>
      </w:r>
      <w:bookmarkEnd w:id="1654"/>
      <w:bookmarkEnd w:id="1655"/>
      <w:bookmarkEnd w:id="1656"/>
      <w:bookmarkEnd w:id="1657"/>
      <w:bookmarkEnd w:id="1658"/>
      <w:bookmarkEnd w:id="1659"/>
      <w:bookmarkEnd w:id="1660"/>
      <w:bookmarkEnd w:id="1661"/>
    </w:p>
    <w:p w14:paraId="70D3591F" w14:textId="77777777" w:rsidR="00693223" w:rsidRDefault="00693223" w:rsidP="009E77AD">
      <w:pPr>
        <w:keepNext/>
        <w:keepLines/>
        <w:ind w:left="397" w:hanging="397"/>
        <w:rPr>
          <w:rFonts w:ascii="Arial" w:hAnsi="Arial" w:cs="Arial"/>
          <w:sz w:val="20"/>
        </w:rPr>
      </w:pPr>
      <w:r>
        <w:rPr>
          <w:rFonts w:ascii="Arial" w:hAnsi="Arial" w:cs="Arial"/>
          <w:sz w:val="20"/>
        </w:rPr>
        <w:t xml:space="preserve">See                    </w:t>
      </w:r>
      <w:hyperlink w:anchor="_4.7_Representation_of" w:history="1">
        <w:r w:rsidRPr="00E55025">
          <w:rPr>
            <w:rStyle w:val="Hyperlink"/>
            <w:rFonts w:ascii="Arial" w:hAnsi="Arial" w:cs="Arial"/>
            <w:sz w:val="20"/>
          </w:rPr>
          <w:t>4.7</w:t>
        </w:r>
        <w:r w:rsidRPr="00E55025">
          <w:rPr>
            <w:rStyle w:val="Hyperlink"/>
            <w:rFonts w:ascii="Arial" w:hAnsi="Arial" w:cs="Arial"/>
            <w:sz w:val="20"/>
          </w:rPr>
          <w:tab/>
          <w:t>Representation of children in the Family Division of the Court</w:t>
        </w:r>
      </w:hyperlink>
      <w:r>
        <w:rPr>
          <w:rFonts w:ascii="Arial" w:hAnsi="Arial" w:cs="Arial"/>
          <w:sz w:val="20"/>
        </w:rPr>
        <w:t xml:space="preserve"> </w:t>
      </w:r>
    </w:p>
    <w:p w14:paraId="770EE1E2" w14:textId="77777777" w:rsidR="00693223" w:rsidRDefault="00693223">
      <w:pPr>
        <w:ind w:left="397" w:hanging="397"/>
        <w:rPr>
          <w:rFonts w:ascii="Arial" w:hAnsi="Arial" w:cs="Arial"/>
          <w:sz w:val="20"/>
        </w:rPr>
      </w:pPr>
      <w:r>
        <w:rPr>
          <w:rFonts w:ascii="Arial" w:hAnsi="Arial" w:cs="Arial"/>
          <w:sz w:val="20"/>
        </w:rPr>
        <w:t xml:space="preserve">and in particular </w:t>
      </w:r>
      <w:hyperlink w:anchor="_4.7.6_Child_representation" w:history="1">
        <w:r w:rsidRPr="00E55025">
          <w:rPr>
            <w:rStyle w:val="Hyperlink"/>
            <w:rFonts w:ascii="Arial" w:hAnsi="Arial" w:cs="Arial"/>
            <w:sz w:val="20"/>
          </w:rPr>
          <w:t>4.7.</w:t>
        </w:r>
        <w:r w:rsidR="00E55025" w:rsidRPr="00E55025">
          <w:rPr>
            <w:rStyle w:val="Hyperlink"/>
            <w:rFonts w:ascii="Arial" w:hAnsi="Arial" w:cs="Arial"/>
            <w:sz w:val="20"/>
          </w:rPr>
          <w:t>6</w:t>
        </w:r>
        <w:r w:rsidRPr="00E55025">
          <w:rPr>
            <w:rStyle w:val="Hyperlink"/>
            <w:rFonts w:ascii="Arial" w:hAnsi="Arial" w:cs="Arial"/>
            <w:sz w:val="20"/>
          </w:rPr>
          <w:tab/>
          <w:t>Child representation in Children’s Court and Family Court compared</w:t>
        </w:r>
      </w:hyperlink>
      <w:r>
        <w:rPr>
          <w:rFonts w:ascii="Arial" w:hAnsi="Arial" w:cs="Arial"/>
          <w:sz w:val="20"/>
        </w:rPr>
        <w:t>.</w:t>
      </w:r>
    </w:p>
    <w:p w14:paraId="10FCA366" w14:textId="77777777" w:rsidR="00693223" w:rsidRDefault="00693223">
      <w:pPr>
        <w:rPr>
          <w:rFonts w:ascii="Arial" w:hAnsi="Arial" w:cs="Arial"/>
          <w:sz w:val="20"/>
        </w:rPr>
      </w:pPr>
      <w:r>
        <w:rPr>
          <w:rFonts w:ascii="Arial" w:hAnsi="Arial" w:cs="Arial"/>
          <w:sz w:val="20"/>
        </w:rPr>
        <w:t xml:space="preserve">See also the website of the Family Court of Australia </w:t>
      </w:r>
      <w:hyperlink r:id="rId16" w:history="1">
        <w:r>
          <w:rPr>
            <w:rStyle w:val="Hyperlink"/>
            <w:rFonts w:ascii="Arial" w:hAnsi="Arial" w:cs="Arial"/>
            <w:sz w:val="20"/>
          </w:rPr>
          <w:t>http://www.familycourt.gov.au</w:t>
        </w:r>
      </w:hyperlink>
      <w:r>
        <w:rPr>
          <w:rFonts w:ascii="Arial" w:hAnsi="Arial" w:cs="Arial"/>
          <w:sz w:val="20"/>
        </w:rPr>
        <w:t>.</w:t>
      </w:r>
    </w:p>
    <w:p w14:paraId="4715431E" w14:textId="77777777" w:rsidR="00693223" w:rsidRDefault="00693223">
      <w:pPr>
        <w:rPr>
          <w:rFonts w:ascii="Arial" w:hAnsi="Arial" w:cs="Arial"/>
          <w:sz w:val="20"/>
        </w:rPr>
      </w:pPr>
    </w:p>
    <w:p w14:paraId="15BC9F2E" w14:textId="77777777" w:rsidR="00693223" w:rsidRDefault="00693223">
      <w:pPr>
        <w:pStyle w:val="Heading3"/>
        <w:keepNext/>
        <w:keepLines/>
        <w:spacing w:after="120" w:line="240" w:lineRule="auto"/>
        <w:rPr>
          <w:rFonts w:ascii="Arial" w:hAnsi="Arial" w:cs="Arial"/>
          <w:sz w:val="20"/>
        </w:rPr>
      </w:pPr>
      <w:bookmarkStart w:id="1662" w:name="_4.11.5__Priority"/>
      <w:bookmarkStart w:id="1663" w:name="B4115"/>
      <w:bookmarkStart w:id="1664" w:name="_Toc30743761"/>
      <w:bookmarkStart w:id="1665" w:name="_Toc30754584"/>
      <w:bookmarkStart w:id="1666" w:name="_Toc30757024"/>
      <w:bookmarkStart w:id="1667" w:name="_Toc30757572"/>
      <w:bookmarkStart w:id="1668" w:name="_Toc30757972"/>
      <w:bookmarkStart w:id="1669" w:name="_Toc30762733"/>
      <w:bookmarkStart w:id="1670" w:name="_Toc30767387"/>
      <w:bookmarkStart w:id="1671" w:name="_Toc34823402"/>
      <w:bookmarkStart w:id="1672" w:name="_Toc60400038"/>
      <w:bookmarkStart w:id="1673" w:name="_Toc60396205"/>
      <w:bookmarkEnd w:id="1662"/>
      <w:bookmarkEnd w:id="1663"/>
      <w:r>
        <w:rPr>
          <w:rFonts w:ascii="Arial" w:hAnsi="Arial" w:cs="Arial"/>
          <w:b/>
          <w:bCs/>
          <w:sz w:val="20"/>
        </w:rPr>
        <w:lastRenderedPageBreak/>
        <w:t>4.1</w:t>
      </w:r>
      <w:r w:rsidR="002E5754">
        <w:rPr>
          <w:rFonts w:ascii="Arial" w:hAnsi="Arial" w:cs="Arial"/>
          <w:b/>
          <w:bCs/>
          <w:sz w:val="20"/>
        </w:rPr>
        <w:t>1</w:t>
      </w:r>
      <w:r>
        <w:rPr>
          <w:rFonts w:ascii="Arial" w:hAnsi="Arial" w:cs="Arial"/>
          <w:b/>
          <w:bCs/>
          <w:sz w:val="20"/>
        </w:rPr>
        <w:t>.5</w:t>
      </w:r>
      <w:r w:rsidR="00D0471A">
        <w:rPr>
          <w:rFonts w:ascii="Arial" w:hAnsi="Arial" w:cs="Arial"/>
          <w:b/>
          <w:bCs/>
          <w:sz w:val="20"/>
        </w:rPr>
        <w:tab/>
      </w:r>
      <w:r>
        <w:rPr>
          <w:rFonts w:ascii="Arial" w:hAnsi="Arial" w:cs="Arial"/>
          <w:b/>
          <w:bCs/>
          <w:sz w:val="20"/>
        </w:rPr>
        <w:tab/>
        <w:t>Priority of orders</w:t>
      </w:r>
      <w:bookmarkEnd w:id="1664"/>
      <w:bookmarkEnd w:id="1665"/>
      <w:bookmarkEnd w:id="1666"/>
      <w:bookmarkEnd w:id="1667"/>
      <w:bookmarkEnd w:id="1668"/>
      <w:bookmarkEnd w:id="1669"/>
      <w:bookmarkEnd w:id="1670"/>
      <w:bookmarkEnd w:id="1671"/>
      <w:bookmarkEnd w:id="1672"/>
    </w:p>
    <w:p w14:paraId="003373EB" w14:textId="77777777" w:rsidR="00693223" w:rsidRDefault="00693223">
      <w:pPr>
        <w:jc w:val="both"/>
        <w:rPr>
          <w:rFonts w:ascii="Arial" w:hAnsi="Arial" w:cs="Arial"/>
          <w:sz w:val="20"/>
        </w:rPr>
      </w:pPr>
      <w:r>
        <w:rPr>
          <w:rFonts w:ascii="Arial" w:hAnsi="Arial" w:cs="Arial"/>
          <w:sz w:val="20"/>
        </w:rPr>
        <w:t>In the writer's opinion it is tolerably clear that a protection order takes precedence over a conflicting order under the Family Law Act 1975 (</w:t>
      </w:r>
      <w:proofErr w:type="spellStart"/>
      <w:r>
        <w:rPr>
          <w:rFonts w:ascii="Arial" w:hAnsi="Arial" w:cs="Arial"/>
          <w:sz w:val="20"/>
        </w:rPr>
        <w:t>Cth</w:t>
      </w:r>
      <w:proofErr w:type="spellEnd"/>
      <w:r>
        <w:rPr>
          <w:rFonts w:ascii="Arial" w:hAnsi="Arial" w:cs="Arial"/>
          <w:sz w:val="20"/>
        </w:rPr>
        <w:t xml:space="preserve">) [as amended]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whichever order was made first.  The situation in </w:t>
      </w:r>
      <w:smartTag w:uri="urn:schemas-microsoft-com:office:smarttags" w:element="State">
        <w:r>
          <w:rPr>
            <w:rFonts w:ascii="Arial" w:hAnsi="Arial" w:cs="Arial"/>
            <w:sz w:val="20"/>
          </w:rPr>
          <w:t>Victoria</w:t>
        </w:r>
      </w:smartTag>
      <w:r>
        <w:rPr>
          <w:rFonts w:ascii="Arial" w:hAnsi="Arial" w:cs="Arial"/>
          <w:sz w:val="20"/>
        </w:rPr>
        <w:t xml:space="preserve"> is now regulated by s.69ZK of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rather than its predecessor s.60H [but see pp.1682-1701 of CCH Australian Family Law Court Handbook].  In any event, although there are some differences between the old provisions and the new, each expressly provide for the continued operation of certain State orders and each has </w:t>
      </w:r>
      <w:r w:rsidR="003400E4">
        <w:rPr>
          <w:rFonts w:ascii="Arial" w:hAnsi="Arial" w:cs="Arial"/>
          <w:sz w:val="20"/>
        </w:rPr>
        <w:t>two</w:t>
      </w:r>
      <w:r>
        <w:rPr>
          <w:rFonts w:ascii="Arial" w:hAnsi="Arial" w:cs="Arial"/>
          <w:sz w:val="20"/>
        </w:rPr>
        <w:t xml:space="preserve"> basic limbs:</w:t>
      </w:r>
    </w:p>
    <w:p w14:paraId="50F2A76E" w14:textId="77777777" w:rsidR="00693223" w:rsidRDefault="00693223" w:rsidP="00855531">
      <w:pPr>
        <w:numPr>
          <w:ilvl w:val="0"/>
          <w:numId w:val="15"/>
        </w:numPr>
        <w:spacing w:before="60"/>
        <w:ind w:left="714" w:right="357" w:hanging="357"/>
        <w:jc w:val="both"/>
        <w:rPr>
          <w:rFonts w:ascii="Arial" w:hAnsi="Arial" w:cs="Arial"/>
          <w:sz w:val="20"/>
        </w:rPr>
      </w:pPr>
      <w:r>
        <w:rPr>
          <w:rFonts w:ascii="Arial" w:hAnsi="Arial" w:cs="Arial"/>
          <w:b/>
          <w:bCs/>
          <w:sz w:val="20"/>
        </w:rPr>
        <w:t>State jurisdiction not fettered [s.69</w:t>
      </w:r>
      <w:proofErr w:type="gramStart"/>
      <w:r>
        <w:rPr>
          <w:rFonts w:ascii="Arial" w:hAnsi="Arial" w:cs="Arial"/>
          <w:b/>
          <w:bCs/>
          <w:sz w:val="20"/>
        </w:rPr>
        <w:t>ZK(</w:t>
      </w:r>
      <w:proofErr w:type="gramEnd"/>
      <w:r>
        <w:rPr>
          <w:rFonts w:ascii="Arial" w:hAnsi="Arial" w:cs="Arial"/>
          <w:b/>
          <w:bCs/>
          <w:sz w:val="20"/>
        </w:rPr>
        <w:t>2)]</w:t>
      </w:r>
      <w:r>
        <w:rPr>
          <w:rFonts w:ascii="Arial" w:hAnsi="Arial" w:cs="Arial"/>
          <w:sz w:val="20"/>
        </w:rPr>
        <w:t xml:space="preserve">:  Nothing in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affects:</w:t>
      </w:r>
    </w:p>
    <w:p w14:paraId="080E157C" w14:textId="77777777" w:rsidR="00693223" w:rsidRDefault="00693223">
      <w:pPr>
        <w:numPr>
          <w:ilvl w:val="0"/>
          <w:numId w:val="19"/>
        </w:numPr>
        <w:ind w:right="357"/>
        <w:jc w:val="both"/>
        <w:rPr>
          <w:rFonts w:ascii="Arial" w:hAnsi="Arial" w:cs="Arial"/>
          <w:sz w:val="20"/>
        </w:rPr>
      </w:pPr>
      <w:r>
        <w:rPr>
          <w:rFonts w:ascii="Arial" w:hAnsi="Arial" w:cs="Arial"/>
          <w:sz w:val="20"/>
        </w:rPr>
        <w:t>the jurisdiction of a court, or the power of an authority, under a child welfare law to make an order, or to take any other action, by which a child is placed under the care (however described) of a person under a child welfare law; or</w:t>
      </w:r>
    </w:p>
    <w:p w14:paraId="1F5AF4D7" w14:textId="77777777" w:rsidR="00693223" w:rsidRDefault="00693223">
      <w:pPr>
        <w:numPr>
          <w:ilvl w:val="0"/>
          <w:numId w:val="19"/>
        </w:numPr>
        <w:ind w:right="357"/>
        <w:jc w:val="both"/>
        <w:rPr>
          <w:rFonts w:ascii="Arial" w:hAnsi="Arial" w:cs="Arial"/>
          <w:sz w:val="20"/>
        </w:rPr>
      </w:pPr>
      <w:r>
        <w:rPr>
          <w:rFonts w:ascii="Arial" w:hAnsi="Arial" w:cs="Arial"/>
          <w:sz w:val="20"/>
        </w:rPr>
        <w:t>any such order made or action taken; or</w:t>
      </w:r>
    </w:p>
    <w:p w14:paraId="7F6F97D2" w14:textId="77777777" w:rsidR="00693223" w:rsidRDefault="00693223">
      <w:pPr>
        <w:numPr>
          <w:ilvl w:val="0"/>
          <w:numId w:val="19"/>
        </w:numPr>
        <w:ind w:right="357"/>
        <w:jc w:val="both"/>
        <w:rPr>
          <w:rFonts w:ascii="Arial" w:hAnsi="Arial" w:cs="Arial"/>
          <w:sz w:val="20"/>
        </w:rPr>
      </w:pPr>
      <w:r>
        <w:rPr>
          <w:rFonts w:ascii="Arial" w:hAnsi="Arial" w:cs="Arial"/>
          <w:sz w:val="20"/>
        </w:rPr>
        <w:t>the operation of a child welfare law in relation to a child.</w:t>
      </w:r>
    </w:p>
    <w:p w14:paraId="77204A92" w14:textId="77777777" w:rsidR="00693223" w:rsidRDefault="00693223" w:rsidP="002239D1">
      <w:pPr>
        <w:numPr>
          <w:ilvl w:val="0"/>
          <w:numId w:val="15"/>
        </w:numPr>
        <w:spacing w:before="60"/>
        <w:ind w:left="714" w:right="357" w:hanging="357"/>
        <w:jc w:val="both"/>
        <w:rPr>
          <w:rFonts w:ascii="Arial" w:hAnsi="Arial" w:cs="Arial"/>
          <w:sz w:val="20"/>
        </w:rPr>
      </w:pPr>
      <w:r>
        <w:rPr>
          <w:rFonts w:ascii="Arial" w:hAnsi="Arial" w:cs="Arial"/>
          <w:b/>
          <w:bCs/>
          <w:sz w:val="20"/>
        </w:rPr>
        <w:t>Federal jurisdiction subject to State jurisdiction [s.69</w:t>
      </w:r>
      <w:proofErr w:type="gramStart"/>
      <w:r>
        <w:rPr>
          <w:rFonts w:ascii="Arial" w:hAnsi="Arial" w:cs="Arial"/>
          <w:b/>
          <w:bCs/>
          <w:sz w:val="20"/>
        </w:rPr>
        <w:t>ZK(</w:t>
      </w:r>
      <w:proofErr w:type="gramEnd"/>
      <w:r>
        <w:rPr>
          <w:rFonts w:ascii="Arial" w:hAnsi="Arial" w:cs="Arial"/>
          <w:b/>
          <w:bCs/>
          <w:sz w:val="20"/>
        </w:rPr>
        <w:t>1)]</w:t>
      </w:r>
      <w:r>
        <w:rPr>
          <w:rFonts w:ascii="Arial" w:hAnsi="Arial" w:cs="Arial"/>
          <w:sz w:val="20"/>
        </w:rPr>
        <w:t>:  Subject to some minor exceptions, a court exercising jurisdiction under the FLA must not make an order under that Act in relation to a child who is under the care (however described) of a person under a child welfare law unless:</w:t>
      </w:r>
    </w:p>
    <w:p w14:paraId="2CD9C9D6" w14:textId="77777777" w:rsidR="00693223" w:rsidRDefault="00693223">
      <w:pPr>
        <w:numPr>
          <w:ilvl w:val="0"/>
          <w:numId w:val="19"/>
        </w:numPr>
        <w:ind w:right="357"/>
        <w:jc w:val="both"/>
        <w:rPr>
          <w:rFonts w:ascii="Arial" w:hAnsi="Arial" w:cs="Arial"/>
          <w:sz w:val="20"/>
        </w:rPr>
      </w:pPr>
      <w:r>
        <w:rPr>
          <w:rFonts w:ascii="Arial" w:hAnsi="Arial" w:cs="Arial"/>
          <w:sz w:val="20"/>
        </w:rPr>
        <w:t>the order is expressed to come into effect when the child ceases to be under that care; or</w:t>
      </w:r>
    </w:p>
    <w:p w14:paraId="3A20E7E4" w14:textId="77777777" w:rsidR="00693223" w:rsidRDefault="00693223">
      <w:pPr>
        <w:numPr>
          <w:ilvl w:val="0"/>
          <w:numId w:val="19"/>
        </w:numPr>
        <w:ind w:right="357"/>
        <w:jc w:val="both"/>
        <w:rPr>
          <w:rFonts w:ascii="Arial" w:hAnsi="Arial" w:cs="Arial"/>
          <w:sz w:val="20"/>
        </w:rPr>
      </w:pPr>
      <w:r>
        <w:rPr>
          <w:rFonts w:ascii="Arial" w:hAnsi="Arial" w:cs="Arial"/>
          <w:sz w:val="20"/>
        </w:rPr>
        <w:t>the order is made in proceedings relating to the child in respect of the institution or continuation of which the written consent of a child welfare officer of the relevant State or Territory has been obtained.</w:t>
      </w:r>
    </w:p>
    <w:p w14:paraId="1B6CE4CE" w14:textId="77777777" w:rsidR="00693223" w:rsidRDefault="00693223">
      <w:pPr>
        <w:pStyle w:val="Heading2"/>
        <w:tabs>
          <w:tab w:val="left" w:pos="567"/>
        </w:tabs>
        <w:spacing w:line="240" w:lineRule="auto"/>
        <w:rPr>
          <w:rFonts w:ascii="Arial" w:hAnsi="Arial" w:cs="Arial"/>
          <w:b/>
          <w:bCs/>
          <w:sz w:val="20"/>
        </w:rPr>
      </w:pPr>
    </w:p>
    <w:p w14:paraId="3B92778C" w14:textId="77777777" w:rsidR="00693223" w:rsidRDefault="00693223">
      <w:pPr>
        <w:jc w:val="both"/>
        <w:rPr>
          <w:rFonts w:ascii="Arial" w:hAnsi="Arial" w:cs="Arial"/>
          <w:sz w:val="20"/>
        </w:rPr>
      </w:pPr>
      <w:r>
        <w:rPr>
          <w:rFonts w:ascii="Arial" w:hAnsi="Arial" w:cs="Arial"/>
          <w:sz w:val="20"/>
        </w:rPr>
        <w:t xml:space="preserve">In its Final Report on Family Law and Child Protection (September 2002) the Family Law Council raised the issue of potential inconsistency if an order of a State court was inconsistent with a prior order under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see pp.83-84.  Though it did not express a concluded opinion on the issue, the Family Law Council made the following recommendation in order to "avoid any residual doubt on the constitutionality of such provisions" as s.69ZK:</w:t>
      </w:r>
    </w:p>
    <w:p w14:paraId="7D00FEFC" w14:textId="77777777" w:rsidR="00693223" w:rsidRDefault="00693223" w:rsidP="00855531">
      <w:pPr>
        <w:ind w:left="454" w:right="454"/>
        <w:jc w:val="center"/>
        <w:rPr>
          <w:rFonts w:ascii="Arial" w:hAnsi="Arial" w:cs="Arial"/>
          <w:sz w:val="20"/>
        </w:rPr>
      </w:pPr>
      <w:r>
        <w:rPr>
          <w:rFonts w:ascii="Arial" w:hAnsi="Arial" w:cs="Arial"/>
          <w:sz w:val="20"/>
        </w:rPr>
        <w:t>"</w:t>
      </w:r>
      <w:r>
        <w:rPr>
          <w:rFonts w:ascii="Arial" w:hAnsi="Arial" w:cs="Arial"/>
          <w:b/>
          <w:bCs/>
          <w:sz w:val="20"/>
          <w:u w:val="single"/>
        </w:rPr>
        <w:t>Recommendation 11</w:t>
      </w:r>
    </w:p>
    <w:p w14:paraId="2A43148A" w14:textId="77777777" w:rsidR="00693223" w:rsidRDefault="00693223" w:rsidP="00855531">
      <w:pPr>
        <w:ind w:left="454" w:right="454"/>
        <w:jc w:val="both"/>
        <w:rPr>
          <w:rFonts w:ascii="Arial" w:hAnsi="Arial" w:cs="Arial"/>
          <w:sz w:val="20"/>
        </w:rPr>
      </w:pPr>
      <w:r>
        <w:rPr>
          <w:rFonts w:ascii="Arial" w:hAnsi="Arial" w:cs="Arial"/>
          <w:sz w:val="20"/>
        </w:rPr>
        <w:t>Section 69ZK [of the FLA] should be amended to make clear beyond doubt that residence and contact orders made pursuant to child welfare legislation as an outcome of proceedings brought by a child protection authority for the protection of a child are not inconsistent with the FLA."</w:t>
      </w:r>
    </w:p>
    <w:p w14:paraId="6A77C9DF" w14:textId="77777777" w:rsidR="00300654" w:rsidRDefault="00300654" w:rsidP="00300654">
      <w:pPr>
        <w:rPr>
          <w:rFonts w:ascii="Arial" w:hAnsi="Arial" w:cs="Arial"/>
          <w:sz w:val="20"/>
        </w:rPr>
      </w:pPr>
    </w:p>
    <w:p w14:paraId="108864C1" w14:textId="77777777" w:rsidR="00300654" w:rsidRDefault="00300654" w:rsidP="00300654">
      <w:pPr>
        <w:pStyle w:val="Heading3"/>
        <w:keepNext/>
        <w:keepLines/>
        <w:spacing w:after="120" w:line="240" w:lineRule="auto"/>
        <w:rPr>
          <w:rFonts w:ascii="Arial" w:hAnsi="Arial" w:cs="Arial"/>
          <w:sz w:val="20"/>
        </w:rPr>
      </w:pPr>
      <w:bookmarkStart w:id="1674" w:name="_4.11.6__Sharing"/>
      <w:bookmarkEnd w:id="1674"/>
      <w:r>
        <w:rPr>
          <w:rFonts w:ascii="Arial" w:hAnsi="Arial" w:cs="Arial"/>
          <w:b/>
          <w:bCs/>
          <w:sz w:val="20"/>
        </w:rPr>
        <w:t>4.11.6</w:t>
      </w:r>
      <w:r>
        <w:rPr>
          <w:rFonts w:ascii="Arial" w:hAnsi="Arial" w:cs="Arial"/>
          <w:b/>
          <w:bCs/>
          <w:sz w:val="20"/>
        </w:rPr>
        <w:tab/>
      </w:r>
      <w:r>
        <w:rPr>
          <w:rFonts w:ascii="Arial" w:hAnsi="Arial" w:cs="Arial"/>
          <w:b/>
          <w:bCs/>
          <w:sz w:val="20"/>
        </w:rPr>
        <w:tab/>
        <w:t>Sharing of materials between Children’s Court &amp; Family Court</w:t>
      </w:r>
    </w:p>
    <w:p w14:paraId="5B8DF370" w14:textId="0535C89D" w:rsidR="00300654" w:rsidRDefault="00300654" w:rsidP="0071427A">
      <w:pPr>
        <w:jc w:val="both"/>
        <w:rPr>
          <w:rFonts w:ascii="Arial" w:hAnsi="Arial" w:cs="Arial"/>
          <w:sz w:val="20"/>
          <w:szCs w:val="20"/>
        </w:rPr>
      </w:pPr>
      <w:r>
        <w:rPr>
          <w:rFonts w:ascii="Arial" w:hAnsi="Arial" w:cs="Arial"/>
          <w:sz w:val="20"/>
          <w:szCs w:val="20"/>
        </w:rPr>
        <w:t>There are two separate processes in place for information-sharing between the Children’s Court</w:t>
      </w:r>
      <w:r w:rsidR="0071427A">
        <w:rPr>
          <w:rFonts w:ascii="Arial" w:hAnsi="Arial" w:cs="Arial"/>
          <w:sz w:val="20"/>
          <w:szCs w:val="20"/>
        </w:rPr>
        <w:t xml:space="preserve"> of Victoria [‘</w:t>
      </w:r>
      <w:proofErr w:type="spellStart"/>
      <w:r w:rsidR="0071427A">
        <w:rPr>
          <w:rFonts w:ascii="Arial" w:hAnsi="Arial" w:cs="Arial"/>
          <w:sz w:val="20"/>
          <w:szCs w:val="20"/>
        </w:rPr>
        <w:t>C</w:t>
      </w:r>
      <w:r w:rsidR="001202C2">
        <w:rPr>
          <w:rFonts w:ascii="Arial" w:hAnsi="Arial" w:cs="Arial"/>
          <w:sz w:val="20"/>
          <w:szCs w:val="20"/>
        </w:rPr>
        <w:t>h</w:t>
      </w:r>
      <w:r w:rsidR="0071427A">
        <w:rPr>
          <w:rFonts w:ascii="Arial" w:hAnsi="Arial" w:cs="Arial"/>
          <w:sz w:val="20"/>
          <w:szCs w:val="20"/>
        </w:rPr>
        <w:t>CV</w:t>
      </w:r>
      <w:proofErr w:type="spellEnd"/>
      <w:r w:rsidR="0071427A">
        <w:rPr>
          <w:rFonts w:ascii="Arial" w:hAnsi="Arial" w:cs="Arial"/>
          <w:sz w:val="20"/>
          <w:szCs w:val="20"/>
        </w:rPr>
        <w:t>’]</w:t>
      </w:r>
      <w:r>
        <w:rPr>
          <w:rFonts w:ascii="Arial" w:hAnsi="Arial" w:cs="Arial"/>
          <w:sz w:val="20"/>
          <w:szCs w:val="20"/>
        </w:rPr>
        <w:t xml:space="preserve"> and the </w:t>
      </w:r>
      <w:r w:rsidR="0071427A">
        <w:rPr>
          <w:rFonts w:ascii="Arial" w:hAnsi="Arial" w:cs="Arial"/>
          <w:sz w:val="20"/>
          <w:szCs w:val="20"/>
        </w:rPr>
        <w:t xml:space="preserve">Federal Circuit and Family Court of Australia [‘FCA’] </w:t>
      </w:r>
      <w:r>
        <w:rPr>
          <w:rFonts w:ascii="Arial" w:hAnsi="Arial" w:cs="Arial"/>
          <w:sz w:val="20"/>
          <w:szCs w:val="20"/>
        </w:rPr>
        <w:t>or vice versa:</w:t>
      </w:r>
    </w:p>
    <w:p w14:paraId="6FC0F9C9" w14:textId="77777777" w:rsidR="00300654" w:rsidRDefault="00300654" w:rsidP="00300654">
      <w:pPr>
        <w:rPr>
          <w:rFonts w:ascii="Arial" w:hAnsi="Arial" w:cs="Arial"/>
          <w:sz w:val="20"/>
          <w:szCs w:val="20"/>
        </w:rPr>
      </w:pPr>
    </w:p>
    <w:p w14:paraId="593B75A6" w14:textId="7B5DE08F" w:rsidR="00300654" w:rsidRPr="00300654" w:rsidRDefault="00300654" w:rsidP="00FB1EE3">
      <w:pPr>
        <w:numPr>
          <w:ilvl w:val="0"/>
          <w:numId w:val="66"/>
        </w:numPr>
        <w:ind w:left="357" w:hanging="357"/>
        <w:jc w:val="both"/>
        <w:rPr>
          <w:rFonts w:ascii="Arial" w:hAnsi="Arial" w:cs="Arial"/>
          <w:sz w:val="20"/>
          <w:szCs w:val="20"/>
        </w:rPr>
      </w:pPr>
      <w:r>
        <w:rPr>
          <w:rFonts w:ascii="Arial" w:hAnsi="Arial" w:cs="Arial"/>
          <w:sz w:val="20"/>
          <w:szCs w:val="20"/>
        </w:rPr>
        <w:t>A</w:t>
      </w:r>
      <w:r w:rsidRPr="00300654">
        <w:rPr>
          <w:rFonts w:ascii="Arial" w:hAnsi="Arial" w:cs="Arial"/>
          <w:sz w:val="20"/>
          <w:szCs w:val="20"/>
        </w:rPr>
        <w:t xml:space="preserve"> broad informal information-sharing process has been in place for some </w:t>
      </w:r>
      <w:r w:rsidR="00FF65C7">
        <w:rPr>
          <w:rFonts w:ascii="Arial" w:hAnsi="Arial" w:cs="Arial"/>
          <w:sz w:val="20"/>
          <w:szCs w:val="20"/>
        </w:rPr>
        <w:t>years</w:t>
      </w:r>
      <w:r w:rsidRPr="00300654">
        <w:rPr>
          <w:rFonts w:ascii="Arial" w:hAnsi="Arial" w:cs="Arial"/>
          <w:sz w:val="20"/>
          <w:szCs w:val="20"/>
        </w:rPr>
        <w:t>.</w:t>
      </w:r>
      <w:r>
        <w:rPr>
          <w:rFonts w:ascii="Arial" w:hAnsi="Arial" w:cs="Arial"/>
          <w:sz w:val="20"/>
          <w:szCs w:val="20"/>
        </w:rPr>
        <w:t xml:space="preserve"> </w:t>
      </w:r>
      <w:r w:rsidRPr="00300654">
        <w:rPr>
          <w:rFonts w:ascii="Arial" w:hAnsi="Arial" w:cs="Arial"/>
          <w:sz w:val="20"/>
          <w:szCs w:val="20"/>
        </w:rPr>
        <w:t xml:space="preserve"> Underpinning it is what is now rule 6.27 of the </w:t>
      </w:r>
      <w:r w:rsidRPr="00300654">
        <w:rPr>
          <w:rFonts w:ascii="Arial" w:hAnsi="Arial" w:cs="Arial"/>
          <w:i/>
          <w:iCs/>
          <w:sz w:val="20"/>
          <w:szCs w:val="20"/>
        </w:rPr>
        <w:t>Federal Circuit and Family Court of Australia (Family Court) Rules 2021</w:t>
      </w:r>
      <w:r w:rsidRPr="00300654">
        <w:rPr>
          <w:rFonts w:ascii="Arial" w:hAnsi="Arial" w:cs="Arial"/>
          <w:sz w:val="20"/>
          <w:szCs w:val="20"/>
        </w:rPr>
        <w:t xml:space="preserve"> </w:t>
      </w:r>
      <w:r w:rsidR="006A4203">
        <w:rPr>
          <w:rFonts w:ascii="Arial" w:hAnsi="Arial" w:cs="Arial"/>
          <w:sz w:val="20"/>
          <w:szCs w:val="20"/>
        </w:rPr>
        <w:t xml:space="preserve">which provides </w:t>
      </w:r>
      <w:r w:rsidRPr="00300654">
        <w:rPr>
          <w:rFonts w:ascii="Arial" w:hAnsi="Arial" w:cs="Arial"/>
          <w:sz w:val="20"/>
          <w:szCs w:val="20"/>
        </w:rPr>
        <w:t xml:space="preserve">that a party or an ICL must not issue a subpoena without the permission of </w:t>
      </w:r>
      <w:r w:rsidR="0071427A">
        <w:rPr>
          <w:rFonts w:ascii="Arial" w:hAnsi="Arial" w:cs="Arial"/>
          <w:sz w:val="20"/>
          <w:szCs w:val="20"/>
        </w:rPr>
        <w:t xml:space="preserve">the </w:t>
      </w:r>
      <w:r>
        <w:rPr>
          <w:rFonts w:ascii="Arial" w:hAnsi="Arial" w:cs="Arial"/>
          <w:sz w:val="20"/>
          <w:szCs w:val="20"/>
        </w:rPr>
        <w:t xml:space="preserve">FCA.  </w:t>
      </w:r>
      <w:r w:rsidRPr="00300654">
        <w:rPr>
          <w:rFonts w:ascii="Arial" w:hAnsi="Arial" w:cs="Arial"/>
          <w:sz w:val="20"/>
          <w:szCs w:val="20"/>
        </w:rPr>
        <w:t xml:space="preserve">For its part, the FCA does not issue subpoenas for the production of </w:t>
      </w:r>
      <w:r>
        <w:rPr>
          <w:rFonts w:ascii="Arial" w:hAnsi="Arial" w:cs="Arial"/>
          <w:sz w:val="20"/>
          <w:szCs w:val="20"/>
        </w:rPr>
        <w:t xml:space="preserve">files or other materials from the </w:t>
      </w:r>
      <w:proofErr w:type="spellStart"/>
      <w:r>
        <w:rPr>
          <w:rFonts w:ascii="Arial" w:hAnsi="Arial" w:cs="Arial"/>
          <w:sz w:val="20"/>
          <w:szCs w:val="20"/>
        </w:rPr>
        <w:t>C</w:t>
      </w:r>
      <w:r w:rsidR="001202C2">
        <w:rPr>
          <w:rFonts w:ascii="Arial" w:hAnsi="Arial" w:cs="Arial"/>
          <w:sz w:val="20"/>
          <w:szCs w:val="20"/>
        </w:rPr>
        <w:t>h</w:t>
      </w:r>
      <w:r>
        <w:rPr>
          <w:rFonts w:ascii="Arial" w:hAnsi="Arial" w:cs="Arial"/>
          <w:sz w:val="20"/>
          <w:szCs w:val="20"/>
        </w:rPr>
        <w:t>CV</w:t>
      </w:r>
      <w:proofErr w:type="spellEnd"/>
      <w:r>
        <w:rPr>
          <w:rFonts w:ascii="Arial" w:hAnsi="Arial" w:cs="Arial"/>
          <w:sz w:val="20"/>
          <w:szCs w:val="20"/>
        </w:rPr>
        <w:t xml:space="preserve">.  </w:t>
      </w:r>
      <w:r w:rsidRPr="00300654">
        <w:rPr>
          <w:rFonts w:ascii="Arial" w:hAnsi="Arial" w:cs="Arial"/>
          <w:sz w:val="20"/>
          <w:szCs w:val="20"/>
        </w:rPr>
        <w:t>What happens instead is:</w:t>
      </w:r>
    </w:p>
    <w:p w14:paraId="591D5538" w14:textId="5B7CD09F" w:rsidR="00300654" w:rsidRPr="00300654" w:rsidRDefault="00300654" w:rsidP="00FB1EE3">
      <w:pPr>
        <w:pStyle w:val="ListParagraph"/>
        <w:numPr>
          <w:ilvl w:val="0"/>
          <w:numId w:val="65"/>
        </w:numPr>
        <w:rPr>
          <w:rFonts w:ascii="Arial" w:hAnsi="Arial" w:cs="Arial"/>
          <w:sz w:val="20"/>
          <w:szCs w:val="16"/>
        </w:rPr>
      </w:pPr>
      <w:r w:rsidRPr="00300654">
        <w:rPr>
          <w:rFonts w:ascii="Arial" w:hAnsi="Arial" w:cs="Arial"/>
          <w:sz w:val="20"/>
          <w:szCs w:val="16"/>
        </w:rPr>
        <w:t xml:space="preserve">A judge in the FCA orders a registrar of the FCA to request the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for a specified file and/or other document(s) or order(s).</w:t>
      </w:r>
    </w:p>
    <w:p w14:paraId="555B1F1B" w14:textId="5E5C5B92" w:rsidR="00300654" w:rsidRPr="00300654" w:rsidRDefault="00300654" w:rsidP="00FB1EE3">
      <w:pPr>
        <w:pStyle w:val="ListParagraph"/>
        <w:numPr>
          <w:ilvl w:val="0"/>
          <w:numId w:val="65"/>
        </w:numPr>
        <w:rPr>
          <w:rFonts w:ascii="Arial" w:hAnsi="Arial" w:cs="Arial"/>
          <w:sz w:val="20"/>
          <w:szCs w:val="16"/>
        </w:rPr>
      </w:pPr>
      <w:r w:rsidRPr="00300654">
        <w:rPr>
          <w:rFonts w:ascii="Arial" w:hAnsi="Arial" w:cs="Arial"/>
          <w:sz w:val="20"/>
          <w:szCs w:val="16"/>
        </w:rPr>
        <w:t xml:space="preserve">The FCA registrar makes the request of the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w:t>
      </w:r>
    </w:p>
    <w:p w14:paraId="23C53FE1" w14:textId="634610B6" w:rsidR="00300654" w:rsidRPr="00300654" w:rsidRDefault="00300654" w:rsidP="00FB1EE3">
      <w:pPr>
        <w:pStyle w:val="ListParagraph"/>
        <w:numPr>
          <w:ilvl w:val="0"/>
          <w:numId w:val="65"/>
        </w:numPr>
        <w:rPr>
          <w:rFonts w:ascii="Arial" w:hAnsi="Arial" w:cs="Arial"/>
          <w:sz w:val="20"/>
          <w:szCs w:val="16"/>
        </w:rPr>
      </w:pPr>
      <w:r w:rsidRPr="00300654">
        <w:rPr>
          <w:rFonts w:ascii="Arial" w:hAnsi="Arial" w:cs="Arial"/>
          <w:sz w:val="20"/>
          <w:szCs w:val="16"/>
        </w:rPr>
        <w:t xml:space="preserve">A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registrar puts the requested material together and submits it to the President or a magistrate of the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for his or her authority to provide the material to the FCA.</w:t>
      </w:r>
    </w:p>
    <w:p w14:paraId="613051E2" w14:textId="1831DAE4" w:rsidR="00300654" w:rsidRPr="00300654" w:rsidRDefault="00300654" w:rsidP="00FB1EE3">
      <w:pPr>
        <w:pStyle w:val="ListParagraph"/>
        <w:numPr>
          <w:ilvl w:val="0"/>
          <w:numId w:val="65"/>
        </w:numPr>
        <w:rPr>
          <w:rFonts w:ascii="Arial" w:hAnsi="Arial" w:cs="Arial"/>
          <w:sz w:val="20"/>
          <w:szCs w:val="16"/>
        </w:rPr>
      </w:pPr>
      <w:r w:rsidRPr="00300654">
        <w:rPr>
          <w:rFonts w:ascii="Arial" w:hAnsi="Arial" w:cs="Arial"/>
          <w:sz w:val="20"/>
          <w:szCs w:val="16"/>
        </w:rPr>
        <w:t xml:space="preserve">If authorised the material is forwarded by a </w:t>
      </w:r>
      <w:proofErr w:type="spellStart"/>
      <w:r w:rsidRPr="00300654">
        <w:rPr>
          <w:rFonts w:ascii="Arial" w:hAnsi="Arial" w:cs="Arial"/>
          <w:sz w:val="20"/>
          <w:szCs w:val="16"/>
        </w:rPr>
        <w:t>C</w:t>
      </w:r>
      <w:r w:rsidR="001202C2">
        <w:rPr>
          <w:rFonts w:ascii="Arial" w:hAnsi="Arial" w:cs="Arial"/>
          <w:sz w:val="20"/>
          <w:szCs w:val="16"/>
        </w:rPr>
        <w:t>h</w:t>
      </w:r>
      <w:r w:rsidRPr="00300654">
        <w:rPr>
          <w:rFonts w:ascii="Arial" w:hAnsi="Arial" w:cs="Arial"/>
          <w:sz w:val="20"/>
          <w:szCs w:val="16"/>
        </w:rPr>
        <w:t>CV</w:t>
      </w:r>
      <w:proofErr w:type="spellEnd"/>
      <w:r w:rsidRPr="00300654">
        <w:rPr>
          <w:rFonts w:ascii="Arial" w:hAnsi="Arial" w:cs="Arial"/>
          <w:sz w:val="20"/>
          <w:szCs w:val="16"/>
        </w:rPr>
        <w:t xml:space="preserve"> registrar to the FCA registry.</w:t>
      </w:r>
    </w:p>
    <w:p w14:paraId="15C23F51" w14:textId="11FC1307" w:rsidR="00300654" w:rsidRPr="00300654" w:rsidRDefault="00300654" w:rsidP="00300654">
      <w:pPr>
        <w:spacing w:before="120"/>
        <w:ind w:left="357"/>
        <w:rPr>
          <w:rFonts w:ascii="Arial" w:hAnsi="Arial" w:cs="Arial"/>
          <w:sz w:val="20"/>
          <w:szCs w:val="20"/>
        </w:rPr>
      </w:pPr>
      <w:r w:rsidRPr="00300654">
        <w:rPr>
          <w:rFonts w:ascii="Arial" w:hAnsi="Arial" w:cs="Arial"/>
          <w:sz w:val="20"/>
          <w:szCs w:val="20"/>
        </w:rPr>
        <w:t xml:space="preserve">This information-sharing process also works the same way in the other direction when the </w:t>
      </w:r>
      <w:proofErr w:type="spellStart"/>
      <w:r w:rsidRPr="00300654">
        <w:rPr>
          <w:rFonts w:ascii="Arial" w:hAnsi="Arial" w:cs="Arial"/>
          <w:sz w:val="20"/>
          <w:szCs w:val="20"/>
        </w:rPr>
        <w:t>C</w:t>
      </w:r>
      <w:r w:rsidR="001202C2">
        <w:rPr>
          <w:rFonts w:ascii="Arial" w:hAnsi="Arial" w:cs="Arial"/>
          <w:sz w:val="20"/>
          <w:szCs w:val="20"/>
        </w:rPr>
        <w:t>h</w:t>
      </w:r>
      <w:r w:rsidRPr="00300654">
        <w:rPr>
          <w:rFonts w:ascii="Arial" w:hAnsi="Arial" w:cs="Arial"/>
          <w:sz w:val="20"/>
          <w:szCs w:val="20"/>
        </w:rPr>
        <w:t>CV</w:t>
      </w:r>
      <w:proofErr w:type="spellEnd"/>
      <w:r w:rsidRPr="00300654">
        <w:rPr>
          <w:rFonts w:ascii="Arial" w:hAnsi="Arial" w:cs="Arial"/>
          <w:sz w:val="20"/>
          <w:szCs w:val="20"/>
        </w:rPr>
        <w:t xml:space="preserve"> requests material from the FCA.</w:t>
      </w:r>
    </w:p>
    <w:p w14:paraId="5803D5B3" w14:textId="77777777" w:rsidR="00300654" w:rsidRDefault="00300654" w:rsidP="00300654">
      <w:pPr>
        <w:rPr>
          <w:rFonts w:ascii="Arial" w:hAnsi="Arial" w:cs="Arial"/>
          <w:sz w:val="20"/>
          <w:szCs w:val="20"/>
        </w:rPr>
      </w:pPr>
    </w:p>
    <w:p w14:paraId="262A149D" w14:textId="77777777" w:rsidR="00300654" w:rsidRDefault="00300654" w:rsidP="00FB1EE3">
      <w:pPr>
        <w:numPr>
          <w:ilvl w:val="0"/>
          <w:numId w:val="66"/>
        </w:numPr>
        <w:ind w:left="357" w:hanging="357"/>
        <w:jc w:val="both"/>
        <w:rPr>
          <w:rFonts w:ascii="Arial" w:hAnsi="Arial" w:cs="Arial"/>
          <w:sz w:val="20"/>
          <w:szCs w:val="20"/>
        </w:rPr>
      </w:pPr>
      <w:r w:rsidRPr="00300654">
        <w:rPr>
          <w:rFonts w:ascii="Arial" w:hAnsi="Arial" w:cs="Arial"/>
          <w:sz w:val="20"/>
          <w:szCs w:val="20"/>
        </w:rPr>
        <w:t xml:space="preserve">Independently of the above – but partly overlapping with it – are two much more recent protocols, the Family Violence Information Sharing Scheme [FVISS] and the Child Information Sharing Scheme [CISS]. </w:t>
      </w:r>
      <w:r>
        <w:rPr>
          <w:rFonts w:ascii="Arial" w:hAnsi="Arial" w:cs="Arial"/>
          <w:sz w:val="20"/>
          <w:szCs w:val="20"/>
        </w:rPr>
        <w:t xml:space="preserve">This discussion is </w:t>
      </w:r>
      <w:r w:rsidRPr="00300654">
        <w:rPr>
          <w:rFonts w:ascii="Arial" w:hAnsi="Arial" w:cs="Arial"/>
          <w:sz w:val="20"/>
          <w:szCs w:val="20"/>
        </w:rPr>
        <w:t>confine</w:t>
      </w:r>
      <w:r>
        <w:rPr>
          <w:rFonts w:ascii="Arial" w:hAnsi="Arial" w:cs="Arial"/>
          <w:sz w:val="20"/>
          <w:szCs w:val="20"/>
        </w:rPr>
        <w:t>d</w:t>
      </w:r>
      <w:r w:rsidRPr="00300654">
        <w:rPr>
          <w:rFonts w:ascii="Arial" w:hAnsi="Arial" w:cs="Arial"/>
          <w:sz w:val="20"/>
          <w:szCs w:val="20"/>
        </w:rPr>
        <w:t xml:space="preserve"> to the former. </w:t>
      </w:r>
      <w:r>
        <w:rPr>
          <w:rFonts w:ascii="Arial" w:hAnsi="Arial" w:cs="Arial"/>
          <w:sz w:val="20"/>
          <w:szCs w:val="20"/>
        </w:rPr>
        <w:t xml:space="preserve"> </w:t>
      </w:r>
      <w:r w:rsidRPr="00300654">
        <w:rPr>
          <w:rFonts w:ascii="Arial" w:hAnsi="Arial" w:cs="Arial"/>
          <w:sz w:val="20"/>
          <w:szCs w:val="20"/>
        </w:rPr>
        <w:t xml:space="preserve">The FVISS is grounded in amendments made to the </w:t>
      </w:r>
      <w:r w:rsidRPr="00300654">
        <w:rPr>
          <w:rFonts w:ascii="Arial" w:hAnsi="Arial" w:cs="Arial"/>
          <w:i/>
          <w:iCs/>
          <w:sz w:val="20"/>
          <w:szCs w:val="20"/>
        </w:rPr>
        <w:t>Family Violence Protection Act 2008</w:t>
      </w:r>
      <w:r w:rsidRPr="00300654">
        <w:rPr>
          <w:rFonts w:ascii="Arial" w:hAnsi="Arial" w:cs="Arial"/>
          <w:sz w:val="20"/>
          <w:szCs w:val="20"/>
        </w:rPr>
        <w:t xml:space="preserve"> [FVPA] which </w:t>
      </w:r>
      <w:r w:rsidR="0071427A">
        <w:rPr>
          <w:rFonts w:ascii="Arial" w:hAnsi="Arial" w:cs="Arial"/>
          <w:sz w:val="20"/>
          <w:szCs w:val="20"/>
        </w:rPr>
        <w:t xml:space="preserve">are </w:t>
      </w:r>
      <w:r w:rsidRPr="00300654">
        <w:rPr>
          <w:rFonts w:ascii="Arial" w:hAnsi="Arial" w:cs="Arial"/>
          <w:sz w:val="20"/>
          <w:szCs w:val="20"/>
        </w:rPr>
        <w:t>described in section 6FV.15 of the Research Materials</w:t>
      </w:r>
      <w:r w:rsidR="0071427A">
        <w:rPr>
          <w:rFonts w:ascii="Arial" w:hAnsi="Arial" w:cs="Arial"/>
          <w:sz w:val="20"/>
          <w:szCs w:val="20"/>
        </w:rPr>
        <w:t>.</w:t>
      </w:r>
    </w:p>
    <w:p w14:paraId="376583AF" w14:textId="77777777" w:rsidR="00886802" w:rsidRDefault="00886802" w:rsidP="00886802">
      <w:pPr>
        <w:spacing w:before="120"/>
        <w:ind w:left="357"/>
        <w:jc w:val="both"/>
        <w:rPr>
          <w:rFonts w:ascii="Arial" w:hAnsi="Arial" w:cs="Arial"/>
          <w:sz w:val="20"/>
          <w:szCs w:val="20"/>
        </w:rPr>
      </w:pPr>
      <w:r w:rsidRPr="00886802">
        <w:rPr>
          <w:rFonts w:ascii="Arial" w:hAnsi="Arial" w:cs="Arial"/>
          <w:sz w:val="20"/>
          <w:szCs w:val="20"/>
        </w:rPr>
        <w:t>The FVISS is applicable in the case of any “Family Violence Related Proceedings”.</w:t>
      </w:r>
      <w:r>
        <w:rPr>
          <w:rFonts w:ascii="Arial" w:hAnsi="Arial" w:cs="Arial"/>
          <w:sz w:val="20"/>
          <w:szCs w:val="20"/>
        </w:rPr>
        <w:t xml:space="preserve"> </w:t>
      </w:r>
      <w:r w:rsidRPr="00886802">
        <w:rPr>
          <w:rFonts w:ascii="Arial" w:hAnsi="Arial" w:cs="Arial"/>
          <w:sz w:val="20"/>
          <w:szCs w:val="20"/>
        </w:rPr>
        <w:t xml:space="preserve"> This means it overlaps </w:t>
      </w:r>
      <w:r>
        <w:rPr>
          <w:rFonts w:ascii="Arial" w:hAnsi="Arial" w:cs="Arial"/>
          <w:sz w:val="20"/>
          <w:szCs w:val="20"/>
        </w:rPr>
        <w:t xml:space="preserve">significantly </w:t>
      </w:r>
      <w:r w:rsidRPr="00886802">
        <w:rPr>
          <w:rFonts w:ascii="Arial" w:hAnsi="Arial" w:cs="Arial"/>
          <w:sz w:val="20"/>
          <w:szCs w:val="20"/>
        </w:rPr>
        <w:t xml:space="preserve">with the broad informal information-sharing process </w:t>
      </w:r>
      <w:r w:rsidRPr="00886802">
        <w:rPr>
          <w:rFonts w:ascii="Arial" w:hAnsi="Arial" w:cs="Arial"/>
          <w:sz w:val="20"/>
          <w:szCs w:val="20"/>
        </w:rPr>
        <w:lastRenderedPageBreak/>
        <w:t>described</w:t>
      </w:r>
      <w:r>
        <w:rPr>
          <w:rFonts w:ascii="Arial" w:hAnsi="Arial" w:cs="Arial"/>
          <w:sz w:val="20"/>
          <w:szCs w:val="20"/>
        </w:rPr>
        <w:t xml:space="preserve"> </w:t>
      </w:r>
      <w:r w:rsidRPr="00886802">
        <w:rPr>
          <w:rFonts w:ascii="Arial" w:hAnsi="Arial" w:cs="Arial"/>
          <w:sz w:val="20"/>
          <w:szCs w:val="20"/>
        </w:rPr>
        <w:t>above in any child protection case in which there is an element of family violence.</w:t>
      </w:r>
      <w:r>
        <w:rPr>
          <w:rFonts w:ascii="Arial" w:hAnsi="Arial" w:cs="Arial"/>
          <w:sz w:val="20"/>
          <w:szCs w:val="20"/>
        </w:rPr>
        <w:t xml:space="preserve"> </w:t>
      </w:r>
      <w:r w:rsidRPr="00886802">
        <w:rPr>
          <w:rFonts w:ascii="Arial" w:hAnsi="Arial" w:cs="Arial"/>
          <w:sz w:val="20"/>
          <w:szCs w:val="20"/>
        </w:rPr>
        <w:t xml:space="preserve"> In </w:t>
      </w:r>
      <w:r>
        <w:rPr>
          <w:rFonts w:ascii="Arial" w:hAnsi="Arial" w:cs="Arial"/>
          <w:sz w:val="20"/>
          <w:szCs w:val="20"/>
        </w:rPr>
        <w:t>the writer’s</w:t>
      </w:r>
      <w:r w:rsidRPr="00886802">
        <w:rPr>
          <w:rFonts w:ascii="Arial" w:hAnsi="Arial" w:cs="Arial"/>
          <w:sz w:val="20"/>
          <w:szCs w:val="20"/>
        </w:rPr>
        <w:t xml:space="preserve"> experience that means </w:t>
      </w:r>
      <w:r>
        <w:rPr>
          <w:rFonts w:ascii="Arial" w:hAnsi="Arial" w:cs="Arial"/>
          <w:sz w:val="20"/>
          <w:szCs w:val="20"/>
        </w:rPr>
        <w:t>a significant proportion</w:t>
      </w:r>
      <w:r w:rsidRPr="00886802">
        <w:rPr>
          <w:rFonts w:ascii="Arial" w:hAnsi="Arial" w:cs="Arial"/>
          <w:sz w:val="20"/>
          <w:szCs w:val="20"/>
        </w:rPr>
        <w:t xml:space="preserve"> of them.</w:t>
      </w:r>
    </w:p>
    <w:p w14:paraId="4C799056" w14:textId="0E729F28" w:rsidR="00886802" w:rsidRDefault="00886802" w:rsidP="00886802">
      <w:pPr>
        <w:spacing w:before="120"/>
        <w:ind w:left="357"/>
        <w:jc w:val="both"/>
        <w:rPr>
          <w:rFonts w:ascii="Arial" w:hAnsi="Arial" w:cs="Arial"/>
          <w:sz w:val="20"/>
          <w:szCs w:val="20"/>
        </w:rPr>
      </w:pPr>
      <w:r>
        <w:rPr>
          <w:rFonts w:ascii="Arial" w:hAnsi="Arial" w:cs="Arial"/>
          <w:sz w:val="20"/>
          <w:szCs w:val="20"/>
        </w:rPr>
        <w:t xml:space="preserve">To assist with the operation of the FVISS protocol, guidelines </w:t>
      </w:r>
      <w:r w:rsidR="006A4203">
        <w:rPr>
          <w:rFonts w:ascii="Arial" w:hAnsi="Arial" w:cs="Arial"/>
          <w:sz w:val="20"/>
          <w:szCs w:val="20"/>
        </w:rPr>
        <w:t xml:space="preserve">are in place </w:t>
      </w:r>
      <w:r>
        <w:rPr>
          <w:rFonts w:ascii="Arial" w:hAnsi="Arial" w:cs="Arial"/>
          <w:sz w:val="20"/>
          <w:szCs w:val="20"/>
        </w:rPr>
        <w:t xml:space="preserve">for information-sharing between the Magistrates’ Court of Victoria [‘MCV’], the </w:t>
      </w:r>
      <w:proofErr w:type="spellStart"/>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w:t>
      </w:r>
      <w:proofErr w:type="spellEnd"/>
      <w:r w:rsidRPr="00886802">
        <w:rPr>
          <w:rFonts w:ascii="Arial" w:hAnsi="Arial" w:cs="Arial"/>
          <w:sz w:val="20"/>
          <w:szCs w:val="20"/>
        </w:rPr>
        <w:t xml:space="preserve"> and the FCA</w:t>
      </w:r>
      <w:r>
        <w:rPr>
          <w:rFonts w:ascii="Arial" w:hAnsi="Arial" w:cs="Arial"/>
          <w:sz w:val="20"/>
          <w:szCs w:val="20"/>
        </w:rPr>
        <w:t>.  In</w:t>
      </w:r>
      <w:r w:rsidR="006A4203">
        <w:rPr>
          <w:rFonts w:ascii="Arial" w:hAnsi="Arial" w:cs="Arial"/>
          <w:sz w:val="20"/>
          <w:szCs w:val="20"/>
        </w:rPr>
        <w:t> </w:t>
      </w:r>
      <w:r>
        <w:rPr>
          <w:rFonts w:ascii="Arial" w:hAnsi="Arial" w:cs="Arial"/>
          <w:sz w:val="20"/>
          <w:szCs w:val="20"/>
        </w:rPr>
        <w:t>particular:</w:t>
      </w:r>
    </w:p>
    <w:p w14:paraId="6EA3232F" w14:textId="77777777" w:rsidR="00886802" w:rsidRDefault="00886802" w:rsidP="00FB1EE3">
      <w:pPr>
        <w:numPr>
          <w:ilvl w:val="0"/>
          <w:numId w:val="67"/>
        </w:numPr>
        <w:ind w:left="714" w:hanging="357"/>
        <w:jc w:val="both"/>
        <w:rPr>
          <w:rFonts w:ascii="Arial" w:hAnsi="Arial" w:cs="Arial"/>
          <w:sz w:val="20"/>
          <w:szCs w:val="20"/>
        </w:rPr>
      </w:pPr>
      <w:r w:rsidRPr="00886802">
        <w:rPr>
          <w:rFonts w:ascii="Arial" w:hAnsi="Arial" w:cs="Arial"/>
          <w:sz w:val="20"/>
          <w:szCs w:val="20"/>
        </w:rPr>
        <w:t xml:space="preserve">section 7.1 sets out a process for </w:t>
      </w:r>
      <w:r>
        <w:rPr>
          <w:rFonts w:ascii="Arial" w:hAnsi="Arial" w:cs="Arial"/>
          <w:sz w:val="20"/>
          <w:szCs w:val="20"/>
        </w:rPr>
        <w:t xml:space="preserve">the </w:t>
      </w:r>
      <w:r w:rsidRPr="00886802">
        <w:rPr>
          <w:rFonts w:ascii="Arial" w:hAnsi="Arial" w:cs="Arial"/>
          <w:sz w:val="20"/>
          <w:szCs w:val="20"/>
        </w:rPr>
        <w:t xml:space="preserve">sharing of information between registry officers without </w:t>
      </w:r>
      <w:r>
        <w:rPr>
          <w:rFonts w:ascii="Arial" w:hAnsi="Arial" w:cs="Arial"/>
          <w:sz w:val="20"/>
          <w:szCs w:val="20"/>
        </w:rPr>
        <w:t xml:space="preserve">requiring </w:t>
      </w:r>
      <w:r w:rsidRPr="00886802">
        <w:rPr>
          <w:rFonts w:ascii="Arial" w:hAnsi="Arial" w:cs="Arial"/>
          <w:sz w:val="20"/>
          <w:szCs w:val="20"/>
        </w:rPr>
        <w:t>judicial approval</w:t>
      </w:r>
      <w:r>
        <w:rPr>
          <w:rFonts w:ascii="Arial" w:hAnsi="Arial" w:cs="Arial"/>
          <w:sz w:val="20"/>
          <w:szCs w:val="20"/>
        </w:rPr>
        <w:t>; and</w:t>
      </w:r>
    </w:p>
    <w:p w14:paraId="0389AA27" w14:textId="77777777" w:rsidR="00886802" w:rsidRPr="00886802" w:rsidRDefault="00886802" w:rsidP="00FB1EE3">
      <w:pPr>
        <w:numPr>
          <w:ilvl w:val="0"/>
          <w:numId w:val="67"/>
        </w:numPr>
        <w:ind w:left="714" w:hanging="357"/>
        <w:jc w:val="both"/>
        <w:rPr>
          <w:rFonts w:ascii="Arial" w:hAnsi="Arial" w:cs="Arial"/>
          <w:sz w:val="20"/>
          <w:szCs w:val="20"/>
        </w:rPr>
      </w:pPr>
      <w:r w:rsidRPr="00886802">
        <w:rPr>
          <w:rFonts w:ascii="Arial" w:hAnsi="Arial" w:cs="Arial"/>
          <w:sz w:val="20"/>
          <w:szCs w:val="20"/>
        </w:rPr>
        <w:t>section 7.2 sets out a process for sharing of information requested by a judicial officer.</w:t>
      </w:r>
    </w:p>
    <w:p w14:paraId="5351592F" w14:textId="5E506A11" w:rsidR="00886802" w:rsidRPr="00886802" w:rsidRDefault="00886802" w:rsidP="00886802">
      <w:pPr>
        <w:spacing w:before="120"/>
        <w:ind w:left="357"/>
        <w:jc w:val="both"/>
        <w:rPr>
          <w:rFonts w:ascii="Arial" w:hAnsi="Arial" w:cs="Arial"/>
          <w:sz w:val="20"/>
          <w:szCs w:val="20"/>
        </w:rPr>
      </w:pPr>
      <w:r>
        <w:rPr>
          <w:rFonts w:ascii="Arial" w:hAnsi="Arial" w:cs="Arial"/>
          <w:sz w:val="20"/>
          <w:szCs w:val="20"/>
        </w:rPr>
        <w:t>A</w:t>
      </w:r>
      <w:r w:rsidRPr="00886802">
        <w:rPr>
          <w:rFonts w:ascii="Arial" w:hAnsi="Arial" w:cs="Arial"/>
          <w:sz w:val="20"/>
          <w:szCs w:val="20"/>
        </w:rPr>
        <w:t xml:space="preserve"> </w:t>
      </w:r>
      <w:r>
        <w:rPr>
          <w:rFonts w:ascii="Arial" w:hAnsi="Arial" w:cs="Arial"/>
          <w:sz w:val="20"/>
          <w:szCs w:val="20"/>
        </w:rPr>
        <w:t>number</w:t>
      </w:r>
      <w:r w:rsidRPr="00886802">
        <w:rPr>
          <w:rFonts w:ascii="Arial" w:hAnsi="Arial" w:cs="Arial"/>
          <w:sz w:val="20"/>
          <w:szCs w:val="20"/>
        </w:rPr>
        <w:t xml:space="preserve"> of people </w:t>
      </w:r>
      <w:r>
        <w:rPr>
          <w:rFonts w:ascii="Arial" w:hAnsi="Arial" w:cs="Arial"/>
          <w:sz w:val="20"/>
          <w:szCs w:val="20"/>
        </w:rPr>
        <w:t xml:space="preserve">are </w:t>
      </w:r>
      <w:r w:rsidRPr="00886802">
        <w:rPr>
          <w:rFonts w:ascii="Arial" w:hAnsi="Arial" w:cs="Arial"/>
          <w:sz w:val="20"/>
          <w:szCs w:val="20"/>
        </w:rPr>
        <w:t xml:space="preserve">employed within the Family Violence Unit of </w:t>
      </w:r>
      <w:r>
        <w:rPr>
          <w:rFonts w:ascii="Arial" w:hAnsi="Arial" w:cs="Arial"/>
          <w:sz w:val="20"/>
          <w:szCs w:val="20"/>
        </w:rPr>
        <w:t>the</w:t>
      </w:r>
      <w:r w:rsidRPr="00886802">
        <w:rPr>
          <w:rFonts w:ascii="Arial" w:hAnsi="Arial" w:cs="Arial"/>
          <w:sz w:val="20"/>
          <w:szCs w:val="20"/>
        </w:rPr>
        <w:t xml:space="preserve"> MCV who deal with FVISS requests for information broadly relating to family violence on behalf of both the MCV and the </w:t>
      </w:r>
      <w:proofErr w:type="spellStart"/>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w:t>
      </w:r>
      <w:proofErr w:type="spellEnd"/>
      <w:r w:rsidRPr="00886802">
        <w:rPr>
          <w:rFonts w:ascii="Arial" w:hAnsi="Arial" w:cs="Arial"/>
          <w:sz w:val="20"/>
          <w:szCs w:val="20"/>
        </w:rPr>
        <w:t>.</w:t>
      </w:r>
    </w:p>
    <w:p w14:paraId="72D730B2" w14:textId="77777777" w:rsidR="00300654" w:rsidRDefault="00300654">
      <w:pPr>
        <w:widowControl w:val="0"/>
        <w:rPr>
          <w:rFonts w:ascii="Arial" w:hAnsi="Arial" w:cs="Arial"/>
          <w:sz w:val="20"/>
        </w:rPr>
      </w:pPr>
    </w:p>
    <w:p w14:paraId="44740796" w14:textId="77777777" w:rsidR="00693223" w:rsidRDefault="00693223">
      <w:pPr>
        <w:pStyle w:val="Heading2"/>
        <w:tabs>
          <w:tab w:val="left" w:pos="567"/>
        </w:tabs>
        <w:spacing w:line="240" w:lineRule="auto"/>
        <w:rPr>
          <w:rFonts w:ascii="Arial" w:hAnsi="Arial" w:cs="Arial"/>
          <w:b/>
          <w:bCs/>
        </w:rPr>
      </w:pPr>
      <w:bookmarkStart w:id="1675" w:name="_4.12_Relationship_between"/>
      <w:bookmarkStart w:id="1676" w:name="B412"/>
      <w:bookmarkEnd w:id="1675"/>
      <w:bookmarkEnd w:id="1676"/>
      <w:r>
        <w:rPr>
          <w:rFonts w:ascii="Arial" w:hAnsi="Arial" w:cs="Arial"/>
          <w:b/>
          <w:bCs/>
        </w:rPr>
        <w:t>4.1</w:t>
      </w:r>
      <w:r w:rsidR="002E5754">
        <w:rPr>
          <w:rFonts w:ascii="Arial" w:hAnsi="Arial" w:cs="Arial"/>
          <w:b/>
          <w:bCs/>
        </w:rPr>
        <w:t>2</w:t>
      </w:r>
      <w:r>
        <w:rPr>
          <w:rFonts w:ascii="Arial" w:hAnsi="Arial" w:cs="Arial"/>
          <w:b/>
          <w:bCs/>
        </w:rPr>
        <w:tab/>
        <w:t>Relationship between attachment and child's emotional wellbeing</w:t>
      </w:r>
      <w:bookmarkEnd w:id="1673"/>
    </w:p>
    <w:p w14:paraId="3253E720" w14:textId="77777777" w:rsidR="00693223" w:rsidRDefault="00693223">
      <w:pPr>
        <w:widowControl w:val="0"/>
        <w:rPr>
          <w:rFonts w:ascii="Arial" w:hAnsi="Arial" w:cs="Arial"/>
          <w:sz w:val="20"/>
        </w:rPr>
      </w:pPr>
    </w:p>
    <w:p w14:paraId="57D6841A" w14:textId="77777777" w:rsidR="00693223" w:rsidRDefault="00693223">
      <w:pPr>
        <w:jc w:val="both"/>
        <w:rPr>
          <w:rFonts w:ascii="Arial" w:hAnsi="Arial" w:cs="Arial"/>
          <w:sz w:val="20"/>
        </w:rPr>
      </w:pPr>
      <w:r>
        <w:rPr>
          <w:rFonts w:ascii="Arial" w:hAnsi="Arial" w:cs="Arial"/>
          <w:sz w:val="20"/>
        </w:rPr>
        <w:t xml:space="preserve">In cases in the Family Division of the Court there is often an issue as to whether or not a child has developed an appropriately secure attachment.  Dr </w:t>
      </w:r>
      <w:proofErr w:type="spellStart"/>
      <w:r>
        <w:rPr>
          <w:rFonts w:ascii="Arial" w:hAnsi="Arial" w:cs="Arial"/>
          <w:sz w:val="20"/>
        </w:rPr>
        <w:t>Sharne</w:t>
      </w:r>
      <w:proofErr w:type="spellEnd"/>
      <w:r>
        <w:rPr>
          <w:rFonts w:ascii="Arial" w:hAnsi="Arial" w:cs="Arial"/>
          <w:sz w:val="20"/>
        </w:rPr>
        <w:t xml:space="preserve"> A. Rolfe, Developmental Psychologist (Senior Lecturer in Child Psychology in the Department of Learning and Educational Development at the University of Melbourne &amp; Principal Consultant, </w:t>
      </w:r>
      <w:proofErr w:type="spellStart"/>
      <w:r>
        <w:rPr>
          <w:rFonts w:ascii="Arial" w:hAnsi="Arial" w:cs="Arial"/>
          <w:sz w:val="20"/>
        </w:rPr>
        <w:t>Sharne</w:t>
      </w:r>
      <w:proofErr w:type="spellEnd"/>
      <w:r>
        <w:rPr>
          <w:rFonts w:ascii="Arial" w:hAnsi="Arial" w:cs="Arial"/>
          <w:sz w:val="20"/>
        </w:rPr>
        <w:t xml:space="preserve"> Rolfe and Associates, Consulting Psychologists) said in a letter to the writer in February 2003:</w:t>
      </w:r>
    </w:p>
    <w:p w14:paraId="5B96AC3D" w14:textId="77777777" w:rsidR="00693223" w:rsidRDefault="00693223" w:rsidP="00FF65C7">
      <w:pPr>
        <w:spacing w:before="120"/>
        <w:ind w:left="567" w:right="567"/>
        <w:jc w:val="both"/>
        <w:rPr>
          <w:rFonts w:ascii="Arial" w:hAnsi="Arial" w:cs="Arial"/>
          <w:sz w:val="20"/>
        </w:rPr>
      </w:pPr>
      <w:r>
        <w:rPr>
          <w:rFonts w:ascii="Arial" w:hAnsi="Arial" w:cs="Arial"/>
          <w:sz w:val="20"/>
        </w:rPr>
        <w:t>"Development is such a complex process that one can never be sure of long-term outcomes, but it seems to me that attachment theory, if well understood, has much potential for decision making, although the area remains controversial and there are diverse points of view."</w:t>
      </w:r>
    </w:p>
    <w:p w14:paraId="3E5A9559" w14:textId="77777777" w:rsidR="00693223" w:rsidRDefault="00693223">
      <w:pPr>
        <w:jc w:val="both"/>
        <w:rPr>
          <w:rFonts w:ascii="Arial" w:hAnsi="Arial" w:cs="Arial"/>
          <w:sz w:val="20"/>
        </w:rPr>
      </w:pPr>
    </w:p>
    <w:p w14:paraId="34205478" w14:textId="77777777" w:rsidR="004035B2" w:rsidRDefault="004035B2" w:rsidP="00855531">
      <w:pPr>
        <w:jc w:val="both"/>
        <w:rPr>
          <w:rFonts w:ascii="Arial" w:hAnsi="Arial" w:cs="Arial"/>
          <w:sz w:val="20"/>
        </w:rPr>
      </w:pPr>
      <w:r>
        <w:rPr>
          <w:rFonts w:ascii="Arial" w:hAnsi="Arial" w:cs="Arial"/>
          <w:sz w:val="20"/>
        </w:rPr>
        <w:t>In a learned Court report written in September 2007, Dr Rolfe said:</w:t>
      </w:r>
    </w:p>
    <w:p w14:paraId="575550F7" w14:textId="77777777" w:rsidR="004035B2" w:rsidRDefault="004035B2" w:rsidP="004035B2">
      <w:pPr>
        <w:spacing w:before="120"/>
        <w:ind w:left="567" w:right="567"/>
        <w:jc w:val="both"/>
        <w:rPr>
          <w:rFonts w:ascii="Arial" w:hAnsi="Arial" w:cs="Arial"/>
          <w:sz w:val="20"/>
        </w:rPr>
      </w:pPr>
      <w:r>
        <w:rPr>
          <w:rFonts w:ascii="Arial" w:hAnsi="Arial" w:cs="Arial"/>
          <w:sz w:val="20"/>
        </w:rPr>
        <w:t>“The attachment relationship has two primary functions: the first, and most basi</w:t>
      </w:r>
      <w:r w:rsidR="008E744C">
        <w:rPr>
          <w:rFonts w:ascii="Arial" w:hAnsi="Arial" w:cs="Arial"/>
          <w:sz w:val="20"/>
        </w:rPr>
        <w:t>c</w:t>
      </w:r>
      <w:r>
        <w:rPr>
          <w:rFonts w:ascii="Arial" w:hAnsi="Arial" w:cs="Arial"/>
          <w:sz w:val="20"/>
        </w:rPr>
        <w:t xml:space="preserve">, is the protection of the child from danger, i.e. to keep the child safe.  The second function concerns the psychological wellbeing of the child.  Admittedly, this is related to the first function of safety, insofar as the ideal form of caregiving not only protects the child from danger, but does so in a way that is emotionally sensitive, responsive and consistent so that at the same time as the child is kept safe, </w:t>
      </w:r>
      <w:r w:rsidR="008E744C">
        <w:rPr>
          <w:rFonts w:ascii="Arial" w:hAnsi="Arial" w:cs="Arial"/>
          <w:sz w:val="20"/>
        </w:rPr>
        <w:t>the child’s</w:t>
      </w:r>
      <w:r>
        <w:rPr>
          <w:rFonts w:ascii="Arial" w:hAnsi="Arial" w:cs="Arial"/>
          <w:sz w:val="20"/>
        </w:rPr>
        <w:t xml:space="preserve"> psychological wellbeing, positive sense of self and self esteem are also being nurtured.”</w:t>
      </w:r>
    </w:p>
    <w:p w14:paraId="7F0FF79B" w14:textId="77777777" w:rsidR="004035B2" w:rsidRDefault="004035B2">
      <w:pPr>
        <w:jc w:val="both"/>
        <w:rPr>
          <w:rFonts w:ascii="Arial" w:hAnsi="Arial" w:cs="Arial"/>
          <w:sz w:val="20"/>
        </w:rPr>
      </w:pPr>
    </w:p>
    <w:p w14:paraId="229AFA62" w14:textId="77777777" w:rsidR="00693223" w:rsidRDefault="004035B2">
      <w:pPr>
        <w:jc w:val="both"/>
        <w:rPr>
          <w:rFonts w:ascii="Arial" w:hAnsi="Arial" w:cs="Arial"/>
          <w:sz w:val="20"/>
        </w:rPr>
      </w:pPr>
      <w:r>
        <w:rPr>
          <w:rFonts w:ascii="Arial" w:hAnsi="Arial" w:cs="Arial"/>
          <w:sz w:val="20"/>
        </w:rPr>
        <w:t xml:space="preserve">In </w:t>
      </w:r>
      <w:r w:rsidR="00693223">
        <w:rPr>
          <w:rFonts w:ascii="Arial" w:hAnsi="Arial" w:cs="Arial"/>
          <w:sz w:val="20"/>
        </w:rPr>
        <w:t>Court reports written in April 2002 &amp; September 2003, Dr Rolfe discussed the relevant literature.  Reproduced below is the latter (including minor additions from the former).</w:t>
      </w:r>
    </w:p>
    <w:p w14:paraId="2E844BDB" w14:textId="77777777" w:rsidR="00693223" w:rsidRDefault="00693223" w:rsidP="009E6906">
      <w:pPr>
        <w:spacing w:before="120"/>
        <w:ind w:left="567" w:right="567"/>
        <w:jc w:val="center"/>
        <w:rPr>
          <w:rFonts w:ascii="Arial" w:hAnsi="Arial" w:cs="Arial"/>
          <w:b/>
          <w:bCs/>
          <w:sz w:val="20"/>
          <w:u w:val="single"/>
        </w:rPr>
      </w:pPr>
      <w:r>
        <w:rPr>
          <w:rFonts w:ascii="Arial" w:hAnsi="Arial" w:cs="Arial"/>
          <w:b/>
          <w:bCs/>
          <w:sz w:val="20"/>
          <w:u w:val="single"/>
        </w:rPr>
        <w:t>Attachment and development</w:t>
      </w:r>
    </w:p>
    <w:p w14:paraId="245EEAA0" w14:textId="77777777" w:rsidR="00693223" w:rsidRDefault="00693223" w:rsidP="009E6906">
      <w:pPr>
        <w:spacing w:before="120"/>
        <w:ind w:left="567" w:right="567"/>
        <w:jc w:val="center"/>
        <w:rPr>
          <w:rFonts w:ascii="Arial" w:hAnsi="Arial" w:cs="Arial"/>
          <w:b/>
          <w:bCs/>
          <w:sz w:val="20"/>
        </w:rPr>
      </w:pPr>
      <w:r>
        <w:rPr>
          <w:rFonts w:ascii="Arial" w:hAnsi="Arial" w:cs="Arial"/>
          <w:b/>
          <w:bCs/>
          <w:sz w:val="20"/>
        </w:rPr>
        <w:t>1. The significance of secure attachment for psychological wellbeing</w:t>
      </w:r>
    </w:p>
    <w:p w14:paraId="685BBC56" w14:textId="77777777" w:rsidR="00693223" w:rsidRDefault="00693223" w:rsidP="009E6906">
      <w:pPr>
        <w:spacing w:before="120"/>
        <w:ind w:left="567" w:right="567"/>
        <w:jc w:val="both"/>
        <w:rPr>
          <w:rFonts w:ascii="Arial" w:hAnsi="Arial" w:cs="Arial"/>
          <w:sz w:val="20"/>
        </w:rPr>
      </w:pPr>
      <w:r>
        <w:rPr>
          <w:rFonts w:ascii="Arial" w:hAnsi="Arial" w:cs="Arial"/>
          <w:sz w:val="20"/>
        </w:rPr>
        <w:t>It is critical to children's emotional wellbeing that they have the opportunity to experience at least one (and preferably more than one) secure attachment relationship during the early years.  Secure attachment relationships provide the essential underpinning of healthy emotional, social and intellectual development and are the foundation for lifetime self-esteem and psychological wellbeing.  A detailed explanation of this process is presented in Howe (1995).  In this section, the process is briefly outlined, along with the empirical support for it.</w:t>
      </w:r>
    </w:p>
    <w:p w14:paraId="225522A2" w14:textId="77777777" w:rsidR="00693223" w:rsidRDefault="00693223">
      <w:pPr>
        <w:spacing w:before="120"/>
        <w:ind w:left="567" w:right="567"/>
        <w:jc w:val="both"/>
        <w:rPr>
          <w:rFonts w:ascii="Arial" w:hAnsi="Arial" w:cs="Arial"/>
          <w:sz w:val="20"/>
        </w:rPr>
      </w:pPr>
      <w:r>
        <w:rPr>
          <w:rFonts w:ascii="Arial" w:hAnsi="Arial" w:cs="Arial"/>
          <w:sz w:val="20"/>
        </w:rPr>
        <w:t>Attachment refers to the strong tie or bond of affection that develops between children and those people who care for them.  In normal circumstances, this bond begins to develop at birth or soon after, once the so-called 'pre-attachment phase' ends at about 6 weeks.  Through repeated experiences of having his or her needs met consistently and sensitively, a clear-cut secure attachment is evident in the child's behaviour to the adult carer(s) sometime in the second half of the first year.  This grows and develops during the early childhood period.</w:t>
      </w:r>
    </w:p>
    <w:p w14:paraId="371E7034" w14:textId="77777777" w:rsidR="00693223" w:rsidRDefault="00693223">
      <w:pPr>
        <w:spacing w:before="120"/>
        <w:ind w:left="567" w:right="567"/>
        <w:jc w:val="both"/>
        <w:rPr>
          <w:rFonts w:ascii="Arial" w:hAnsi="Arial" w:cs="Arial"/>
          <w:sz w:val="20"/>
        </w:rPr>
      </w:pPr>
      <w:r>
        <w:rPr>
          <w:rFonts w:ascii="Arial" w:hAnsi="Arial" w:cs="Arial"/>
          <w:sz w:val="20"/>
        </w:rPr>
        <w:t xml:space="preserve">The nature of the attachment relationship is of major significance for a child's psychological wellbeing.  This is because the view that children develop of themselves as psychological entities (their core concept of 'self') reflects primarily the interactions they have with their attachment figures, particularly in the early years.  This is referred to as their 'inner working model' of themselves and their </w:t>
      </w:r>
      <w:r>
        <w:rPr>
          <w:rFonts w:ascii="Arial" w:hAnsi="Arial" w:cs="Arial"/>
          <w:sz w:val="20"/>
        </w:rPr>
        <w:lastRenderedPageBreak/>
        <w:t xml:space="preserve">relationship to the world of people around them (Bowlby, 1969; Main, Kaplan &amp; Cassidy, 1985).  Children with secure attachment histories develop a view of themselves as worthy and lovable and the world as a place to be trusted, since their history of intimate interactions has been generally characterised by love, care, consistency and sensitivity (Howe, 1995; </w:t>
      </w:r>
      <w:proofErr w:type="spellStart"/>
      <w:r>
        <w:rPr>
          <w:rFonts w:ascii="Arial" w:hAnsi="Arial" w:cs="Arial"/>
          <w:sz w:val="20"/>
        </w:rPr>
        <w:t>Sroufe</w:t>
      </w:r>
      <w:proofErr w:type="spellEnd"/>
      <w:r>
        <w:rPr>
          <w:rFonts w:ascii="Arial" w:hAnsi="Arial" w:cs="Arial"/>
          <w:sz w:val="20"/>
        </w:rPr>
        <w:t>, 1988, 1989).  They have a strong sense of 'felt security'.</w:t>
      </w:r>
    </w:p>
    <w:p w14:paraId="25C33C15" w14:textId="77777777" w:rsidR="00693223" w:rsidRDefault="00693223">
      <w:pPr>
        <w:spacing w:before="120"/>
        <w:ind w:left="567" w:right="567"/>
        <w:jc w:val="both"/>
        <w:rPr>
          <w:rFonts w:ascii="Arial" w:hAnsi="Arial" w:cs="Arial"/>
          <w:sz w:val="20"/>
        </w:rPr>
      </w:pPr>
      <w:r>
        <w:rPr>
          <w:rFonts w:ascii="Arial" w:hAnsi="Arial" w:cs="Arial"/>
          <w:sz w:val="20"/>
        </w:rPr>
        <w:t>However, if a child's needs are not met consistently and/or sensitively by their caregiver(s), an insecure attachment is likely to develop.  Children with insecure attachment relationships have to develop strategies to cope with the insensitivity and/or inconsistency of their attachment figure(s), and hence may come to view themselves as less worthy and lovable and the world as a place that may not be trusted.  At the extreme, children with histories of abuse and/or neglect or who have severe disruptions to their primary attachment relationships (which are inevitably interpreted by the young child as rejection and abandonment) may experience themselves as unworthy and unlovable and eventually may view the world as a hostile place where they are most likely to be rejected (Carlson, 1998; Main &amp; Solomon, 1990; Howe, 1995).</w:t>
      </w:r>
    </w:p>
    <w:p w14:paraId="4DE4A627" w14:textId="77777777" w:rsidR="00693223" w:rsidRDefault="00693223">
      <w:pPr>
        <w:spacing w:before="120"/>
        <w:ind w:left="567" w:right="567"/>
        <w:jc w:val="both"/>
        <w:rPr>
          <w:rFonts w:ascii="Arial" w:hAnsi="Arial" w:cs="Arial"/>
          <w:sz w:val="20"/>
        </w:rPr>
      </w:pPr>
      <w:r>
        <w:rPr>
          <w:rFonts w:ascii="Arial" w:hAnsi="Arial" w:cs="Arial"/>
          <w:sz w:val="20"/>
        </w:rPr>
        <w:t xml:space="preserve">Important differences emerge when the psychological competence of children with different attachment histories are compared over time.  In one of the most extensive longitudinal studies of this kind, </w:t>
      </w:r>
      <w:proofErr w:type="spellStart"/>
      <w:r>
        <w:rPr>
          <w:rFonts w:ascii="Arial" w:hAnsi="Arial" w:cs="Arial"/>
          <w:sz w:val="20"/>
        </w:rPr>
        <w:t>Sroufe</w:t>
      </w:r>
      <w:proofErr w:type="spellEnd"/>
      <w:r>
        <w:rPr>
          <w:rFonts w:ascii="Arial" w:hAnsi="Arial" w:cs="Arial"/>
          <w:sz w:val="20"/>
        </w:rPr>
        <w:t xml:space="preserve"> and his colleagues (e.g. Elicker, Englund &amp; </w:t>
      </w:r>
      <w:proofErr w:type="spellStart"/>
      <w:r>
        <w:rPr>
          <w:rFonts w:ascii="Arial" w:hAnsi="Arial" w:cs="Arial"/>
          <w:sz w:val="20"/>
        </w:rPr>
        <w:t>Sroufe</w:t>
      </w:r>
      <w:proofErr w:type="spellEnd"/>
      <w:r>
        <w:rPr>
          <w:rFonts w:ascii="Arial" w:hAnsi="Arial" w:cs="Arial"/>
          <w:sz w:val="20"/>
        </w:rPr>
        <w:t xml:space="preserve">, 1992; Shulman, Elicker &amp; </w:t>
      </w:r>
      <w:proofErr w:type="spellStart"/>
      <w:r>
        <w:rPr>
          <w:rFonts w:ascii="Arial" w:hAnsi="Arial" w:cs="Arial"/>
          <w:sz w:val="20"/>
        </w:rPr>
        <w:t>Sroufe</w:t>
      </w:r>
      <w:proofErr w:type="spellEnd"/>
      <w:r>
        <w:rPr>
          <w:rFonts w:ascii="Arial" w:hAnsi="Arial" w:cs="Arial"/>
          <w:sz w:val="20"/>
        </w:rPr>
        <w:t xml:space="preserve">, 1994) followed the development of a large sample of infants through to age 11 years.  They found that preschoolers who were securely attached as infants showed more make believe play and greater enthusiasm, flexibility and persistence in problem solving by age two years.  At age 4, such children were rated by their preschool teachers, under a blind testing procedure, as higher in self esteem, social competence, cooperation, popularity and empathy.  In contrast, insecurely attached infants were viewed as more isolated, disruptive or difficult in the preschool setting.  By age 11 years, children with secure histories had better quality peer relationships, closer friendships and better social skills as well as being cognitively more advanced.  Important in the [instant] case is the finding that 'continuity of caregiving' (Lamb et al, 1985) determines whether early attachment security is linked to later development.  This aspect is discussed further below. </w:t>
      </w:r>
    </w:p>
    <w:p w14:paraId="57C70CAB" w14:textId="77777777" w:rsidR="00693223" w:rsidRDefault="00693223">
      <w:pPr>
        <w:keepNext/>
        <w:keepLines/>
        <w:spacing w:before="120"/>
        <w:ind w:left="567" w:right="567"/>
        <w:jc w:val="center"/>
        <w:rPr>
          <w:rFonts w:ascii="Arial" w:hAnsi="Arial" w:cs="Arial"/>
          <w:b/>
          <w:bCs/>
          <w:sz w:val="20"/>
        </w:rPr>
      </w:pPr>
      <w:r>
        <w:rPr>
          <w:rFonts w:ascii="Arial" w:hAnsi="Arial" w:cs="Arial"/>
          <w:b/>
          <w:bCs/>
          <w:sz w:val="20"/>
        </w:rPr>
        <w:t>2. The immediate, short and longer-term impact of removal of a young child from his attachment figure(s)</w:t>
      </w:r>
    </w:p>
    <w:p w14:paraId="0A3DE88C" w14:textId="77777777" w:rsidR="00693223" w:rsidRDefault="00693223" w:rsidP="00855531">
      <w:pPr>
        <w:spacing w:before="120"/>
        <w:ind w:left="567" w:right="567"/>
        <w:jc w:val="both"/>
        <w:rPr>
          <w:rFonts w:ascii="Arial" w:hAnsi="Arial" w:cs="Arial"/>
          <w:sz w:val="20"/>
        </w:rPr>
      </w:pPr>
      <w:r>
        <w:rPr>
          <w:rFonts w:ascii="Arial" w:hAnsi="Arial" w:cs="Arial"/>
          <w:sz w:val="20"/>
          <w:u w:val="single"/>
        </w:rPr>
        <w:t>2.1 The significance of removal of a young child from her attachment figure(s)</w:t>
      </w:r>
    </w:p>
    <w:p w14:paraId="040EEFF8" w14:textId="77777777" w:rsidR="00693223" w:rsidRDefault="00693223">
      <w:pPr>
        <w:spacing w:before="120"/>
        <w:ind w:left="567" w:right="567"/>
        <w:jc w:val="both"/>
        <w:rPr>
          <w:rFonts w:ascii="Arial" w:hAnsi="Arial" w:cs="Arial"/>
          <w:sz w:val="20"/>
        </w:rPr>
      </w:pPr>
      <w:r>
        <w:rPr>
          <w:rFonts w:ascii="Arial" w:hAnsi="Arial" w:cs="Arial"/>
          <w:sz w:val="20"/>
        </w:rPr>
        <w:t xml:space="preserve">Disruption of primary attachment relationships, particularly in the early years, has a profound impact on both current and future psychological health insofar as it impacts in a negative way on the development of the core of the personality via the 'emergent self'.  That is, the child's sense of self fundamentally emerging via relationships with primary attachment figures.  Removal of the child from the attachment figures is inevitably interpreted by the child as rejection and abandonment (e.g. Cummings and Cicchetti, 1990) and risks significant damage to the child's core concept of self as lovable and worthy with subsequent negative impacts on his developing psyche and self esteem.  As </w:t>
      </w:r>
      <w:proofErr w:type="spellStart"/>
      <w:r>
        <w:rPr>
          <w:rFonts w:ascii="Arial" w:hAnsi="Arial" w:cs="Arial"/>
          <w:sz w:val="20"/>
        </w:rPr>
        <w:t>Fahlberg</w:t>
      </w:r>
      <w:proofErr w:type="spellEnd"/>
      <w:r>
        <w:rPr>
          <w:rFonts w:ascii="Arial" w:hAnsi="Arial" w:cs="Arial"/>
          <w:sz w:val="20"/>
        </w:rPr>
        <w:t xml:space="preserve"> (1991) describes it, disruption to the attachment relationship is not simply a loss but a threat to the integrity of the self' (Howe, 1995, p.57).  According to </w:t>
      </w:r>
      <w:proofErr w:type="spellStart"/>
      <w:r>
        <w:rPr>
          <w:rFonts w:ascii="Arial" w:hAnsi="Arial" w:cs="Arial"/>
          <w:sz w:val="20"/>
        </w:rPr>
        <w:t>Fahlberg</w:t>
      </w:r>
      <w:proofErr w:type="spellEnd"/>
      <w:r>
        <w:rPr>
          <w:rFonts w:ascii="Arial" w:hAnsi="Arial" w:cs="Arial"/>
          <w:sz w:val="20"/>
        </w:rPr>
        <w:t xml:space="preserve"> (1991) 'when that bond is broken, the very structure of the personality is endangered' (p.143).</w:t>
      </w:r>
    </w:p>
    <w:p w14:paraId="4C18BDE8" w14:textId="77777777" w:rsidR="00693223" w:rsidRDefault="00693223">
      <w:pPr>
        <w:spacing w:before="120"/>
        <w:ind w:left="567" w:right="567"/>
        <w:jc w:val="both"/>
        <w:rPr>
          <w:rFonts w:ascii="Arial" w:hAnsi="Arial" w:cs="Arial"/>
          <w:sz w:val="20"/>
        </w:rPr>
      </w:pPr>
      <w:r>
        <w:rPr>
          <w:rFonts w:ascii="Arial" w:hAnsi="Arial" w:cs="Arial"/>
          <w:sz w:val="20"/>
        </w:rPr>
        <w:t>Other evidence that disruptions to primary attachments are associated with a range of indices of both short and long-term psychological damage in the emotional, social and intellectual domains are considered in the following sections (2.2 &amp; 2.3).</w:t>
      </w:r>
    </w:p>
    <w:p w14:paraId="6C3A4BB0" w14:textId="77777777" w:rsidR="00693223" w:rsidRDefault="00693223">
      <w:pPr>
        <w:spacing w:before="120"/>
        <w:ind w:left="567" w:right="567"/>
        <w:jc w:val="both"/>
        <w:rPr>
          <w:rFonts w:ascii="Arial" w:hAnsi="Arial" w:cs="Arial"/>
          <w:sz w:val="20"/>
        </w:rPr>
      </w:pPr>
      <w:r>
        <w:rPr>
          <w:rFonts w:ascii="Arial" w:hAnsi="Arial" w:cs="Arial"/>
          <w:sz w:val="20"/>
          <w:u w:val="single"/>
        </w:rPr>
        <w:t>2.2 Immediate and short-term response to removal</w:t>
      </w:r>
    </w:p>
    <w:p w14:paraId="13769A0C" w14:textId="77777777" w:rsidR="00693223" w:rsidRDefault="00693223">
      <w:pPr>
        <w:spacing w:before="120"/>
        <w:ind w:left="567" w:right="567"/>
        <w:jc w:val="both"/>
        <w:rPr>
          <w:rFonts w:ascii="Arial" w:hAnsi="Arial" w:cs="Arial"/>
          <w:sz w:val="20"/>
        </w:rPr>
      </w:pPr>
      <w:r>
        <w:rPr>
          <w:rFonts w:ascii="Arial" w:hAnsi="Arial" w:cs="Arial"/>
          <w:sz w:val="20"/>
        </w:rPr>
        <w:t xml:space="preserve">The response of the young child to loss of the attachment figure was extensively studied by Bowlby and his colleague, James Robertson.  In discussing this extensive research, Howe (1995) summarises why the loss of the attachment figure is so traumatic for the young child.  This is because the loss is a 'double blow' (p.57).  As Howe describes it, having lost the figure(s) of attachment, the </w:t>
      </w:r>
      <w:r>
        <w:rPr>
          <w:rFonts w:ascii="Arial" w:hAnsi="Arial" w:cs="Arial"/>
          <w:sz w:val="20"/>
        </w:rPr>
        <w:lastRenderedPageBreak/>
        <w:t>child feels insecure and anxious.  Feeling this way strongly activates the attachment system.  The child experiences an overwhelming need to return to the security afforded by the attachment figure, but this figure is now not available.  The child responds with intense anxiety and is likely to feel angry, sad, rejected and helpless.</w:t>
      </w:r>
    </w:p>
    <w:p w14:paraId="4800829E" w14:textId="77777777" w:rsidR="00693223" w:rsidRDefault="00693223">
      <w:pPr>
        <w:spacing w:before="120"/>
        <w:ind w:left="567" w:right="567"/>
        <w:jc w:val="both"/>
        <w:rPr>
          <w:rFonts w:ascii="Arial" w:hAnsi="Arial" w:cs="Arial"/>
          <w:sz w:val="20"/>
        </w:rPr>
      </w:pPr>
      <w:r>
        <w:rPr>
          <w:rFonts w:ascii="Arial" w:hAnsi="Arial" w:cs="Arial"/>
          <w:sz w:val="20"/>
        </w:rPr>
        <w:t>All those who suffer the loss of a loved one experience grief reactions.  The feelings include shock, yearning, searching, sadness, anger, hopelessness, helplessness, abandonment, rejection, and guilt (self-blame).  For the young child, the extent of their dependency means that the loss of the attachment figure is particularly frightening.  Cognitive immaturity and limited information processing skills put the younger child particularly at risk due to unresolved grief.  If unresolved, ongoing grief puts the psychological health of a person (whether child or adult) at risk for depression and despair.</w:t>
      </w:r>
    </w:p>
    <w:p w14:paraId="569FD372" w14:textId="77777777" w:rsidR="00693223" w:rsidRDefault="00693223">
      <w:pPr>
        <w:spacing w:before="120"/>
        <w:ind w:left="567" w:right="567"/>
        <w:jc w:val="both"/>
        <w:rPr>
          <w:rFonts w:ascii="Arial" w:hAnsi="Arial" w:cs="Arial"/>
          <w:sz w:val="20"/>
        </w:rPr>
      </w:pPr>
      <w:r>
        <w:rPr>
          <w:rFonts w:ascii="Arial" w:hAnsi="Arial" w:cs="Arial"/>
          <w:sz w:val="20"/>
        </w:rPr>
        <w:t>In recognition of the traumatic nature of removal of a child from his family, section 87 of the Victorian Children and Young Persons Act 1989 states that this course of action should only occur 'if there is unacceptable risk of harm to the child' if he is not so removed.</w:t>
      </w:r>
    </w:p>
    <w:p w14:paraId="4C7F9368" w14:textId="77777777" w:rsidR="00693223" w:rsidRDefault="00693223" w:rsidP="00EA1669">
      <w:pPr>
        <w:keepNext/>
        <w:keepLines/>
        <w:spacing w:before="120"/>
        <w:ind w:left="567" w:right="567"/>
        <w:jc w:val="both"/>
        <w:rPr>
          <w:rFonts w:ascii="Arial" w:hAnsi="Arial" w:cs="Arial"/>
          <w:sz w:val="20"/>
          <w:u w:val="single"/>
        </w:rPr>
      </w:pPr>
      <w:r>
        <w:rPr>
          <w:rFonts w:ascii="Arial" w:hAnsi="Arial" w:cs="Arial"/>
          <w:sz w:val="20"/>
          <w:u w:val="single"/>
        </w:rPr>
        <w:t>2.3 Longer-term impacts of removal</w:t>
      </w:r>
    </w:p>
    <w:p w14:paraId="5546D233" w14:textId="77777777" w:rsidR="00693223" w:rsidRDefault="00693223">
      <w:pPr>
        <w:spacing w:before="120"/>
        <w:ind w:left="567" w:right="567"/>
        <w:jc w:val="both"/>
        <w:rPr>
          <w:rFonts w:ascii="Arial" w:hAnsi="Arial" w:cs="Arial"/>
          <w:sz w:val="20"/>
        </w:rPr>
      </w:pPr>
      <w:r>
        <w:rPr>
          <w:rFonts w:ascii="Arial" w:hAnsi="Arial" w:cs="Arial"/>
          <w:sz w:val="20"/>
        </w:rPr>
        <w:t>The path of psychological development throughout the lifespan is extremely complex, and precise pathways are impossible to predict.  That is because development reflects the intricate dynamics between people's relationship history, their personality and the character of their current environment, both social and material' (Howe, 1995. p.223).  How a child develops in later life will reflect the ongoing experiences the child has, and these can never be known completely beforehand.</w:t>
      </w:r>
    </w:p>
    <w:p w14:paraId="18FACB11" w14:textId="77777777" w:rsidR="00693223" w:rsidRDefault="00693223">
      <w:pPr>
        <w:spacing w:before="120"/>
        <w:ind w:left="567" w:right="567"/>
        <w:jc w:val="both"/>
        <w:rPr>
          <w:rFonts w:ascii="Arial" w:hAnsi="Arial" w:cs="Arial"/>
          <w:sz w:val="20"/>
        </w:rPr>
      </w:pPr>
      <w:r>
        <w:rPr>
          <w:rFonts w:ascii="Arial" w:hAnsi="Arial" w:cs="Arial"/>
          <w:sz w:val="20"/>
        </w:rPr>
        <w:t>In the view of some, if a child's separation anxiety (resulting from removal from the attachment figures) is well handled, it is unlikely that any long term difficulties would result.  It is true that the way others react to those who have experienced a loss is important to the success of the grieving process.  Research supports the position that sensitive caregiving after removal facilitates (but cannot guarantee) recovery from the trauma.   Importantly, however, the trauma itself cannot be avoided, even with the most sensitive and careful handling.  Recent brain research by Bruce Perry and his colleagues (e.g. Perry, Pollard, Blakely, Baker and Vigilante, 1995) indicates that traumatic experiences pose particularly difficult challenges to the developing brain.  His work indicates that early childhood trauma, including parental loss, may lead to a compromised neural network since infancy and early childhood are critical periods for the organisation of brain systems.</w:t>
      </w:r>
    </w:p>
    <w:p w14:paraId="684D0B2A" w14:textId="77777777" w:rsidR="00693223" w:rsidRDefault="00693223">
      <w:pPr>
        <w:keepNext/>
        <w:spacing w:before="120"/>
        <w:ind w:left="567" w:right="567"/>
        <w:jc w:val="center"/>
        <w:rPr>
          <w:rFonts w:ascii="Arial" w:hAnsi="Arial" w:cs="Arial"/>
          <w:b/>
          <w:bCs/>
          <w:sz w:val="20"/>
        </w:rPr>
      </w:pPr>
      <w:r>
        <w:rPr>
          <w:rFonts w:ascii="Arial" w:hAnsi="Arial" w:cs="Arial"/>
          <w:b/>
          <w:bCs/>
          <w:sz w:val="20"/>
        </w:rPr>
        <w:t>3. The formation of new attachments following separation from primary attachment figures</w:t>
      </w:r>
    </w:p>
    <w:p w14:paraId="6EB228BD" w14:textId="77777777" w:rsidR="00693223" w:rsidRDefault="00693223">
      <w:pPr>
        <w:spacing w:before="120"/>
        <w:ind w:left="567" w:right="567"/>
        <w:jc w:val="both"/>
        <w:rPr>
          <w:rFonts w:ascii="Arial" w:hAnsi="Arial" w:cs="Arial"/>
          <w:sz w:val="20"/>
        </w:rPr>
      </w:pPr>
      <w:r>
        <w:rPr>
          <w:rFonts w:ascii="Arial" w:hAnsi="Arial" w:cs="Arial"/>
          <w:sz w:val="20"/>
        </w:rPr>
        <w:t>In determining the likely impact on a child of removal, an important consideration is the likelihood of the child being able to reform new attachments, and the likely quality of these attachments.</w:t>
      </w:r>
    </w:p>
    <w:p w14:paraId="43D1DCBC" w14:textId="77777777" w:rsidR="00693223" w:rsidRDefault="00693223">
      <w:pPr>
        <w:spacing w:before="120"/>
        <w:ind w:left="567" w:right="567"/>
        <w:jc w:val="both"/>
        <w:rPr>
          <w:rFonts w:ascii="Arial" w:hAnsi="Arial" w:cs="Arial"/>
          <w:sz w:val="20"/>
        </w:rPr>
      </w:pPr>
      <w:r>
        <w:rPr>
          <w:rFonts w:ascii="Arial" w:hAnsi="Arial" w:cs="Arial"/>
          <w:sz w:val="20"/>
        </w:rPr>
        <w:t xml:space="preserve">When a young child is removed from parental care, the child will usually develop a primary attachment relationship to the foster carer(s) if the placement is sustained.  If removal occurs in the pre-attachment stage and placement is immediate or almost immediate and sustained, attachment formation may well proceed as if no disruption had occurred.  Even if removal occurs after the primary attachment has formed, a new attachment can form.  Indeed, almost every young child will form an attachment to the caregiver who is most available to them, as this is the essence of the basic attachment bond, i.e. to maximise the likelihood </w:t>
      </w:r>
      <w:proofErr w:type="gramStart"/>
      <w:r>
        <w:rPr>
          <w:rFonts w:ascii="Arial" w:hAnsi="Arial" w:cs="Arial"/>
          <w:sz w:val="20"/>
        </w:rPr>
        <w:t>of  survival</w:t>
      </w:r>
      <w:proofErr w:type="gramEnd"/>
      <w:r>
        <w:rPr>
          <w:rFonts w:ascii="Arial" w:hAnsi="Arial" w:cs="Arial"/>
          <w:sz w:val="20"/>
        </w:rPr>
        <w:t xml:space="preserve"> through the presence of someone who can meet survival needs.</w:t>
      </w:r>
    </w:p>
    <w:p w14:paraId="650DFEB9" w14:textId="77777777" w:rsidR="00693223" w:rsidRDefault="00693223">
      <w:pPr>
        <w:spacing w:before="120"/>
        <w:ind w:left="567" w:right="567"/>
        <w:jc w:val="both"/>
        <w:rPr>
          <w:rFonts w:ascii="Arial" w:hAnsi="Arial" w:cs="Arial"/>
          <w:sz w:val="20"/>
        </w:rPr>
      </w:pPr>
      <w:r>
        <w:rPr>
          <w:rFonts w:ascii="Arial" w:hAnsi="Arial" w:cs="Arial"/>
          <w:sz w:val="20"/>
        </w:rPr>
        <w:t xml:space="preserve">However, of critical importance is the quality of the new attachment relationship(s) that will form.  Research indicates that children with secure attachment histories are more likely to form secure relationships later in life.  This is because the child's sense of trust in the world enables them to approach new relationships with more confidence than if they had not experienced any secure relationship in the past.  However, if secure attachment(s) are broken, there is no guarantee that future attachments will necessarily be secure.  Recent longitudinal research of infants </w:t>
      </w:r>
      <w:r>
        <w:rPr>
          <w:rFonts w:ascii="Arial" w:hAnsi="Arial" w:cs="Arial"/>
          <w:sz w:val="20"/>
        </w:rPr>
        <w:lastRenderedPageBreak/>
        <w:t>and young children in new placements (Dozier, Stovall and Albus, 2000) has established that the formation of secure attachments in a new placement is very difficult, especially for children placed past infancy.  Dozier's research indicates this is so even when the new caregivers are highly sensitive and responsive to the child's needs.</w:t>
      </w:r>
    </w:p>
    <w:p w14:paraId="64F1E4A8" w14:textId="77777777" w:rsidR="00693223" w:rsidRDefault="00693223">
      <w:pPr>
        <w:spacing w:before="120"/>
        <w:ind w:left="567" w:right="567"/>
        <w:jc w:val="both"/>
        <w:rPr>
          <w:rFonts w:ascii="Arial" w:hAnsi="Arial" w:cs="Arial"/>
          <w:sz w:val="20"/>
        </w:rPr>
      </w:pPr>
      <w:r>
        <w:rPr>
          <w:rFonts w:ascii="Arial" w:hAnsi="Arial" w:cs="Arial"/>
          <w:sz w:val="20"/>
        </w:rPr>
        <w:t>In essence, when the primary attachment is broken by removal of the child from his primary attachment figures, a very complex psychological process ensues.  The new relationship is being built from an initial position on the part of the child of distress, hurt, perceived rejection, and abandonment (see section 2 above).  In order to cope with feelings of rejection and abandonment, the child develops psychological defences.  While these may be helpful in easing immediate pain, if prolonged they are unhelpful to the emergence of new relationships.  It is these psychological defences which appear to mitigate against security in the new placement.  Furthermore, it is impossible to predict how long it would take to form new attachments, whether secure or insecure in nature.  In any event, the ability to re-attach is not the essential consideration.  Rather, it is the likelihood of secure attachments forming in the new placement that is the critical consideration.</w:t>
      </w:r>
    </w:p>
    <w:p w14:paraId="2EDDFEFD" w14:textId="77777777" w:rsidR="00693223" w:rsidRDefault="00693223">
      <w:pPr>
        <w:keepNext/>
        <w:spacing w:before="120"/>
        <w:ind w:left="567" w:right="567"/>
        <w:jc w:val="center"/>
        <w:rPr>
          <w:rFonts w:ascii="Arial" w:hAnsi="Arial" w:cs="Arial"/>
          <w:b/>
          <w:bCs/>
          <w:sz w:val="20"/>
        </w:rPr>
      </w:pPr>
      <w:r>
        <w:rPr>
          <w:rFonts w:ascii="Arial" w:hAnsi="Arial" w:cs="Arial"/>
          <w:b/>
          <w:bCs/>
          <w:sz w:val="20"/>
        </w:rPr>
        <w:t>4. Considerations in regard to preserving and strengthening the child's relationships with the birth family</w:t>
      </w:r>
    </w:p>
    <w:p w14:paraId="158BF05A" w14:textId="77777777" w:rsidR="00693223" w:rsidRDefault="00693223">
      <w:pPr>
        <w:spacing w:before="120"/>
        <w:ind w:left="567" w:right="567"/>
        <w:jc w:val="both"/>
        <w:rPr>
          <w:rFonts w:ascii="Arial" w:hAnsi="Arial" w:cs="Arial"/>
          <w:sz w:val="20"/>
        </w:rPr>
      </w:pPr>
      <w:r>
        <w:rPr>
          <w:rFonts w:ascii="Arial" w:hAnsi="Arial" w:cs="Arial"/>
          <w:sz w:val="20"/>
        </w:rPr>
        <w:t>An ongoing, positive relationship with the birth family is pivotal to the psychological health of the child, especially in the longer term.  Failure to maintain a relationship with the biological family may lead to preoccupation in adolescence with a fantasised or idealised image and searching behaviour which can be deleterious to psychological development into adulthood.  Although current practice does not always allow for this, it is in a child's best interests that permanent placement be planned in such a way to maximise the chances of the child's ongoing relationship with their biological family (mother, father, siblings and extended family) being maintained as far as possible.</w:t>
      </w:r>
    </w:p>
    <w:p w14:paraId="34906844" w14:textId="77777777" w:rsidR="00693223" w:rsidRDefault="00693223">
      <w:pPr>
        <w:spacing w:before="120"/>
        <w:ind w:left="567" w:right="567"/>
        <w:jc w:val="both"/>
        <w:rPr>
          <w:rFonts w:ascii="Arial" w:hAnsi="Arial" w:cs="Arial"/>
          <w:sz w:val="20"/>
        </w:rPr>
      </w:pPr>
      <w:r>
        <w:rPr>
          <w:rFonts w:ascii="Arial" w:hAnsi="Arial" w:cs="Arial"/>
          <w:sz w:val="20"/>
        </w:rPr>
        <w:t>Whilst placement of biological siblings together is thus an important guiding principle in child protection decisions, it, along with any other guiding principle, must be considered in relation to the particular circumstances of each case.</w:t>
      </w:r>
    </w:p>
    <w:p w14:paraId="22FCBBB1" w14:textId="77777777" w:rsidR="00693223" w:rsidRDefault="00693223">
      <w:pPr>
        <w:keepNext/>
        <w:pBdr>
          <w:top w:val="single" w:sz="4" w:space="1" w:color="auto"/>
          <w:left w:val="single" w:sz="4" w:space="4" w:color="auto"/>
          <w:bottom w:val="single" w:sz="4" w:space="1" w:color="auto"/>
          <w:right w:val="single" w:sz="4" w:space="4" w:color="auto"/>
        </w:pBdr>
        <w:spacing w:before="120"/>
        <w:ind w:left="567" w:right="567"/>
        <w:jc w:val="center"/>
        <w:rPr>
          <w:rFonts w:ascii="Arial" w:hAnsi="Arial" w:cs="Arial"/>
          <w:sz w:val="18"/>
        </w:rPr>
      </w:pPr>
      <w:r>
        <w:rPr>
          <w:rFonts w:ascii="Arial" w:hAnsi="Arial" w:cs="Arial"/>
          <w:sz w:val="18"/>
          <w:bdr w:val="single" w:sz="4" w:space="0" w:color="auto"/>
        </w:rPr>
        <w:t>BIBLIOGRAPHY</w:t>
      </w:r>
    </w:p>
    <w:p w14:paraId="54B9379D" w14:textId="77777777" w:rsidR="00693223" w:rsidRDefault="00693223" w:rsidP="009E6906">
      <w:pPr>
        <w:keepNext/>
        <w:keepLines/>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Berk. L. (2000) </w:t>
      </w:r>
      <w:r>
        <w:rPr>
          <w:rFonts w:ascii="Arial" w:hAnsi="Arial" w:cs="Arial"/>
          <w:i/>
          <w:iCs/>
          <w:sz w:val="18"/>
        </w:rPr>
        <w:t xml:space="preserve">Child development </w:t>
      </w:r>
      <w:r>
        <w:rPr>
          <w:rFonts w:ascii="Arial" w:hAnsi="Arial" w:cs="Arial"/>
          <w:sz w:val="18"/>
        </w:rPr>
        <w:t>(5</w:t>
      </w:r>
      <w:r>
        <w:rPr>
          <w:rFonts w:ascii="Arial" w:hAnsi="Arial" w:cs="Arial"/>
          <w:sz w:val="18"/>
          <w:vertAlign w:val="superscript"/>
        </w:rPr>
        <w:t>th</w:t>
      </w:r>
      <w:r>
        <w:rPr>
          <w:rFonts w:ascii="Arial" w:hAnsi="Arial" w:cs="Arial"/>
          <w:sz w:val="18"/>
        </w:rPr>
        <w:t xml:space="preserve"> edition).  </w:t>
      </w:r>
      <w:smartTag w:uri="urn:schemas-microsoft-com:office:smarttags" w:element="City">
        <w:smartTag w:uri="urn:schemas-microsoft-com:office:smarttags" w:element="place">
          <w:r>
            <w:rPr>
              <w:rFonts w:ascii="Arial" w:hAnsi="Arial" w:cs="Arial"/>
              <w:sz w:val="18"/>
            </w:rPr>
            <w:t>Boston</w:t>
          </w:r>
        </w:smartTag>
      </w:smartTag>
      <w:r>
        <w:rPr>
          <w:rFonts w:ascii="Arial" w:hAnsi="Arial" w:cs="Arial"/>
          <w:sz w:val="18"/>
        </w:rPr>
        <w:t xml:space="preserve">: </w:t>
      </w:r>
      <w:proofErr w:type="spellStart"/>
      <w:r>
        <w:rPr>
          <w:rFonts w:ascii="Arial" w:hAnsi="Arial" w:cs="Arial"/>
          <w:sz w:val="18"/>
        </w:rPr>
        <w:t>Allyn</w:t>
      </w:r>
      <w:proofErr w:type="spellEnd"/>
      <w:r>
        <w:rPr>
          <w:rFonts w:ascii="Arial" w:hAnsi="Arial" w:cs="Arial"/>
          <w:sz w:val="18"/>
        </w:rPr>
        <w:t xml:space="preserve"> and Bacon.</w:t>
      </w:r>
    </w:p>
    <w:p w14:paraId="6097525B" w14:textId="77777777" w:rsidR="00693223" w:rsidRDefault="00693223" w:rsidP="006679D2">
      <w:pPr>
        <w:keepNext/>
        <w:keepLines/>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Bowlby, J. (1969) </w:t>
      </w:r>
      <w:r>
        <w:rPr>
          <w:rFonts w:ascii="Arial" w:hAnsi="Arial" w:cs="Arial"/>
          <w:i/>
          <w:iCs/>
          <w:sz w:val="18"/>
        </w:rPr>
        <w:t>Attachment and loss: Volume 1.  Attachment.</w:t>
      </w:r>
      <w:r>
        <w:rPr>
          <w:rFonts w:ascii="Arial" w:hAnsi="Arial" w:cs="Arial"/>
          <w:sz w:val="18"/>
        </w:rPr>
        <w:t xml:space="preserve">  </w:t>
      </w:r>
      <w:smartTag w:uri="urn:schemas-microsoft-com:office:smarttags" w:element="State">
        <w:smartTag w:uri="urn:schemas-microsoft-com:office:smarttags" w:element="place">
          <w:r>
            <w:rPr>
              <w:rFonts w:ascii="Arial" w:hAnsi="Arial" w:cs="Arial"/>
              <w:sz w:val="18"/>
            </w:rPr>
            <w:t>New York</w:t>
          </w:r>
        </w:smartTag>
      </w:smartTag>
      <w:r>
        <w:rPr>
          <w:rFonts w:ascii="Arial" w:hAnsi="Arial" w:cs="Arial"/>
          <w:sz w:val="18"/>
        </w:rPr>
        <w:t>: Basic Books.</w:t>
      </w:r>
    </w:p>
    <w:p w14:paraId="283F627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Bowlby, J. (1988) </w:t>
      </w:r>
      <w:r>
        <w:rPr>
          <w:rFonts w:ascii="Arial" w:hAnsi="Arial" w:cs="Arial"/>
          <w:i/>
          <w:iCs/>
          <w:sz w:val="18"/>
        </w:rPr>
        <w:t xml:space="preserve">A secure base: Clinical applications of attachment theory. </w:t>
      </w:r>
      <w:smartTag w:uri="urn:schemas-microsoft-com:office:smarttags" w:element="City">
        <w:smartTag w:uri="urn:schemas-microsoft-com:office:smarttags" w:element="place">
          <w:r>
            <w:rPr>
              <w:rFonts w:ascii="Arial" w:hAnsi="Arial" w:cs="Arial"/>
              <w:sz w:val="18"/>
            </w:rPr>
            <w:t>London</w:t>
          </w:r>
        </w:smartTag>
      </w:smartTag>
      <w:r>
        <w:rPr>
          <w:rFonts w:ascii="Arial" w:hAnsi="Arial" w:cs="Arial"/>
          <w:sz w:val="18"/>
        </w:rPr>
        <w:t>: Routledge.</w:t>
      </w:r>
    </w:p>
    <w:p w14:paraId="22B187A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Brazelton, T.B. &amp; Cramer, B.G. (1990) </w:t>
      </w:r>
      <w:r>
        <w:rPr>
          <w:rFonts w:ascii="Arial" w:hAnsi="Arial" w:cs="Arial"/>
          <w:i/>
          <w:iCs/>
          <w:sz w:val="18"/>
        </w:rPr>
        <w:t>The earliest relationship: Parents, infants and the drama of early attachment.</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Reading</w:t>
          </w:r>
        </w:smartTag>
        <w:r>
          <w:rPr>
            <w:rFonts w:ascii="Arial" w:hAnsi="Arial" w:cs="Arial"/>
            <w:sz w:val="18"/>
          </w:rPr>
          <w:t xml:space="preserve">, </w:t>
        </w:r>
        <w:smartTag w:uri="urn:schemas-microsoft-com:office:smarttags" w:element="State">
          <w:r>
            <w:rPr>
              <w:rFonts w:ascii="Arial" w:hAnsi="Arial" w:cs="Arial"/>
              <w:sz w:val="18"/>
            </w:rPr>
            <w:t>Massachusetts</w:t>
          </w:r>
        </w:smartTag>
      </w:smartTag>
      <w:r>
        <w:rPr>
          <w:rFonts w:ascii="Arial" w:hAnsi="Arial" w:cs="Arial"/>
          <w:sz w:val="18"/>
        </w:rPr>
        <w:t>: Addison-Wesley.</w:t>
      </w:r>
    </w:p>
    <w:p w14:paraId="0FAD3D3A"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Bretherton, </w:t>
      </w:r>
      <w:smartTag w:uri="urn:schemas-microsoft-com:office:smarttags" w:element="place">
        <w:r>
          <w:rPr>
            <w:rFonts w:ascii="Arial" w:hAnsi="Arial" w:cs="Arial"/>
            <w:sz w:val="18"/>
          </w:rPr>
          <w:t>I.</w:t>
        </w:r>
      </w:smartTag>
      <w:r>
        <w:rPr>
          <w:rFonts w:ascii="Arial" w:hAnsi="Arial" w:cs="Arial"/>
          <w:sz w:val="18"/>
        </w:rPr>
        <w:t xml:space="preserve"> &amp; Waters, E. (Eds.) (1995) Growing points of attachment theory and research. </w:t>
      </w:r>
      <w:r>
        <w:rPr>
          <w:rFonts w:ascii="Arial" w:hAnsi="Arial" w:cs="Arial"/>
          <w:i/>
          <w:iCs/>
          <w:sz w:val="18"/>
        </w:rPr>
        <w:t xml:space="preserve">Monographs of the Society for Research in Child Development (Serial 209), 50, </w:t>
      </w:r>
      <w:r>
        <w:rPr>
          <w:rFonts w:ascii="Arial" w:hAnsi="Arial" w:cs="Arial"/>
          <w:sz w:val="18"/>
        </w:rPr>
        <w:t>66-106.</w:t>
      </w:r>
    </w:p>
    <w:p w14:paraId="041298B7"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Bronfenbrenner, U. (1979) </w:t>
      </w:r>
      <w:r>
        <w:rPr>
          <w:rFonts w:ascii="Arial" w:hAnsi="Arial" w:cs="Arial"/>
          <w:i/>
          <w:iCs/>
          <w:sz w:val="18"/>
        </w:rPr>
        <w:t>The ecology of human development: Experiments by nature and design.</w:t>
      </w:r>
      <w:r>
        <w:rPr>
          <w:rFonts w:ascii="Arial" w:hAnsi="Arial" w:cs="Arial"/>
          <w:sz w:val="18"/>
        </w:rPr>
        <w:t xml:space="preserve">  </w:t>
      </w:r>
      <w:smartTag w:uri="urn:schemas-microsoft-com:office:smarttags" w:element="City">
        <w:r>
          <w:rPr>
            <w:rFonts w:ascii="Arial" w:hAnsi="Arial" w:cs="Arial"/>
            <w:sz w:val="18"/>
          </w:rPr>
          <w:t>Cambridge</w:t>
        </w:r>
      </w:smartTag>
      <w:r>
        <w:rPr>
          <w:rFonts w:ascii="Arial" w:hAnsi="Arial" w:cs="Arial"/>
          <w:sz w:val="18"/>
        </w:rPr>
        <w:t xml:space="preserve">, </w:t>
      </w:r>
      <w:smartTag w:uri="urn:schemas-microsoft-com:office:smarttags" w:element="State">
        <w:r>
          <w:rPr>
            <w:rFonts w:ascii="Arial" w:hAnsi="Arial" w:cs="Arial"/>
            <w:sz w:val="18"/>
          </w:rPr>
          <w:t>Massachusetts</w:t>
        </w:r>
      </w:smartTag>
      <w:r>
        <w:rPr>
          <w:rFonts w:ascii="Arial" w:hAnsi="Arial" w:cs="Arial"/>
          <w:sz w:val="18"/>
        </w:rPr>
        <w:t xml:space="preserve">: </w:t>
      </w:r>
      <w:smartTag w:uri="urn:schemas-microsoft-com:office:smarttags" w:element="place">
        <w:smartTag w:uri="urn:schemas-microsoft-com:office:smarttags" w:element="PlaceName">
          <w:r>
            <w:rPr>
              <w:rFonts w:ascii="Arial" w:hAnsi="Arial" w:cs="Arial"/>
              <w:sz w:val="18"/>
            </w:rPr>
            <w:t>Harvard</w:t>
          </w:r>
        </w:smartTag>
        <w:r>
          <w:rPr>
            <w:rFonts w:ascii="Arial" w:hAnsi="Arial" w:cs="Arial"/>
            <w:sz w:val="18"/>
          </w:rPr>
          <w:t xml:space="preserve"> </w:t>
        </w:r>
        <w:smartTag w:uri="urn:schemas-microsoft-com:office:smarttags" w:element="PlaceType">
          <w:r>
            <w:rPr>
              <w:rFonts w:ascii="Arial" w:hAnsi="Arial" w:cs="Arial"/>
              <w:sz w:val="18"/>
            </w:rPr>
            <w:t>University</w:t>
          </w:r>
        </w:smartTag>
      </w:smartTag>
      <w:r>
        <w:rPr>
          <w:rFonts w:ascii="Arial" w:hAnsi="Arial" w:cs="Arial"/>
          <w:sz w:val="18"/>
        </w:rPr>
        <w:t xml:space="preserve"> Press.</w:t>
      </w:r>
    </w:p>
    <w:p w14:paraId="5879524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Carlson, E.A. (1998) A prospective longitudinal study of attachment disorganisation/ disorientation.  </w:t>
      </w:r>
      <w:r>
        <w:rPr>
          <w:rFonts w:ascii="Arial" w:hAnsi="Arial" w:cs="Arial"/>
          <w:i/>
          <w:iCs/>
          <w:sz w:val="18"/>
        </w:rPr>
        <w:t>Child Development, 69,</w:t>
      </w:r>
      <w:r>
        <w:rPr>
          <w:rFonts w:ascii="Arial" w:hAnsi="Arial" w:cs="Arial"/>
          <w:sz w:val="18"/>
        </w:rPr>
        <w:t xml:space="preserve"> 1107-1128.</w:t>
      </w:r>
    </w:p>
    <w:p w14:paraId="4155AD81"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Cummings, E.M. &amp; Cicchetti, D. (1990) Towards a transitional model of relations between attachment and depression.  In M. Greenberg, D. Cicchetti &amp; E.M. Cummings (Eds.) </w:t>
      </w:r>
      <w:r>
        <w:rPr>
          <w:rFonts w:ascii="Arial" w:hAnsi="Arial" w:cs="Arial"/>
          <w:i/>
          <w:iCs/>
          <w:sz w:val="18"/>
        </w:rPr>
        <w:t>Attachment in the preschool years.</w:t>
      </w:r>
      <w:r>
        <w:rPr>
          <w:rFonts w:ascii="Arial" w:hAnsi="Arial" w:cs="Arial"/>
          <w:sz w:val="18"/>
        </w:rPr>
        <w:t xml:space="preserve">  </w:t>
      </w:r>
      <w:smartTag w:uri="urn:schemas-microsoft-com:office:smarttags" w:element="City">
        <w:r>
          <w:rPr>
            <w:rFonts w:ascii="Arial" w:hAnsi="Arial" w:cs="Arial"/>
            <w:sz w:val="18"/>
          </w:rPr>
          <w:t>Chicago</w:t>
        </w:r>
      </w:smartTag>
      <w:r>
        <w:rPr>
          <w:rFonts w:ascii="Arial" w:hAnsi="Arial" w:cs="Arial"/>
          <w:sz w:val="18"/>
        </w:rPr>
        <w:t xml:space="preserve">: </w:t>
      </w:r>
      <w:smartTag w:uri="urn:schemas-microsoft-com:office:smarttags" w:element="place">
        <w:smartTag w:uri="urn:schemas-microsoft-com:office:smarttags" w:element="PlaceType">
          <w:r>
            <w:rPr>
              <w:rFonts w:ascii="Arial" w:hAnsi="Arial" w:cs="Arial"/>
              <w:sz w:val="18"/>
            </w:rPr>
            <w:t>University</w:t>
          </w:r>
        </w:smartTag>
        <w:r>
          <w:rPr>
            <w:rFonts w:ascii="Arial" w:hAnsi="Arial" w:cs="Arial"/>
            <w:sz w:val="18"/>
          </w:rPr>
          <w:t xml:space="preserve"> of </w:t>
        </w:r>
        <w:smartTag w:uri="urn:schemas-microsoft-com:office:smarttags" w:element="PlaceName">
          <w:r>
            <w:rPr>
              <w:rFonts w:ascii="Arial" w:hAnsi="Arial" w:cs="Arial"/>
              <w:sz w:val="18"/>
            </w:rPr>
            <w:t>Chicago</w:t>
          </w:r>
        </w:smartTag>
      </w:smartTag>
      <w:r>
        <w:rPr>
          <w:rFonts w:ascii="Arial" w:hAnsi="Arial" w:cs="Arial"/>
          <w:sz w:val="18"/>
        </w:rPr>
        <w:t xml:space="preserve"> Press.</w:t>
      </w:r>
    </w:p>
    <w:p w14:paraId="0EEE0D8D"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De Wolff, M.S. &amp; van </w:t>
      </w:r>
      <w:proofErr w:type="spellStart"/>
      <w:r>
        <w:rPr>
          <w:rFonts w:ascii="Arial" w:hAnsi="Arial" w:cs="Arial"/>
          <w:sz w:val="18"/>
        </w:rPr>
        <w:t>IJzendoorn</w:t>
      </w:r>
      <w:proofErr w:type="spellEnd"/>
      <w:r>
        <w:rPr>
          <w:rFonts w:ascii="Arial" w:hAnsi="Arial" w:cs="Arial"/>
          <w:sz w:val="18"/>
        </w:rPr>
        <w:t xml:space="preserve">, M.H. (1997) Sensitivity and attachment: A meta analysis of parental antecedents of infant attachment.  </w:t>
      </w:r>
      <w:r>
        <w:rPr>
          <w:rFonts w:ascii="Arial" w:hAnsi="Arial" w:cs="Arial"/>
          <w:i/>
          <w:iCs/>
          <w:sz w:val="18"/>
        </w:rPr>
        <w:t>Child Development, 68,</w:t>
      </w:r>
      <w:r>
        <w:rPr>
          <w:rFonts w:ascii="Arial" w:hAnsi="Arial" w:cs="Arial"/>
          <w:sz w:val="18"/>
        </w:rPr>
        <w:t xml:space="preserve"> 571-591.</w:t>
      </w:r>
    </w:p>
    <w:p w14:paraId="5D8A8BF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Dozier, M.; Stovall, K.C. &amp; Albus, K.E. (2000) A transactional intervention for foster infants' caregivers.  In D. Cicchetti &amp; S.L. Toth (Eds.) </w:t>
      </w:r>
      <w:smartTag w:uri="urn:schemas-microsoft-com:office:smarttags" w:element="City">
        <w:smartTag w:uri="urn:schemas-microsoft-com:office:smarttags" w:element="place">
          <w:r>
            <w:rPr>
              <w:rFonts w:ascii="Arial" w:hAnsi="Arial" w:cs="Arial"/>
              <w:i/>
              <w:iCs/>
              <w:sz w:val="18"/>
            </w:rPr>
            <w:t>Rochester</w:t>
          </w:r>
        </w:smartTag>
      </w:smartTag>
      <w:r>
        <w:rPr>
          <w:rFonts w:ascii="Arial" w:hAnsi="Arial" w:cs="Arial"/>
          <w:i/>
          <w:iCs/>
          <w:sz w:val="18"/>
        </w:rPr>
        <w:t xml:space="preserve"> Symposium on Developmental Psychopathology, Volume X: Developmental approaches to prevention and intervention.</w:t>
      </w:r>
      <w:r>
        <w:rPr>
          <w:rFonts w:ascii="Arial" w:hAnsi="Arial" w:cs="Arial"/>
          <w:sz w:val="18"/>
        </w:rPr>
        <w:t xml:space="preserve">  </w:t>
      </w:r>
      <w:smartTag w:uri="urn:schemas-microsoft-com:office:smarttags" w:element="City">
        <w:r>
          <w:rPr>
            <w:rFonts w:ascii="Arial" w:hAnsi="Arial" w:cs="Arial"/>
            <w:sz w:val="18"/>
          </w:rPr>
          <w:t>Rochester</w:t>
        </w:r>
      </w:smartTag>
      <w:r>
        <w:rPr>
          <w:rFonts w:ascii="Arial" w:hAnsi="Arial" w:cs="Arial"/>
          <w:sz w:val="18"/>
        </w:rPr>
        <w:t xml:space="preserve">, </w:t>
      </w:r>
      <w:smartTag w:uri="urn:schemas-microsoft-com:office:smarttags" w:element="State">
        <w:r>
          <w:rPr>
            <w:rFonts w:ascii="Arial" w:hAnsi="Arial" w:cs="Arial"/>
            <w:sz w:val="18"/>
          </w:rPr>
          <w:t>NY</w:t>
        </w:r>
      </w:smartTag>
      <w:r>
        <w:rPr>
          <w:rFonts w:ascii="Arial" w:hAnsi="Arial" w:cs="Arial"/>
          <w:sz w:val="18"/>
        </w:rPr>
        <w:t xml:space="preserve">: </w:t>
      </w:r>
      <w:smartTag w:uri="urn:schemas-microsoft-com:office:smarttags" w:element="place">
        <w:smartTag w:uri="urn:schemas-microsoft-com:office:smarttags" w:element="PlaceType">
          <w:r>
            <w:rPr>
              <w:rFonts w:ascii="Arial" w:hAnsi="Arial" w:cs="Arial"/>
              <w:sz w:val="18"/>
            </w:rPr>
            <w:t>University</w:t>
          </w:r>
        </w:smartTag>
        <w:r>
          <w:rPr>
            <w:rFonts w:ascii="Arial" w:hAnsi="Arial" w:cs="Arial"/>
            <w:sz w:val="18"/>
          </w:rPr>
          <w:t xml:space="preserve"> of </w:t>
        </w:r>
        <w:smartTag w:uri="urn:schemas-microsoft-com:office:smarttags" w:element="PlaceName">
          <w:r>
            <w:rPr>
              <w:rFonts w:ascii="Arial" w:hAnsi="Arial" w:cs="Arial"/>
              <w:sz w:val="18"/>
            </w:rPr>
            <w:t>Rochester</w:t>
          </w:r>
        </w:smartTag>
      </w:smartTag>
      <w:r>
        <w:rPr>
          <w:rFonts w:ascii="Arial" w:hAnsi="Arial" w:cs="Arial"/>
          <w:sz w:val="18"/>
        </w:rPr>
        <w:t xml:space="preserve"> Press.</w:t>
      </w:r>
    </w:p>
    <w:p w14:paraId="2728C0AD"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Elicker, J; Englund, M &amp; </w:t>
      </w:r>
      <w:proofErr w:type="spellStart"/>
      <w:r>
        <w:rPr>
          <w:rFonts w:ascii="Arial" w:hAnsi="Arial" w:cs="Arial"/>
          <w:sz w:val="18"/>
        </w:rPr>
        <w:t>Sroufe</w:t>
      </w:r>
      <w:proofErr w:type="spellEnd"/>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(1992) Predicting peer competence and peer relationships in childhood from early parent-child relationships.  In </w:t>
      </w:r>
      <w:proofErr w:type="spellStart"/>
      <w:r>
        <w:rPr>
          <w:rFonts w:ascii="Arial" w:hAnsi="Arial" w:cs="Arial"/>
          <w:sz w:val="18"/>
        </w:rPr>
        <w:t>R.</w:t>
      </w:r>
      <w:proofErr w:type="gramStart"/>
      <w:r>
        <w:rPr>
          <w:rFonts w:ascii="Arial" w:hAnsi="Arial" w:cs="Arial"/>
          <w:sz w:val="18"/>
        </w:rPr>
        <w:t>D.Parke</w:t>
      </w:r>
      <w:proofErr w:type="spellEnd"/>
      <w:proofErr w:type="gramEnd"/>
      <w:r>
        <w:rPr>
          <w:rFonts w:ascii="Arial" w:hAnsi="Arial" w:cs="Arial"/>
          <w:sz w:val="18"/>
        </w:rPr>
        <w:t xml:space="preserve"> &amp; </w:t>
      </w:r>
      <w:proofErr w:type="spellStart"/>
      <w:r>
        <w:rPr>
          <w:rFonts w:ascii="Arial" w:hAnsi="Arial" w:cs="Arial"/>
          <w:sz w:val="18"/>
        </w:rPr>
        <w:t>G.W.Ladd</w:t>
      </w:r>
      <w:proofErr w:type="spellEnd"/>
      <w:r>
        <w:rPr>
          <w:rFonts w:ascii="Arial" w:hAnsi="Arial" w:cs="Arial"/>
          <w:sz w:val="18"/>
        </w:rPr>
        <w:t xml:space="preserve"> (Eds.) </w:t>
      </w:r>
      <w:r>
        <w:rPr>
          <w:rFonts w:ascii="Arial" w:hAnsi="Arial" w:cs="Arial"/>
          <w:i/>
          <w:iCs/>
          <w:sz w:val="18"/>
        </w:rPr>
        <w:t>Family-peer relationships: Modes of linkage.</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Hillsdale</w:t>
          </w:r>
        </w:smartTag>
        <w:r>
          <w:rPr>
            <w:rFonts w:ascii="Arial" w:hAnsi="Arial" w:cs="Arial"/>
            <w:sz w:val="18"/>
          </w:rPr>
          <w:t xml:space="preserve">, </w:t>
        </w:r>
        <w:smartTag w:uri="urn:schemas-microsoft-com:office:smarttags" w:element="State">
          <w:r>
            <w:rPr>
              <w:rFonts w:ascii="Arial" w:hAnsi="Arial" w:cs="Arial"/>
              <w:sz w:val="18"/>
            </w:rPr>
            <w:t>N.J.</w:t>
          </w:r>
        </w:smartTag>
      </w:smartTag>
      <w:r>
        <w:rPr>
          <w:rFonts w:ascii="Arial" w:hAnsi="Arial" w:cs="Arial"/>
          <w:sz w:val="18"/>
        </w:rPr>
        <w:t>: Erlbaum.</w:t>
      </w:r>
    </w:p>
    <w:p w14:paraId="617471EE"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proofErr w:type="spellStart"/>
      <w:r>
        <w:rPr>
          <w:rFonts w:ascii="Arial" w:hAnsi="Arial" w:cs="Arial"/>
          <w:sz w:val="18"/>
        </w:rPr>
        <w:t>Fahlberg</w:t>
      </w:r>
      <w:proofErr w:type="spellEnd"/>
      <w:r>
        <w:rPr>
          <w:rFonts w:ascii="Arial" w:hAnsi="Arial" w:cs="Arial"/>
          <w:sz w:val="18"/>
        </w:rPr>
        <w:t xml:space="preserve">, V.I. (1991) </w:t>
      </w:r>
      <w:r>
        <w:rPr>
          <w:rFonts w:ascii="Arial" w:hAnsi="Arial" w:cs="Arial"/>
          <w:i/>
          <w:iCs/>
          <w:sz w:val="18"/>
        </w:rPr>
        <w:t>A child's journey through placement.</w:t>
      </w:r>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Indianapolis</w:t>
          </w:r>
        </w:smartTag>
      </w:smartTag>
      <w:r>
        <w:rPr>
          <w:rFonts w:ascii="Arial" w:hAnsi="Arial" w:cs="Arial"/>
          <w:sz w:val="18"/>
        </w:rPr>
        <w:t>: Perspective Press.</w:t>
      </w:r>
    </w:p>
    <w:p w14:paraId="4B43A36F"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proofErr w:type="spellStart"/>
      <w:r>
        <w:rPr>
          <w:rFonts w:ascii="Arial" w:hAnsi="Arial" w:cs="Arial"/>
          <w:sz w:val="18"/>
        </w:rPr>
        <w:lastRenderedPageBreak/>
        <w:t>Fonagy</w:t>
      </w:r>
      <w:proofErr w:type="spellEnd"/>
      <w:r>
        <w:rPr>
          <w:rFonts w:ascii="Arial" w:hAnsi="Arial" w:cs="Arial"/>
          <w:sz w:val="18"/>
        </w:rPr>
        <w:t xml:space="preserve">, P; Steele, M; Steele, H; </w:t>
      </w:r>
      <w:proofErr w:type="spellStart"/>
      <w:r>
        <w:rPr>
          <w:rFonts w:ascii="Arial" w:hAnsi="Arial" w:cs="Arial"/>
          <w:sz w:val="18"/>
        </w:rPr>
        <w:t>Higgitt</w:t>
      </w:r>
      <w:proofErr w:type="spellEnd"/>
      <w:r>
        <w:rPr>
          <w:rFonts w:ascii="Arial" w:hAnsi="Arial" w:cs="Arial"/>
          <w:sz w:val="18"/>
        </w:rPr>
        <w:t xml:space="preserve">, A. &amp; Target, M. (1992) The Emanuel Miller Memorial Lecture 1992: The theory and practice of resilience.  </w:t>
      </w:r>
      <w:r>
        <w:rPr>
          <w:rFonts w:ascii="Arial" w:hAnsi="Arial" w:cs="Arial"/>
          <w:i/>
          <w:iCs/>
          <w:sz w:val="18"/>
        </w:rPr>
        <w:t>Journal of Child Psychology and Psychiatry, 35,</w:t>
      </w:r>
      <w:r>
        <w:rPr>
          <w:rFonts w:ascii="Arial" w:hAnsi="Arial" w:cs="Arial"/>
          <w:sz w:val="18"/>
        </w:rPr>
        <w:t xml:space="preserve"> 231-257.</w:t>
      </w:r>
    </w:p>
    <w:p w14:paraId="7CE1A958"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Goldberg, S. (2000) </w:t>
      </w:r>
      <w:r>
        <w:rPr>
          <w:rFonts w:ascii="Arial" w:hAnsi="Arial" w:cs="Arial"/>
          <w:i/>
          <w:iCs/>
          <w:sz w:val="18"/>
        </w:rPr>
        <w:t>Attachment and development</w:t>
      </w:r>
      <w:r>
        <w:rPr>
          <w:rFonts w:ascii="Arial" w:hAnsi="Arial" w:cs="Arial"/>
          <w:sz w:val="18"/>
        </w:rPr>
        <w:t xml:space="preserve">.  </w:t>
      </w:r>
      <w:smartTag w:uri="urn:schemas-microsoft-com:office:smarttags" w:element="City">
        <w:r>
          <w:rPr>
            <w:rFonts w:ascii="Arial" w:hAnsi="Arial" w:cs="Arial"/>
            <w:sz w:val="18"/>
          </w:rPr>
          <w:t>London</w:t>
        </w:r>
      </w:smartTag>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Arnold</w:t>
          </w:r>
        </w:smartTag>
      </w:smartTag>
      <w:r>
        <w:rPr>
          <w:rFonts w:ascii="Arial" w:hAnsi="Arial" w:cs="Arial"/>
          <w:sz w:val="18"/>
        </w:rPr>
        <w:t>.</w:t>
      </w:r>
    </w:p>
    <w:p w14:paraId="782A94DE"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Howe, D. (1995) </w:t>
      </w:r>
      <w:r>
        <w:rPr>
          <w:rFonts w:ascii="Arial" w:hAnsi="Arial" w:cs="Arial"/>
          <w:i/>
          <w:iCs/>
          <w:sz w:val="18"/>
        </w:rPr>
        <w:t>Attachment theory for social work practice</w:t>
      </w:r>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London</w:t>
          </w:r>
        </w:smartTag>
      </w:smartTag>
      <w:r>
        <w:rPr>
          <w:rFonts w:ascii="Arial" w:hAnsi="Arial" w:cs="Arial"/>
          <w:sz w:val="18"/>
        </w:rPr>
        <w:t>, Macmillan.</w:t>
      </w:r>
    </w:p>
    <w:p w14:paraId="149E0B40"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Howe, D.; Brandon M.; </w:t>
      </w:r>
      <w:proofErr w:type="spellStart"/>
      <w:r>
        <w:rPr>
          <w:rFonts w:ascii="Arial" w:hAnsi="Arial" w:cs="Arial"/>
          <w:sz w:val="18"/>
        </w:rPr>
        <w:t>Hinings</w:t>
      </w:r>
      <w:proofErr w:type="spellEnd"/>
      <w:r>
        <w:rPr>
          <w:rFonts w:ascii="Arial" w:hAnsi="Arial" w:cs="Arial"/>
          <w:sz w:val="18"/>
        </w:rPr>
        <w:t xml:space="preserve">, D. and Schofield, G. (1999) </w:t>
      </w:r>
      <w:r>
        <w:rPr>
          <w:rFonts w:ascii="Arial" w:hAnsi="Arial" w:cs="Arial"/>
          <w:i/>
          <w:iCs/>
          <w:sz w:val="18"/>
        </w:rPr>
        <w:t>Attachment theory, child maltreatment, and family support: A practice and assessment model</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Mahwah</w:t>
          </w:r>
        </w:smartTag>
        <w:r>
          <w:rPr>
            <w:rFonts w:ascii="Arial" w:hAnsi="Arial" w:cs="Arial"/>
            <w:sz w:val="18"/>
          </w:rPr>
          <w:t xml:space="preserve">, </w:t>
        </w:r>
        <w:smartTag w:uri="urn:schemas-microsoft-com:office:smarttags" w:element="State">
          <w:r>
            <w:rPr>
              <w:rFonts w:ascii="Arial" w:hAnsi="Arial" w:cs="Arial"/>
              <w:sz w:val="18"/>
            </w:rPr>
            <w:t>N.J.</w:t>
          </w:r>
        </w:smartTag>
      </w:smartTag>
      <w:r>
        <w:rPr>
          <w:rFonts w:ascii="Arial" w:hAnsi="Arial" w:cs="Arial"/>
          <w:sz w:val="18"/>
        </w:rPr>
        <w:t>: Erlbaum.</w:t>
      </w:r>
    </w:p>
    <w:p w14:paraId="0E2260CF"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proofErr w:type="spellStart"/>
      <w:r>
        <w:rPr>
          <w:rFonts w:ascii="Arial" w:hAnsi="Arial" w:cs="Arial"/>
          <w:sz w:val="18"/>
        </w:rPr>
        <w:t>Kliewer</w:t>
      </w:r>
      <w:proofErr w:type="spellEnd"/>
      <w:r>
        <w:rPr>
          <w:rFonts w:ascii="Arial" w:hAnsi="Arial" w:cs="Arial"/>
          <w:sz w:val="18"/>
        </w:rPr>
        <w:t xml:space="preserve">, W.; </w:t>
      </w:r>
      <w:proofErr w:type="spellStart"/>
      <w:r>
        <w:rPr>
          <w:rFonts w:ascii="Arial" w:hAnsi="Arial" w:cs="Arial"/>
          <w:sz w:val="18"/>
        </w:rPr>
        <w:t>Fearnow</w:t>
      </w:r>
      <w:proofErr w:type="spellEnd"/>
      <w:r>
        <w:rPr>
          <w:rFonts w:ascii="Arial" w:hAnsi="Arial" w:cs="Arial"/>
          <w:sz w:val="18"/>
        </w:rPr>
        <w:t xml:space="preserve">, M.D. &amp; Miller, P.A. (1996) Coping socialisation in middle childhood: Tests of maternal and paternal influences.  </w:t>
      </w:r>
      <w:r>
        <w:rPr>
          <w:rFonts w:ascii="Arial" w:hAnsi="Arial" w:cs="Arial"/>
          <w:i/>
          <w:iCs/>
          <w:sz w:val="18"/>
        </w:rPr>
        <w:t>Child Development, 67,</w:t>
      </w:r>
      <w:r>
        <w:rPr>
          <w:rFonts w:ascii="Arial" w:hAnsi="Arial" w:cs="Arial"/>
          <w:sz w:val="18"/>
        </w:rPr>
        <w:t xml:space="preserve"> 2339-2357.</w:t>
      </w:r>
    </w:p>
    <w:p w14:paraId="57E88E6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Lamb, M.E.; Thompson, R.A.; Gardner, W.; </w:t>
      </w:r>
      <w:proofErr w:type="spellStart"/>
      <w:r>
        <w:rPr>
          <w:rFonts w:ascii="Arial" w:hAnsi="Arial" w:cs="Arial"/>
          <w:sz w:val="18"/>
        </w:rPr>
        <w:t>Charnov</w:t>
      </w:r>
      <w:proofErr w:type="spellEnd"/>
      <w:r>
        <w:rPr>
          <w:rFonts w:ascii="Arial" w:hAnsi="Arial" w:cs="Arial"/>
          <w:sz w:val="18"/>
        </w:rPr>
        <w:t xml:space="preserve">, E.L. &amp; Connell J.P. (1985) </w:t>
      </w:r>
      <w:r>
        <w:rPr>
          <w:rFonts w:ascii="Arial" w:hAnsi="Arial" w:cs="Arial"/>
          <w:i/>
          <w:iCs/>
          <w:sz w:val="18"/>
        </w:rPr>
        <w:t>Infant-mother attachment: The origins and developmental significance of individual differences in Strange Situation behaviour.</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Hillsdale</w:t>
          </w:r>
        </w:smartTag>
        <w:r>
          <w:rPr>
            <w:rFonts w:ascii="Arial" w:hAnsi="Arial" w:cs="Arial"/>
            <w:sz w:val="18"/>
          </w:rPr>
          <w:t xml:space="preserve">, </w:t>
        </w:r>
        <w:smartTag w:uri="urn:schemas-microsoft-com:office:smarttags" w:element="State">
          <w:r>
            <w:rPr>
              <w:rFonts w:ascii="Arial" w:hAnsi="Arial" w:cs="Arial"/>
              <w:sz w:val="18"/>
            </w:rPr>
            <w:t>NJ</w:t>
          </w:r>
        </w:smartTag>
      </w:smartTag>
      <w:r>
        <w:rPr>
          <w:rFonts w:ascii="Arial" w:hAnsi="Arial" w:cs="Arial"/>
          <w:sz w:val="18"/>
        </w:rPr>
        <w:t>: Erlbaum.</w:t>
      </w:r>
    </w:p>
    <w:p w14:paraId="0FAC283E"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proofErr w:type="spellStart"/>
      <w:r>
        <w:rPr>
          <w:rFonts w:ascii="Arial" w:hAnsi="Arial" w:cs="Arial"/>
          <w:sz w:val="18"/>
        </w:rPr>
        <w:t>Laudenslager</w:t>
      </w:r>
      <w:proofErr w:type="spellEnd"/>
      <w:r>
        <w:rPr>
          <w:rFonts w:ascii="Arial" w:hAnsi="Arial" w:cs="Arial"/>
          <w:sz w:val="18"/>
        </w:rPr>
        <w:t xml:space="preserve">, M.L. &amp; </w:t>
      </w:r>
      <w:proofErr w:type="spellStart"/>
      <w:r>
        <w:rPr>
          <w:rFonts w:ascii="Arial" w:hAnsi="Arial" w:cs="Arial"/>
          <w:sz w:val="18"/>
        </w:rPr>
        <w:t>Reite</w:t>
      </w:r>
      <w:proofErr w:type="spellEnd"/>
      <w:r>
        <w:rPr>
          <w:rFonts w:ascii="Arial" w:hAnsi="Arial" w:cs="Arial"/>
          <w:sz w:val="18"/>
        </w:rPr>
        <w:t xml:space="preserve">, M.R. (1984) Loss and separations: Immunological consequences and health outcomes.  In P. Shaver (Ed.) </w:t>
      </w:r>
      <w:r>
        <w:rPr>
          <w:rFonts w:ascii="Arial" w:hAnsi="Arial" w:cs="Arial"/>
          <w:i/>
          <w:iCs/>
          <w:sz w:val="18"/>
        </w:rPr>
        <w:t>Review of personality and social psychology Volume 5.</w:t>
      </w:r>
      <w:r>
        <w:rPr>
          <w:rFonts w:ascii="Arial" w:hAnsi="Arial" w:cs="Arial"/>
          <w:sz w:val="18"/>
        </w:rPr>
        <w:t xml:space="preserve"> </w:t>
      </w:r>
      <w:smartTag w:uri="urn:schemas-microsoft-com:office:smarttags" w:element="place">
        <w:smartTag w:uri="urn:schemas-microsoft-com:office:smarttags" w:element="PlaceName">
          <w:r>
            <w:rPr>
              <w:rFonts w:ascii="Arial" w:hAnsi="Arial" w:cs="Arial"/>
              <w:sz w:val="18"/>
            </w:rPr>
            <w:t>Beverley</w:t>
          </w:r>
        </w:smartTag>
        <w:r>
          <w:rPr>
            <w:rFonts w:ascii="Arial" w:hAnsi="Arial" w:cs="Arial"/>
            <w:sz w:val="18"/>
          </w:rPr>
          <w:t xml:space="preserve"> </w:t>
        </w:r>
        <w:smartTag w:uri="urn:schemas-microsoft-com:office:smarttags" w:element="PlaceName">
          <w:r>
            <w:rPr>
              <w:rFonts w:ascii="Arial" w:hAnsi="Arial" w:cs="Arial"/>
              <w:sz w:val="18"/>
            </w:rPr>
            <w:t>Hills</w:t>
          </w:r>
        </w:smartTag>
      </w:smartTag>
      <w:r>
        <w:rPr>
          <w:rFonts w:ascii="Arial" w:hAnsi="Arial" w:cs="Arial"/>
          <w:sz w:val="18"/>
        </w:rPr>
        <w:t>, CA: Sage.</w:t>
      </w:r>
    </w:p>
    <w:p w14:paraId="5A907AAF"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Main, M. &amp; Hesse E. (1992) Disorganised/disoriented infant behaviour in the Strange Situation, lapses in the monitoring of reasoning and discourse during the </w:t>
      </w:r>
      <w:proofErr w:type="spellStart"/>
      <w:r>
        <w:rPr>
          <w:rFonts w:ascii="Arial" w:hAnsi="Arial" w:cs="Arial"/>
          <w:sz w:val="18"/>
        </w:rPr>
        <w:t>parfent's</w:t>
      </w:r>
      <w:proofErr w:type="spellEnd"/>
      <w:r>
        <w:rPr>
          <w:rFonts w:ascii="Arial" w:hAnsi="Arial" w:cs="Arial"/>
          <w:sz w:val="18"/>
        </w:rPr>
        <w:t xml:space="preserve"> Adult Attachment Interview, and dissociative states.  In M. </w:t>
      </w:r>
      <w:proofErr w:type="spellStart"/>
      <w:r>
        <w:rPr>
          <w:rFonts w:ascii="Arial" w:hAnsi="Arial" w:cs="Arial"/>
          <w:sz w:val="18"/>
        </w:rPr>
        <w:t>Ammaniti</w:t>
      </w:r>
      <w:proofErr w:type="spellEnd"/>
      <w:r>
        <w:rPr>
          <w:rFonts w:ascii="Arial" w:hAnsi="Arial" w:cs="Arial"/>
          <w:sz w:val="18"/>
        </w:rPr>
        <w:t xml:space="preserve"> &amp; D. Stern (Eds.) </w:t>
      </w:r>
      <w:r>
        <w:rPr>
          <w:rFonts w:ascii="Arial" w:hAnsi="Arial" w:cs="Arial"/>
          <w:i/>
          <w:iCs/>
          <w:sz w:val="18"/>
        </w:rPr>
        <w:t>Attachment and psychoanalysis.</w:t>
      </w:r>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Rome</w:t>
          </w:r>
        </w:smartTag>
      </w:smartTag>
      <w:r>
        <w:rPr>
          <w:rFonts w:ascii="Arial" w:hAnsi="Arial" w:cs="Arial"/>
          <w:sz w:val="18"/>
        </w:rPr>
        <w:t xml:space="preserve">: </w:t>
      </w:r>
      <w:proofErr w:type="spellStart"/>
      <w:r>
        <w:rPr>
          <w:rFonts w:ascii="Arial" w:hAnsi="Arial" w:cs="Arial"/>
          <w:sz w:val="18"/>
        </w:rPr>
        <w:t>Gius</w:t>
      </w:r>
      <w:proofErr w:type="spellEnd"/>
      <w:r>
        <w:rPr>
          <w:rFonts w:ascii="Arial" w:hAnsi="Arial" w:cs="Arial"/>
          <w:sz w:val="18"/>
        </w:rPr>
        <w:t xml:space="preserve">, </w:t>
      </w:r>
      <w:proofErr w:type="spellStart"/>
      <w:r>
        <w:rPr>
          <w:rFonts w:ascii="Arial" w:hAnsi="Arial" w:cs="Arial"/>
          <w:sz w:val="18"/>
        </w:rPr>
        <w:t>Laterza</w:t>
      </w:r>
      <w:proofErr w:type="spellEnd"/>
      <w:r>
        <w:rPr>
          <w:rFonts w:ascii="Arial" w:hAnsi="Arial" w:cs="Arial"/>
          <w:sz w:val="18"/>
        </w:rPr>
        <w:t xml:space="preserve"> and </w:t>
      </w:r>
      <w:proofErr w:type="spellStart"/>
      <w:r>
        <w:rPr>
          <w:rFonts w:ascii="Arial" w:hAnsi="Arial" w:cs="Arial"/>
          <w:sz w:val="18"/>
        </w:rPr>
        <w:t>Figli</w:t>
      </w:r>
      <w:proofErr w:type="spellEnd"/>
      <w:r>
        <w:rPr>
          <w:rFonts w:ascii="Arial" w:hAnsi="Arial" w:cs="Arial"/>
          <w:sz w:val="18"/>
        </w:rPr>
        <w:t>.</w:t>
      </w:r>
    </w:p>
    <w:p w14:paraId="73BF7332"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smartTag w:uri="urn:schemas-microsoft-com:office:smarttags" w:element="place">
        <w:r>
          <w:rPr>
            <w:rFonts w:ascii="Arial" w:hAnsi="Arial" w:cs="Arial"/>
            <w:sz w:val="18"/>
          </w:rPr>
          <w:t>Main</w:t>
        </w:r>
      </w:smartTag>
      <w:r>
        <w:rPr>
          <w:rFonts w:ascii="Arial" w:hAnsi="Arial" w:cs="Arial"/>
          <w:sz w:val="18"/>
        </w:rPr>
        <w:t xml:space="preserve">, M &amp; Solomon, J. (1990) Procedures for identifying infants as disorganised/disoriented during the Ainsworth Strange Situation.  IN </w:t>
      </w:r>
      <w:proofErr w:type="spellStart"/>
      <w:r>
        <w:rPr>
          <w:rFonts w:ascii="Arial" w:hAnsi="Arial" w:cs="Arial"/>
          <w:sz w:val="18"/>
        </w:rPr>
        <w:t>M.</w:t>
      </w:r>
      <w:proofErr w:type="gramStart"/>
      <w:r>
        <w:rPr>
          <w:rFonts w:ascii="Arial" w:hAnsi="Arial" w:cs="Arial"/>
          <w:sz w:val="18"/>
        </w:rPr>
        <w:t>T.Greenberg</w:t>
      </w:r>
      <w:proofErr w:type="spellEnd"/>
      <w:proofErr w:type="gramEnd"/>
      <w:r>
        <w:rPr>
          <w:rFonts w:ascii="Arial" w:hAnsi="Arial" w:cs="Arial"/>
          <w:sz w:val="18"/>
        </w:rPr>
        <w:t xml:space="preserve">, D. </w:t>
      </w:r>
      <w:proofErr w:type="spellStart"/>
      <w:r>
        <w:rPr>
          <w:rFonts w:ascii="Arial" w:hAnsi="Arial" w:cs="Arial"/>
          <w:sz w:val="18"/>
        </w:rPr>
        <w:t>Cicchett</w:t>
      </w:r>
      <w:proofErr w:type="spellEnd"/>
      <w:r>
        <w:rPr>
          <w:rFonts w:ascii="Arial" w:hAnsi="Arial" w:cs="Arial"/>
          <w:sz w:val="18"/>
        </w:rPr>
        <w:t xml:space="preserve"> &amp; </w:t>
      </w:r>
      <w:proofErr w:type="spellStart"/>
      <w:r>
        <w:rPr>
          <w:rFonts w:ascii="Arial" w:hAnsi="Arial" w:cs="Arial"/>
          <w:sz w:val="18"/>
        </w:rPr>
        <w:t>E.M.Cummings</w:t>
      </w:r>
      <w:proofErr w:type="spellEnd"/>
      <w:r>
        <w:rPr>
          <w:rFonts w:ascii="Arial" w:hAnsi="Arial" w:cs="Arial"/>
          <w:sz w:val="18"/>
        </w:rPr>
        <w:t xml:space="preserve"> (Eds.) </w:t>
      </w:r>
      <w:r>
        <w:rPr>
          <w:rFonts w:ascii="Arial" w:hAnsi="Arial" w:cs="Arial"/>
          <w:i/>
          <w:iCs/>
          <w:sz w:val="18"/>
        </w:rPr>
        <w:t>Attachment in the preschool years.</w:t>
      </w:r>
      <w:r>
        <w:rPr>
          <w:rFonts w:ascii="Arial" w:hAnsi="Arial" w:cs="Arial"/>
          <w:sz w:val="18"/>
        </w:rPr>
        <w:t xml:space="preserve">  </w:t>
      </w:r>
      <w:smartTag w:uri="urn:schemas-microsoft-com:office:smarttags" w:element="City">
        <w:r>
          <w:rPr>
            <w:rFonts w:ascii="Arial" w:hAnsi="Arial" w:cs="Arial"/>
            <w:sz w:val="18"/>
          </w:rPr>
          <w:t>Chicago</w:t>
        </w:r>
      </w:smartTag>
      <w:r>
        <w:rPr>
          <w:rFonts w:ascii="Arial" w:hAnsi="Arial" w:cs="Arial"/>
          <w:sz w:val="18"/>
        </w:rPr>
        <w:t xml:space="preserve">: </w:t>
      </w:r>
      <w:smartTag w:uri="urn:schemas-microsoft-com:office:smarttags" w:element="place">
        <w:smartTag w:uri="urn:schemas-microsoft-com:office:smarttags" w:element="PlaceType">
          <w:r>
            <w:rPr>
              <w:rFonts w:ascii="Arial" w:hAnsi="Arial" w:cs="Arial"/>
              <w:sz w:val="18"/>
            </w:rPr>
            <w:t>University</w:t>
          </w:r>
        </w:smartTag>
        <w:r>
          <w:rPr>
            <w:rFonts w:ascii="Arial" w:hAnsi="Arial" w:cs="Arial"/>
            <w:sz w:val="18"/>
          </w:rPr>
          <w:t xml:space="preserve"> of </w:t>
        </w:r>
        <w:smartTag w:uri="urn:schemas-microsoft-com:office:smarttags" w:element="PlaceName">
          <w:r>
            <w:rPr>
              <w:rFonts w:ascii="Arial" w:hAnsi="Arial" w:cs="Arial"/>
              <w:sz w:val="18"/>
            </w:rPr>
            <w:t>Chicago</w:t>
          </w:r>
        </w:smartTag>
      </w:smartTag>
      <w:r>
        <w:rPr>
          <w:rFonts w:ascii="Arial" w:hAnsi="Arial" w:cs="Arial"/>
          <w:sz w:val="18"/>
        </w:rPr>
        <w:t xml:space="preserve"> Press.</w:t>
      </w:r>
    </w:p>
    <w:p w14:paraId="12B34D6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Main, M; Kaplan, N; &amp; Cassidy J (1985) Security in infancy, childhood and adulthood: A move to the level of representation.  In I. Bretherton &amp; E. Waters (Eds.) Growing points of attachment theory and research.  </w:t>
      </w:r>
      <w:r>
        <w:rPr>
          <w:rFonts w:ascii="Arial" w:hAnsi="Arial" w:cs="Arial"/>
          <w:i/>
          <w:iCs/>
          <w:sz w:val="18"/>
        </w:rPr>
        <w:t>Monographs of the Society for Research in Child Development (Serial 209), 50,</w:t>
      </w:r>
      <w:r>
        <w:rPr>
          <w:rFonts w:ascii="Arial" w:hAnsi="Arial" w:cs="Arial"/>
          <w:sz w:val="18"/>
        </w:rPr>
        <w:t xml:space="preserve"> 66-106.</w:t>
      </w:r>
    </w:p>
    <w:p w14:paraId="03AC8B2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smartTag w:uri="urn:schemas-microsoft-com:office:smarttags" w:element="place">
        <w:smartTag w:uri="urn:schemas-microsoft-com:office:smarttags" w:element="City">
          <w:r>
            <w:rPr>
              <w:rFonts w:ascii="Arial" w:hAnsi="Arial" w:cs="Arial"/>
              <w:sz w:val="18"/>
            </w:rPr>
            <w:t>Rolfe</w:t>
          </w:r>
        </w:smartTag>
        <w:r>
          <w:rPr>
            <w:rFonts w:ascii="Arial" w:hAnsi="Arial" w:cs="Arial"/>
            <w:sz w:val="18"/>
          </w:rPr>
          <w:t xml:space="preserve">, </w:t>
        </w:r>
        <w:smartTag w:uri="urn:schemas-microsoft-com:office:smarttags" w:element="country-region">
          <w:r>
            <w:rPr>
              <w:rFonts w:ascii="Arial" w:hAnsi="Arial" w:cs="Arial"/>
              <w:sz w:val="18"/>
            </w:rPr>
            <w:t>S.A.</w:t>
          </w:r>
        </w:smartTag>
      </w:smartTag>
      <w:r>
        <w:rPr>
          <w:rFonts w:ascii="Arial" w:hAnsi="Arial" w:cs="Arial"/>
          <w:sz w:val="18"/>
        </w:rPr>
        <w:t xml:space="preserve"> (2000) The brain research phenomenon.  </w:t>
      </w:r>
      <w:r>
        <w:rPr>
          <w:rFonts w:ascii="Arial" w:hAnsi="Arial" w:cs="Arial"/>
          <w:i/>
          <w:iCs/>
          <w:sz w:val="18"/>
        </w:rPr>
        <w:t>Every Child, 6,</w:t>
      </w:r>
      <w:r>
        <w:rPr>
          <w:rFonts w:ascii="Arial" w:hAnsi="Arial" w:cs="Arial"/>
          <w:sz w:val="18"/>
        </w:rPr>
        <w:t xml:space="preserve"> 8-9.</w:t>
      </w:r>
    </w:p>
    <w:p w14:paraId="0D626BB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Shulman, S; Elicker, J &amp; </w:t>
      </w:r>
      <w:proofErr w:type="spellStart"/>
      <w:r>
        <w:rPr>
          <w:rFonts w:ascii="Arial" w:hAnsi="Arial" w:cs="Arial"/>
          <w:sz w:val="18"/>
        </w:rPr>
        <w:t>Sroufe</w:t>
      </w:r>
      <w:proofErr w:type="spellEnd"/>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(1994) Stages of friendship growth in preadolescence as related to attachment history.  </w:t>
      </w:r>
      <w:r>
        <w:rPr>
          <w:rFonts w:ascii="Arial" w:hAnsi="Arial" w:cs="Arial"/>
          <w:i/>
          <w:iCs/>
          <w:sz w:val="18"/>
        </w:rPr>
        <w:t>Journal of Social and Personal Relationships, 11,</w:t>
      </w:r>
      <w:r>
        <w:rPr>
          <w:rFonts w:ascii="Arial" w:hAnsi="Arial" w:cs="Arial"/>
          <w:sz w:val="18"/>
        </w:rPr>
        <w:t xml:space="preserve"> 341-361.</w:t>
      </w:r>
    </w:p>
    <w:p w14:paraId="13CB5FEB"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proofErr w:type="spellStart"/>
      <w:r>
        <w:rPr>
          <w:rFonts w:ascii="Arial" w:hAnsi="Arial" w:cs="Arial"/>
          <w:sz w:val="18"/>
        </w:rPr>
        <w:t>Sroufe</w:t>
      </w:r>
      <w:proofErr w:type="spellEnd"/>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(1988) The role of infant-caregiver attachment in development.  In </w:t>
      </w:r>
      <w:proofErr w:type="spellStart"/>
      <w:proofErr w:type="gramStart"/>
      <w:r>
        <w:rPr>
          <w:rFonts w:ascii="Arial" w:hAnsi="Arial" w:cs="Arial"/>
          <w:sz w:val="18"/>
        </w:rPr>
        <w:t>J.Belsky</w:t>
      </w:r>
      <w:proofErr w:type="spellEnd"/>
      <w:proofErr w:type="gramEnd"/>
      <w:r>
        <w:rPr>
          <w:rFonts w:ascii="Arial" w:hAnsi="Arial" w:cs="Arial"/>
          <w:sz w:val="18"/>
        </w:rPr>
        <w:t xml:space="preserve"> &amp; </w:t>
      </w:r>
      <w:proofErr w:type="spellStart"/>
      <w:r>
        <w:rPr>
          <w:rFonts w:ascii="Arial" w:hAnsi="Arial" w:cs="Arial"/>
          <w:sz w:val="18"/>
        </w:rPr>
        <w:t>T.Nezworski</w:t>
      </w:r>
      <w:proofErr w:type="spellEnd"/>
      <w:r>
        <w:rPr>
          <w:rFonts w:ascii="Arial" w:hAnsi="Arial" w:cs="Arial"/>
          <w:sz w:val="18"/>
        </w:rPr>
        <w:t xml:space="preserve"> (Eds.) </w:t>
      </w:r>
      <w:r>
        <w:rPr>
          <w:rFonts w:ascii="Arial" w:hAnsi="Arial" w:cs="Arial"/>
          <w:i/>
          <w:iCs/>
          <w:sz w:val="18"/>
        </w:rPr>
        <w:t>Clinical implications of attachment</w:t>
      </w:r>
      <w:r>
        <w:rPr>
          <w:rFonts w:ascii="Arial" w:hAnsi="Arial" w:cs="Arial"/>
          <w:sz w:val="18"/>
        </w:rPr>
        <w:t xml:space="preserve">.  </w:t>
      </w:r>
      <w:smartTag w:uri="urn:schemas-microsoft-com:office:smarttags" w:element="State">
        <w:smartTag w:uri="urn:schemas-microsoft-com:office:smarttags" w:element="place">
          <w:r>
            <w:rPr>
              <w:rFonts w:ascii="Arial" w:hAnsi="Arial" w:cs="Arial"/>
              <w:sz w:val="18"/>
            </w:rPr>
            <w:t>New Jersey</w:t>
          </w:r>
        </w:smartTag>
      </w:smartTag>
      <w:r>
        <w:rPr>
          <w:rFonts w:ascii="Arial" w:hAnsi="Arial" w:cs="Arial"/>
          <w:sz w:val="18"/>
        </w:rPr>
        <w:t>: Erlbaum.</w:t>
      </w:r>
    </w:p>
    <w:p w14:paraId="7C2B675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proofErr w:type="spellStart"/>
      <w:r>
        <w:rPr>
          <w:rFonts w:ascii="Arial" w:hAnsi="Arial" w:cs="Arial"/>
          <w:sz w:val="18"/>
        </w:rPr>
        <w:t>Sroufe</w:t>
      </w:r>
      <w:proofErr w:type="spellEnd"/>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(1989) Relationship, self and individual adaptation.  In </w:t>
      </w:r>
      <w:proofErr w:type="spellStart"/>
      <w:r>
        <w:rPr>
          <w:rFonts w:ascii="Arial" w:hAnsi="Arial" w:cs="Arial"/>
          <w:sz w:val="18"/>
        </w:rPr>
        <w:t>A.</w:t>
      </w:r>
      <w:proofErr w:type="gramStart"/>
      <w:r>
        <w:rPr>
          <w:rFonts w:ascii="Arial" w:hAnsi="Arial" w:cs="Arial"/>
          <w:sz w:val="18"/>
        </w:rPr>
        <w:t>J.Sameroff</w:t>
      </w:r>
      <w:proofErr w:type="spellEnd"/>
      <w:proofErr w:type="gramEnd"/>
      <w:r>
        <w:rPr>
          <w:rFonts w:ascii="Arial" w:hAnsi="Arial" w:cs="Arial"/>
          <w:sz w:val="18"/>
        </w:rPr>
        <w:t xml:space="preserve"> &amp; </w:t>
      </w:r>
      <w:proofErr w:type="spellStart"/>
      <w:r>
        <w:rPr>
          <w:rFonts w:ascii="Arial" w:hAnsi="Arial" w:cs="Arial"/>
          <w:sz w:val="18"/>
        </w:rPr>
        <w:t>R.N.Emde</w:t>
      </w:r>
      <w:proofErr w:type="spellEnd"/>
      <w:r>
        <w:rPr>
          <w:rFonts w:ascii="Arial" w:hAnsi="Arial" w:cs="Arial"/>
          <w:sz w:val="18"/>
        </w:rPr>
        <w:t xml:space="preserve"> (Eds.) </w:t>
      </w:r>
      <w:r>
        <w:rPr>
          <w:rFonts w:ascii="Arial" w:hAnsi="Arial" w:cs="Arial"/>
          <w:i/>
          <w:iCs/>
          <w:sz w:val="18"/>
        </w:rPr>
        <w:t xml:space="preserve">Relationship disturbances in early childhood: A development approach.  </w:t>
      </w:r>
      <w:smartTag w:uri="urn:schemas-microsoft-com:office:smarttags" w:element="State">
        <w:smartTag w:uri="urn:schemas-microsoft-com:office:smarttags" w:element="place">
          <w:r>
            <w:rPr>
              <w:rFonts w:ascii="Arial" w:hAnsi="Arial" w:cs="Arial"/>
              <w:sz w:val="18"/>
            </w:rPr>
            <w:t>New York</w:t>
          </w:r>
        </w:smartTag>
      </w:smartTag>
      <w:r>
        <w:rPr>
          <w:rFonts w:ascii="Arial" w:hAnsi="Arial" w:cs="Arial"/>
          <w:sz w:val="18"/>
        </w:rPr>
        <w:t>: Basic Books.</w:t>
      </w:r>
    </w:p>
    <w:p w14:paraId="2827DAC2" w14:textId="77777777" w:rsidR="008E744C" w:rsidRDefault="008E744C">
      <w:pPr>
        <w:jc w:val="both"/>
        <w:rPr>
          <w:rFonts w:ascii="Arial" w:hAnsi="Arial" w:cs="Arial"/>
          <w:sz w:val="20"/>
        </w:rPr>
      </w:pPr>
    </w:p>
    <w:p w14:paraId="1C0004D8" w14:textId="77777777" w:rsidR="00693223" w:rsidRDefault="00693223">
      <w:pPr>
        <w:jc w:val="both"/>
        <w:rPr>
          <w:rFonts w:ascii="Arial" w:hAnsi="Arial" w:cs="Arial"/>
          <w:sz w:val="20"/>
        </w:rPr>
      </w:pPr>
      <w:r>
        <w:rPr>
          <w:rFonts w:ascii="Arial" w:hAnsi="Arial" w:cs="Arial"/>
          <w:sz w:val="20"/>
        </w:rPr>
        <w:t xml:space="preserve">In August 2004 Allan &amp; Unwin published a book by Dr Rolfe entitled </w:t>
      </w:r>
      <w:r>
        <w:rPr>
          <w:rFonts w:ascii="Arial" w:hAnsi="Arial" w:cs="Arial"/>
          <w:i/>
          <w:iCs/>
          <w:sz w:val="20"/>
        </w:rPr>
        <w:t xml:space="preserve">Rethinking Attachment for Early Childhood Practice: Promoting security, autonomy and resilience in young children.  </w:t>
      </w:r>
      <w:r>
        <w:rPr>
          <w:rFonts w:ascii="Arial" w:hAnsi="Arial" w:cs="Arial"/>
          <w:sz w:val="20"/>
        </w:rPr>
        <w:t xml:space="preserve">In heated debates about whether childcare damages young children, attachment theory has been seen as 'anti-childcare'.  Dr Rolfe rethinks this perception, demonstrating instead that understanding attachment is essential to good childcare practice.  </w:t>
      </w:r>
      <w:r>
        <w:rPr>
          <w:rFonts w:ascii="Arial" w:hAnsi="Arial" w:cs="Arial"/>
          <w:i/>
          <w:iCs/>
          <w:sz w:val="20"/>
        </w:rPr>
        <w:t>Rethinking Attachment</w:t>
      </w:r>
      <w:r>
        <w:rPr>
          <w:rFonts w:ascii="Arial" w:hAnsi="Arial" w:cs="Arial"/>
          <w:sz w:val="20"/>
        </w:rPr>
        <w:t xml:space="preserve"> offers a thorough explanation of attachment theory in 15 chapters:</w:t>
      </w:r>
    </w:p>
    <w:p w14:paraId="47C68711" w14:textId="77777777" w:rsidR="00693223" w:rsidRDefault="00693223">
      <w:pPr>
        <w:jc w:val="both"/>
        <w:rPr>
          <w:rFonts w:ascii="Arial" w:hAnsi="Arial" w:cs="Arial"/>
          <w:b/>
          <w:bCs/>
          <w:sz w:val="20"/>
        </w:rPr>
        <w:sectPr w:rsidR="00693223" w:rsidSect="00F034D2">
          <w:footerReference w:type="default" r:id="rId17"/>
          <w:pgSz w:w="11906" w:h="16838" w:code="9"/>
          <w:pgMar w:top="1191" w:right="1797" w:bottom="1191" w:left="1797" w:header="720" w:footer="720" w:gutter="0"/>
          <w:cols w:space="708"/>
          <w:docGrid w:linePitch="360"/>
        </w:sectPr>
      </w:pPr>
    </w:p>
    <w:p w14:paraId="263884A6" w14:textId="77777777" w:rsidR="00693223" w:rsidRDefault="00693223">
      <w:pPr>
        <w:jc w:val="both"/>
        <w:rPr>
          <w:rFonts w:ascii="Arial" w:hAnsi="Arial" w:cs="Arial"/>
          <w:b/>
          <w:bCs/>
          <w:sz w:val="20"/>
        </w:rPr>
      </w:pPr>
      <w:r>
        <w:rPr>
          <w:rFonts w:ascii="Arial" w:hAnsi="Arial" w:cs="Arial"/>
          <w:b/>
          <w:bCs/>
          <w:sz w:val="20"/>
        </w:rPr>
        <w:t>Part 1: Introduction</w:t>
      </w:r>
    </w:p>
    <w:p w14:paraId="6145963D" w14:textId="77777777" w:rsidR="00693223" w:rsidRDefault="00693223">
      <w:pPr>
        <w:jc w:val="both"/>
        <w:rPr>
          <w:rFonts w:ascii="Arial" w:hAnsi="Arial" w:cs="Arial"/>
          <w:sz w:val="20"/>
        </w:rPr>
      </w:pPr>
      <w:r>
        <w:rPr>
          <w:rFonts w:ascii="Arial" w:hAnsi="Arial" w:cs="Arial"/>
          <w:sz w:val="20"/>
        </w:rPr>
        <w:t>Chapter 1: Introduction</w:t>
      </w:r>
    </w:p>
    <w:p w14:paraId="45A19C5E" w14:textId="77777777" w:rsidR="00693223" w:rsidRDefault="00693223">
      <w:pPr>
        <w:jc w:val="both"/>
        <w:rPr>
          <w:rFonts w:ascii="Arial" w:hAnsi="Arial" w:cs="Arial"/>
          <w:b/>
          <w:bCs/>
          <w:sz w:val="20"/>
        </w:rPr>
      </w:pPr>
      <w:r>
        <w:rPr>
          <w:rFonts w:ascii="Arial" w:hAnsi="Arial" w:cs="Arial"/>
          <w:b/>
          <w:bCs/>
          <w:sz w:val="20"/>
        </w:rPr>
        <w:t>Part 2: The significance of attachment relationships</w:t>
      </w:r>
    </w:p>
    <w:p w14:paraId="63F8A5CD" w14:textId="77777777" w:rsidR="00693223" w:rsidRDefault="00693223">
      <w:pPr>
        <w:jc w:val="both"/>
        <w:rPr>
          <w:rFonts w:ascii="Arial" w:hAnsi="Arial" w:cs="Arial"/>
          <w:sz w:val="20"/>
        </w:rPr>
      </w:pPr>
      <w:r>
        <w:rPr>
          <w:rFonts w:ascii="Arial" w:hAnsi="Arial" w:cs="Arial"/>
          <w:sz w:val="20"/>
        </w:rPr>
        <w:t>Chapter 2: Attachment Theory</w:t>
      </w:r>
    </w:p>
    <w:p w14:paraId="54FD99A4" w14:textId="77777777" w:rsidR="00693223" w:rsidRDefault="00693223">
      <w:pPr>
        <w:jc w:val="both"/>
        <w:rPr>
          <w:rFonts w:ascii="Arial" w:hAnsi="Arial" w:cs="Arial"/>
          <w:sz w:val="20"/>
        </w:rPr>
      </w:pPr>
      <w:r>
        <w:rPr>
          <w:rFonts w:ascii="Arial" w:hAnsi="Arial" w:cs="Arial"/>
          <w:sz w:val="20"/>
        </w:rPr>
        <w:t>Chapter 3: Why interactions matter</w:t>
      </w:r>
    </w:p>
    <w:p w14:paraId="1FFBFF33" w14:textId="77777777" w:rsidR="00693223" w:rsidRDefault="00693223">
      <w:pPr>
        <w:jc w:val="both"/>
        <w:rPr>
          <w:rFonts w:ascii="Arial" w:hAnsi="Arial" w:cs="Arial"/>
          <w:sz w:val="20"/>
        </w:rPr>
      </w:pPr>
      <w:r>
        <w:rPr>
          <w:rFonts w:ascii="Arial" w:hAnsi="Arial" w:cs="Arial"/>
          <w:sz w:val="20"/>
        </w:rPr>
        <w:t>Chapter 4: Quality of attachment</w:t>
      </w:r>
    </w:p>
    <w:p w14:paraId="2179FA1B" w14:textId="77777777" w:rsidR="00693223" w:rsidRDefault="00693223">
      <w:pPr>
        <w:jc w:val="both"/>
        <w:rPr>
          <w:rFonts w:ascii="Arial" w:hAnsi="Arial" w:cs="Arial"/>
          <w:sz w:val="20"/>
        </w:rPr>
      </w:pPr>
      <w:r>
        <w:rPr>
          <w:rFonts w:ascii="Arial" w:hAnsi="Arial" w:cs="Arial"/>
          <w:sz w:val="20"/>
        </w:rPr>
        <w:t>Chapter 5: Attachment and resilience</w:t>
      </w:r>
    </w:p>
    <w:p w14:paraId="5F7CA896" w14:textId="77777777" w:rsidR="00693223" w:rsidRDefault="00693223">
      <w:pPr>
        <w:jc w:val="both"/>
        <w:rPr>
          <w:rFonts w:ascii="Arial" w:hAnsi="Arial" w:cs="Arial"/>
          <w:b/>
          <w:bCs/>
          <w:sz w:val="20"/>
        </w:rPr>
      </w:pPr>
      <w:r>
        <w:rPr>
          <w:rFonts w:ascii="Arial" w:hAnsi="Arial" w:cs="Arial"/>
          <w:b/>
          <w:bCs/>
          <w:sz w:val="20"/>
        </w:rPr>
        <w:t>Part 3: Attachment through infancy and early childhood</w:t>
      </w:r>
    </w:p>
    <w:p w14:paraId="4C5C66F8" w14:textId="77777777" w:rsidR="00693223" w:rsidRDefault="00693223">
      <w:pPr>
        <w:jc w:val="both"/>
        <w:rPr>
          <w:rFonts w:ascii="Arial" w:hAnsi="Arial" w:cs="Arial"/>
          <w:sz w:val="20"/>
        </w:rPr>
      </w:pPr>
      <w:r>
        <w:rPr>
          <w:rFonts w:ascii="Arial" w:hAnsi="Arial" w:cs="Arial"/>
          <w:sz w:val="20"/>
        </w:rPr>
        <w:t>Chapter 6: Infancy: Developing trust</w:t>
      </w:r>
    </w:p>
    <w:p w14:paraId="0FE72831" w14:textId="77777777" w:rsidR="00693223" w:rsidRDefault="00693223">
      <w:pPr>
        <w:jc w:val="both"/>
        <w:rPr>
          <w:rFonts w:ascii="Arial" w:hAnsi="Arial" w:cs="Arial"/>
          <w:sz w:val="20"/>
        </w:rPr>
      </w:pPr>
      <w:r>
        <w:rPr>
          <w:rFonts w:ascii="Arial" w:hAnsi="Arial" w:cs="Arial"/>
          <w:sz w:val="20"/>
        </w:rPr>
        <w:t>Chapter 7: From one to three years: Becoming autonomous</w:t>
      </w:r>
    </w:p>
    <w:p w14:paraId="31FD8916" w14:textId="77777777" w:rsidR="00693223" w:rsidRDefault="00693223">
      <w:pPr>
        <w:jc w:val="both"/>
        <w:rPr>
          <w:rFonts w:ascii="Arial" w:hAnsi="Arial" w:cs="Arial"/>
          <w:sz w:val="20"/>
        </w:rPr>
      </w:pPr>
      <w:r>
        <w:rPr>
          <w:rFonts w:ascii="Arial" w:hAnsi="Arial" w:cs="Arial"/>
          <w:sz w:val="20"/>
        </w:rPr>
        <w:t>Chapter 8: The pre-school years: Emerging instrumentality</w:t>
      </w:r>
    </w:p>
    <w:p w14:paraId="6680EE0D" w14:textId="77777777" w:rsidR="00693223" w:rsidRDefault="00693223">
      <w:pPr>
        <w:jc w:val="both"/>
        <w:rPr>
          <w:rFonts w:ascii="Arial" w:hAnsi="Arial" w:cs="Arial"/>
          <w:sz w:val="20"/>
        </w:rPr>
      </w:pPr>
      <w:r>
        <w:rPr>
          <w:rFonts w:ascii="Arial" w:hAnsi="Arial" w:cs="Arial"/>
          <w:sz w:val="20"/>
        </w:rPr>
        <w:t>Chapter 9: Attachment and cognitive competence</w:t>
      </w:r>
    </w:p>
    <w:p w14:paraId="7B39597D" w14:textId="77777777" w:rsidR="00693223" w:rsidRDefault="00693223">
      <w:pPr>
        <w:jc w:val="both"/>
        <w:rPr>
          <w:rFonts w:ascii="Arial" w:hAnsi="Arial" w:cs="Arial"/>
          <w:b/>
          <w:bCs/>
          <w:sz w:val="20"/>
        </w:rPr>
      </w:pPr>
      <w:r>
        <w:rPr>
          <w:rFonts w:ascii="Arial" w:hAnsi="Arial" w:cs="Arial"/>
          <w:b/>
          <w:bCs/>
          <w:sz w:val="20"/>
        </w:rPr>
        <w:t>Part 4: Attachment Issues</w:t>
      </w:r>
    </w:p>
    <w:p w14:paraId="622AF869" w14:textId="77777777" w:rsidR="00693223" w:rsidRDefault="00693223">
      <w:pPr>
        <w:jc w:val="both"/>
        <w:rPr>
          <w:rFonts w:ascii="Arial" w:hAnsi="Arial" w:cs="Arial"/>
          <w:sz w:val="20"/>
        </w:rPr>
      </w:pPr>
      <w:r>
        <w:rPr>
          <w:rFonts w:ascii="Arial" w:hAnsi="Arial" w:cs="Arial"/>
          <w:sz w:val="20"/>
        </w:rPr>
        <w:t>Chapter 10: Separation experiences</w:t>
      </w:r>
    </w:p>
    <w:p w14:paraId="2588B27B" w14:textId="77777777" w:rsidR="00693223" w:rsidRDefault="00693223">
      <w:pPr>
        <w:jc w:val="both"/>
        <w:rPr>
          <w:rFonts w:ascii="Arial" w:hAnsi="Arial" w:cs="Arial"/>
          <w:sz w:val="20"/>
        </w:rPr>
      </w:pPr>
      <w:r>
        <w:rPr>
          <w:rFonts w:ascii="Arial" w:hAnsi="Arial" w:cs="Arial"/>
          <w:sz w:val="20"/>
        </w:rPr>
        <w:t>Chapter 11: Adult attachment issues</w:t>
      </w:r>
    </w:p>
    <w:p w14:paraId="0833E677" w14:textId="77777777" w:rsidR="00693223" w:rsidRDefault="00693223">
      <w:pPr>
        <w:jc w:val="both"/>
        <w:rPr>
          <w:rFonts w:ascii="Arial" w:hAnsi="Arial" w:cs="Arial"/>
          <w:sz w:val="20"/>
        </w:rPr>
      </w:pPr>
      <w:r>
        <w:rPr>
          <w:rFonts w:ascii="Arial" w:hAnsi="Arial" w:cs="Arial"/>
          <w:sz w:val="20"/>
        </w:rPr>
        <w:t>Chapter 12: Cultural perspectives on attachment</w:t>
      </w:r>
    </w:p>
    <w:p w14:paraId="4A1D052C" w14:textId="77777777" w:rsidR="00693223" w:rsidRDefault="00693223">
      <w:pPr>
        <w:jc w:val="both"/>
        <w:rPr>
          <w:rFonts w:ascii="Arial" w:hAnsi="Arial" w:cs="Arial"/>
          <w:sz w:val="20"/>
        </w:rPr>
      </w:pPr>
      <w:r>
        <w:rPr>
          <w:rFonts w:ascii="Arial" w:hAnsi="Arial" w:cs="Arial"/>
          <w:sz w:val="20"/>
        </w:rPr>
        <w:t>Chapter 13: When attachment needs are unmet</w:t>
      </w:r>
    </w:p>
    <w:p w14:paraId="565C4DB0" w14:textId="77777777" w:rsidR="00693223" w:rsidRDefault="00693223">
      <w:pPr>
        <w:jc w:val="both"/>
        <w:rPr>
          <w:rFonts w:ascii="Arial" w:hAnsi="Arial" w:cs="Arial"/>
          <w:b/>
          <w:bCs/>
          <w:sz w:val="20"/>
        </w:rPr>
      </w:pPr>
      <w:r>
        <w:rPr>
          <w:rFonts w:ascii="Arial" w:hAnsi="Arial" w:cs="Arial"/>
          <w:b/>
          <w:bCs/>
          <w:sz w:val="20"/>
        </w:rPr>
        <w:t>Part 5: Conclusion</w:t>
      </w:r>
    </w:p>
    <w:p w14:paraId="2E1D3793" w14:textId="77777777" w:rsidR="00693223" w:rsidRDefault="00693223">
      <w:pPr>
        <w:jc w:val="both"/>
        <w:rPr>
          <w:rFonts w:ascii="Arial" w:hAnsi="Arial" w:cs="Arial"/>
          <w:sz w:val="20"/>
        </w:rPr>
      </w:pPr>
      <w:r>
        <w:rPr>
          <w:rFonts w:ascii="Arial" w:hAnsi="Arial" w:cs="Arial"/>
          <w:sz w:val="20"/>
        </w:rPr>
        <w:t>Chapter 14: rethinking attachment in early childhood policy and practice</w:t>
      </w:r>
    </w:p>
    <w:p w14:paraId="31E9C5B0" w14:textId="77777777" w:rsidR="00693223" w:rsidRDefault="00693223">
      <w:pPr>
        <w:jc w:val="both"/>
        <w:rPr>
          <w:rFonts w:ascii="Arial" w:hAnsi="Arial" w:cs="Arial"/>
          <w:sz w:val="20"/>
        </w:rPr>
        <w:sectPr w:rsidR="00693223">
          <w:type w:val="continuous"/>
          <w:pgSz w:w="11906" w:h="16838" w:code="9"/>
          <w:pgMar w:top="1298" w:right="1797" w:bottom="1298" w:left="1797" w:header="720" w:footer="720" w:gutter="0"/>
          <w:cols w:num="2" w:space="708" w:equalWidth="0">
            <w:col w:w="3802" w:space="708"/>
            <w:col w:w="3802"/>
          </w:cols>
          <w:docGrid w:linePitch="360"/>
        </w:sectPr>
      </w:pPr>
    </w:p>
    <w:p w14:paraId="7051CF1F" w14:textId="77777777" w:rsidR="00C41F4C" w:rsidRDefault="00C41F4C" w:rsidP="00C41F4C">
      <w:pPr>
        <w:jc w:val="both"/>
        <w:rPr>
          <w:rFonts w:ascii="Arial" w:hAnsi="Arial" w:cs="Arial"/>
          <w:sz w:val="20"/>
        </w:rPr>
      </w:pPr>
    </w:p>
    <w:p w14:paraId="0D83BE78" w14:textId="77777777" w:rsidR="009970EC" w:rsidRDefault="009970EC" w:rsidP="009970EC">
      <w:pPr>
        <w:pBdr>
          <w:top w:val="single" w:sz="12" w:space="1" w:color="auto"/>
        </w:pBdr>
        <w:jc w:val="both"/>
        <w:rPr>
          <w:rFonts w:ascii="Arial" w:hAnsi="Arial" w:cs="Arial"/>
          <w:sz w:val="20"/>
        </w:rPr>
      </w:pPr>
    </w:p>
    <w:p w14:paraId="122EABC8" w14:textId="77777777" w:rsidR="00C41F4C" w:rsidRDefault="00C41F4C" w:rsidP="00C41F4C">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w:t>
      </w:r>
      <w:r w:rsidR="00811C5E">
        <w:rPr>
          <w:rFonts w:ascii="Arial" w:hAnsi="Arial" w:cs="Arial"/>
          <w:sz w:val="20"/>
        </w:rPr>
        <w:t xml:space="preserve"> at section 25.1</w:t>
      </w:r>
      <w:r>
        <w:rPr>
          <w:rFonts w:ascii="Arial" w:hAnsi="Arial" w:cs="Arial"/>
          <w:sz w:val="20"/>
        </w:rPr>
        <w:t xml:space="preserve">, </w:t>
      </w:r>
      <w:r w:rsidR="00811C5E">
        <w:rPr>
          <w:rFonts w:ascii="Arial" w:hAnsi="Arial" w:cs="Arial"/>
          <w:sz w:val="20"/>
        </w:rPr>
        <w:t xml:space="preserve">the Court accepted the </w:t>
      </w:r>
      <w:r w:rsidR="0030515F">
        <w:rPr>
          <w:rFonts w:ascii="Arial" w:hAnsi="Arial" w:cs="Arial"/>
          <w:sz w:val="20"/>
        </w:rPr>
        <w:t xml:space="preserve">expert </w:t>
      </w:r>
      <w:r w:rsidR="00811C5E">
        <w:rPr>
          <w:rFonts w:ascii="Arial" w:hAnsi="Arial" w:cs="Arial"/>
          <w:sz w:val="20"/>
        </w:rPr>
        <w:t xml:space="preserve">evidence of </w:t>
      </w:r>
      <w:r w:rsidR="000F226D">
        <w:rPr>
          <w:rFonts w:ascii="Arial" w:hAnsi="Arial" w:cs="Arial"/>
          <w:sz w:val="20"/>
        </w:rPr>
        <w:t>an infant mental health professional outlin</w:t>
      </w:r>
      <w:r w:rsidR="00811C5E">
        <w:rPr>
          <w:rFonts w:ascii="Arial" w:hAnsi="Arial" w:cs="Arial"/>
          <w:sz w:val="20"/>
        </w:rPr>
        <w:t>ing</w:t>
      </w:r>
      <w:r w:rsidR="000F226D">
        <w:rPr>
          <w:rFonts w:ascii="Arial" w:hAnsi="Arial" w:cs="Arial"/>
          <w:sz w:val="20"/>
        </w:rPr>
        <w:t xml:space="preserve"> </w:t>
      </w:r>
      <w:r w:rsidR="002805B6">
        <w:rPr>
          <w:rFonts w:ascii="Arial" w:hAnsi="Arial" w:cs="Arial"/>
          <w:sz w:val="20"/>
        </w:rPr>
        <w:t xml:space="preserve">the </w:t>
      </w:r>
      <w:r w:rsidR="000F226D">
        <w:rPr>
          <w:rFonts w:ascii="Arial" w:hAnsi="Arial" w:cs="Arial"/>
          <w:sz w:val="20"/>
        </w:rPr>
        <w:lastRenderedPageBreak/>
        <w:t xml:space="preserve">four </w:t>
      </w:r>
      <w:r w:rsidR="00811C5E">
        <w:rPr>
          <w:rFonts w:ascii="Arial" w:hAnsi="Arial" w:cs="Arial"/>
          <w:sz w:val="20"/>
        </w:rPr>
        <w:t xml:space="preserve">different </w:t>
      </w:r>
      <w:r w:rsidR="002805B6">
        <w:rPr>
          <w:rFonts w:ascii="Arial" w:hAnsi="Arial" w:cs="Arial"/>
          <w:sz w:val="20"/>
        </w:rPr>
        <w:t xml:space="preserve">attachment styles which she </w:t>
      </w:r>
      <w:r w:rsidR="000F226D">
        <w:rPr>
          <w:rFonts w:ascii="Arial" w:hAnsi="Arial" w:cs="Arial"/>
          <w:sz w:val="20"/>
        </w:rPr>
        <w:t>labelled (1) secure; (2) anxious; (3) avoidant; and (4) disorganized an</w:t>
      </w:r>
      <w:r w:rsidR="00811C5E">
        <w:rPr>
          <w:rFonts w:ascii="Arial" w:hAnsi="Arial" w:cs="Arial"/>
          <w:sz w:val="20"/>
        </w:rPr>
        <w:t xml:space="preserve">d which she described </w:t>
      </w:r>
      <w:r w:rsidR="00B320A7">
        <w:rPr>
          <w:rFonts w:ascii="Arial" w:hAnsi="Arial" w:cs="Arial"/>
          <w:sz w:val="20"/>
        </w:rPr>
        <w:t>in the following way</w:t>
      </w:r>
      <w:r w:rsidR="000F226D">
        <w:rPr>
          <w:rFonts w:ascii="Arial" w:hAnsi="Arial" w:cs="Arial"/>
          <w:sz w:val="20"/>
        </w:rPr>
        <w:t>:</w:t>
      </w:r>
    </w:p>
    <w:p w14:paraId="2380D540" w14:textId="77777777" w:rsidR="000F226D" w:rsidRPr="000F226D" w:rsidRDefault="000F226D" w:rsidP="000F226D">
      <w:pPr>
        <w:spacing w:before="60"/>
        <w:ind w:left="567" w:right="567"/>
        <w:jc w:val="both"/>
        <w:rPr>
          <w:rFonts w:ascii="Arial" w:hAnsi="Arial" w:cs="Arial"/>
          <w:sz w:val="20"/>
          <w:szCs w:val="20"/>
        </w:rPr>
      </w:pPr>
      <w:r w:rsidRPr="002805B6">
        <w:rPr>
          <w:rFonts w:ascii="Arial" w:hAnsi="Arial" w:cs="Arial"/>
          <w:b/>
          <w:sz w:val="20"/>
          <w:szCs w:val="20"/>
          <w:u w:val="single"/>
        </w:rPr>
        <w:t>Secure</w:t>
      </w:r>
      <w:r w:rsidRPr="000F226D">
        <w:rPr>
          <w:rFonts w:ascii="Arial" w:hAnsi="Arial" w:cs="Arial"/>
          <w:sz w:val="20"/>
          <w:szCs w:val="20"/>
        </w:rPr>
        <w:t xml:space="preserve">: The child safely explores and is able to explore outside the immediate contact of the mother and father safe in the knowledge she can return in any way and the caregiver will be available for her.  The child is able to </w:t>
      </w:r>
      <w:r w:rsidR="00B320A7">
        <w:rPr>
          <w:rFonts w:ascii="Arial" w:hAnsi="Arial" w:cs="Arial"/>
          <w:sz w:val="20"/>
          <w:szCs w:val="20"/>
        </w:rPr>
        <w:t>accept</w:t>
      </w:r>
      <w:r w:rsidRPr="000F226D">
        <w:rPr>
          <w:rFonts w:ascii="Arial" w:hAnsi="Arial" w:cs="Arial"/>
          <w:sz w:val="20"/>
          <w:szCs w:val="20"/>
        </w:rPr>
        <w:t xml:space="preserve"> messages that it is safe to explore her world.</w:t>
      </w:r>
    </w:p>
    <w:p w14:paraId="2081B791" w14:textId="77777777" w:rsidR="000F226D" w:rsidRPr="000F226D" w:rsidRDefault="000F226D" w:rsidP="000F226D">
      <w:pPr>
        <w:spacing w:before="60"/>
        <w:ind w:left="567" w:right="567"/>
        <w:jc w:val="both"/>
        <w:rPr>
          <w:rFonts w:ascii="Arial" w:hAnsi="Arial" w:cs="Arial"/>
          <w:sz w:val="20"/>
          <w:szCs w:val="20"/>
        </w:rPr>
      </w:pPr>
      <w:r w:rsidRPr="002805B6">
        <w:rPr>
          <w:rFonts w:ascii="Arial" w:hAnsi="Arial" w:cs="Arial"/>
          <w:b/>
          <w:sz w:val="20"/>
          <w:szCs w:val="20"/>
          <w:u w:val="single"/>
        </w:rPr>
        <w:t>Anxious</w:t>
      </w:r>
      <w:r w:rsidRPr="000F226D">
        <w:rPr>
          <w:rFonts w:ascii="Arial" w:hAnsi="Arial" w:cs="Arial"/>
          <w:sz w:val="20"/>
          <w:szCs w:val="20"/>
        </w:rPr>
        <w:t>:  The child exhibits distress moving away in a myriad of ways.  Not healthy distress</w:t>
      </w:r>
      <w:r w:rsidR="0030515F">
        <w:rPr>
          <w:rFonts w:ascii="Arial" w:hAnsi="Arial" w:cs="Arial"/>
          <w:sz w:val="20"/>
          <w:szCs w:val="20"/>
        </w:rPr>
        <w:t>.  I</w:t>
      </w:r>
      <w:r w:rsidRPr="000F226D">
        <w:rPr>
          <w:rFonts w:ascii="Arial" w:hAnsi="Arial" w:cs="Arial"/>
          <w:sz w:val="20"/>
          <w:szCs w:val="20"/>
        </w:rPr>
        <w:t>t might be that when an attachment figure moves away from close proximity an anxious child might throw something at her and be annoyed.  Excessive anxiety is part of the ‘anxious’ classification.</w:t>
      </w:r>
    </w:p>
    <w:p w14:paraId="2B6BFBCF" w14:textId="77777777" w:rsidR="000F226D" w:rsidRPr="000F226D" w:rsidRDefault="000F226D" w:rsidP="000F226D">
      <w:pPr>
        <w:spacing w:before="60"/>
        <w:ind w:left="567" w:right="567"/>
        <w:jc w:val="both"/>
        <w:rPr>
          <w:rFonts w:ascii="Arial" w:hAnsi="Arial" w:cs="Arial"/>
          <w:sz w:val="20"/>
          <w:szCs w:val="20"/>
        </w:rPr>
      </w:pPr>
      <w:r w:rsidRPr="002805B6">
        <w:rPr>
          <w:rFonts w:ascii="Arial" w:hAnsi="Arial" w:cs="Arial"/>
          <w:b/>
          <w:sz w:val="20"/>
          <w:szCs w:val="20"/>
          <w:u w:val="single"/>
        </w:rPr>
        <w:t>Avoidant</w:t>
      </w:r>
      <w:r w:rsidRPr="000F226D">
        <w:rPr>
          <w:rFonts w:ascii="Arial" w:hAnsi="Arial" w:cs="Arial"/>
          <w:sz w:val="20"/>
          <w:szCs w:val="20"/>
        </w:rPr>
        <w:t xml:space="preserve">:  An </w:t>
      </w:r>
      <w:r w:rsidR="00B320A7">
        <w:rPr>
          <w:rFonts w:ascii="Arial" w:hAnsi="Arial" w:cs="Arial"/>
          <w:sz w:val="20"/>
          <w:szCs w:val="20"/>
        </w:rPr>
        <w:t xml:space="preserve">infant with an </w:t>
      </w:r>
      <w:r>
        <w:rPr>
          <w:rFonts w:ascii="Arial" w:hAnsi="Arial" w:cs="Arial"/>
          <w:sz w:val="20"/>
          <w:szCs w:val="20"/>
        </w:rPr>
        <w:t>‘</w:t>
      </w:r>
      <w:r w:rsidRPr="000F226D">
        <w:rPr>
          <w:rFonts w:ascii="Arial" w:hAnsi="Arial" w:cs="Arial"/>
          <w:sz w:val="20"/>
          <w:szCs w:val="20"/>
        </w:rPr>
        <w:t>avoidant</w:t>
      </w:r>
      <w:r>
        <w:rPr>
          <w:rFonts w:ascii="Arial" w:hAnsi="Arial" w:cs="Arial"/>
          <w:sz w:val="20"/>
          <w:szCs w:val="20"/>
        </w:rPr>
        <w:t>’</w:t>
      </w:r>
      <w:r w:rsidRPr="000F226D">
        <w:rPr>
          <w:rFonts w:ascii="Arial" w:hAnsi="Arial" w:cs="Arial"/>
          <w:sz w:val="20"/>
          <w:szCs w:val="20"/>
        </w:rPr>
        <w:t xml:space="preserve"> style does not appear to need the attachment figure very clearly, often exhibits little distress at reunion or reunification and exhibits a self-reliant style.  The</w:t>
      </w:r>
      <w:r w:rsidR="00B320A7">
        <w:rPr>
          <w:rFonts w:ascii="Arial" w:hAnsi="Arial" w:cs="Arial"/>
          <w:sz w:val="20"/>
          <w:szCs w:val="20"/>
        </w:rPr>
        <w:t xml:space="preserve"> infant does not</w:t>
      </w:r>
      <w:r w:rsidRPr="000F226D">
        <w:rPr>
          <w:rFonts w:ascii="Arial" w:hAnsi="Arial" w:cs="Arial"/>
          <w:sz w:val="20"/>
          <w:szCs w:val="20"/>
        </w:rPr>
        <w:t xml:space="preserve"> exhibit signals of </w:t>
      </w:r>
      <w:r w:rsidR="00B320A7">
        <w:rPr>
          <w:rFonts w:ascii="Arial" w:hAnsi="Arial" w:cs="Arial"/>
          <w:sz w:val="20"/>
          <w:szCs w:val="20"/>
        </w:rPr>
        <w:t>her</w:t>
      </w:r>
      <w:r w:rsidRPr="000F226D">
        <w:rPr>
          <w:rFonts w:ascii="Arial" w:hAnsi="Arial" w:cs="Arial"/>
          <w:sz w:val="20"/>
          <w:szCs w:val="20"/>
        </w:rPr>
        <w:t xml:space="preserve"> own distress and it is often misunderstood by even a sensiti</w:t>
      </w:r>
      <w:r w:rsidR="00B320A7">
        <w:rPr>
          <w:rFonts w:ascii="Arial" w:hAnsi="Arial" w:cs="Arial"/>
          <w:sz w:val="20"/>
          <w:szCs w:val="20"/>
        </w:rPr>
        <w:t>ve caregiver that the child is thought to be</w:t>
      </w:r>
      <w:r w:rsidRPr="000F226D">
        <w:rPr>
          <w:rFonts w:ascii="Arial" w:hAnsi="Arial" w:cs="Arial"/>
          <w:sz w:val="20"/>
          <w:szCs w:val="20"/>
        </w:rPr>
        <w:t xml:space="preserve"> not in need.…</w:t>
      </w:r>
    </w:p>
    <w:p w14:paraId="68A80EA3" w14:textId="77777777" w:rsidR="000F226D" w:rsidRPr="00BC64BA" w:rsidRDefault="000F226D" w:rsidP="006A4203">
      <w:pPr>
        <w:spacing w:before="60"/>
        <w:ind w:left="567" w:right="567"/>
        <w:jc w:val="both"/>
        <w:rPr>
          <w:b/>
          <w:sz w:val="22"/>
          <w:szCs w:val="22"/>
        </w:rPr>
      </w:pPr>
      <w:r w:rsidRPr="002805B6">
        <w:rPr>
          <w:rFonts w:ascii="Arial" w:hAnsi="Arial" w:cs="Arial"/>
          <w:b/>
          <w:sz w:val="20"/>
          <w:szCs w:val="20"/>
          <w:u w:val="single"/>
        </w:rPr>
        <w:t>Disorganized</w:t>
      </w:r>
      <w:r w:rsidRPr="000F226D">
        <w:rPr>
          <w:rFonts w:ascii="Arial" w:hAnsi="Arial" w:cs="Arial"/>
          <w:sz w:val="20"/>
          <w:szCs w:val="20"/>
        </w:rPr>
        <w:t xml:space="preserve">:  This </w:t>
      </w:r>
      <w:r w:rsidR="00B320A7">
        <w:rPr>
          <w:rFonts w:ascii="Arial" w:hAnsi="Arial" w:cs="Arial"/>
          <w:sz w:val="20"/>
          <w:szCs w:val="20"/>
        </w:rPr>
        <w:t xml:space="preserve">style </w:t>
      </w:r>
      <w:r w:rsidRPr="000F226D">
        <w:rPr>
          <w:rFonts w:ascii="Arial" w:hAnsi="Arial" w:cs="Arial"/>
          <w:sz w:val="20"/>
          <w:szCs w:val="20"/>
        </w:rPr>
        <w:t xml:space="preserve">is more commonly seen in a traumatized or abused infant.  </w:t>
      </w:r>
      <w:r>
        <w:rPr>
          <w:rFonts w:ascii="Arial" w:hAnsi="Arial" w:cs="Arial"/>
          <w:sz w:val="20"/>
          <w:szCs w:val="20"/>
        </w:rPr>
        <w:t>I</w:t>
      </w:r>
      <w:r w:rsidRPr="000F226D">
        <w:rPr>
          <w:rFonts w:ascii="Arial" w:hAnsi="Arial" w:cs="Arial"/>
          <w:sz w:val="20"/>
          <w:szCs w:val="20"/>
        </w:rPr>
        <w:t xml:space="preserve">n the attachment figure’s presence the child might freeze or show signs of difficult physical distress, e.g. curl up in a ball.  </w:t>
      </w:r>
      <w:r w:rsidR="00B320A7">
        <w:rPr>
          <w:rFonts w:ascii="Arial" w:hAnsi="Arial" w:cs="Arial"/>
          <w:sz w:val="20"/>
          <w:szCs w:val="20"/>
        </w:rPr>
        <w:t>Children with disorganized attachment</w:t>
      </w:r>
      <w:r w:rsidRPr="000F226D">
        <w:rPr>
          <w:rFonts w:ascii="Arial" w:hAnsi="Arial" w:cs="Arial"/>
          <w:sz w:val="20"/>
          <w:szCs w:val="20"/>
        </w:rPr>
        <w:t xml:space="preserve"> are often seen as children who are naughty, poorly compliant, ‘all over the place’.  They </w:t>
      </w:r>
      <w:r w:rsidR="00B320A7">
        <w:rPr>
          <w:rFonts w:ascii="Arial" w:hAnsi="Arial" w:cs="Arial"/>
          <w:sz w:val="20"/>
          <w:szCs w:val="20"/>
        </w:rPr>
        <w:t>do not have</w:t>
      </w:r>
      <w:r w:rsidRPr="000F226D">
        <w:rPr>
          <w:rFonts w:ascii="Arial" w:hAnsi="Arial" w:cs="Arial"/>
          <w:sz w:val="20"/>
          <w:szCs w:val="20"/>
        </w:rPr>
        <w:t xml:space="preserve"> a way to attach to a caregiver.  </w:t>
      </w:r>
      <w:r w:rsidR="00B320A7">
        <w:rPr>
          <w:rFonts w:ascii="Arial" w:hAnsi="Arial" w:cs="Arial"/>
          <w:sz w:val="20"/>
          <w:szCs w:val="20"/>
        </w:rPr>
        <w:t>The a</w:t>
      </w:r>
      <w:r w:rsidRPr="000F226D">
        <w:rPr>
          <w:rFonts w:ascii="Arial" w:hAnsi="Arial" w:cs="Arial"/>
          <w:sz w:val="20"/>
          <w:szCs w:val="20"/>
        </w:rPr>
        <w:t xml:space="preserve">etiology is </w:t>
      </w:r>
      <w:r w:rsidR="00B320A7">
        <w:rPr>
          <w:rFonts w:ascii="Arial" w:hAnsi="Arial" w:cs="Arial"/>
          <w:sz w:val="20"/>
          <w:szCs w:val="20"/>
        </w:rPr>
        <w:t>of a traumatized infant</w:t>
      </w:r>
      <w:r w:rsidRPr="000F226D">
        <w:rPr>
          <w:rFonts w:ascii="Arial" w:hAnsi="Arial" w:cs="Arial"/>
          <w:sz w:val="20"/>
          <w:szCs w:val="20"/>
        </w:rPr>
        <w:t xml:space="preserve"> who do</w:t>
      </w:r>
      <w:r w:rsidR="00B320A7">
        <w:rPr>
          <w:rFonts w:ascii="Arial" w:hAnsi="Arial" w:cs="Arial"/>
          <w:sz w:val="20"/>
          <w:szCs w:val="20"/>
        </w:rPr>
        <w:t>es not</w:t>
      </w:r>
      <w:r w:rsidRPr="000F226D">
        <w:rPr>
          <w:rFonts w:ascii="Arial" w:hAnsi="Arial" w:cs="Arial"/>
          <w:sz w:val="20"/>
          <w:szCs w:val="20"/>
        </w:rPr>
        <w:t xml:space="preserve"> exhibit strategies of reunion and exploration.</w:t>
      </w:r>
    </w:p>
    <w:p w14:paraId="12466646" w14:textId="77777777" w:rsidR="00811C5E" w:rsidRDefault="00811C5E" w:rsidP="00811C5E">
      <w:pPr>
        <w:jc w:val="both"/>
        <w:rPr>
          <w:rFonts w:ascii="Arial" w:hAnsi="Arial" w:cs="Arial"/>
          <w:sz w:val="20"/>
        </w:rPr>
      </w:pPr>
    </w:p>
    <w:p w14:paraId="31CE43DA" w14:textId="77777777" w:rsidR="000F226D" w:rsidRPr="00811C5E" w:rsidRDefault="00811C5E" w:rsidP="000F226D">
      <w:pPr>
        <w:jc w:val="both"/>
        <w:rPr>
          <w:rFonts w:ascii="Arial" w:hAnsi="Arial" w:cs="Arial"/>
          <w:sz w:val="20"/>
        </w:rPr>
      </w:pPr>
      <w:r w:rsidRPr="00811C5E">
        <w:rPr>
          <w:rFonts w:ascii="Arial" w:hAnsi="Arial" w:cs="Arial"/>
          <w:sz w:val="20"/>
        </w:rPr>
        <w:t xml:space="preserve">The infant </w:t>
      </w:r>
      <w:r>
        <w:rPr>
          <w:rFonts w:ascii="Arial" w:hAnsi="Arial" w:cs="Arial"/>
          <w:sz w:val="20"/>
        </w:rPr>
        <w:t xml:space="preserve">mental health professional </w:t>
      </w:r>
      <w:r w:rsidR="00D127BE">
        <w:rPr>
          <w:rFonts w:ascii="Arial" w:hAnsi="Arial" w:cs="Arial"/>
          <w:sz w:val="20"/>
        </w:rPr>
        <w:t xml:space="preserve">also </w:t>
      </w:r>
      <w:r>
        <w:rPr>
          <w:rFonts w:ascii="Arial" w:hAnsi="Arial" w:cs="Arial"/>
          <w:sz w:val="20"/>
        </w:rPr>
        <w:t xml:space="preserve">agreed with Dr Rolfe’s opinions on attachment which are set out </w:t>
      </w:r>
      <w:r w:rsidR="00582C0A">
        <w:rPr>
          <w:rFonts w:ascii="Arial" w:hAnsi="Arial" w:cs="Arial"/>
          <w:sz w:val="20"/>
        </w:rPr>
        <w:t>earlier in this section, in particular</w:t>
      </w:r>
      <w:r>
        <w:rPr>
          <w:rFonts w:ascii="Arial" w:hAnsi="Arial" w:cs="Arial"/>
          <w:sz w:val="20"/>
        </w:rPr>
        <w:t xml:space="preserve"> the importance of secure attachment as the foundation for appropriate development:</w:t>
      </w:r>
    </w:p>
    <w:p w14:paraId="510DD36B" w14:textId="77777777" w:rsidR="00811C5E" w:rsidRPr="00BC64BA" w:rsidRDefault="00811C5E" w:rsidP="006A4203">
      <w:pPr>
        <w:spacing w:before="60"/>
        <w:ind w:left="567" w:right="567"/>
        <w:jc w:val="both"/>
        <w:rPr>
          <w:b/>
          <w:sz w:val="22"/>
          <w:szCs w:val="22"/>
        </w:rPr>
      </w:pPr>
      <w:r w:rsidRPr="00811C5E">
        <w:rPr>
          <w:rFonts w:ascii="Arial" w:hAnsi="Arial" w:cs="Arial"/>
          <w:sz w:val="20"/>
          <w:szCs w:val="20"/>
        </w:rPr>
        <w:t xml:space="preserve">“The importance of secure attachment for infants and children is now well recognised.  Increasingly attachment theories are used to provide a conceptual foundation for assessment and decision-making.  In </w:t>
      </w:r>
      <w:smartTag w:uri="urn:schemas-microsoft-com:office:smarttags" w:element="State">
        <w:smartTag w:uri="urn:schemas-microsoft-com:office:smarttags" w:element="place">
          <w:r w:rsidRPr="00811C5E">
            <w:rPr>
              <w:rFonts w:ascii="Arial" w:hAnsi="Arial" w:cs="Arial"/>
              <w:sz w:val="20"/>
              <w:szCs w:val="20"/>
            </w:rPr>
            <w:t>Victoria</w:t>
          </w:r>
        </w:smartTag>
      </w:smartTag>
      <w:r w:rsidRPr="00811C5E">
        <w:rPr>
          <w:rFonts w:ascii="Arial" w:hAnsi="Arial" w:cs="Arial"/>
          <w:sz w:val="20"/>
          <w:szCs w:val="20"/>
        </w:rPr>
        <w:t xml:space="preserve"> concepts related to attachment inform the Best interests case practice framework (DOHS, 2008).  Secure attachment is associated with better interpersonal functioning including problem solving, confidence and interactions with peers…Establishing of secure attachment is now recognised as a foundational building block for the development of infants and children (Dozier </w:t>
      </w:r>
      <w:r w:rsidRPr="00811C5E">
        <w:rPr>
          <w:rFonts w:ascii="Arial" w:hAnsi="Arial" w:cs="Arial"/>
          <w:i/>
          <w:sz w:val="20"/>
          <w:szCs w:val="20"/>
        </w:rPr>
        <w:t>et al.</w:t>
      </w:r>
      <w:r w:rsidRPr="00811C5E">
        <w:rPr>
          <w:rFonts w:ascii="Arial" w:hAnsi="Arial" w:cs="Arial"/>
          <w:sz w:val="20"/>
          <w:szCs w:val="20"/>
        </w:rPr>
        <w:t>, 2001).”</w:t>
      </w:r>
    </w:p>
    <w:p w14:paraId="1A7485D1" w14:textId="77777777" w:rsidR="00C41F4C" w:rsidRDefault="00C41F4C">
      <w:pPr>
        <w:jc w:val="both"/>
        <w:rPr>
          <w:rFonts w:ascii="Arial" w:hAnsi="Arial" w:cs="Arial"/>
          <w:sz w:val="20"/>
        </w:rPr>
      </w:pPr>
    </w:p>
    <w:p w14:paraId="033E6385" w14:textId="77777777" w:rsidR="00FE2913" w:rsidRDefault="00FE2913">
      <w:pPr>
        <w:jc w:val="both"/>
        <w:rPr>
          <w:rFonts w:ascii="Arial" w:hAnsi="Arial" w:cs="Arial"/>
          <w:sz w:val="20"/>
        </w:rPr>
      </w:pPr>
      <w:r>
        <w:rPr>
          <w:rFonts w:ascii="Arial" w:hAnsi="Arial" w:cs="Arial"/>
          <w:sz w:val="20"/>
        </w:rPr>
        <w:t xml:space="preserve">However, although the Court accepted the expert’s </w:t>
      </w:r>
      <w:r w:rsidR="0030515F">
        <w:rPr>
          <w:rFonts w:ascii="Arial" w:hAnsi="Arial" w:cs="Arial"/>
          <w:sz w:val="20"/>
        </w:rPr>
        <w:t xml:space="preserve">theoretical evidence, it did not accept her </w:t>
      </w:r>
      <w:r w:rsidR="002805B6">
        <w:rPr>
          <w:rFonts w:ascii="Arial" w:hAnsi="Arial" w:cs="Arial"/>
          <w:sz w:val="20"/>
        </w:rPr>
        <w:t xml:space="preserve">ultimate </w:t>
      </w:r>
      <w:r w:rsidR="0030515F">
        <w:rPr>
          <w:rFonts w:ascii="Arial" w:hAnsi="Arial" w:cs="Arial"/>
          <w:sz w:val="20"/>
        </w:rPr>
        <w:t>opinion that the infant in question – then aged 2y5m - had an “avoidant attachment style”</w:t>
      </w:r>
      <w:r w:rsidR="00B05BA3">
        <w:rPr>
          <w:rFonts w:ascii="Arial" w:hAnsi="Arial" w:cs="Arial"/>
          <w:sz w:val="20"/>
        </w:rPr>
        <w:t>.  Power M said at section 25.5</w:t>
      </w:r>
      <w:r w:rsidR="0030515F">
        <w:rPr>
          <w:rFonts w:ascii="Arial" w:hAnsi="Arial" w:cs="Arial"/>
          <w:sz w:val="20"/>
        </w:rPr>
        <w:t>:</w:t>
      </w:r>
    </w:p>
    <w:p w14:paraId="0B7C8876" w14:textId="77777777" w:rsidR="0030515F" w:rsidRDefault="0030515F" w:rsidP="006A4203">
      <w:pPr>
        <w:spacing w:before="60"/>
        <w:ind w:left="567" w:right="567"/>
        <w:jc w:val="both"/>
        <w:rPr>
          <w:rFonts w:ascii="Arial" w:hAnsi="Arial" w:cs="Arial"/>
          <w:sz w:val="20"/>
          <w:szCs w:val="20"/>
        </w:rPr>
      </w:pPr>
      <w:r w:rsidRPr="0030515F">
        <w:rPr>
          <w:rFonts w:ascii="Arial" w:hAnsi="Arial" w:cs="Arial"/>
          <w:sz w:val="20"/>
          <w:szCs w:val="20"/>
        </w:rPr>
        <w:t xml:space="preserve">“The vast bulk of the evidence of observations of </w:t>
      </w:r>
      <w:r>
        <w:rPr>
          <w:rFonts w:ascii="Arial" w:hAnsi="Arial" w:cs="Arial"/>
          <w:sz w:val="20"/>
          <w:szCs w:val="20"/>
        </w:rPr>
        <w:t>[the child]</w:t>
      </w:r>
      <w:r w:rsidRPr="0030515F">
        <w:rPr>
          <w:rFonts w:ascii="Arial" w:hAnsi="Arial" w:cs="Arial"/>
          <w:sz w:val="20"/>
          <w:szCs w:val="20"/>
        </w:rPr>
        <w:t xml:space="preserve"> both by professionals and by his carers during a period of over 2 years do not support the </w:t>
      </w:r>
      <w:r w:rsidR="00DE3C0C">
        <w:rPr>
          <w:rFonts w:ascii="Arial" w:hAnsi="Arial" w:cs="Arial"/>
          <w:sz w:val="20"/>
          <w:szCs w:val="20"/>
        </w:rPr>
        <w:t>[expert’s]</w:t>
      </w:r>
      <w:r w:rsidRPr="0030515F">
        <w:rPr>
          <w:rFonts w:ascii="Arial" w:hAnsi="Arial" w:cs="Arial"/>
          <w:sz w:val="20"/>
          <w:szCs w:val="20"/>
        </w:rPr>
        <w:t xml:space="preserve"> proposition that </w:t>
      </w:r>
      <w:r w:rsidR="002805B6">
        <w:rPr>
          <w:rFonts w:ascii="Arial" w:hAnsi="Arial" w:cs="Arial"/>
          <w:sz w:val="20"/>
          <w:szCs w:val="20"/>
        </w:rPr>
        <w:t>[the child]</w:t>
      </w:r>
      <w:r w:rsidRPr="0030515F">
        <w:rPr>
          <w:rFonts w:ascii="Arial" w:hAnsi="Arial" w:cs="Arial"/>
          <w:sz w:val="20"/>
          <w:szCs w:val="20"/>
        </w:rPr>
        <w:t xml:space="preserve"> is displaying an insecure style of attachment to his carers.  Nor do the expert opinions of </w:t>
      </w:r>
      <w:r>
        <w:rPr>
          <w:rFonts w:ascii="Arial" w:hAnsi="Arial" w:cs="Arial"/>
          <w:sz w:val="20"/>
          <w:szCs w:val="20"/>
        </w:rPr>
        <w:t>[</w:t>
      </w:r>
      <w:r w:rsidR="00DE3C0C">
        <w:rPr>
          <w:rFonts w:ascii="Arial" w:hAnsi="Arial" w:cs="Arial"/>
          <w:sz w:val="20"/>
          <w:szCs w:val="20"/>
        </w:rPr>
        <w:t>two</w:t>
      </w:r>
      <w:r>
        <w:rPr>
          <w:rFonts w:ascii="Arial" w:hAnsi="Arial" w:cs="Arial"/>
          <w:sz w:val="20"/>
          <w:szCs w:val="20"/>
        </w:rPr>
        <w:t xml:space="preserve"> other professionals]</w:t>
      </w:r>
      <w:r w:rsidRPr="0030515F">
        <w:rPr>
          <w:rFonts w:ascii="Arial" w:hAnsi="Arial" w:cs="Arial"/>
          <w:sz w:val="20"/>
          <w:szCs w:val="20"/>
        </w:rPr>
        <w:t xml:space="preserve"> support that proposition</w:t>
      </w:r>
      <w:r w:rsidR="00B05BA3">
        <w:rPr>
          <w:rFonts w:ascii="Arial" w:hAnsi="Arial" w:cs="Arial"/>
          <w:sz w:val="20"/>
          <w:szCs w:val="20"/>
        </w:rPr>
        <w:t>…</w:t>
      </w:r>
    </w:p>
    <w:p w14:paraId="438BD19D" w14:textId="77777777" w:rsidR="00B05BA3" w:rsidRPr="0030515F" w:rsidRDefault="00B05BA3" w:rsidP="006A4203">
      <w:pPr>
        <w:spacing w:before="60"/>
        <w:ind w:left="567" w:right="567"/>
        <w:jc w:val="both"/>
        <w:rPr>
          <w:rFonts w:ascii="Arial" w:hAnsi="Arial" w:cs="Arial"/>
          <w:sz w:val="20"/>
          <w:szCs w:val="20"/>
        </w:rPr>
      </w:pPr>
      <w:r w:rsidRPr="00B05BA3">
        <w:rPr>
          <w:rFonts w:ascii="Arial" w:hAnsi="Arial" w:cs="Arial"/>
          <w:sz w:val="20"/>
          <w:szCs w:val="20"/>
        </w:rPr>
        <w:t xml:space="preserve">I do not accept on the balance of probabilities that </w:t>
      </w:r>
      <w:r w:rsidR="002805B6">
        <w:rPr>
          <w:rFonts w:ascii="Arial" w:hAnsi="Arial" w:cs="Arial"/>
          <w:sz w:val="20"/>
          <w:szCs w:val="20"/>
        </w:rPr>
        <w:t>[the child]</w:t>
      </w:r>
      <w:r w:rsidRPr="00B05BA3">
        <w:rPr>
          <w:rFonts w:ascii="Arial" w:hAnsi="Arial" w:cs="Arial"/>
          <w:sz w:val="20"/>
          <w:szCs w:val="20"/>
        </w:rPr>
        <w:t xml:space="preserve"> has an attachment disorder or a disordered attachment style of any sort.  To do so would be to accept the sort of </w:t>
      </w:r>
      <w:r w:rsidR="007510AE">
        <w:rPr>
          <w:rFonts w:ascii="Arial" w:hAnsi="Arial" w:cs="Arial"/>
          <w:sz w:val="20"/>
          <w:szCs w:val="20"/>
        </w:rPr>
        <w:t>‘</w:t>
      </w:r>
      <w:r w:rsidRPr="00B05BA3">
        <w:rPr>
          <w:rFonts w:ascii="Arial" w:hAnsi="Arial" w:cs="Arial"/>
          <w:sz w:val="20"/>
          <w:szCs w:val="20"/>
        </w:rPr>
        <w:t>mere suspicion, surmise or guesswork</w:t>
      </w:r>
      <w:r w:rsidR="007510AE">
        <w:rPr>
          <w:rFonts w:ascii="Arial" w:hAnsi="Arial" w:cs="Arial"/>
          <w:sz w:val="20"/>
          <w:szCs w:val="20"/>
        </w:rPr>
        <w:t>’</w:t>
      </w:r>
      <w:r w:rsidRPr="00B05BA3">
        <w:rPr>
          <w:rFonts w:ascii="Arial" w:hAnsi="Arial" w:cs="Arial"/>
          <w:sz w:val="20"/>
          <w:szCs w:val="20"/>
        </w:rPr>
        <w:t xml:space="preserve"> castigated by Latham CJ in </w:t>
      </w:r>
      <w:proofErr w:type="spellStart"/>
      <w:r w:rsidRPr="00B05BA3">
        <w:rPr>
          <w:rFonts w:ascii="Arial" w:hAnsi="Arial" w:cs="Arial"/>
          <w:i/>
          <w:sz w:val="20"/>
          <w:szCs w:val="20"/>
        </w:rPr>
        <w:t>Briginshaw</w:t>
      </w:r>
      <w:proofErr w:type="spellEnd"/>
      <w:r w:rsidRPr="00B05BA3">
        <w:rPr>
          <w:rFonts w:ascii="Arial" w:hAnsi="Arial" w:cs="Arial"/>
          <w:i/>
          <w:sz w:val="20"/>
          <w:szCs w:val="20"/>
        </w:rPr>
        <w:t xml:space="preserve"> v </w:t>
      </w:r>
      <w:proofErr w:type="spellStart"/>
      <w:r w:rsidRPr="00B05BA3">
        <w:rPr>
          <w:rFonts w:ascii="Arial" w:hAnsi="Arial" w:cs="Arial"/>
          <w:i/>
          <w:sz w:val="20"/>
          <w:szCs w:val="20"/>
        </w:rPr>
        <w:t>Briginshaw</w:t>
      </w:r>
      <w:proofErr w:type="spellEnd"/>
      <w:r w:rsidRPr="00B05BA3">
        <w:rPr>
          <w:rFonts w:ascii="Arial" w:hAnsi="Arial" w:cs="Arial"/>
          <w:sz w:val="20"/>
          <w:szCs w:val="20"/>
        </w:rPr>
        <w:t xml:space="preserve">.  On the contrary, I am satisfied on balancing </w:t>
      </w:r>
      <w:r w:rsidRPr="00B05BA3">
        <w:rPr>
          <w:rFonts w:ascii="Arial" w:hAnsi="Arial" w:cs="Arial"/>
          <w:sz w:val="20"/>
          <w:szCs w:val="20"/>
          <w:u w:val="single"/>
        </w:rPr>
        <w:t>all</w:t>
      </w:r>
      <w:r w:rsidRPr="00B05BA3">
        <w:rPr>
          <w:rFonts w:ascii="Arial" w:hAnsi="Arial" w:cs="Arial"/>
          <w:sz w:val="20"/>
          <w:szCs w:val="20"/>
        </w:rPr>
        <w:t xml:space="preserve"> of the evidence</w:t>
      </w:r>
      <w:r>
        <w:rPr>
          <w:rFonts w:ascii="Arial" w:hAnsi="Arial" w:cs="Arial"/>
          <w:sz w:val="20"/>
          <w:szCs w:val="20"/>
        </w:rPr>
        <w:t>…</w:t>
      </w:r>
      <w:r w:rsidRPr="00B05BA3">
        <w:rPr>
          <w:rFonts w:ascii="Arial" w:hAnsi="Arial" w:cs="Arial"/>
          <w:sz w:val="20"/>
          <w:szCs w:val="20"/>
        </w:rPr>
        <w:t xml:space="preserve">that </w:t>
      </w:r>
      <w:r>
        <w:rPr>
          <w:rFonts w:ascii="Arial" w:hAnsi="Arial" w:cs="Arial"/>
          <w:sz w:val="20"/>
          <w:szCs w:val="20"/>
        </w:rPr>
        <w:t>[the child]</w:t>
      </w:r>
      <w:r w:rsidRPr="00B05BA3">
        <w:rPr>
          <w:rFonts w:ascii="Arial" w:hAnsi="Arial" w:cs="Arial"/>
          <w:sz w:val="20"/>
          <w:szCs w:val="20"/>
        </w:rPr>
        <w:t xml:space="preserve"> has a strong, secure and healthy attachment to his primary attachment figures</w:t>
      </w:r>
      <w:r>
        <w:rPr>
          <w:rFonts w:ascii="Arial" w:hAnsi="Arial" w:cs="Arial"/>
          <w:sz w:val="20"/>
          <w:szCs w:val="20"/>
        </w:rPr>
        <w:t>”</w:t>
      </w:r>
      <w:r w:rsidRPr="00B05BA3">
        <w:rPr>
          <w:rFonts w:ascii="Arial" w:hAnsi="Arial" w:cs="Arial"/>
          <w:sz w:val="20"/>
          <w:szCs w:val="20"/>
        </w:rPr>
        <w:t>.</w:t>
      </w:r>
    </w:p>
    <w:p w14:paraId="65F54E16" w14:textId="77777777" w:rsidR="00FE2913" w:rsidRDefault="00FE2913">
      <w:pPr>
        <w:jc w:val="both"/>
        <w:rPr>
          <w:rFonts w:ascii="Arial" w:hAnsi="Arial" w:cs="Arial"/>
          <w:sz w:val="20"/>
        </w:rPr>
      </w:pPr>
    </w:p>
    <w:p w14:paraId="0EC19FA6" w14:textId="77777777" w:rsidR="007510AE" w:rsidRDefault="007510AE">
      <w:pPr>
        <w:jc w:val="both"/>
        <w:rPr>
          <w:rFonts w:ascii="Arial" w:hAnsi="Arial" w:cs="Arial"/>
          <w:sz w:val="20"/>
        </w:rPr>
      </w:pPr>
      <w:r>
        <w:rPr>
          <w:rFonts w:ascii="Arial" w:hAnsi="Arial" w:cs="Arial"/>
          <w:sz w:val="20"/>
        </w:rPr>
        <w:t>That finding, read in conjunction with the opinion of Dr Rolfe on the “transfer” of attachment, led the Court to find at section 28.5 that:</w:t>
      </w:r>
    </w:p>
    <w:p w14:paraId="35166E3C" w14:textId="77777777" w:rsidR="007510AE" w:rsidRPr="0030515F" w:rsidRDefault="007510AE" w:rsidP="006A4203">
      <w:pPr>
        <w:spacing w:before="60"/>
        <w:ind w:left="567" w:right="567"/>
        <w:jc w:val="both"/>
        <w:rPr>
          <w:rFonts w:ascii="Arial" w:hAnsi="Arial" w:cs="Arial"/>
          <w:sz w:val="20"/>
          <w:szCs w:val="20"/>
        </w:rPr>
      </w:pPr>
      <w:r>
        <w:rPr>
          <w:rFonts w:ascii="Arial" w:hAnsi="Arial" w:cs="Arial"/>
          <w:sz w:val="20"/>
          <w:szCs w:val="20"/>
        </w:rPr>
        <w:t>“</w:t>
      </w:r>
      <w:r w:rsidRPr="007510AE">
        <w:rPr>
          <w:rFonts w:ascii="Arial" w:hAnsi="Arial" w:cs="Arial"/>
          <w:sz w:val="20"/>
        </w:rPr>
        <w:t xml:space="preserve">Paradoxically perhaps, the fact that </w:t>
      </w:r>
      <w:r>
        <w:rPr>
          <w:rFonts w:ascii="Arial" w:hAnsi="Arial" w:cs="Arial"/>
          <w:sz w:val="20"/>
        </w:rPr>
        <w:t>[the child]</w:t>
      </w:r>
      <w:r w:rsidRPr="007510AE">
        <w:rPr>
          <w:rFonts w:ascii="Arial" w:hAnsi="Arial" w:cs="Arial"/>
          <w:sz w:val="20"/>
        </w:rPr>
        <w:t xml:space="preserve"> has a secure attachment to his carers – his current primary attachment figures – is likely to make the transfer of that attachment to his parents a less traumatic experience for him.</w:t>
      </w:r>
      <w:r>
        <w:rPr>
          <w:rFonts w:ascii="Arial" w:hAnsi="Arial" w:cs="Arial"/>
          <w:sz w:val="20"/>
          <w:szCs w:val="20"/>
        </w:rPr>
        <w:t>”</w:t>
      </w:r>
    </w:p>
    <w:p w14:paraId="388FBFDA" w14:textId="77777777" w:rsidR="007510AE" w:rsidRDefault="007510AE">
      <w:pPr>
        <w:jc w:val="both"/>
        <w:rPr>
          <w:rFonts w:ascii="Arial" w:hAnsi="Arial" w:cs="Arial"/>
          <w:sz w:val="20"/>
        </w:rPr>
      </w:pPr>
    </w:p>
    <w:p w14:paraId="7DBFCFAE" w14:textId="77777777" w:rsidR="00693223" w:rsidRDefault="00693223">
      <w:pPr>
        <w:jc w:val="both"/>
        <w:rPr>
          <w:rFonts w:ascii="Arial" w:hAnsi="Arial" w:cs="Arial"/>
          <w:sz w:val="20"/>
        </w:rPr>
      </w:pPr>
      <w:r>
        <w:rPr>
          <w:rFonts w:ascii="Arial" w:hAnsi="Arial" w:cs="Arial"/>
          <w:sz w:val="20"/>
        </w:rPr>
        <w:t xml:space="preserve">Relevant literature focussing on insecure or disorganized attachment includes Angela Hobday (2001) </w:t>
      </w:r>
      <w:proofErr w:type="spellStart"/>
      <w:r>
        <w:rPr>
          <w:rFonts w:ascii="Arial" w:hAnsi="Arial" w:cs="Arial"/>
          <w:i/>
          <w:iCs/>
          <w:sz w:val="20"/>
        </w:rPr>
        <w:t>Timeholes</w:t>
      </w:r>
      <w:proofErr w:type="spellEnd"/>
      <w:r>
        <w:rPr>
          <w:rFonts w:ascii="Arial" w:hAnsi="Arial" w:cs="Arial"/>
          <w:i/>
          <w:iCs/>
          <w:sz w:val="20"/>
        </w:rPr>
        <w:t>: A Useful Metaphor when Explaining Unusual or Bizarre Behaviour in Children Who Have Moved Families,</w:t>
      </w:r>
      <w:r>
        <w:rPr>
          <w:rFonts w:ascii="Arial" w:hAnsi="Arial" w:cs="Arial"/>
          <w:sz w:val="20"/>
        </w:rPr>
        <w:t xml:space="preserve"> Clinical Child Psychology and Psychiatry, V6(1), 41-</w:t>
      </w:r>
      <w:proofErr w:type="gramStart"/>
      <w:r>
        <w:rPr>
          <w:rFonts w:ascii="Arial" w:hAnsi="Arial" w:cs="Arial"/>
          <w:sz w:val="20"/>
        </w:rPr>
        <w:t xml:space="preserve">47;  </w:t>
      </w:r>
      <w:proofErr w:type="spellStart"/>
      <w:r>
        <w:rPr>
          <w:rFonts w:ascii="Arial" w:hAnsi="Arial" w:cs="Arial"/>
          <w:sz w:val="20"/>
        </w:rPr>
        <w:t>Karlen</w:t>
      </w:r>
      <w:proofErr w:type="spellEnd"/>
      <w:proofErr w:type="gramEnd"/>
      <w:r>
        <w:rPr>
          <w:rFonts w:ascii="Arial" w:hAnsi="Arial" w:cs="Arial"/>
          <w:sz w:val="20"/>
        </w:rPr>
        <w:t xml:space="preserve"> Lyons-Ruth (1996) </w:t>
      </w:r>
      <w:r>
        <w:rPr>
          <w:rFonts w:ascii="Arial" w:hAnsi="Arial" w:cs="Arial"/>
          <w:i/>
          <w:iCs/>
          <w:sz w:val="20"/>
        </w:rPr>
        <w:t xml:space="preserve">Attachment Relationships Among Children with Aggressive </w:t>
      </w:r>
      <w:r>
        <w:rPr>
          <w:rFonts w:ascii="Arial" w:hAnsi="Arial" w:cs="Arial"/>
          <w:i/>
          <w:iCs/>
          <w:sz w:val="20"/>
        </w:rPr>
        <w:lastRenderedPageBreak/>
        <w:t>Behaviour Problems: The Role of Disorganized Early Attachment Patterns</w:t>
      </w:r>
      <w:r>
        <w:rPr>
          <w:rFonts w:ascii="Arial" w:hAnsi="Arial" w:cs="Arial"/>
          <w:sz w:val="20"/>
        </w:rPr>
        <w:t>, Journal of Consulting and Clinical Psychology, V64, No.1, 64-73.</w:t>
      </w:r>
    </w:p>
    <w:p w14:paraId="428F3CF9" w14:textId="77777777" w:rsidR="00693223" w:rsidRDefault="00693223">
      <w:pPr>
        <w:jc w:val="both"/>
        <w:rPr>
          <w:rFonts w:ascii="Arial" w:hAnsi="Arial" w:cs="Arial"/>
          <w:sz w:val="20"/>
        </w:rPr>
      </w:pPr>
    </w:p>
    <w:p w14:paraId="0C22F28E" w14:textId="77777777" w:rsidR="00693223" w:rsidRDefault="00693223">
      <w:pPr>
        <w:pStyle w:val="Heading2"/>
        <w:keepNext/>
        <w:keepLines/>
        <w:tabs>
          <w:tab w:val="left" w:pos="567"/>
        </w:tabs>
        <w:spacing w:line="240" w:lineRule="auto"/>
        <w:rPr>
          <w:rFonts w:ascii="Arial" w:hAnsi="Arial" w:cs="Arial"/>
          <w:b/>
          <w:bCs/>
        </w:rPr>
      </w:pPr>
      <w:bookmarkStart w:id="1677" w:name="_4.13_Shared_care"/>
      <w:bookmarkStart w:id="1678" w:name="B413"/>
      <w:bookmarkStart w:id="1679" w:name="_Toc32285537"/>
      <w:bookmarkStart w:id="1680" w:name="_Toc34823404"/>
      <w:bookmarkEnd w:id="1677"/>
      <w:bookmarkEnd w:id="1678"/>
      <w:r>
        <w:rPr>
          <w:rFonts w:ascii="Arial" w:hAnsi="Arial" w:cs="Arial"/>
          <w:b/>
          <w:bCs/>
        </w:rPr>
        <w:t>4.1</w:t>
      </w:r>
      <w:r w:rsidR="002E5754">
        <w:rPr>
          <w:rFonts w:ascii="Arial" w:hAnsi="Arial" w:cs="Arial"/>
          <w:b/>
          <w:bCs/>
        </w:rPr>
        <w:t>3</w:t>
      </w:r>
      <w:r>
        <w:rPr>
          <w:rFonts w:ascii="Arial" w:hAnsi="Arial" w:cs="Arial"/>
          <w:b/>
          <w:bCs/>
        </w:rPr>
        <w:tab/>
        <w:t>Shared care of a young child</w:t>
      </w:r>
      <w:bookmarkEnd w:id="1679"/>
      <w:bookmarkEnd w:id="1680"/>
    </w:p>
    <w:p w14:paraId="33BFD9C0" w14:textId="77777777" w:rsidR="00693223" w:rsidRDefault="00693223">
      <w:pPr>
        <w:keepNext/>
        <w:keepLines/>
        <w:widowControl w:val="0"/>
        <w:rPr>
          <w:rFonts w:ascii="Arial" w:hAnsi="Arial" w:cs="Arial"/>
          <w:sz w:val="20"/>
        </w:rPr>
      </w:pPr>
    </w:p>
    <w:p w14:paraId="62115C03" w14:textId="77777777" w:rsidR="00693223" w:rsidRDefault="00693223" w:rsidP="006A4203">
      <w:pPr>
        <w:jc w:val="both"/>
        <w:rPr>
          <w:rFonts w:ascii="Arial" w:hAnsi="Arial" w:cs="Arial"/>
          <w:sz w:val="20"/>
        </w:rPr>
      </w:pPr>
      <w:r>
        <w:rPr>
          <w:rFonts w:ascii="Arial" w:hAnsi="Arial" w:cs="Arial"/>
          <w:sz w:val="20"/>
        </w:rPr>
        <w:t xml:space="preserve">In a case for which Dr </w:t>
      </w:r>
      <w:proofErr w:type="spellStart"/>
      <w:r>
        <w:rPr>
          <w:rFonts w:ascii="Arial" w:hAnsi="Arial" w:cs="Arial"/>
          <w:sz w:val="20"/>
        </w:rPr>
        <w:t>Sharne</w:t>
      </w:r>
      <w:proofErr w:type="spellEnd"/>
      <w:r>
        <w:rPr>
          <w:rFonts w:ascii="Arial" w:hAnsi="Arial" w:cs="Arial"/>
          <w:sz w:val="20"/>
        </w:rPr>
        <w:t xml:space="preserve"> Rolfe wrote a Court report in April 2002, care of a 3 year old child, C, had been extensively shared between four main caregivers: the mother, the father and the grandparents, particularly the grandmother.  This arrangement was instituted within the first weeks after birth so from early infancy C had experienced a small number of carers within the biological family and regular contact with all these people on an ongoing basis.  Dr Rolfe concluded that:</w:t>
      </w:r>
    </w:p>
    <w:p w14:paraId="4F03C0F2" w14:textId="77777777" w:rsidR="00693223" w:rsidRDefault="00693223" w:rsidP="002239D1">
      <w:pPr>
        <w:numPr>
          <w:ilvl w:val="0"/>
          <w:numId w:val="5"/>
        </w:numPr>
        <w:tabs>
          <w:tab w:val="clear" w:pos="360"/>
          <w:tab w:val="num" w:pos="363"/>
          <w:tab w:val="num" w:pos="720"/>
        </w:tabs>
        <w:ind w:left="363" w:hanging="363"/>
        <w:jc w:val="both"/>
        <w:rPr>
          <w:rFonts w:ascii="Arial" w:hAnsi="Arial" w:cs="Arial"/>
          <w:sz w:val="20"/>
        </w:rPr>
      </w:pPr>
      <w:r>
        <w:rPr>
          <w:rFonts w:ascii="Arial" w:hAnsi="Arial" w:cs="Arial"/>
          <w:sz w:val="20"/>
        </w:rPr>
        <w:t>the availability of C's grandparents at times of parental crisis had been "a critical 'protective' factor in [C's] life, enhancing his resilience in the face of ongoing exposure to the risk factor of parental domestic violence";</w:t>
      </w:r>
    </w:p>
    <w:p w14:paraId="5E0DE64B" w14:textId="77777777" w:rsidR="00693223" w:rsidRDefault="00693223" w:rsidP="002239D1">
      <w:pPr>
        <w:numPr>
          <w:ilvl w:val="0"/>
          <w:numId w:val="5"/>
        </w:numPr>
        <w:tabs>
          <w:tab w:val="clear" w:pos="360"/>
          <w:tab w:val="num" w:pos="363"/>
          <w:tab w:val="num" w:pos="720"/>
        </w:tabs>
        <w:ind w:left="363" w:hanging="363"/>
        <w:jc w:val="both"/>
        <w:rPr>
          <w:rFonts w:ascii="Arial" w:hAnsi="Arial" w:cs="Arial"/>
          <w:sz w:val="20"/>
        </w:rPr>
      </w:pPr>
      <w:r>
        <w:rPr>
          <w:rFonts w:ascii="Arial" w:hAnsi="Arial" w:cs="Arial"/>
          <w:sz w:val="20"/>
        </w:rPr>
        <w:t>the "shared and flexible arrangements" regarding C's care within his family had also "protected him from major disruptions to his relationship with his parents, as, for example, would be the case if foster care placements had occurred"; and</w:t>
      </w:r>
    </w:p>
    <w:p w14:paraId="5648B80A" w14:textId="77777777" w:rsidR="00693223" w:rsidRDefault="00693223" w:rsidP="002239D1">
      <w:pPr>
        <w:numPr>
          <w:ilvl w:val="0"/>
          <w:numId w:val="5"/>
        </w:numPr>
        <w:tabs>
          <w:tab w:val="clear" w:pos="360"/>
          <w:tab w:val="num" w:pos="363"/>
          <w:tab w:val="num" w:pos="720"/>
        </w:tabs>
        <w:ind w:left="363" w:hanging="363"/>
        <w:jc w:val="both"/>
        <w:rPr>
          <w:rFonts w:ascii="Arial" w:hAnsi="Arial" w:cs="Arial"/>
          <w:sz w:val="20"/>
        </w:rPr>
      </w:pPr>
      <w:r>
        <w:rPr>
          <w:rFonts w:ascii="Arial" w:hAnsi="Arial" w:cs="Arial"/>
          <w:sz w:val="20"/>
        </w:rPr>
        <w:t>"the case history is consistent with [C] forming attachments to the four caregiving figures available to him".</w:t>
      </w:r>
    </w:p>
    <w:p w14:paraId="3EC94DF2" w14:textId="77777777" w:rsidR="00693223" w:rsidRDefault="00693223">
      <w:pPr>
        <w:rPr>
          <w:rFonts w:ascii="Arial" w:hAnsi="Arial" w:cs="Arial"/>
          <w:sz w:val="20"/>
        </w:rPr>
      </w:pPr>
    </w:p>
    <w:p w14:paraId="4BC00F7C" w14:textId="77777777" w:rsidR="00693223" w:rsidRDefault="00693223">
      <w:pPr>
        <w:jc w:val="both"/>
        <w:rPr>
          <w:rFonts w:ascii="Arial" w:hAnsi="Arial" w:cs="Arial"/>
          <w:sz w:val="20"/>
        </w:rPr>
      </w:pPr>
      <w:r>
        <w:rPr>
          <w:rFonts w:ascii="Arial" w:hAnsi="Arial" w:cs="Arial"/>
          <w:sz w:val="20"/>
        </w:rPr>
        <w:t>Although writing in a carefully qualified way, Dr Rolfe generally saw no threat to a child's emotional wellbeing from shared care between a small number of attachment figures provided that the child had developed a secure attachment, the transitions were appropriately managed and there was no psychological tug-of-war between the sharers:</w:t>
      </w:r>
    </w:p>
    <w:p w14:paraId="221EE855" w14:textId="77777777" w:rsidR="00693223" w:rsidRDefault="00693223" w:rsidP="006A4203">
      <w:pPr>
        <w:spacing w:before="120"/>
        <w:ind w:left="567" w:right="567"/>
        <w:jc w:val="both"/>
        <w:rPr>
          <w:rFonts w:ascii="Arial" w:hAnsi="Arial" w:cs="Arial"/>
          <w:sz w:val="20"/>
        </w:rPr>
      </w:pPr>
      <w:r>
        <w:rPr>
          <w:rFonts w:ascii="Arial" w:hAnsi="Arial" w:cs="Arial"/>
          <w:sz w:val="20"/>
        </w:rPr>
        <w:t xml:space="preserve">"Generally speaking, shared care between a small number of attachment figures does not pose a threat to the child's emotional wellbeing (Goldberg, S. (2000) </w:t>
      </w:r>
      <w:r>
        <w:rPr>
          <w:rFonts w:ascii="Arial" w:hAnsi="Arial" w:cs="Arial"/>
          <w:i/>
          <w:iCs/>
          <w:sz w:val="20"/>
        </w:rPr>
        <w:t>Attachment and development.</w:t>
      </w:r>
      <w:r>
        <w:rPr>
          <w:rFonts w:ascii="Arial" w:hAnsi="Arial" w:cs="Arial"/>
          <w:sz w:val="20"/>
        </w:rPr>
        <w:t xml:space="preserve">  </w:t>
      </w:r>
      <w:smartTag w:uri="urn:schemas-microsoft-com:office:smarttags" w:element="City">
        <w:r>
          <w:rPr>
            <w:rFonts w:ascii="Arial" w:hAnsi="Arial" w:cs="Arial"/>
            <w:sz w:val="20"/>
          </w:rPr>
          <w:t>London</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Arnold</w:t>
          </w:r>
        </w:smartTag>
      </w:smartTag>
      <w:r>
        <w:rPr>
          <w:rFonts w:ascii="Arial" w:hAnsi="Arial" w:cs="Arial"/>
          <w:sz w:val="20"/>
        </w:rPr>
        <w:t>).  Indeed, as Goldberg notes, 'many infants have multiple figures to whom they can form attachments' (p.106).  Nonetheless, she also presents evidence that most infants and young children form a preference hierarchy, with the attachment figure most preferred not necessarily the mother or even the person who spends most time with the child.  The most likely factor influencing the formation of the child's preferences is the quality of the caregiving provided.  Sensitivity, consistency, responsiveness and loving nurture and the feelings of safety and security that flow from these are likely implicated in who the child most prefers under shared care arrangements.</w:t>
      </w:r>
    </w:p>
    <w:p w14:paraId="16C3C804" w14:textId="77777777" w:rsidR="00693223" w:rsidRDefault="00693223">
      <w:pPr>
        <w:spacing w:before="120"/>
        <w:ind w:left="567" w:right="567"/>
        <w:jc w:val="both"/>
        <w:rPr>
          <w:rFonts w:ascii="Arial" w:hAnsi="Arial" w:cs="Arial"/>
          <w:sz w:val="20"/>
        </w:rPr>
      </w:pPr>
      <w:r>
        <w:rPr>
          <w:rFonts w:ascii="Arial" w:hAnsi="Arial" w:cs="Arial"/>
          <w:sz w:val="20"/>
        </w:rPr>
        <w:t>Finally, two further factors will likely impact on how shared care affects children in general, and [this child] in particular.  One relates to the circumstances associated with the transitions between various caregiving figures.  In [this] case, it appears there have been transitions from [C's] parents' care to his grandparents' care that have been associated with high level domestic violence.  Secondly, shared care can be highly detrimental to a child if it is accompanied by a psychological tug-of-war between the various adult carers.  The experiences of divided loyalties to which this exposes a child are highly damaging, both emotionally and psychologically, and are accompanied by distress and confusion in the child."</w:t>
      </w:r>
    </w:p>
    <w:p w14:paraId="6FDD11B3" w14:textId="77777777" w:rsidR="00693223" w:rsidRDefault="00693223">
      <w:pPr>
        <w:rPr>
          <w:rFonts w:ascii="Arial" w:hAnsi="Arial" w:cs="Arial"/>
          <w:sz w:val="20"/>
        </w:rPr>
      </w:pPr>
    </w:p>
    <w:p w14:paraId="0EFCEE7A" w14:textId="77777777" w:rsidR="00693223" w:rsidRDefault="00693223">
      <w:pPr>
        <w:jc w:val="both"/>
        <w:rPr>
          <w:rFonts w:ascii="Arial" w:hAnsi="Arial" w:cs="Arial"/>
          <w:sz w:val="20"/>
        </w:rPr>
      </w:pPr>
      <w:r>
        <w:rPr>
          <w:rFonts w:ascii="Arial" w:hAnsi="Arial" w:cs="Arial"/>
          <w:sz w:val="20"/>
        </w:rPr>
        <w:t>In a report to the Children's Court in May 2000 about a very different case Dr Susie Allanson, Clinical Psychologist, was strongly critical of the shared care arrangement in that case and was unenthusiastic about shared care arrangements in general.  The child, X, was aged 3¼ years.  She had initially resided with her parents until they separated - in a maelstrom of domestic violence and drug use - when she was 21 months old.  She had then lived with her mother for the next 12 months until her mother's drug use got the better of her.  She was then placed in fostercare for 3 weeks and with her father and paternal grandmother for the next 3 months.  Then she was returned to her mother for 5 weeks.  At the time of the assessment her care was being alternated weekly between her father (residing with the paternal grandmother) and her mother (residing with the maternal great grandparents).  Dr Allanson criticised this arrangement in trenchant terms:</w:t>
      </w:r>
    </w:p>
    <w:p w14:paraId="185567E9" w14:textId="77777777" w:rsidR="00693223" w:rsidRDefault="00693223">
      <w:pPr>
        <w:spacing w:before="120"/>
        <w:ind w:left="567" w:right="567"/>
        <w:jc w:val="both"/>
        <w:rPr>
          <w:rFonts w:ascii="Arial" w:hAnsi="Arial" w:cs="Arial"/>
          <w:sz w:val="20"/>
        </w:rPr>
      </w:pPr>
      <w:r>
        <w:rPr>
          <w:rFonts w:ascii="Arial" w:hAnsi="Arial" w:cs="Arial"/>
          <w:sz w:val="20"/>
        </w:rPr>
        <w:t xml:space="preserve">"Both current psychological </w:t>
      </w:r>
      <w:proofErr w:type="gramStart"/>
      <w:r>
        <w:rPr>
          <w:rFonts w:ascii="Arial" w:hAnsi="Arial" w:cs="Arial"/>
          <w:sz w:val="20"/>
        </w:rPr>
        <w:t>opinion</w:t>
      </w:r>
      <w:proofErr w:type="gramEnd"/>
      <w:r>
        <w:rPr>
          <w:rFonts w:ascii="Arial" w:hAnsi="Arial" w:cs="Arial"/>
          <w:sz w:val="20"/>
        </w:rPr>
        <w:t xml:space="preserve"> rooted in extensive research findings and clinical experience, and commonsense understandings of child development, are generally agreed that small children can only tolerate brief separations from their primary attachment figure.  It is highly unusual, if not unheard of, for a very young </w:t>
      </w:r>
      <w:r>
        <w:rPr>
          <w:rFonts w:ascii="Arial" w:hAnsi="Arial" w:cs="Arial"/>
          <w:sz w:val="20"/>
        </w:rPr>
        <w:lastRenderedPageBreak/>
        <w:t>child like [X], to be involved in a week-about shared care arrangement, even in the most positive circumstances.  A phone conversation with the Director of Counselling at the Family Court…confirmed that such shared care arrangements for very young children are almost never entered into because of the devastating impact on the child's sense of security.  According to [the Director], in very rare instances where this would be considered two conditions would need to be fulfilled: (i) an extremely high level of cooperation between the parents; and (ii) the parents live in close geographical proximity.  These conditions would minimise the emotional dislocation experienced by the child, because the child's expressed need for either parent at any time would take precedence over any other demands.  The presence of an older sibling may also be a facilitating factor.  Sadly, although in [X's] case the parents live in geographical proximity, other facilitating conditions are not present."</w:t>
      </w:r>
    </w:p>
    <w:p w14:paraId="1F8001DB" w14:textId="77777777" w:rsidR="00693223" w:rsidRDefault="00693223">
      <w:pPr>
        <w:rPr>
          <w:rFonts w:ascii="Arial" w:hAnsi="Arial" w:cs="Arial"/>
          <w:sz w:val="20"/>
        </w:rPr>
      </w:pPr>
    </w:p>
    <w:p w14:paraId="0CD3E87B" w14:textId="77777777" w:rsidR="00693223" w:rsidRDefault="00693223">
      <w:pPr>
        <w:jc w:val="both"/>
        <w:rPr>
          <w:rFonts w:ascii="Arial" w:hAnsi="Arial" w:cs="Arial"/>
          <w:sz w:val="20"/>
        </w:rPr>
      </w:pPr>
      <w:r>
        <w:rPr>
          <w:rFonts w:ascii="Arial" w:hAnsi="Arial" w:cs="Arial"/>
          <w:sz w:val="20"/>
        </w:rPr>
        <w:t>It needs to be emphasised that X's case involved a very different shared care arrangement from the case on which Dr Rolfe reported and it may be that any perceived difference in the psychologists' views simply reflects the difference between the respective cases, rather than any significant difference in philosophy.</w:t>
      </w:r>
    </w:p>
    <w:p w14:paraId="388A79D2" w14:textId="77777777" w:rsidR="00E14F02" w:rsidRDefault="00E14F02" w:rsidP="00E14F02">
      <w:pPr>
        <w:jc w:val="both"/>
        <w:rPr>
          <w:rFonts w:ascii="Arial" w:hAnsi="Arial" w:cs="Arial"/>
          <w:sz w:val="20"/>
        </w:rPr>
      </w:pPr>
    </w:p>
    <w:p w14:paraId="33703D8A" w14:textId="77777777" w:rsidR="00C41F4C" w:rsidRDefault="00C41F4C" w:rsidP="00E14F02">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 </w:t>
      </w:r>
      <w:r w:rsidR="00BD3832">
        <w:rPr>
          <w:rFonts w:ascii="Arial" w:hAnsi="Arial" w:cs="Arial"/>
          <w:sz w:val="20"/>
        </w:rPr>
        <w:t xml:space="preserve">the subject child – aged 2y5m – had been </w:t>
      </w:r>
      <w:r w:rsidR="003E7D50">
        <w:rPr>
          <w:rFonts w:ascii="Arial" w:hAnsi="Arial" w:cs="Arial"/>
          <w:sz w:val="20"/>
        </w:rPr>
        <w:t xml:space="preserve">continuously </w:t>
      </w:r>
      <w:r w:rsidR="00BD3832">
        <w:rPr>
          <w:rFonts w:ascii="Arial" w:hAnsi="Arial" w:cs="Arial"/>
          <w:sz w:val="20"/>
        </w:rPr>
        <w:t xml:space="preserve">in the care of a foster care couple – aged 56 &amp; 60 respectively – since he </w:t>
      </w:r>
      <w:r w:rsidR="004E7AF3">
        <w:rPr>
          <w:rFonts w:ascii="Arial" w:hAnsi="Arial" w:cs="Arial"/>
          <w:sz w:val="20"/>
        </w:rPr>
        <w:t>was</w:t>
      </w:r>
      <w:r w:rsidR="00BD3832">
        <w:rPr>
          <w:rFonts w:ascii="Arial" w:hAnsi="Arial" w:cs="Arial"/>
          <w:sz w:val="20"/>
        </w:rPr>
        <w:t xml:space="preserve"> discharged from hospital at the age of 6 weeks.  </w:t>
      </w:r>
      <w:r w:rsidR="002C17CA">
        <w:rPr>
          <w:rFonts w:ascii="Arial" w:hAnsi="Arial" w:cs="Arial"/>
          <w:sz w:val="20"/>
        </w:rPr>
        <w:t xml:space="preserve">He had also had </w:t>
      </w:r>
      <w:r w:rsidR="002C17CA" w:rsidRPr="006679D2">
        <w:rPr>
          <w:rFonts w:ascii="Arial" w:hAnsi="Arial" w:cs="Arial"/>
          <w:color w:val="000000"/>
          <w:sz w:val="20"/>
        </w:rPr>
        <w:t xml:space="preserve">consistent </w:t>
      </w:r>
      <w:r w:rsidR="00E55A14" w:rsidRPr="006679D2">
        <w:rPr>
          <w:rFonts w:ascii="Arial" w:hAnsi="Arial" w:cs="Arial"/>
          <w:color w:val="000000"/>
          <w:sz w:val="20"/>
        </w:rPr>
        <w:t>contact</w:t>
      </w:r>
      <w:r w:rsidR="007C5324" w:rsidRPr="006679D2">
        <w:rPr>
          <w:rFonts w:ascii="Arial" w:hAnsi="Arial" w:cs="Arial"/>
          <w:color w:val="000000"/>
          <w:sz w:val="20"/>
        </w:rPr>
        <w:t xml:space="preserve"> with his parents although </w:t>
      </w:r>
      <w:r w:rsidR="002C17CA" w:rsidRPr="006679D2">
        <w:rPr>
          <w:rFonts w:ascii="Arial" w:hAnsi="Arial" w:cs="Arial"/>
          <w:color w:val="000000"/>
          <w:sz w:val="20"/>
        </w:rPr>
        <w:t xml:space="preserve">for </w:t>
      </w:r>
      <w:r w:rsidR="007C5324" w:rsidRPr="006679D2">
        <w:rPr>
          <w:rFonts w:ascii="Arial" w:hAnsi="Arial" w:cs="Arial"/>
          <w:color w:val="000000"/>
          <w:sz w:val="20"/>
        </w:rPr>
        <w:t xml:space="preserve">only </w:t>
      </w:r>
      <w:r w:rsidR="002C17CA" w:rsidRPr="006679D2">
        <w:rPr>
          <w:rFonts w:ascii="Arial" w:hAnsi="Arial" w:cs="Arial"/>
          <w:color w:val="000000"/>
          <w:sz w:val="20"/>
        </w:rPr>
        <w:t xml:space="preserve">one hour each week.  </w:t>
      </w:r>
      <w:r w:rsidR="00BD3832" w:rsidRPr="006679D2">
        <w:rPr>
          <w:rFonts w:ascii="Arial" w:hAnsi="Arial" w:cs="Arial"/>
          <w:color w:val="000000"/>
          <w:sz w:val="20"/>
        </w:rPr>
        <w:t>The child had been</w:t>
      </w:r>
      <w:r w:rsidR="00BD3832">
        <w:rPr>
          <w:rFonts w:ascii="Arial" w:hAnsi="Arial" w:cs="Arial"/>
          <w:sz w:val="20"/>
        </w:rPr>
        <w:t xml:space="preserve"> born four weeks premature and prenatally drug affected.  However, it was conceded by DOHS that the</w:t>
      </w:r>
      <w:r w:rsidR="003E7D50">
        <w:rPr>
          <w:rFonts w:ascii="Arial" w:hAnsi="Arial" w:cs="Arial"/>
          <w:sz w:val="20"/>
        </w:rPr>
        <w:t>re were no current protective concerns in relation to the</w:t>
      </w:r>
      <w:r w:rsidR="00BD3832">
        <w:rPr>
          <w:rFonts w:ascii="Arial" w:hAnsi="Arial" w:cs="Arial"/>
          <w:sz w:val="20"/>
        </w:rPr>
        <w:t xml:space="preserve"> parents </w:t>
      </w:r>
      <w:r w:rsidR="003E7D50">
        <w:rPr>
          <w:rFonts w:ascii="Arial" w:hAnsi="Arial" w:cs="Arial"/>
          <w:sz w:val="20"/>
        </w:rPr>
        <w:t xml:space="preserve">who were </w:t>
      </w:r>
      <w:r w:rsidR="00BD3832">
        <w:rPr>
          <w:rFonts w:ascii="Arial" w:hAnsi="Arial" w:cs="Arial"/>
          <w:sz w:val="20"/>
        </w:rPr>
        <w:t>recovering heroin addicts.  The Department had commissioned an assessment by an infant mental health specialist and a fa</w:t>
      </w:r>
      <w:r w:rsidR="00312A74">
        <w:rPr>
          <w:rFonts w:ascii="Arial" w:hAnsi="Arial" w:cs="Arial"/>
          <w:sz w:val="20"/>
        </w:rPr>
        <w:t xml:space="preserve">mily therapist.  The assessors postulated two options within the framework of </w:t>
      </w:r>
      <w:proofErr w:type="spellStart"/>
      <w:r w:rsidR="00312A74">
        <w:rPr>
          <w:rFonts w:ascii="Arial" w:hAnsi="Arial" w:cs="Arial"/>
          <w:sz w:val="20"/>
        </w:rPr>
        <w:t>Steinhauer’s</w:t>
      </w:r>
      <w:proofErr w:type="spellEnd"/>
      <w:r w:rsidR="00312A74">
        <w:rPr>
          <w:rFonts w:ascii="Arial" w:hAnsi="Arial" w:cs="Arial"/>
          <w:sz w:val="20"/>
        </w:rPr>
        <w:t xml:space="preserve"> “shared child” (1991):</w:t>
      </w:r>
    </w:p>
    <w:p w14:paraId="73F59F36" w14:textId="77777777" w:rsidR="00312A74" w:rsidRDefault="00312A74" w:rsidP="00FB1EE3">
      <w:pPr>
        <w:numPr>
          <w:ilvl w:val="0"/>
          <w:numId w:val="33"/>
        </w:numPr>
        <w:tabs>
          <w:tab w:val="clear" w:pos="720"/>
        </w:tabs>
        <w:ind w:left="357" w:hanging="357"/>
        <w:jc w:val="both"/>
        <w:rPr>
          <w:rFonts w:ascii="Arial" w:hAnsi="Arial" w:cs="Arial"/>
          <w:sz w:val="20"/>
        </w:rPr>
      </w:pPr>
      <w:r w:rsidRPr="00312A74">
        <w:rPr>
          <w:rFonts w:ascii="Arial" w:hAnsi="Arial" w:cs="Arial"/>
          <w:sz w:val="20"/>
          <w:u w:val="single"/>
        </w:rPr>
        <w:t>Enhanced status quo</w:t>
      </w:r>
      <w:r>
        <w:rPr>
          <w:rFonts w:ascii="Arial" w:hAnsi="Arial" w:cs="Arial"/>
          <w:sz w:val="20"/>
        </w:rPr>
        <w:t>: The child would stay with the current carers and have expanded contact with parents and extended family (if possible).</w:t>
      </w:r>
    </w:p>
    <w:p w14:paraId="30E9D0C8" w14:textId="77777777" w:rsidR="00312A74" w:rsidRDefault="00312A74" w:rsidP="00FB1EE3">
      <w:pPr>
        <w:numPr>
          <w:ilvl w:val="0"/>
          <w:numId w:val="33"/>
        </w:numPr>
        <w:tabs>
          <w:tab w:val="clear" w:pos="720"/>
        </w:tabs>
        <w:ind w:left="357" w:hanging="357"/>
        <w:jc w:val="both"/>
        <w:rPr>
          <w:rFonts w:ascii="Arial" w:hAnsi="Arial" w:cs="Arial"/>
          <w:sz w:val="20"/>
        </w:rPr>
      </w:pPr>
      <w:r w:rsidRPr="00312A74">
        <w:rPr>
          <w:rFonts w:ascii="Arial" w:hAnsi="Arial" w:cs="Arial"/>
          <w:sz w:val="20"/>
          <w:u w:val="single"/>
        </w:rPr>
        <w:t>More equally shared care</w:t>
      </w:r>
      <w:r>
        <w:rPr>
          <w:rFonts w:ascii="Arial" w:hAnsi="Arial" w:cs="Arial"/>
          <w:sz w:val="20"/>
        </w:rPr>
        <w:t>: A movement towards the child being formally shared between his current caregivers and his parents or extended family.</w:t>
      </w:r>
    </w:p>
    <w:p w14:paraId="14FB4D5E" w14:textId="77777777" w:rsidR="00312A74" w:rsidRDefault="00312A74" w:rsidP="00E14F02">
      <w:pPr>
        <w:jc w:val="both"/>
        <w:rPr>
          <w:rFonts w:ascii="Arial" w:hAnsi="Arial" w:cs="Arial"/>
          <w:sz w:val="20"/>
        </w:rPr>
      </w:pPr>
      <w:r>
        <w:rPr>
          <w:rFonts w:ascii="Arial" w:hAnsi="Arial" w:cs="Arial"/>
          <w:sz w:val="20"/>
        </w:rPr>
        <w:t xml:space="preserve">They ultimately recommended the first option but left the second option open as something </w:t>
      </w:r>
      <w:r w:rsidR="003E7D50">
        <w:rPr>
          <w:rFonts w:ascii="Arial" w:hAnsi="Arial" w:cs="Arial"/>
          <w:sz w:val="20"/>
        </w:rPr>
        <w:t>that</w:t>
      </w:r>
      <w:r>
        <w:rPr>
          <w:rFonts w:ascii="Arial" w:hAnsi="Arial" w:cs="Arial"/>
          <w:sz w:val="20"/>
        </w:rPr>
        <w:t xml:space="preserve"> might be worked towards.</w:t>
      </w:r>
    </w:p>
    <w:p w14:paraId="07D3D848" w14:textId="77777777" w:rsidR="00312A74" w:rsidRDefault="00312A74" w:rsidP="00E14F02">
      <w:pPr>
        <w:jc w:val="both"/>
        <w:rPr>
          <w:rFonts w:ascii="Arial" w:hAnsi="Arial" w:cs="Arial"/>
          <w:sz w:val="20"/>
        </w:rPr>
      </w:pPr>
    </w:p>
    <w:p w14:paraId="651D006B" w14:textId="77777777" w:rsidR="00312A74" w:rsidRDefault="003E7D50" w:rsidP="00E14F02">
      <w:pPr>
        <w:jc w:val="both"/>
        <w:rPr>
          <w:rFonts w:ascii="Arial" w:hAnsi="Arial" w:cs="Arial"/>
          <w:sz w:val="20"/>
        </w:rPr>
      </w:pPr>
      <w:r>
        <w:rPr>
          <w:rFonts w:ascii="Arial" w:hAnsi="Arial" w:cs="Arial"/>
          <w:sz w:val="20"/>
        </w:rPr>
        <w:t>T</w:t>
      </w:r>
      <w:r w:rsidR="00312A74">
        <w:rPr>
          <w:rFonts w:ascii="Arial" w:hAnsi="Arial" w:cs="Arial"/>
          <w:sz w:val="20"/>
        </w:rPr>
        <w:t>he Court rejected the assessors’</w:t>
      </w:r>
      <w:r w:rsidR="007C5324">
        <w:rPr>
          <w:rFonts w:ascii="Arial" w:hAnsi="Arial" w:cs="Arial"/>
          <w:sz w:val="20"/>
        </w:rPr>
        <w:t xml:space="preserve"> </w:t>
      </w:r>
      <w:r w:rsidR="00312A74">
        <w:rPr>
          <w:rFonts w:ascii="Arial" w:hAnsi="Arial" w:cs="Arial"/>
          <w:sz w:val="20"/>
        </w:rPr>
        <w:t>opinion that some form of “shared care” was “the least detrimental alternative” for the child</w:t>
      </w:r>
      <w:r>
        <w:rPr>
          <w:rFonts w:ascii="Arial" w:hAnsi="Arial" w:cs="Arial"/>
          <w:sz w:val="20"/>
        </w:rPr>
        <w:t xml:space="preserve">.  Power M said </w:t>
      </w:r>
      <w:r w:rsidR="00D14BFE">
        <w:rPr>
          <w:rFonts w:ascii="Arial" w:hAnsi="Arial" w:cs="Arial"/>
          <w:sz w:val="20"/>
        </w:rPr>
        <w:t>at</w:t>
      </w:r>
      <w:r>
        <w:rPr>
          <w:rFonts w:ascii="Arial" w:hAnsi="Arial" w:cs="Arial"/>
          <w:sz w:val="20"/>
        </w:rPr>
        <w:t xml:space="preserve"> section 28.4:</w:t>
      </w:r>
    </w:p>
    <w:p w14:paraId="24A606E7" w14:textId="77777777" w:rsidR="004E7AF3" w:rsidRDefault="004E7AF3" w:rsidP="00582C0A">
      <w:pPr>
        <w:spacing w:before="60"/>
        <w:ind w:left="567" w:right="567"/>
        <w:jc w:val="both"/>
        <w:rPr>
          <w:rFonts w:ascii="Arial" w:hAnsi="Arial" w:cs="Arial"/>
          <w:sz w:val="20"/>
        </w:rPr>
      </w:pPr>
      <w:r>
        <w:rPr>
          <w:rFonts w:ascii="Arial" w:hAnsi="Arial" w:cs="Arial"/>
          <w:sz w:val="20"/>
        </w:rPr>
        <w:t>“</w:t>
      </w:r>
      <w:proofErr w:type="spellStart"/>
      <w:r>
        <w:rPr>
          <w:rFonts w:ascii="Arial" w:hAnsi="Arial" w:cs="Arial"/>
          <w:sz w:val="20"/>
        </w:rPr>
        <w:t>Steinhauer</w:t>
      </w:r>
      <w:proofErr w:type="spellEnd"/>
      <w:r>
        <w:rPr>
          <w:rFonts w:ascii="Arial" w:hAnsi="Arial" w:cs="Arial"/>
          <w:sz w:val="20"/>
        </w:rPr>
        <w:t xml:space="preserve"> outlined the following pre-requisites for his ‘shared child’ model to work:</w:t>
      </w:r>
    </w:p>
    <w:p w14:paraId="10639354" w14:textId="77777777" w:rsidR="004E7AF3" w:rsidRDefault="004E7AF3" w:rsidP="00FB1EE3">
      <w:pPr>
        <w:numPr>
          <w:ilvl w:val="0"/>
          <w:numId w:val="68"/>
        </w:numPr>
        <w:tabs>
          <w:tab w:val="clear" w:pos="720"/>
        </w:tabs>
        <w:ind w:left="1021" w:hanging="454"/>
        <w:jc w:val="both"/>
        <w:rPr>
          <w:rFonts w:ascii="Arial" w:hAnsi="Arial" w:cs="Arial"/>
          <w:sz w:val="20"/>
          <w:szCs w:val="20"/>
        </w:rPr>
      </w:pPr>
      <w:r w:rsidRPr="004E7AF3">
        <w:rPr>
          <w:rFonts w:ascii="Arial" w:hAnsi="Arial" w:cs="Arial"/>
          <w:sz w:val="20"/>
          <w:szCs w:val="20"/>
        </w:rPr>
        <w:t>Foster parents and birth parents must not compete.</w:t>
      </w:r>
    </w:p>
    <w:p w14:paraId="5717B4F6" w14:textId="77777777" w:rsidR="004E7AF3" w:rsidRDefault="004E7AF3" w:rsidP="00FB1EE3">
      <w:pPr>
        <w:numPr>
          <w:ilvl w:val="0"/>
          <w:numId w:val="68"/>
        </w:numPr>
        <w:tabs>
          <w:tab w:val="clear" w:pos="720"/>
        </w:tabs>
        <w:ind w:left="1021" w:hanging="454"/>
        <w:jc w:val="both"/>
        <w:rPr>
          <w:rFonts w:ascii="Arial" w:hAnsi="Arial" w:cs="Arial"/>
          <w:sz w:val="20"/>
          <w:szCs w:val="20"/>
        </w:rPr>
      </w:pPr>
      <w:r w:rsidRPr="004E7AF3">
        <w:rPr>
          <w:rFonts w:ascii="Arial" w:hAnsi="Arial" w:cs="Arial"/>
          <w:sz w:val="20"/>
        </w:rPr>
        <w:t>Adults need to agree not to undermine the permanency of the placement.</w:t>
      </w:r>
    </w:p>
    <w:p w14:paraId="43862B17" w14:textId="77777777" w:rsidR="004E7AF3" w:rsidRPr="004E7AF3" w:rsidRDefault="004E7AF3" w:rsidP="00FB1EE3">
      <w:pPr>
        <w:numPr>
          <w:ilvl w:val="0"/>
          <w:numId w:val="68"/>
        </w:numPr>
        <w:tabs>
          <w:tab w:val="clear" w:pos="720"/>
        </w:tabs>
        <w:ind w:left="1021" w:hanging="454"/>
        <w:jc w:val="both"/>
        <w:rPr>
          <w:rFonts w:ascii="Arial" w:hAnsi="Arial" w:cs="Arial"/>
          <w:sz w:val="20"/>
          <w:szCs w:val="20"/>
        </w:rPr>
      </w:pPr>
      <w:r w:rsidRPr="004E7AF3">
        <w:rPr>
          <w:rFonts w:ascii="Arial" w:hAnsi="Arial" w:cs="Arial"/>
          <w:sz w:val="20"/>
        </w:rPr>
        <w:t>Adequate support must be provided to all parties.</w:t>
      </w:r>
    </w:p>
    <w:p w14:paraId="0D2FF683" w14:textId="77777777" w:rsidR="004E7AF3" w:rsidRPr="004E7AF3" w:rsidRDefault="004E7AF3" w:rsidP="004E7AF3">
      <w:pPr>
        <w:ind w:left="567" w:right="567"/>
        <w:jc w:val="both"/>
        <w:rPr>
          <w:rFonts w:ascii="Arial" w:hAnsi="Arial" w:cs="Arial"/>
          <w:sz w:val="16"/>
        </w:rPr>
      </w:pPr>
      <w:r>
        <w:rPr>
          <w:rFonts w:ascii="Arial" w:hAnsi="Arial" w:cs="Arial"/>
          <w:sz w:val="20"/>
        </w:rPr>
        <w:t>[</w:t>
      </w:r>
      <w:proofErr w:type="spellStart"/>
      <w:r w:rsidRPr="004E7AF3">
        <w:rPr>
          <w:rFonts w:ascii="Arial" w:hAnsi="Arial" w:cs="Arial"/>
          <w:sz w:val="20"/>
        </w:rPr>
        <w:t>Steinhauer</w:t>
      </w:r>
      <w:proofErr w:type="spellEnd"/>
      <w:r w:rsidRPr="004E7AF3">
        <w:rPr>
          <w:rFonts w:ascii="Arial" w:hAnsi="Arial" w:cs="Arial"/>
          <w:sz w:val="20"/>
        </w:rPr>
        <w:t xml:space="preserve">, P. 1991: </w:t>
      </w:r>
      <w:r>
        <w:rPr>
          <w:rFonts w:ascii="Arial" w:hAnsi="Arial" w:cs="Arial"/>
          <w:i/>
          <w:sz w:val="20"/>
        </w:rPr>
        <w:t>‘</w:t>
      </w:r>
      <w:r w:rsidRPr="004E7AF3">
        <w:rPr>
          <w:rFonts w:ascii="Arial" w:hAnsi="Arial" w:cs="Arial"/>
          <w:i/>
          <w:sz w:val="20"/>
        </w:rPr>
        <w:t>The Least Detrimental Alternative: A systemic guide to case planning and decision-making for children in care</w:t>
      </w:r>
      <w:r>
        <w:rPr>
          <w:rFonts w:ascii="Arial" w:hAnsi="Arial" w:cs="Arial"/>
          <w:i/>
          <w:sz w:val="20"/>
        </w:rPr>
        <w:t>’</w:t>
      </w:r>
      <w:r w:rsidRPr="004E7AF3">
        <w:rPr>
          <w:rFonts w:ascii="Arial" w:hAnsi="Arial" w:cs="Arial"/>
          <w:sz w:val="20"/>
        </w:rPr>
        <w:t xml:space="preserve">, </w:t>
      </w:r>
      <w:smartTag w:uri="urn:schemas-microsoft-com:office:smarttags" w:element="City">
        <w:r w:rsidRPr="004E7AF3">
          <w:rPr>
            <w:rFonts w:ascii="Arial" w:hAnsi="Arial" w:cs="Arial"/>
            <w:sz w:val="20"/>
          </w:rPr>
          <w:t>Toronto</w:t>
        </w:r>
      </w:smartTag>
      <w:r w:rsidRPr="004E7AF3">
        <w:rPr>
          <w:rFonts w:ascii="Arial" w:hAnsi="Arial" w:cs="Arial"/>
          <w:sz w:val="20"/>
        </w:rPr>
        <w:t xml:space="preserve">: </w:t>
      </w:r>
      <w:smartTag w:uri="urn:schemas-microsoft-com:office:smarttags" w:element="place">
        <w:smartTag w:uri="urn:schemas-microsoft-com:office:smarttags" w:element="PlaceType">
          <w:r w:rsidRPr="004E7AF3">
            <w:rPr>
              <w:rFonts w:ascii="Arial" w:hAnsi="Arial" w:cs="Arial"/>
              <w:sz w:val="20"/>
            </w:rPr>
            <w:t>University</w:t>
          </w:r>
        </w:smartTag>
        <w:r w:rsidRPr="004E7AF3">
          <w:rPr>
            <w:rFonts w:ascii="Arial" w:hAnsi="Arial" w:cs="Arial"/>
            <w:sz w:val="20"/>
          </w:rPr>
          <w:t xml:space="preserve"> of </w:t>
        </w:r>
        <w:smartTag w:uri="urn:schemas-microsoft-com:office:smarttags" w:element="PlaceName">
          <w:r w:rsidRPr="004E7AF3">
            <w:rPr>
              <w:rFonts w:ascii="Arial" w:hAnsi="Arial" w:cs="Arial"/>
              <w:sz w:val="20"/>
            </w:rPr>
            <w:t>Toronto Press</w:t>
          </w:r>
        </w:smartTag>
      </w:smartTag>
      <w:r w:rsidRPr="004E7AF3">
        <w:rPr>
          <w:rFonts w:ascii="Arial" w:hAnsi="Arial" w:cs="Arial"/>
          <w:sz w:val="20"/>
        </w:rPr>
        <w:t>, pp.161-163 cited in the assessment report at p.44</w:t>
      </w:r>
      <w:r>
        <w:rPr>
          <w:rFonts w:ascii="Arial" w:hAnsi="Arial" w:cs="Arial"/>
          <w:sz w:val="20"/>
        </w:rPr>
        <w:t>]</w:t>
      </w:r>
      <w:r w:rsidRPr="004E7AF3">
        <w:rPr>
          <w:rFonts w:ascii="Arial" w:hAnsi="Arial" w:cs="Arial"/>
          <w:sz w:val="20"/>
        </w:rPr>
        <w:t>.</w:t>
      </w:r>
    </w:p>
    <w:p w14:paraId="0410BB5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Effectively </w:t>
      </w:r>
      <w:proofErr w:type="spellStart"/>
      <w:r w:rsidRPr="004E7AF3">
        <w:rPr>
          <w:rFonts w:ascii="Arial" w:hAnsi="Arial" w:cs="Arial"/>
          <w:sz w:val="20"/>
        </w:rPr>
        <w:t>Steinhauer</w:t>
      </w:r>
      <w:proofErr w:type="spellEnd"/>
      <w:r w:rsidRPr="004E7AF3">
        <w:rPr>
          <w:rFonts w:ascii="Arial" w:hAnsi="Arial" w:cs="Arial"/>
          <w:sz w:val="20"/>
        </w:rPr>
        <w:t xml:space="preserve"> &amp; Rolfe are postulating the same pre-conditions for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to be workable.  They require commitment to the model from all four adults who must not engage in a psychological tug-of-war for the child.</w:t>
      </w:r>
    </w:p>
    <w:p w14:paraId="10EE96A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This is the second major reason why I reject the assessors’ recommendations.  Not only does the assessors’ option 2 require commitment from the </w:t>
      </w:r>
      <w:r w:rsidR="003E7D50">
        <w:rPr>
          <w:rFonts w:ascii="Arial" w:hAnsi="Arial" w:cs="Arial"/>
          <w:sz w:val="20"/>
        </w:rPr>
        <w:t>four</w:t>
      </w:r>
      <w:r w:rsidRPr="004E7AF3">
        <w:rPr>
          <w:rFonts w:ascii="Arial" w:hAnsi="Arial" w:cs="Arial"/>
          <w:sz w:val="20"/>
        </w:rPr>
        <w:t xml:space="preserve"> adults.  So does option 1.  Of course one must focus on the child but one can’t properly do this unless one focuses on the parents and carers in a realistic way as well.  The reality is that there is no current heart-felt commitment from any of the four adults to the concept of </w:t>
      </w:r>
      <w:r>
        <w:rPr>
          <w:rFonts w:ascii="Arial" w:hAnsi="Arial" w:cs="Arial"/>
          <w:sz w:val="20"/>
        </w:rPr>
        <w:t>‘</w:t>
      </w:r>
      <w:r w:rsidRPr="004E7AF3">
        <w:rPr>
          <w:rFonts w:ascii="Arial" w:hAnsi="Arial" w:cs="Arial"/>
          <w:sz w:val="20"/>
        </w:rPr>
        <w:t>shared care</w:t>
      </w:r>
      <w:r>
        <w:rPr>
          <w:rFonts w:ascii="Arial" w:hAnsi="Arial" w:cs="Arial"/>
          <w:sz w:val="20"/>
        </w:rPr>
        <w:t>’</w:t>
      </w:r>
      <w:r w:rsidRPr="004E7AF3">
        <w:rPr>
          <w:rFonts w:ascii="Arial" w:hAnsi="Arial" w:cs="Arial"/>
          <w:sz w:val="20"/>
        </w:rPr>
        <w:t xml:space="preserve"> whether in the skewed form of option 1 or the more equal form of option 2. Nor is true commitment to this proposed piece of social engineering likely to develop</w:t>
      </w:r>
      <w:r>
        <w:rPr>
          <w:rFonts w:ascii="Arial" w:hAnsi="Arial" w:cs="Arial"/>
          <w:sz w:val="20"/>
        </w:rPr>
        <w:t>…</w:t>
      </w:r>
    </w:p>
    <w:p w14:paraId="2C153232" w14:textId="77777777" w:rsidR="004E7AF3" w:rsidRDefault="004E7AF3" w:rsidP="004E7AF3">
      <w:pPr>
        <w:spacing w:before="120"/>
        <w:ind w:left="567" w:right="567"/>
        <w:jc w:val="both"/>
        <w:rPr>
          <w:rFonts w:ascii="Arial" w:hAnsi="Arial" w:cs="Arial"/>
          <w:sz w:val="20"/>
        </w:rPr>
      </w:pPr>
      <w:r>
        <w:rPr>
          <w:rFonts w:ascii="Arial" w:hAnsi="Arial" w:cs="Arial"/>
          <w:sz w:val="20"/>
        </w:rPr>
        <w:t xml:space="preserve">I am not nearly as sanguine as [the assessors] </w:t>
      </w:r>
      <w:r w:rsidRPr="004E7AF3">
        <w:rPr>
          <w:rFonts w:ascii="Arial" w:hAnsi="Arial" w:cs="Arial"/>
          <w:sz w:val="20"/>
        </w:rPr>
        <w:t xml:space="preserve">about the workability of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From my observations of </w:t>
      </w:r>
      <w:r w:rsidR="00582C0A">
        <w:rPr>
          <w:rFonts w:ascii="Arial" w:hAnsi="Arial" w:cs="Arial"/>
          <w:sz w:val="20"/>
        </w:rPr>
        <w:t xml:space="preserve">the </w:t>
      </w:r>
      <w:r w:rsidRPr="004E7AF3">
        <w:rPr>
          <w:rFonts w:ascii="Arial" w:hAnsi="Arial" w:cs="Arial"/>
          <w:sz w:val="20"/>
        </w:rPr>
        <w:t xml:space="preserve">parents and carers in the witness-box and from what the evidence discloses of their personalities and their roles in </w:t>
      </w:r>
      <w:r w:rsidR="00582C0A">
        <w:rPr>
          <w:rFonts w:ascii="Arial" w:hAnsi="Arial" w:cs="Arial"/>
          <w:sz w:val="20"/>
        </w:rPr>
        <w:t xml:space="preserve">[the </w:t>
      </w:r>
      <w:r w:rsidR="00582C0A">
        <w:rPr>
          <w:rFonts w:ascii="Arial" w:hAnsi="Arial" w:cs="Arial"/>
          <w:sz w:val="20"/>
        </w:rPr>
        <w:lastRenderedPageBreak/>
        <w:t>child’s]</w:t>
      </w:r>
      <w:r w:rsidRPr="004E7AF3">
        <w:rPr>
          <w:rFonts w:ascii="Arial" w:hAnsi="Arial" w:cs="Arial"/>
          <w:sz w:val="20"/>
        </w:rPr>
        <w:t xml:space="preserve"> life, I am not satisfied on the balance of probabilities that they – especially </w:t>
      </w:r>
      <w:r w:rsidR="00582C0A">
        <w:rPr>
          <w:rFonts w:ascii="Arial" w:hAnsi="Arial" w:cs="Arial"/>
          <w:sz w:val="20"/>
        </w:rPr>
        <w:t>[the female carer]</w:t>
      </w:r>
      <w:r w:rsidRPr="004E7AF3">
        <w:rPr>
          <w:rFonts w:ascii="Arial" w:hAnsi="Arial" w:cs="Arial"/>
          <w:sz w:val="20"/>
        </w:rPr>
        <w:t xml:space="preserve"> - will be able to avoid becoming embroiled in a psychological tug-of-war for the child if any sort of </w:t>
      </w:r>
      <w:r w:rsidR="00582C0A">
        <w:rPr>
          <w:rFonts w:ascii="Arial" w:hAnsi="Arial" w:cs="Arial"/>
          <w:sz w:val="20"/>
        </w:rPr>
        <w:t>‘</w:t>
      </w:r>
      <w:r w:rsidRPr="004E7AF3">
        <w:rPr>
          <w:rFonts w:ascii="Arial" w:hAnsi="Arial" w:cs="Arial"/>
          <w:sz w:val="20"/>
        </w:rPr>
        <w:t>shared child</w:t>
      </w:r>
      <w:r w:rsidR="00582C0A">
        <w:rPr>
          <w:rFonts w:ascii="Arial" w:hAnsi="Arial" w:cs="Arial"/>
          <w:sz w:val="20"/>
        </w:rPr>
        <w:t>’</w:t>
      </w:r>
      <w:r w:rsidRPr="004E7AF3">
        <w:rPr>
          <w:rFonts w:ascii="Arial" w:hAnsi="Arial" w:cs="Arial"/>
          <w:sz w:val="20"/>
        </w:rPr>
        <w:t xml:space="preserve"> model is embraced</w:t>
      </w:r>
      <w:r w:rsidR="00582C0A">
        <w:rPr>
          <w:rFonts w:ascii="Arial" w:hAnsi="Arial" w:cs="Arial"/>
          <w:sz w:val="20"/>
        </w:rPr>
        <w:t>…</w:t>
      </w:r>
    </w:p>
    <w:p w14:paraId="4433793D"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There is no common ground between the lives and life experiences of carers on the one hand and the parents on the other except for </w:t>
      </w:r>
      <w:r>
        <w:rPr>
          <w:rFonts w:ascii="Arial" w:hAnsi="Arial" w:cs="Arial"/>
          <w:sz w:val="20"/>
        </w:rPr>
        <w:t>[the child]</w:t>
      </w:r>
      <w:r w:rsidRPr="00582C0A">
        <w:rPr>
          <w:rFonts w:ascii="Arial" w:hAnsi="Arial" w:cs="Arial"/>
          <w:sz w:val="20"/>
        </w:rPr>
        <w:t xml:space="preserve">.  They come from parallel universes.  Hence they are not very likely to </w:t>
      </w:r>
      <w:r>
        <w:rPr>
          <w:rFonts w:ascii="Arial" w:hAnsi="Arial" w:cs="Arial"/>
          <w:sz w:val="20"/>
        </w:rPr>
        <w:t>‘</w:t>
      </w:r>
      <w:r w:rsidRPr="00582C0A">
        <w:rPr>
          <w:rFonts w:ascii="Arial" w:hAnsi="Arial" w:cs="Arial"/>
          <w:sz w:val="20"/>
        </w:rPr>
        <w:t>grow together</w:t>
      </w:r>
      <w:r>
        <w:rPr>
          <w:rFonts w:ascii="Arial" w:hAnsi="Arial" w:cs="Arial"/>
          <w:sz w:val="20"/>
        </w:rPr>
        <w:t>’</w:t>
      </w:r>
      <w:r w:rsidRPr="00582C0A">
        <w:rPr>
          <w:rFonts w:ascii="Arial" w:hAnsi="Arial" w:cs="Arial"/>
          <w:sz w:val="20"/>
        </w:rPr>
        <w:t>, to develop an abiding friendship, in the event that any sort of ‘shared child’ plan was to be implemented.</w:t>
      </w:r>
    </w:p>
    <w:p w14:paraId="05BEE12C"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It is clear to me that – despite the undoubted love each of them has for </w:t>
      </w:r>
      <w:r>
        <w:rPr>
          <w:rFonts w:ascii="Arial" w:hAnsi="Arial" w:cs="Arial"/>
          <w:sz w:val="20"/>
        </w:rPr>
        <w:t>[the child]</w:t>
      </w:r>
      <w:r w:rsidRPr="00582C0A">
        <w:rPr>
          <w:rFonts w:ascii="Arial" w:hAnsi="Arial" w:cs="Arial"/>
          <w:sz w:val="20"/>
        </w:rPr>
        <w:t xml:space="preserve"> – any form of </w:t>
      </w:r>
      <w:r>
        <w:rPr>
          <w:rFonts w:ascii="Arial" w:hAnsi="Arial" w:cs="Arial"/>
          <w:sz w:val="20"/>
        </w:rPr>
        <w:t>‘</w:t>
      </w:r>
      <w:r w:rsidRPr="00582C0A">
        <w:rPr>
          <w:rFonts w:ascii="Arial" w:hAnsi="Arial" w:cs="Arial"/>
          <w:sz w:val="20"/>
        </w:rPr>
        <w:t>shared care</w:t>
      </w:r>
      <w:r>
        <w:rPr>
          <w:rFonts w:ascii="Arial" w:hAnsi="Arial" w:cs="Arial"/>
          <w:sz w:val="20"/>
        </w:rPr>
        <w:t>’</w:t>
      </w:r>
      <w:r w:rsidRPr="00582C0A">
        <w:rPr>
          <w:rFonts w:ascii="Arial" w:hAnsi="Arial" w:cs="Arial"/>
          <w:sz w:val="20"/>
        </w:rPr>
        <w:t xml:space="preserve"> was not a plan which either the parents or the carers wanted or felt comfortable with.  Without heart-felt commitment from all four adults neither of the assessors’ options is workable.  In my view their recommendations do not give sufficient weight to the views, wishes and inherent natures of the parents and the carers or to their readiness or capacity to </w:t>
      </w:r>
      <w:r>
        <w:rPr>
          <w:rFonts w:ascii="Arial" w:hAnsi="Arial" w:cs="Arial"/>
          <w:sz w:val="20"/>
        </w:rPr>
        <w:t>‘</w:t>
      </w:r>
      <w:r w:rsidRPr="00582C0A">
        <w:rPr>
          <w:rFonts w:ascii="Arial" w:hAnsi="Arial" w:cs="Arial"/>
          <w:sz w:val="20"/>
        </w:rPr>
        <w:t>share</w:t>
      </w:r>
      <w:r>
        <w:rPr>
          <w:rFonts w:ascii="Arial" w:hAnsi="Arial" w:cs="Arial"/>
          <w:sz w:val="20"/>
        </w:rPr>
        <w:t>’</w:t>
      </w:r>
      <w:r w:rsidRPr="00582C0A">
        <w:rPr>
          <w:rFonts w:ascii="Arial" w:hAnsi="Arial" w:cs="Arial"/>
          <w:sz w:val="20"/>
        </w:rPr>
        <w:t xml:space="preserve"> </w:t>
      </w:r>
      <w:r>
        <w:rPr>
          <w:rFonts w:ascii="Arial" w:hAnsi="Arial" w:cs="Arial"/>
          <w:sz w:val="20"/>
        </w:rPr>
        <w:t xml:space="preserve">[the child] </w:t>
      </w:r>
      <w:r w:rsidRPr="00582C0A">
        <w:rPr>
          <w:rFonts w:ascii="Arial" w:hAnsi="Arial" w:cs="Arial"/>
          <w:sz w:val="20"/>
        </w:rPr>
        <w:t>in either of the ways envisaged.</w:t>
      </w:r>
      <w:r>
        <w:rPr>
          <w:rFonts w:ascii="Arial" w:hAnsi="Arial" w:cs="Arial"/>
          <w:sz w:val="20"/>
        </w:rPr>
        <w:t>”</w:t>
      </w:r>
    </w:p>
    <w:p w14:paraId="06D0F775" w14:textId="77777777" w:rsidR="00BD3832" w:rsidRDefault="00BD3832" w:rsidP="00E14F02">
      <w:pPr>
        <w:jc w:val="both"/>
        <w:rPr>
          <w:rFonts w:ascii="Arial" w:hAnsi="Arial" w:cs="Arial"/>
          <w:sz w:val="20"/>
        </w:rPr>
      </w:pPr>
    </w:p>
    <w:p w14:paraId="19B1E5E6" w14:textId="77777777" w:rsidR="00E14F02" w:rsidRPr="006679D2" w:rsidRDefault="00E14F02" w:rsidP="00063C71">
      <w:pPr>
        <w:pStyle w:val="Heading2"/>
        <w:keepNext/>
        <w:keepLines/>
        <w:tabs>
          <w:tab w:val="left" w:pos="567"/>
        </w:tabs>
        <w:spacing w:line="240" w:lineRule="auto"/>
        <w:rPr>
          <w:rFonts w:ascii="Arial" w:hAnsi="Arial" w:cs="Arial"/>
          <w:b/>
          <w:bCs/>
          <w:color w:val="000000"/>
        </w:rPr>
      </w:pPr>
      <w:bookmarkStart w:id="1681" w:name="_4.14_Frequency_of"/>
      <w:bookmarkStart w:id="1682" w:name="B414"/>
      <w:bookmarkEnd w:id="1681"/>
      <w:bookmarkEnd w:id="1682"/>
      <w:r w:rsidRPr="006679D2">
        <w:rPr>
          <w:rFonts w:ascii="Arial" w:hAnsi="Arial" w:cs="Arial"/>
          <w:b/>
          <w:bCs/>
          <w:color w:val="000000"/>
        </w:rPr>
        <w:t>4.14</w:t>
      </w:r>
      <w:r w:rsidRPr="006679D2">
        <w:rPr>
          <w:rFonts w:ascii="Arial" w:hAnsi="Arial" w:cs="Arial"/>
          <w:b/>
          <w:bCs/>
          <w:color w:val="000000"/>
        </w:rPr>
        <w:tab/>
        <w:t xml:space="preserve">Frequency of </w:t>
      </w:r>
      <w:r w:rsidR="00E55A14" w:rsidRPr="006679D2">
        <w:rPr>
          <w:rFonts w:ascii="Arial" w:hAnsi="Arial" w:cs="Arial"/>
          <w:b/>
          <w:bCs/>
          <w:color w:val="000000"/>
        </w:rPr>
        <w:t>contact</w:t>
      </w:r>
      <w:r w:rsidRPr="006679D2">
        <w:rPr>
          <w:rFonts w:ascii="Arial" w:hAnsi="Arial" w:cs="Arial"/>
          <w:b/>
          <w:bCs/>
          <w:color w:val="000000"/>
        </w:rPr>
        <w:t xml:space="preserve"> between </w:t>
      </w:r>
      <w:r w:rsidR="00EF65CA" w:rsidRPr="006679D2">
        <w:rPr>
          <w:rFonts w:ascii="Arial" w:hAnsi="Arial" w:cs="Arial"/>
          <w:b/>
          <w:bCs/>
          <w:color w:val="000000"/>
        </w:rPr>
        <w:t>young child</w:t>
      </w:r>
      <w:r w:rsidRPr="006679D2">
        <w:rPr>
          <w:rFonts w:ascii="Arial" w:hAnsi="Arial" w:cs="Arial"/>
          <w:b/>
          <w:bCs/>
          <w:color w:val="000000"/>
        </w:rPr>
        <w:t xml:space="preserve"> and parent</w:t>
      </w:r>
    </w:p>
    <w:p w14:paraId="58CD6A57" w14:textId="77777777" w:rsidR="00FB53EB" w:rsidRDefault="00FB53EB" w:rsidP="00422778">
      <w:pPr>
        <w:jc w:val="both"/>
        <w:rPr>
          <w:rFonts w:ascii="Arial" w:hAnsi="Arial" w:cs="Arial"/>
          <w:sz w:val="20"/>
        </w:rPr>
      </w:pPr>
    </w:p>
    <w:p w14:paraId="5B7577E0" w14:textId="77777777" w:rsidR="00422778" w:rsidRDefault="005477EF" w:rsidP="00422778">
      <w:pPr>
        <w:jc w:val="both"/>
        <w:rPr>
          <w:rFonts w:ascii="Arial" w:hAnsi="Arial" w:cs="Arial"/>
          <w:sz w:val="20"/>
        </w:rPr>
      </w:pPr>
      <w:r>
        <w:rPr>
          <w:rFonts w:ascii="Arial" w:hAnsi="Arial" w:cs="Arial"/>
          <w:sz w:val="20"/>
        </w:rPr>
        <w:t xml:space="preserve">In ‘Contact Irregular’: a qualitative analysis of the impact of visiting patterns of natural parents on foster placements </w:t>
      </w:r>
      <w:r w:rsidRPr="005477EF">
        <w:rPr>
          <w:rFonts w:ascii="Arial" w:hAnsi="Arial" w:cs="Arial"/>
          <w:i/>
          <w:sz w:val="20"/>
        </w:rPr>
        <w:t>[</w:t>
      </w:r>
      <w:r>
        <w:rPr>
          <w:rFonts w:ascii="Arial" w:hAnsi="Arial" w:cs="Arial"/>
          <w:i/>
          <w:sz w:val="20"/>
        </w:rPr>
        <w:t xml:space="preserve">(2002) </w:t>
      </w:r>
      <w:r w:rsidRPr="005477EF">
        <w:rPr>
          <w:rFonts w:ascii="Arial" w:hAnsi="Arial" w:cs="Arial"/>
          <w:i/>
          <w:sz w:val="20"/>
        </w:rPr>
        <w:t>Child and Family Social Work, 7, 35-45]</w:t>
      </w:r>
      <w:r w:rsidR="005C069A">
        <w:rPr>
          <w:rFonts w:ascii="Arial" w:hAnsi="Arial" w:cs="Arial"/>
          <w:sz w:val="20"/>
        </w:rPr>
        <w:t xml:space="preserve">, </w:t>
      </w:r>
      <w:r>
        <w:rPr>
          <w:rFonts w:ascii="Arial" w:hAnsi="Arial" w:cs="Arial"/>
          <w:sz w:val="20"/>
        </w:rPr>
        <w:t xml:space="preserve">D </w:t>
      </w:r>
      <w:r w:rsidR="00422778">
        <w:rPr>
          <w:rFonts w:ascii="Arial" w:hAnsi="Arial" w:cs="Arial"/>
          <w:sz w:val="20"/>
        </w:rPr>
        <w:t xml:space="preserve">Browne &amp; </w:t>
      </w:r>
      <w:r>
        <w:rPr>
          <w:rFonts w:ascii="Arial" w:hAnsi="Arial" w:cs="Arial"/>
          <w:sz w:val="20"/>
        </w:rPr>
        <w:t xml:space="preserve">A </w:t>
      </w:r>
      <w:r w:rsidR="00422778">
        <w:rPr>
          <w:rFonts w:ascii="Arial" w:hAnsi="Arial" w:cs="Arial"/>
          <w:sz w:val="20"/>
        </w:rPr>
        <w:t>Moloney said at p.36:</w:t>
      </w:r>
    </w:p>
    <w:p w14:paraId="4484B846" w14:textId="77777777" w:rsidR="00422778" w:rsidRDefault="00422778" w:rsidP="00422778">
      <w:pPr>
        <w:spacing w:before="60"/>
        <w:ind w:left="567" w:right="567"/>
        <w:jc w:val="both"/>
        <w:rPr>
          <w:rFonts w:ascii="Arial" w:hAnsi="Arial" w:cs="Arial"/>
          <w:sz w:val="20"/>
        </w:rPr>
      </w:pPr>
      <w:r>
        <w:rPr>
          <w:rFonts w:ascii="Arial" w:hAnsi="Arial" w:cs="Arial"/>
          <w:sz w:val="20"/>
        </w:rPr>
        <w:t>“The purpose of foster care is to provide a temporary safe home for a child because his or her parents are unable to do so, with the eventual aim of returning the child successfully to the family</w:t>
      </w:r>
      <w:r w:rsidR="005477EF">
        <w:rPr>
          <w:rFonts w:ascii="Arial" w:hAnsi="Arial" w:cs="Arial"/>
          <w:sz w:val="20"/>
        </w:rPr>
        <w:t xml:space="preserve"> of origin.  With this in mind it is important that the child continues to identify with his natural family.”</w:t>
      </w:r>
    </w:p>
    <w:p w14:paraId="329E1E7C" w14:textId="77777777" w:rsidR="00422778" w:rsidRDefault="00422778" w:rsidP="00422778">
      <w:pPr>
        <w:jc w:val="both"/>
        <w:rPr>
          <w:rFonts w:ascii="Arial" w:hAnsi="Arial" w:cs="Arial"/>
          <w:sz w:val="20"/>
        </w:rPr>
      </w:pPr>
    </w:p>
    <w:p w14:paraId="770458B4" w14:textId="77777777" w:rsidR="0052674B" w:rsidRDefault="000F5CC6" w:rsidP="0052674B">
      <w:pPr>
        <w:jc w:val="both"/>
        <w:rPr>
          <w:rFonts w:ascii="Arial" w:hAnsi="Arial" w:cs="Arial"/>
          <w:sz w:val="20"/>
        </w:rPr>
      </w:pPr>
      <w:r>
        <w:rPr>
          <w:rFonts w:ascii="Arial" w:hAnsi="Arial" w:cs="Arial"/>
          <w:sz w:val="20"/>
        </w:rPr>
        <w:t xml:space="preserve">Section 10(3)(k) of the CYFA provides that in determining what decision to make or action to </w:t>
      </w:r>
      <w:r w:rsidRPr="006679D2">
        <w:rPr>
          <w:rFonts w:ascii="Arial" w:hAnsi="Arial" w:cs="Arial"/>
          <w:color w:val="000000"/>
          <w:sz w:val="20"/>
        </w:rPr>
        <w:t xml:space="preserve">take in the best interests of a child, consideration must be given where relevant to </w:t>
      </w:r>
      <w:r w:rsidR="00E55A14" w:rsidRPr="006679D2">
        <w:rPr>
          <w:rFonts w:ascii="Arial" w:hAnsi="Arial" w:cs="Arial"/>
          <w:color w:val="000000"/>
          <w:sz w:val="20"/>
        </w:rPr>
        <w:t>contact</w:t>
      </w:r>
      <w:r>
        <w:rPr>
          <w:rFonts w:ascii="Arial" w:hAnsi="Arial" w:cs="Arial"/>
          <w:sz w:val="20"/>
        </w:rPr>
        <w:t xml:space="preserve"> arrangements between the child and the child’s parents, siblings, family members and other persons significant to the child.</w:t>
      </w:r>
      <w:r w:rsidR="0035574D">
        <w:rPr>
          <w:rFonts w:ascii="Arial" w:hAnsi="Arial" w:cs="Arial"/>
          <w:sz w:val="20"/>
        </w:rPr>
        <w:t xml:space="preserve">  </w:t>
      </w:r>
      <w:r w:rsidR="0052674B">
        <w:rPr>
          <w:rFonts w:ascii="Arial" w:hAnsi="Arial" w:cs="Arial"/>
          <w:sz w:val="20"/>
        </w:rPr>
        <w:t>Sections 10(3)(b) &amp; 10(3)(i) provide that the best interests of the child</w:t>
      </w:r>
      <w:r w:rsidR="00B42129">
        <w:rPr>
          <w:rFonts w:ascii="Arial" w:hAnsi="Arial" w:cs="Arial"/>
          <w:sz w:val="20"/>
        </w:rPr>
        <w:t xml:space="preserve"> </w:t>
      </w:r>
      <w:r w:rsidR="0052674B">
        <w:rPr>
          <w:rFonts w:ascii="Arial" w:hAnsi="Arial" w:cs="Arial"/>
          <w:sz w:val="20"/>
        </w:rPr>
        <w:t>require consideration to be given, where relevant, to the need to strengthen, preserve and promote positive relationships between the child and parents, siblings and extended family members and to plan the reunification of the child with his or her family.</w:t>
      </w:r>
    </w:p>
    <w:p w14:paraId="7CCBF38A" w14:textId="77777777" w:rsidR="0052674B" w:rsidRDefault="0052674B" w:rsidP="00FB53EB">
      <w:pPr>
        <w:jc w:val="both"/>
        <w:rPr>
          <w:rFonts w:ascii="Arial" w:hAnsi="Arial" w:cs="Arial"/>
          <w:sz w:val="20"/>
        </w:rPr>
      </w:pPr>
    </w:p>
    <w:p w14:paraId="374AE29B" w14:textId="77777777" w:rsidR="00BC7804" w:rsidRDefault="0052674B" w:rsidP="00FB53EB">
      <w:pPr>
        <w:jc w:val="both"/>
        <w:rPr>
          <w:rFonts w:ascii="Arial" w:hAnsi="Arial" w:cs="Arial"/>
          <w:sz w:val="20"/>
        </w:rPr>
      </w:pPr>
      <w:r>
        <w:rPr>
          <w:rFonts w:ascii="Arial" w:hAnsi="Arial" w:cs="Arial"/>
          <w:sz w:val="20"/>
        </w:rPr>
        <w:t>Paragraphs (b), (i) &amp; (k) of s.10</w:t>
      </w:r>
      <w:r w:rsidR="0035574D">
        <w:rPr>
          <w:rFonts w:ascii="Arial" w:hAnsi="Arial" w:cs="Arial"/>
          <w:sz w:val="20"/>
        </w:rPr>
        <w:t>(3) effectively incorporate into domestic Victorian law Article 9.3 in Part I of the United Nations Convention on the Rights of the Child to which Australia is a signatory.  Article 9.3 provides:</w:t>
      </w:r>
    </w:p>
    <w:p w14:paraId="4EE41652" w14:textId="77777777" w:rsidR="0035574D" w:rsidRDefault="0035574D" w:rsidP="0035574D">
      <w:pPr>
        <w:spacing w:before="60"/>
        <w:ind w:left="567" w:right="567"/>
        <w:jc w:val="both"/>
        <w:rPr>
          <w:rFonts w:ascii="Arial" w:hAnsi="Arial" w:cs="Arial"/>
          <w:sz w:val="20"/>
        </w:rPr>
      </w:pPr>
      <w:r>
        <w:rPr>
          <w:rFonts w:ascii="Arial" w:hAnsi="Arial" w:cs="Arial"/>
          <w:sz w:val="20"/>
        </w:rPr>
        <w:t>“Parties shall respect the right of the child who is separated from one or both parents to maintain personal relations and direct contact with both parents on a regular basis, except if it is contrary to the child’s best interests.”</w:t>
      </w:r>
    </w:p>
    <w:p w14:paraId="1F39229B" w14:textId="77777777" w:rsidR="00BC7804" w:rsidRDefault="00BC7804" w:rsidP="00FB53EB">
      <w:pPr>
        <w:jc w:val="both"/>
        <w:rPr>
          <w:rFonts w:ascii="Arial" w:hAnsi="Arial" w:cs="Arial"/>
          <w:sz w:val="20"/>
        </w:rPr>
      </w:pPr>
    </w:p>
    <w:p w14:paraId="6DF14D7A" w14:textId="77777777" w:rsidR="00CA3540" w:rsidRDefault="0055262C" w:rsidP="00FB53EB">
      <w:pPr>
        <w:jc w:val="both"/>
        <w:rPr>
          <w:rFonts w:ascii="Arial" w:hAnsi="Arial" w:cs="Arial"/>
          <w:sz w:val="20"/>
        </w:rPr>
      </w:pPr>
      <w:r>
        <w:rPr>
          <w:rFonts w:ascii="Arial" w:hAnsi="Arial" w:cs="Arial"/>
          <w:sz w:val="20"/>
        </w:rPr>
        <w:t xml:space="preserve">One of the most </w:t>
      </w:r>
      <w:r w:rsidR="00A5277D">
        <w:rPr>
          <w:rFonts w:ascii="Arial" w:hAnsi="Arial" w:cs="Arial"/>
          <w:sz w:val="20"/>
        </w:rPr>
        <w:t>commonly</w:t>
      </w:r>
      <w:r>
        <w:rPr>
          <w:rFonts w:ascii="Arial" w:hAnsi="Arial" w:cs="Arial"/>
          <w:sz w:val="20"/>
        </w:rPr>
        <w:t xml:space="preserve"> disputed issues in Family Division cases is the frequency of </w:t>
      </w:r>
      <w:r w:rsidR="00E55A14" w:rsidRPr="006679D2">
        <w:rPr>
          <w:rFonts w:ascii="Arial" w:hAnsi="Arial" w:cs="Arial"/>
          <w:color w:val="000000"/>
          <w:sz w:val="20"/>
        </w:rPr>
        <w:t>contact</w:t>
      </w:r>
      <w:r w:rsidRPr="006679D2">
        <w:rPr>
          <w:rFonts w:ascii="Arial" w:hAnsi="Arial" w:cs="Arial"/>
          <w:color w:val="000000"/>
          <w:sz w:val="20"/>
        </w:rPr>
        <w:t xml:space="preserve"> between a non-custodial parent and a child.  Such disputes are </w:t>
      </w:r>
      <w:r w:rsidR="00B64AF6" w:rsidRPr="006679D2">
        <w:rPr>
          <w:rFonts w:ascii="Arial" w:hAnsi="Arial" w:cs="Arial"/>
          <w:color w:val="000000"/>
          <w:sz w:val="20"/>
        </w:rPr>
        <w:t>usually</w:t>
      </w:r>
      <w:r w:rsidRPr="006679D2">
        <w:rPr>
          <w:rFonts w:ascii="Arial" w:hAnsi="Arial" w:cs="Arial"/>
          <w:color w:val="000000"/>
          <w:sz w:val="20"/>
        </w:rPr>
        <w:t xml:space="preserve"> even more</w:t>
      </w:r>
      <w:r>
        <w:rPr>
          <w:rFonts w:ascii="Arial" w:hAnsi="Arial" w:cs="Arial"/>
          <w:sz w:val="20"/>
        </w:rPr>
        <w:t xml:space="preserve"> </w:t>
      </w:r>
      <w:r w:rsidR="00063C71">
        <w:rPr>
          <w:rFonts w:ascii="Arial" w:hAnsi="Arial" w:cs="Arial"/>
          <w:sz w:val="20"/>
        </w:rPr>
        <w:t>difficult</w:t>
      </w:r>
      <w:r>
        <w:rPr>
          <w:rFonts w:ascii="Arial" w:hAnsi="Arial" w:cs="Arial"/>
          <w:sz w:val="20"/>
        </w:rPr>
        <w:t xml:space="preserve"> </w:t>
      </w:r>
      <w:r w:rsidR="00063C71">
        <w:rPr>
          <w:rFonts w:ascii="Arial" w:hAnsi="Arial" w:cs="Arial"/>
          <w:sz w:val="20"/>
        </w:rPr>
        <w:t xml:space="preserve">to determine </w:t>
      </w:r>
      <w:r w:rsidR="00CA3540">
        <w:rPr>
          <w:rFonts w:ascii="Arial" w:hAnsi="Arial" w:cs="Arial"/>
          <w:sz w:val="20"/>
        </w:rPr>
        <w:t>when the child is an infant.</w:t>
      </w:r>
    </w:p>
    <w:p w14:paraId="5D3631DC" w14:textId="77777777" w:rsidR="00B86FCC" w:rsidRDefault="00B86FCC" w:rsidP="00655A69">
      <w:pPr>
        <w:jc w:val="both"/>
        <w:rPr>
          <w:rFonts w:ascii="Arial" w:hAnsi="Arial" w:cs="Arial"/>
          <w:sz w:val="20"/>
        </w:rPr>
      </w:pPr>
    </w:p>
    <w:p w14:paraId="0323BE89" w14:textId="77777777" w:rsidR="00655A69" w:rsidRDefault="00655A69" w:rsidP="00655A69">
      <w:pPr>
        <w:pStyle w:val="Heading3"/>
        <w:keepNext/>
        <w:keepLines/>
        <w:spacing w:after="120" w:line="240" w:lineRule="auto"/>
        <w:rPr>
          <w:rFonts w:ascii="Arial" w:hAnsi="Arial" w:cs="Arial"/>
          <w:sz w:val="20"/>
        </w:rPr>
      </w:pPr>
      <w:bookmarkStart w:id="1683" w:name="_4.14.1__“Baby"/>
      <w:bookmarkStart w:id="1684" w:name="B4141"/>
      <w:bookmarkEnd w:id="1683"/>
      <w:bookmarkEnd w:id="1684"/>
      <w:r>
        <w:rPr>
          <w:rFonts w:ascii="Arial" w:hAnsi="Arial" w:cs="Arial"/>
          <w:b/>
          <w:bCs/>
          <w:sz w:val="20"/>
        </w:rPr>
        <w:t>4.14.1</w:t>
      </w:r>
      <w:r>
        <w:rPr>
          <w:rFonts w:ascii="Arial" w:hAnsi="Arial" w:cs="Arial"/>
          <w:b/>
          <w:bCs/>
          <w:sz w:val="20"/>
        </w:rPr>
        <w:tab/>
      </w:r>
      <w:r>
        <w:rPr>
          <w:rFonts w:ascii="Arial" w:hAnsi="Arial" w:cs="Arial"/>
          <w:b/>
          <w:bCs/>
          <w:sz w:val="20"/>
        </w:rPr>
        <w:tab/>
        <w:t xml:space="preserve">“Baby on Board” and </w:t>
      </w:r>
      <w:r w:rsidR="00A078F1">
        <w:rPr>
          <w:rFonts w:ascii="Arial" w:hAnsi="Arial" w:cs="Arial"/>
          <w:b/>
          <w:bCs/>
          <w:sz w:val="20"/>
        </w:rPr>
        <w:t>research</w:t>
      </w:r>
      <w:r w:rsidR="00C63A0D">
        <w:rPr>
          <w:rFonts w:ascii="Arial" w:hAnsi="Arial" w:cs="Arial"/>
          <w:b/>
          <w:bCs/>
          <w:sz w:val="20"/>
        </w:rPr>
        <w:t xml:space="preserve"> cited therein</w:t>
      </w:r>
    </w:p>
    <w:p w14:paraId="0D5139AE" w14:textId="77777777" w:rsidR="00655A69" w:rsidRDefault="00B86FCC" w:rsidP="00FB53EB">
      <w:pPr>
        <w:jc w:val="both"/>
        <w:rPr>
          <w:rFonts w:ascii="Arial" w:hAnsi="Arial" w:cs="Arial"/>
          <w:sz w:val="20"/>
        </w:rPr>
      </w:pPr>
      <w:r>
        <w:rPr>
          <w:rFonts w:ascii="Arial" w:hAnsi="Arial" w:cs="Arial"/>
          <w:sz w:val="20"/>
        </w:rPr>
        <w:t xml:space="preserve">There have been relatively few </w:t>
      </w:r>
      <w:r w:rsidR="00F236C2">
        <w:rPr>
          <w:rFonts w:ascii="Arial" w:hAnsi="Arial" w:cs="Arial"/>
          <w:sz w:val="20"/>
        </w:rPr>
        <w:t xml:space="preserve">Australian </w:t>
      </w:r>
      <w:r>
        <w:rPr>
          <w:rFonts w:ascii="Arial" w:hAnsi="Arial" w:cs="Arial"/>
          <w:sz w:val="20"/>
        </w:rPr>
        <w:t xml:space="preserve">studies of the effects on infants or parents of different patterns and intensities of contact.  Most of the research has been with older children in foster care or post-adoption.  It was in an attempt to fill this gap that in </w:t>
      </w:r>
      <w:r w:rsidR="006D6C25">
        <w:rPr>
          <w:rFonts w:ascii="Arial" w:hAnsi="Arial" w:cs="Arial"/>
          <w:sz w:val="20"/>
        </w:rPr>
        <w:t xml:space="preserve">February 2009 Professor Cathy Humphreys and Ms Meredith </w:t>
      </w:r>
      <w:proofErr w:type="spellStart"/>
      <w:r w:rsidR="006D6C25">
        <w:rPr>
          <w:rFonts w:ascii="Arial" w:hAnsi="Arial" w:cs="Arial"/>
          <w:sz w:val="20"/>
        </w:rPr>
        <w:t>Kiraly</w:t>
      </w:r>
      <w:proofErr w:type="spellEnd"/>
      <w:r w:rsidR="006D6C25">
        <w:rPr>
          <w:rFonts w:ascii="Arial" w:hAnsi="Arial" w:cs="Arial"/>
          <w:sz w:val="20"/>
        </w:rPr>
        <w:t xml:space="preserve"> published a report of an </w:t>
      </w:r>
      <w:r w:rsidR="00114761">
        <w:rPr>
          <w:rFonts w:ascii="Arial" w:hAnsi="Arial" w:cs="Arial"/>
          <w:sz w:val="20"/>
        </w:rPr>
        <w:t>“</w:t>
      </w:r>
      <w:r w:rsidR="006D6C25">
        <w:rPr>
          <w:rFonts w:ascii="Arial" w:hAnsi="Arial" w:cs="Arial"/>
          <w:sz w:val="20"/>
        </w:rPr>
        <w:t>Infants in Care and Family Contact Research Project</w:t>
      </w:r>
      <w:r w:rsidR="00114761">
        <w:rPr>
          <w:rFonts w:ascii="Arial" w:hAnsi="Arial" w:cs="Arial"/>
          <w:sz w:val="20"/>
        </w:rPr>
        <w:t>”</w:t>
      </w:r>
      <w:r>
        <w:rPr>
          <w:rFonts w:ascii="Arial" w:hAnsi="Arial" w:cs="Arial"/>
          <w:sz w:val="20"/>
        </w:rPr>
        <w:t xml:space="preserve">.  The project, undertaken in the </w:t>
      </w:r>
      <w:smartTag w:uri="urn:schemas-microsoft-com:office:smarttags" w:element="PlaceType">
        <w:r>
          <w:rPr>
            <w:rFonts w:ascii="Arial" w:hAnsi="Arial" w:cs="Arial"/>
            <w:sz w:val="20"/>
          </w:rPr>
          <w:t>School</w:t>
        </w:r>
      </w:smartTag>
      <w:r>
        <w:rPr>
          <w:rFonts w:ascii="Arial" w:hAnsi="Arial" w:cs="Arial"/>
          <w:sz w:val="20"/>
        </w:rPr>
        <w:t xml:space="preserve"> of </w:t>
      </w:r>
      <w:smartTag w:uri="urn:schemas-microsoft-com:office:smarttags" w:element="PlaceName">
        <w:r>
          <w:rPr>
            <w:rFonts w:ascii="Arial" w:hAnsi="Arial" w:cs="Arial"/>
            <w:sz w:val="20"/>
          </w:rPr>
          <w:t>Nursing</w:t>
        </w:r>
      </w:smartTag>
      <w:r>
        <w:rPr>
          <w:rFonts w:ascii="Arial" w:hAnsi="Arial" w:cs="Arial"/>
          <w:sz w:val="20"/>
        </w:rPr>
        <w:t xml:space="preserve"> and Social Work of the </w:t>
      </w: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Melbourne</w:t>
          </w:r>
        </w:smartTag>
      </w:smartTag>
      <w:r>
        <w:rPr>
          <w:rFonts w:ascii="Arial" w:hAnsi="Arial" w:cs="Arial"/>
          <w:sz w:val="20"/>
        </w:rPr>
        <w:t xml:space="preserve"> as independent research within the Alfred Felton Research Program,</w:t>
      </w:r>
      <w:r w:rsidR="006D6C25">
        <w:rPr>
          <w:rFonts w:ascii="Arial" w:hAnsi="Arial" w:cs="Arial"/>
          <w:sz w:val="20"/>
        </w:rPr>
        <w:t xml:space="preserve"> </w:t>
      </w:r>
      <w:r w:rsidR="00365E12">
        <w:rPr>
          <w:rFonts w:ascii="Arial" w:hAnsi="Arial" w:cs="Arial"/>
          <w:sz w:val="20"/>
        </w:rPr>
        <w:t xml:space="preserve">focussed on </w:t>
      </w:r>
      <w:r w:rsidR="00107B64">
        <w:rPr>
          <w:rFonts w:ascii="Arial" w:hAnsi="Arial" w:cs="Arial"/>
          <w:sz w:val="20"/>
        </w:rPr>
        <w:t xml:space="preserve">the frequency of family contact for infants in out of home care in the </w:t>
      </w:r>
      <w:r w:rsidR="00114761">
        <w:rPr>
          <w:rFonts w:ascii="Arial" w:hAnsi="Arial" w:cs="Arial"/>
          <w:sz w:val="20"/>
        </w:rPr>
        <w:t>context</w:t>
      </w:r>
      <w:r w:rsidR="00107B64">
        <w:rPr>
          <w:rFonts w:ascii="Arial" w:hAnsi="Arial" w:cs="Arial"/>
          <w:sz w:val="20"/>
        </w:rPr>
        <w:t xml:space="preserve"> of infants’</w:t>
      </w:r>
      <w:r w:rsidR="00365E12">
        <w:rPr>
          <w:rFonts w:ascii="Arial" w:hAnsi="Arial" w:cs="Arial"/>
          <w:sz w:val="20"/>
        </w:rPr>
        <w:t xml:space="preserve"> physical an</w:t>
      </w:r>
      <w:r w:rsidR="00107B64">
        <w:rPr>
          <w:rFonts w:ascii="Arial" w:hAnsi="Arial" w:cs="Arial"/>
          <w:sz w:val="20"/>
        </w:rPr>
        <w:t>d psychological needs and</w:t>
      </w:r>
      <w:r w:rsidR="00365E12">
        <w:rPr>
          <w:rFonts w:ascii="Arial" w:hAnsi="Arial" w:cs="Arial"/>
          <w:sz w:val="20"/>
        </w:rPr>
        <w:t xml:space="preserve"> on their attachment and neurological deve</w:t>
      </w:r>
      <w:r w:rsidR="00107B64">
        <w:rPr>
          <w:rFonts w:ascii="Arial" w:hAnsi="Arial" w:cs="Arial"/>
          <w:sz w:val="20"/>
        </w:rPr>
        <w:t>lopment</w:t>
      </w:r>
      <w:r w:rsidR="00365E12">
        <w:rPr>
          <w:rFonts w:ascii="Arial" w:hAnsi="Arial" w:cs="Arial"/>
          <w:sz w:val="20"/>
        </w:rPr>
        <w:t xml:space="preserve">.  </w:t>
      </w:r>
      <w:r w:rsidR="000D52F1">
        <w:rPr>
          <w:rFonts w:ascii="Arial" w:hAnsi="Arial" w:cs="Arial"/>
          <w:sz w:val="20"/>
        </w:rPr>
        <w:t xml:space="preserve">The </w:t>
      </w:r>
      <w:r w:rsidR="004531C6">
        <w:rPr>
          <w:rFonts w:ascii="Arial" w:hAnsi="Arial" w:cs="Arial"/>
          <w:sz w:val="20"/>
        </w:rPr>
        <w:t xml:space="preserve">following </w:t>
      </w:r>
      <w:r w:rsidR="00BD79F7">
        <w:rPr>
          <w:rFonts w:ascii="Arial" w:hAnsi="Arial" w:cs="Arial"/>
          <w:sz w:val="20"/>
        </w:rPr>
        <w:t>summary</w:t>
      </w:r>
      <w:r w:rsidR="000D52F1">
        <w:rPr>
          <w:rFonts w:ascii="Arial" w:hAnsi="Arial" w:cs="Arial"/>
          <w:sz w:val="20"/>
        </w:rPr>
        <w:t xml:space="preserve"> </w:t>
      </w:r>
      <w:r w:rsidR="004531C6">
        <w:rPr>
          <w:rFonts w:ascii="Arial" w:hAnsi="Arial" w:cs="Arial"/>
          <w:sz w:val="20"/>
        </w:rPr>
        <w:t xml:space="preserve">by Magistrate Peter Power </w:t>
      </w:r>
      <w:r w:rsidR="000D52F1">
        <w:rPr>
          <w:rFonts w:ascii="Arial" w:hAnsi="Arial" w:cs="Arial"/>
          <w:sz w:val="20"/>
        </w:rPr>
        <w:t xml:space="preserve">is compiled </w:t>
      </w:r>
      <w:r w:rsidR="004531C6">
        <w:rPr>
          <w:rFonts w:ascii="Arial" w:hAnsi="Arial" w:cs="Arial"/>
          <w:sz w:val="20"/>
        </w:rPr>
        <w:t>from the report</w:t>
      </w:r>
      <w:r w:rsidR="00114761">
        <w:rPr>
          <w:rFonts w:ascii="Arial" w:hAnsi="Arial" w:cs="Arial"/>
          <w:sz w:val="20"/>
        </w:rPr>
        <w:t>,</w:t>
      </w:r>
      <w:r w:rsidR="004531C6">
        <w:rPr>
          <w:rFonts w:ascii="Arial" w:hAnsi="Arial" w:cs="Arial"/>
          <w:sz w:val="20"/>
        </w:rPr>
        <w:t xml:space="preserve"> which is entitled “Baby on Board”.</w:t>
      </w:r>
    </w:p>
    <w:p w14:paraId="001E8CA1" w14:textId="77777777" w:rsidR="0015101B" w:rsidRDefault="0015101B" w:rsidP="009B178F">
      <w:pPr>
        <w:jc w:val="both"/>
        <w:rPr>
          <w:rFonts w:ascii="Arial" w:hAnsi="Arial" w:cs="Arial"/>
          <w:sz w:val="20"/>
        </w:rPr>
      </w:pPr>
    </w:p>
    <w:p w14:paraId="2F059A60" w14:textId="77777777" w:rsidR="0015101B" w:rsidRDefault="00372242" w:rsidP="009B178F">
      <w:pPr>
        <w:jc w:val="both"/>
        <w:rPr>
          <w:rFonts w:ascii="Arial" w:hAnsi="Arial" w:cs="Arial"/>
          <w:sz w:val="20"/>
        </w:rPr>
      </w:pPr>
      <w:r>
        <w:rPr>
          <w:rFonts w:ascii="Arial" w:hAnsi="Arial" w:cs="Arial"/>
          <w:sz w:val="20"/>
        </w:rPr>
        <w:t>In recent years, there ha</w:t>
      </w:r>
      <w:r w:rsidR="005C069A">
        <w:rPr>
          <w:rFonts w:ascii="Arial" w:hAnsi="Arial" w:cs="Arial"/>
          <w:sz w:val="20"/>
        </w:rPr>
        <w:t>d</w:t>
      </w:r>
      <w:r>
        <w:rPr>
          <w:rFonts w:ascii="Arial" w:hAnsi="Arial" w:cs="Arial"/>
          <w:sz w:val="20"/>
        </w:rPr>
        <w:t xml:space="preserve"> appeared to </w:t>
      </w:r>
      <w:r w:rsidR="003A0888">
        <w:rPr>
          <w:rFonts w:ascii="Arial" w:hAnsi="Arial" w:cs="Arial"/>
          <w:sz w:val="20"/>
        </w:rPr>
        <w:t xml:space="preserve">the researchers to </w:t>
      </w:r>
      <w:r>
        <w:rPr>
          <w:rFonts w:ascii="Arial" w:hAnsi="Arial" w:cs="Arial"/>
          <w:sz w:val="20"/>
        </w:rPr>
        <w:t xml:space="preserve">be an increasing number of high frequency parental contact arrangements for infants, usually involving infants being transported </w:t>
      </w:r>
      <w:r>
        <w:rPr>
          <w:rFonts w:ascii="Arial" w:hAnsi="Arial" w:cs="Arial"/>
          <w:sz w:val="20"/>
        </w:rPr>
        <w:lastRenderedPageBreak/>
        <w:t xml:space="preserve">to the visit location.  </w:t>
      </w:r>
      <w:r w:rsidR="00C977ED">
        <w:rPr>
          <w:rFonts w:ascii="Arial" w:hAnsi="Arial" w:cs="Arial"/>
          <w:sz w:val="20"/>
        </w:rPr>
        <w:t xml:space="preserve">As a result, some indications of stress in infants have been reported, especially where the infants have health problems.  The issue is complex.  </w:t>
      </w:r>
      <w:r w:rsidR="000F78EA">
        <w:rPr>
          <w:rFonts w:ascii="Arial" w:hAnsi="Arial" w:cs="Arial"/>
          <w:sz w:val="20"/>
        </w:rPr>
        <w:t>While high levels of parental contact are sometimes seen to be needed to maximise the chance of family reunification, infants also need safety, tranquillity and stability of care in order to thrive.  These two factors may be in tension, particularly given the level of disruption involved for infants with travel and associated requirements.  The question of the infant’s best interests was thus seen to require further exploration.</w:t>
      </w:r>
    </w:p>
    <w:p w14:paraId="050031AB" w14:textId="77777777" w:rsidR="000F78EA" w:rsidRDefault="000F78EA" w:rsidP="009B178F">
      <w:pPr>
        <w:jc w:val="both"/>
        <w:rPr>
          <w:rFonts w:ascii="Arial" w:hAnsi="Arial" w:cs="Arial"/>
          <w:sz w:val="20"/>
        </w:rPr>
      </w:pPr>
    </w:p>
    <w:p w14:paraId="737E316A" w14:textId="77777777" w:rsidR="000F78EA" w:rsidRDefault="000F78EA" w:rsidP="009B178F">
      <w:pPr>
        <w:jc w:val="both"/>
        <w:rPr>
          <w:rFonts w:ascii="Arial" w:hAnsi="Arial" w:cs="Arial"/>
          <w:sz w:val="20"/>
        </w:rPr>
      </w:pPr>
      <w:r>
        <w:rPr>
          <w:rFonts w:ascii="Arial" w:hAnsi="Arial" w:cs="Arial"/>
          <w:sz w:val="20"/>
        </w:rPr>
        <w:t xml:space="preserve">The background to the project </w:t>
      </w:r>
      <w:r w:rsidR="00365E12">
        <w:rPr>
          <w:rFonts w:ascii="Arial" w:hAnsi="Arial" w:cs="Arial"/>
          <w:sz w:val="20"/>
        </w:rPr>
        <w:t>wa</w:t>
      </w:r>
      <w:r>
        <w:rPr>
          <w:rFonts w:ascii="Arial" w:hAnsi="Arial" w:cs="Arial"/>
          <w:sz w:val="20"/>
        </w:rPr>
        <w:t xml:space="preserve">s as follows.  </w:t>
      </w:r>
      <w:r w:rsidR="00491337">
        <w:rPr>
          <w:rFonts w:ascii="Arial" w:hAnsi="Arial" w:cs="Arial"/>
          <w:sz w:val="20"/>
        </w:rPr>
        <w:t xml:space="preserve">Infants under one year of age are over-represented in admissions to out of home care.  In 2006/2007, 14% (408) of admissions in </w:t>
      </w:r>
      <w:smartTag w:uri="urn:schemas-microsoft-com:office:smarttags" w:element="State">
        <w:r w:rsidR="00491337">
          <w:rPr>
            <w:rFonts w:ascii="Arial" w:hAnsi="Arial" w:cs="Arial"/>
            <w:sz w:val="20"/>
          </w:rPr>
          <w:t>Victoria</w:t>
        </w:r>
      </w:smartTag>
      <w:r w:rsidR="00491337">
        <w:rPr>
          <w:rFonts w:ascii="Arial" w:hAnsi="Arial" w:cs="Arial"/>
          <w:sz w:val="20"/>
        </w:rPr>
        <w:t xml:space="preserve"> were for this group </w:t>
      </w:r>
      <w:r w:rsidR="00446894">
        <w:rPr>
          <w:rFonts w:ascii="Arial" w:hAnsi="Arial" w:cs="Arial"/>
          <w:sz w:val="20"/>
        </w:rPr>
        <w:t>(</w:t>
      </w:r>
      <w:r w:rsidR="00491337" w:rsidRPr="00491337">
        <w:rPr>
          <w:rFonts w:ascii="Arial" w:hAnsi="Arial" w:cs="Arial"/>
          <w:i/>
          <w:sz w:val="20"/>
        </w:rPr>
        <w:t xml:space="preserve">Child Protection </w:t>
      </w:r>
      <w:smartTag w:uri="urn:schemas-microsoft-com:office:smarttags" w:element="country-region">
        <w:r w:rsidR="00491337" w:rsidRPr="00491337">
          <w:rPr>
            <w:rFonts w:ascii="Arial" w:hAnsi="Arial" w:cs="Arial"/>
            <w:i/>
            <w:sz w:val="20"/>
          </w:rPr>
          <w:t>Australia</w:t>
        </w:r>
      </w:smartTag>
      <w:r w:rsidR="00491337" w:rsidRPr="00491337">
        <w:rPr>
          <w:rFonts w:ascii="Arial" w:hAnsi="Arial" w:cs="Arial"/>
          <w:i/>
          <w:sz w:val="20"/>
        </w:rPr>
        <w:t xml:space="preserve"> 2006-2007</w:t>
      </w:r>
      <w:r w:rsidR="00491337" w:rsidRPr="00491337">
        <w:rPr>
          <w:rFonts w:ascii="Arial" w:hAnsi="Arial" w:cs="Arial"/>
          <w:sz w:val="20"/>
        </w:rPr>
        <w:t xml:space="preserve"> – </w:t>
      </w:r>
      <w:smartTag w:uri="urn:schemas-microsoft-com:office:smarttags" w:element="City">
        <w:smartTag w:uri="urn:schemas-microsoft-com:office:smarttags" w:element="place">
          <w:r w:rsidR="00491337" w:rsidRPr="00491337">
            <w:rPr>
              <w:rFonts w:ascii="Arial" w:hAnsi="Arial" w:cs="Arial"/>
              <w:sz w:val="20"/>
            </w:rPr>
            <w:t>Canberra</w:t>
          </w:r>
        </w:smartTag>
      </w:smartTag>
      <w:r w:rsidR="00491337" w:rsidRPr="00491337">
        <w:rPr>
          <w:rFonts w:ascii="Arial" w:hAnsi="Arial" w:cs="Arial"/>
          <w:sz w:val="20"/>
        </w:rPr>
        <w:t>: Australian Institute of Health &amp; Welfare {AIHW, 2008}</w:t>
      </w:r>
      <w:r w:rsidR="00446894">
        <w:rPr>
          <w:rFonts w:ascii="Arial" w:hAnsi="Arial" w:cs="Arial"/>
          <w:sz w:val="20"/>
        </w:rPr>
        <w:t xml:space="preserve">, p.54).  </w:t>
      </w:r>
      <w:r>
        <w:rPr>
          <w:rFonts w:ascii="Arial" w:hAnsi="Arial" w:cs="Arial"/>
          <w:sz w:val="20"/>
        </w:rPr>
        <w:t>Many of these infants come into care in the first couple of months of life, often before they have had an opportunity to form an attachment to their mother and/or their father.  The early months of life are the critical time in a child’s life for developing effective attachment relationships and for neurological development:</w:t>
      </w:r>
    </w:p>
    <w:p w14:paraId="4B3AB238" w14:textId="77777777" w:rsidR="00446894" w:rsidRDefault="000D52F1" w:rsidP="009B178F">
      <w:pPr>
        <w:ind w:left="567" w:right="567"/>
        <w:jc w:val="both"/>
        <w:rPr>
          <w:rFonts w:ascii="Arial" w:hAnsi="Arial" w:cs="Arial"/>
          <w:sz w:val="20"/>
        </w:rPr>
      </w:pPr>
      <w:r>
        <w:rPr>
          <w:rFonts w:ascii="Arial" w:hAnsi="Arial" w:cs="Arial"/>
          <w:sz w:val="20"/>
        </w:rPr>
        <w:t>“</w:t>
      </w:r>
      <w:r w:rsidR="00446894">
        <w:rPr>
          <w:rFonts w:ascii="Arial" w:hAnsi="Arial" w:cs="Arial"/>
          <w:sz w:val="20"/>
        </w:rPr>
        <w:t xml:space="preserve">These are critical periods during which the bonding experiences </w:t>
      </w:r>
      <w:r w:rsidR="00446894" w:rsidRPr="00446894">
        <w:rPr>
          <w:rFonts w:ascii="Arial" w:hAnsi="Arial" w:cs="Arial"/>
          <w:i/>
          <w:sz w:val="20"/>
        </w:rPr>
        <w:t>must be present</w:t>
      </w:r>
      <w:r w:rsidR="00446894">
        <w:rPr>
          <w:rFonts w:ascii="Arial" w:hAnsi="Arial" w:cs="Arial"/>
          <w:sz w:val="20"/>
        </w:rPr>
        <w:t xml:space="preserve"> for the brain systems responsible for attachment to develop normally.  These critical periods appear to be in the first year of life, and are related to the capacity of the infant and caregiver to develop a positive interactive relationship’ </w:t>
      </w:r>
      <w:r w:rsidR="007270A9">
        <w:rPr>
          <w:rFonts w:ascii="Arial" w:hAnsi="Arial" w:cs="Arial"/>
          <w:sz w:val="20"/>
        </w:rPr>
        <w:t>[</w:t>
      </w:r>
      <w:r w:rsidR="00446894">
        <w:rPr>
          <w:rFonts w:ascii="Arial" w:hAnsi="Arial" w:cs="Arial"/>
          <w:sz w:val="20"/>
        </w:rPr>
        <w:t xml:space="preserve">Perry B (2008) </w:t>
      </w:r>
      <w:r w:rsidR="00446894" w:rsidRPr="00446894">
        <w:rPr>
          <w:rFonts w:ascii="Arial" w:hAnsi="Arial" w:cs="Arial"/>
          <w:i/>
          <w:sz w:val="20"/>
        </w:rPr>
        <w:t>Bonding and attachment in maltreated children: consequences of emotional neglect in childhood</w:t>
      </w:r>
      <w:r w:rsidR="007270A9">
        <w:rPr>
          <w:rFonts w:ascii="Arial" w:hAnsi="Arial" w:cs="Arial"/>
          <w:sz w:val="20"/>
        </w:rPr>
        <w:t>]</w:t>
      </w:r>
      <w:r w:rsidR="00446894">
        <w:rPr>
          <w:rFonts w:ascii="Arial" w:hAnsi="Arial" w:cs="Arial"/>
          <w:sz w:val="20"/>
        </w:rPr>
        <w:t>.</w:t>
      </w:r>
      <w:r>
        <w:rPr>
          <w:rFonts w:ascii="Arial" w:hAnsi="Arial" w:cs="Arial"/>
          <w:sz w:val="20"/>
        </w:rPr>
        <w:t>”</w:t>
      </w:r>
    </w:p>
    <w:p w14:paraId="25D3F692" w14:textId="77777777" w:rsidR="00446894" w:rsidRDefault="000F78EA" w:rsidP="00855531">
      <w:pPr>
        <w:jc w:val="both"/>
        <w:rPr>
          <w:rFonts w:ascii="Arial" w:hAnsi="Arial" w:cs="Arial"/>
          <w:sz w:val="20"/>
        </w:rPr>
      </w:pPr>
      <w:r>
        <w:rPr>
          <w:rFonts w:ascii="Arial" w:hAnsi="Arial" w:cs="Arial"/>
          <w:sz w:val="20"/>
        </w:rPr>
        <w:t xml:space="preserve">Stability of </w:t>
      </w:r>
      <w:r w:rsidR="00030E96">
        <w:rPr>
          <w:rFonts w:ascii="Arial" w:hAnsi="Arial" w:cs="Arial"/>
          <w:sz w:val="20"/>
        </w:rPr>
        <w:t>relationships is of the utmost importance to the infant’s well-being and development, whether achieved by fami</w:t>
      </w:r>
      <w:r w:rsidR="00655035">
        <w:rPr>
          <w:rFonts w:ascii="Arial" w:hAnsi="Arial" w:cs="Arial"/>
          <w:sz w:val="20"/>
        </w:rPr>
        <w:t xml:space="preserve">ly reunification or </w:t>
      </w:r>
      <w:r w:rsidR="00030E96">
        <w:rPr>
          <w:rFonts w:ascii="Arial" w:hAnsi="Arial" w:cs="Arial"/>
          <w:sz w:val="20"/>
        </w:rPr>
        <w:t>permanent care.</w:t>
      </w:r>
      <w:r w:rsidR="00655035">
        <w:rPr>
          <w:rFonts w:ascii="Arial" w:hAnsi="Arial" w:cs="Arial"/>
          <w:sz w:val="20"/>
        </w:rPr>
        <w:t xml:space="preserve">  Infants are also unique among children in their level of dependency and vulnerability, and inability to make their needs known unambiguously.  Underscoring their vulnerability, it is noted that infants in the first year of life comprise the greatest percentage of deaths of children known to Child Protection (</w:t>
      </w:r>
      <w:r w:rsidR="00655035" w:rsidRPr="00655035">
        <w:rPr>
          <w:rFonts w:ascii="Arial" w:hAnsi="Arial" w:cs="Arial"/>
          <w:i/>
          <w:sz w:val="20"/>
        </w:rPr>
        <w:t>Annual Report of inquiries into the deaths of children known to Child Protection 2008</w:t>
      </w:r>
      <w:r w:rsidR="00655035">
        <w:rPr>
          <w:rFonts w:ascii="Arial" w:hAnsi="Arial" w:cs="Arial"/>
          <w:sz w:val="20"/>
        </w:rPr>
        <w:t xml:space="preserve"> – Melbourne: Victorian Child Death Review Committee, Office of the Child Safety Commissioner).</w:t>
      </w:r>
    </w:p>
    <w:p w14:paraId="4FA70BEA" w14:textId="77777777" w:rsidR="000F78EA" w:rsidRDefault="000F78EA" w:rsidP="009B178F">
      <w:pPr>
        <w:jc w:val="both"/>
        <w:rPr>
          <w:rFonts w:ascii="Arial" w:hAnsi="Arial" w:cs="Arial"/>
          <w:sz w:val="20"/>
        </w:rPr>
      </w:pPr>
    </w:p>
    <w:p w14:paraId="5680F7C8" w14:textId="77777777" w:rsidR="00655035" w:rsidRDefault="00655035" w:rsidP="009B178F">
      <w:pPr>
        <w:jc w:val="both"/>
        <w:rPr>
          <w:rFonts w:ascii="Arial" w:hAnsi="Arial" w:cs="Arial"/>
          <w:sz w:val="20"/>
        </w:rPr>
      </w:pPr>
      <w:r>
        <w:rPr>
          <w:rFonts w:ascii="Arial" w:hAnsi="Arial" w:cs="Arial"/>
          <w:sz w:val="20"/>
        </w:rPr>
        <w:t>The project start</w:t>
      </w:r>
      <w:r w:rsidR="00365E12">
        <w:rPr>
          <w:rFonts w:ascii="Arial" w:hAnsi="Arial" w:cs="Arial"/>
          <w:sz w:val="20"/>
        </w:rPr>
        <w:t>ed</w:t>
      </w:r>
      <w:r>
        <w:rPr>
          <w:rFonts w:ascii="Arial" w:hAnsi="Arial" w:cs="Arial"/>
          <w:sz w:val="20"/>
        </w:rPr>
        <w:t xml:space="preserve"> from a presumption that, after safety, attachment is the key issue in ensuring the well-being of infants in care.  The following assumptions </w:t>
      </w:r>
      <w:r w:rsidR="00365E12">
        <w:rPr>
          <w:rFonts w:ascii="Arial" w:hAnsi="Arial" w:cs="Arial"/>
          <w:sz w:val="20"/>
        </w:rPr>
        <w:t>we</w:t>
      </w:r>
      <w:r>
        <w:rPr>
          <w:rFonts w:ascii="Arial" w:hAnsi="Arial" w:cs="Arial"/>
          <w:sz w:val="20"/>
        </w:rPr>
        <w:t>re made:</w:t>
      </w:r>
    </w:p>
    <w:p w14:paraId="2CAEA373" w14:textId="77777777" w:rsidR="00655035" w:rsidRDefault="00655035" w:rsidP="00FB1EE3">
      <w:pPr>
        <w:numPr>
          <w:ilvl w:val="0"/>
          <w:numId w:val="69"/>
        </w:numPr>
        <w:tabs>
          <w:tab w:val="clear" w:pos="1004"/>
        </w:tabs>
        <w:ind w:left="714" w:hanging="357"/>
        <w:jc w:val="both"/>
        <w:rPr>
          <w:rFonts w:ascii="Arial" w:hAnsi="Arial" w:cs="Arial"/>
          <w:sz w:val="20"/>
        </w:rPr>
      </w:pPr>
      <w:r>
        <w:rPr>
          <w:rFonts w:ascii="Arial" w:hAnsi="Arial" w:cs="Arial"/>
          <w:sz w:val="20"/>
        </w:rPr>
        <w:t>An infant’s primary attachment will be made with the person(s) doing the consistent, ongoing 24-hour care of the infant.  This is usually the mother, but in out of home care would normally be the foster carer.</w:t>
      </w:r>
    </w:p>
    <w:p w14:paraId="42C14CEB" w14:textId="77777777" w:rsidR="00655035" w:rsidRDefault="00365E12" w:rsidP="00FB1EE3">
      <w:pPr>
        <w:numPr>
          <w:ilvl w:val="0"/>
          <w:numId w:val="69"/>
        </w:numPr>
        <w:tabs>
          <w:tab w:val="clear" w:pos="1004"/>
        </w:tabs>
        <w:ind w:left="714" w:hanging="357"/>
        <w:jc w:val="both"/>
        <w:rPr>
          <w:rFonts w:ascii="Arial" w:hAnsi="Arial" w:cs="Arial"/>
          <w:sz w:val="20"/>
        </w:rPr>
      </w:pPr>
      <w:r>
        <w:rPr>
          <w:rFonts w:ascii="Arial" w:hAnsi="Arial" w:cs="Arial"/>
          <w:sz w:val="20"/>
        </w:rPr>
        <w:t>Secondary attachments to other people occur (e.g. father, grandparents etc).  Their strength will vary with the role of the person, including the amount of time spent caring, degree of active care and emotional engagement with the infant.</w:t>
      </w:r>
    </w:p>
    <w:p w14:paraId="0CB09A8E" w14:textId="77777777" w:rsidR="00365E12" w:rsidRDefault="00365E12" w:rsidP="00FB1EE3">
      <w:pPr>
        <w:numPr>
          <w:ilvl w:val="0"/>
          <w:numId w:val="69"/>
        </w:numPr>
        <w:tabs>
          <w:tab w:val="clear" w:pos="1004"/>
        </w:tabs>
        <w:ind w:left="714" w:hanging="357"/>
        <w:jc w:val="both"/>
        <w:rPr>
          <w:rFonts w:ascii="Arial" w:hAnsi="Arial" w:cs="Arial"/>
          <w:sz w:val="20"/>
        </w:rPr>
      </w:pPr>
      <w:r>
        <w:rPr>
          <w:rFonts w:ascii="Arial" w:hAnsi="Arial" w:cs="Arial"/>
          <w:sz w:val="20"/>
        </w:rPr>
        <w:t>If a primary attachment is well developed, it may be possible to retain this via regular contact during separation.  The attachment is likely to attenuate during long separation, especially if the infant is very young and if separation is long.</w:t>
      </w:r>
    </w:p>
    <w:p w14:paraId="6E26027D" w14:textId="77777777" w:rsidR="00365E12" w:rsidRDefault="00107B64" w:rsidP="00FB1EE3">
      <w:pPr>
        <w:numPr>
          <w:ilvl w:val="0"/>
          <w:numId w:val="69"/>
        </w:numPr>
        <w:tabs>
          <w:tab w:val="clear" w:pos="1004"/>
        </w:tabs>
        <w:ind w:left="714" w:hanging="357"/>
        <w:jc w:val="both"/>
        <w:rPr>
          <w:rFonts w:ascii="Arial" w:hAnsi="Arial" w:cs="Arial"/>
          <w:sz w:val="20"/>
        </w:rPr>
      </w:pPr>
      <w:r>
        <w:rPr>
          <w:rFonts w:ascii="Arial" w:hAnsi="Arial" w:cs="Arial"/>
          <w:sz w:val="20"/>
        </w:rPr>
        <w:t>The infant’s neurological development, including cognitive and emotional development, is intimately tied to the primary attachment relationship.</w:t>
      </w:r>
    </w:p>
    <w:p w14:paraId="433A6B7F" w14:textId="77777777" w:rsidR="00107B64" w:rsidRDefault="00107B64" w:rsidP="00FB1EE3">
      <w:pPr>
        <w:numPr>
          <w:ilvl w:val="0"/>
          <w:numId w:val="69"/>
        </w:numPr>
        <w:tabs>
          <w:tab w:val="clear" w:pos="1004"/>
        </w:tabs>
        <w:ind w:left="714" w:hanging="357"/>
        <w:jc w:val="both"/>
        <w:rPr>
          <w:rFonts w:ascii="Arial" w:hAnsi="Arial" w:cs="Arial"/>
          <w:sz w:val="20"/>
        </w:rPr>
      </w:pPr>
      <w:r>
        <w:rPr>
          <w:rFonts w:ascii="Arial" w:hAnsi="Arial" w:cs="Arial"/>
          <w:sz w:val="20"/>
        </w:rPr>
        <w:t>Early experiences of trauma can create disrupted patterns of attachment with far-reaching and negative effects on infants’ development and well</w:t>
      </w:r>
      <w:r>
        <w:rPr>
          <w:rFonts w:ascii="Arial" w:hAnsi="Arial" w:cs="Arial"/>
          <w:sz w:val="20"/>
        </w:rPr>
        <w:noBreakHyphen/>
        <w:t>being.</w:t>
      </w:r>
    </w:p>
    <w:p w14:paraId="333ACB2B" w14:textId="77777777" w:rsidR="00655035" w:rsidRDefault="00655035" w:rsidP="008F79DC">
      <w:pPr>
        <w:jc w:val="both"/>
        <w:rPr>
          <w:rFonts w:ascii="Arial" w:hAnsi="Arial" w:cs="Arial"/>
          <w:sz w:val="20"/>
        </w:rPr>
      </w:pPr>
    </w:p>
    <w:p w14:paraId="7190F6E7" w14:textId="77777777" w:rsidR="008F79DC" w:rsidRDefault="00030E96" w:rsidP="009B178F">
      <w:pPr>
        <w:jc w:val="both"/>
        <w:rPr>
          <w:rFonts w:ascii="Arial" w:hAnsi="Arial" w:cs="Arial"/>
          <w:sz w:val="20"/>
        </w:rPr>
      </w:pPr>
      <w:r>
        <w:rPr>
          <w:rFonts w:ascii="Arial" w:hAnsi="Arial" w:cs="Arial"/>
          <w:sz w:val="20"/>
        </w:rPr>
        <w:t xml:space="preserve">The over-aching aim of the research was </w:t>
      </w:r>
      <w:r w:rsidR="00107B64">
        <w:rPr>
          <w:rFonts w:ascii="Arial" w:hAnsi="Arial" w:cs="Arial"/>
          <w:sz w:val="20"/>
        </w:rPr>
        <w:t xml:space="preserve">the development of a better understanding of infants’ best interests in relation to </w:t>
      </w:r>
      <w:r w:rsidR="006E14AC">
        <w:rPr>
          <w:rFonts w:ascii="Arial" w:hAnsi="Arial" w:cs="Arial"/>
          <w:sz w:val="20"/>
        </w:rPr>
        <w:t xml:space="preserve">intensive family contact during protective placements.  </w:t>
      </w:r>
      <w:r>
        <w:rPr>
          <w:rFonts w:ascii="Arial" w:hAnsi="Arial" w:cs="Arial"/>
          <w:sz w:val="20"/>
        </w:rPr>
        <w:t xml:space="preserve">Information on the extent and nature of family contact, and the perspectives of carers, professional staff and lawyers were sought to inform this understanding.  </w:t>
      </w:r>
      <w:r w:rsidR="009B178F">
        <w:rPr>
          <w:rFonts w:ascii="Arial" w:hAnsi="Arial" w:cs="Arial"/>
          <w:sz w:val="20"/>
        </w:rPr>
        <w:t>The research involved</w:t>
      </w:r>
      <w:r w:rsidR="008F79DC">
        <w:rPr>
          <w:rFonts w:ascii="Arial" w:hAnsi="Arial" w:cs="Arial"/>
          <w:sz w:val="20"/>
        </w:rPr>
        <w:t>:</w:t>
      </w:r>
    </w:p>
    <w:p w14:paraId="615CE44B" w14:textId="77777777" w:rsidR="008F79DC" w:rsidRDefault="008F79DC" w:rsidP="00FB1EE3">
      <w:pPr>
        <w:numPr>
          <w:ilvl w:val="0"/>
          <w:numId w:val="70"/>
        </w:numPr>
        <w:tabs>
          <w:tab w:val="clear" w:pos="1004"/>
        </w:tabs>
        <w:ind w:left="714" w:hanging="357"/>
        <w:jc w:val="both"/>
        <w:rPr>
          <w:rFonts w:ascii="Arial" w:hAnsi="Arial" w:cs="Arial"/>
          <w:sz w:val="20"/>
        </w:rPr>
      </w:pPr>
      <w:r>
        <w:rPr>
          <w:rFonts w:ascii="Arial" w:hAnsi="Arial" w:cs="Arial"/>
          <w:sz w:val="20"/>
        </w:rPr>
        <w:t>A case file audit of 119 cases of infants in care on 01/08/2007</w:t>
      </w:r>
      <w:r w:rsidR="00FF1EA6">
        <w:rPr>
          <w:rFonts w:ascii="Arial" w:hAnsi="Arial" w:cs="Arial"/>
          <w:sz w:val="20"/>
        </w:rPr>
        <w:t>,</w:t>
      </w:r>
      <w:r w:rsidR="009F3F43">
        <w:rPr>
          <w:rFonts w:ascii="Arial" w:hAnsi="Arial" w:cs="Arial"/>
          <w:sz w:val="20"/>
        </w:rPr>
        <w:t xml:space="preserve"> in </w:t>
      </w:r>
      <w:r>
        <w:rPr>
          <w:rFonts w:ascii="Arial" w:hAnsi="Arial" w:cs="Arial"/>
          <w:sz w:val="20"/>
        </w:rPr>
        <w:t xml:space="preserve">40 </w:t>
      </w:r>
      <w:r w:rsidR="009F3F43">
        <w:rPr>
          <w:rFonts w:ascii="Arial" w:hAnsi="Arial" w:cs="Arial"/>
          <w:sz w:val="20"/>
        </w:rPr>
        <w:t>of</w:t>
      </w:r>
      <w:r>
        <w:rPr>
          <w:rFonts w:ascii="Arial" w:hAnsi="Arial" w:cs="Arial"/>
          <w:sz w:val="20"/>
        </w:rPr>
        <w:t xml:space="preserve"> which high-frequency family contact (4-7 days </w:t>
      </w:r>
      <w:r w:rsidR="0043680D">
        <w:rPr>
          <w:rFonts w:ascii="Arial" w:hAnsi="Arial" w:cs="Arial"/>
          <w:sz w:val="20"/>
        </w:rPr>
        <w:t>per</w:t>
      </w:r>
      <w:r>
        <w:rPr>
          <w:rFonts w:ascii="Arial" w:hAnsi="Arial" w:cs="Arial"/>
          <w:sz w:val="20"/>
        </w:rPr>
        <w:t xml:space="preserve"> week) had been court</w:t>
      </w:r>
      <w:r w:rsidR="00FF1EA6">
        <w:rPr>
          <w:rFonts w:ascii="Arial" w:hAnsi="Arial" w:cs="Arial"/>
          <w:sz w:val="20"/>
        </w:rPr>
        <w:t>-</w:t>
      </w:r>
      <w:r>
        <w:rPr>
          <w:rFonts w:ascii="Arial" w:hAnsi="Arial" w:cs="Arial"/>
          <w:sz w:val="20"/>
        </w:rPr>
        <w:t>ordered.</w:t>
      </w:r>
    </w:p>
    <w:p w14:paraId="43AEEC22" w14:textId="77777777" w:rsidR="008F79DC" w:rsidRDefault="008F79DC" w:rsidP="00FB1EE3">
      <w:pPr>
        <w:numPr>
          <w:ilvl w:val="0"/>
          <w:numId w:val="70"/>
        </w:numPr>
        <w:tabs>
          <w:tab w:val="clear" w:pos="1004"/>
        </w:tabs>
        <w:ind w:left="714" w:hanging="357"/>
        <w:jc w:val="both"/>
        <w:rPr>
          <w:rFonts w:ascii="Arial" w:hAnsi="Arial" w:cs="Arial"/>
          <w:sz w:val="20"/>
        </w:rPr>
      </w:pPr>
      <w:r>
        <w:rPr>
          <w:rFonts w:ascii="Arial" w:hAnsi="Arial" w:cs="Arial"/>
          <w:sz w:val="20"/>
        </w:rPr>
        <w:t>Discussion</w:t>
      </w:r>
      <w:r w:rsidR="00D32674">
        <w:rPr>
          <w:rFonts w:ascii="Arial" w:hAnsi="Arial" w:cs="Arial"/>
          <w:sz w:val="20"/>
        </w:rPr>
        <w:t>s</w:t>
      </w:r>
      <w:r>
        <w:rPr>
          <w:rFonts w:ascii="Arial" w:hAnsi="Arial" w:cs="Arial"/>
          <w:sz w:val="20"/>
        </w:rPr>
        <w:t xml:space="preserve"> with 11 focus groups compris</w:t>
      </w:r>
      <w:r w:rsidR="00911E61">
        <w:rPr>
          <w:rFonts w:ascii="Arial" w:hAnsi="Arial" w:cs="Arial"/>
          <w:sz w:val="20"/>
        </w:rPr>
        <w:t>ing</w:t>
      </w:r>
      <w:r>
        <w:rPr>
          <w:rFonts w:ascii="Arial" w:hAnsi="Arial" w:cs="Arial"/>
          <w:sz w:val="20"/>
        </w:rPr>
        <w:t xml:space="preserve"> 3 groups of foster carers and staff, lawyers engaged or employed by Victoria Legal Aid, lawyers employed by DOHS’ Legal Services, professional staff of the Children’s Court Clinic, the DOHS High Risk Infants state-wide team and 4 groups of DOHS Child Protection workers and case support workers </w:t>
      </w:r>
      <w:r w:rsidR="00911E61">
        <w:rPr>
          <w:rFonts w:ascii="Arial" w:hAnsi="Arial" w:cs="Arial"/>
          <w:sz w:val="20"/>
        </w:rPr>
        <w:t>selected from</w:t>
      </w:r>
      <w:r>
        <w:rPr>
          <w:rFonts w:ascii="Arial" w:hAnsi="Arial" w:cs="Arial"/>
          <w:sz w:val="20"/>
        </w:rPr>
        <w:t xml:space="preserve"> </w:t>
      </w:r>
      <w:r w:rsidR="00911E61">
        <w:rPr>
          <w:rFonts w:ascii="Arial" w:hAnsi="Arial" w:cs="Arial"/>
          <w:sz w:val="20"/>
        </w:rPr>
        <w:t xml:space="preserve">2 </w:t>
      </w:r>
      <w:r>
        <w:rPr>
          <w:rFonts w:ascii="Arial" w:hAnsi="Arial" w:cs="Arial"/>
          <w:sz w:val="20"/>
        </w:rPr>
        <w:t>metropolitan and 2 rural regions.</w:t>
      </w:r>
    </w:p>
    <w:p w14:paraId="28A5BADB" w14:textId="77777777" w:rsidR="008F79DC" w:rsidRDefault="00BD5B08" w:rsidP="00FB1EE3">
      <w:pPr>
        <w:numPr>
          <w:ilvl w:val="0"/>
          <w:numId w:val="70"/>
        </w:numPr>
        <w:tabs>
          <w:tab w:val="clear" w:pos="1004"/>
        </w:tabs>
        <w:ind w:left="714" w:hanging="357"/>
        <w:jc w:val="both"/>
        <w:rPr>
          <w:rFonts w:ascii="Arial" w:hAnsi="Arial" w:cs="Arial"/>
          <w:sz w:val="20"/>
        </w:rPr>
      </w:pPr>
      <w:r>
        <w:rPr>
          <w:rFonts w:ascii="Arial" w:hAnsi="Arial" w:cs="Arial"/>
          <w:sz w:val="20"/>
        </w:rPr>
        <w:t xml:space="preserve">A total of </w:t>
      </w:r>
      <w:r w:rsidR="004531C6">
        <w:rPr>
          <w:rFonts w:ascii="Arial" w:hAnsi="Arial" w:cs="Arial"/>
          <w:sz w:val="20"/>
        </w:rPr>
        <w:t>30</w:t>
      </w:r>
      <w:r>
        <w:rPr>
          <w:rFonts w:ascii="Arial" w:hAnsi="Arial" w:cs="Arial"/>
          <w:sz w:val="20"/>
        </w:rPr>
        <w:t xml:space="preserve"> brief case studies drawn from foster carers and case managers who </w:t>
      </w:r>
      <w:r w:rsidR="00687BBB">
        <w:rPr>
          <w:rFonts w:ascii="Arial" w:hAnsi="Arial" w:cs="Arial"/>
          <w:sz w:val="20"/>
        </w:rPr>
        <w:t xml:space="preserve">had </w:t>
      </w:r>
      <w:r>
        <w:rPr>
          <w:rFonts w:ascii="Arial" w:hAnsi="Arial" w:cs="Arial"/>
          <w:sz w:val="20"/>
        </w:rPr>
        <w:t>proactively contacted the researchers with case e</w:t>
      </w:r>
      <w:r w:rsidR="004531C6">
        <w:rPr>
          <w:rFonts w:ascii="Arial" w:hAnsi="Arial" w:cs="Arial"/>
          <w:sz w:val="20"/>
        </w:rPr>
        <w:t>xamples which had “raised significant concerns for them”.</w:t>
      </w:r>
    </w:p>
    <w:p w14:paraId="78FE299D" w14:textId="77777777" w:rsidR="00687BBB" w:rsidRDefault="00687BBB" w:rsidP="00FB1EE3">
      <w:pPr>
        <w:numPr>
          <w:ilvl w:val="0"/>
          <w:numId w:val="70"/>
        </w:numPr>
        <w:tabs>
          <w:tab w:val="clear" w:pos="1004"/>
        </w:tabs>
        <w:ind w:left="714" w:hanging="357"/>
        <w:jc w:val="both"/>
        <w:rPr>
          <w:rFonts w:ascii="Arial" w:hAnsi="Arial" w:cs="Arial"/>
          <w:sz w:val="20"/>
        </w:rPr>
      </w:pPr>
      <w:r>
        <w:rPr>
          <w:rFonts w:ascii="Arial" w:hAnsi="Arial" w:cs="Arial"/>
          <w:sz w:val="20"/>
        </w:rPr>
        <w:t>The generation of a comprehensive literature review.</w:t>
      </w:r>
    </w:p>
    <w:p w14:paraId="498F65DE" w14:textId="77777777" w:rsidR="00BD5B08" w:rsidRDefault="00BD5B08" w:rsidP="009B178F">
      <w:pPr>
        <w:jc w:val="both"/>
        <w:rPr>
          <w:rFonts w:ascii="Arial" w:hAnsi="Arial" w:cs="Arial"/>
          <w:sz w:val="20"/>
        </w:rPr>
      </w:pPr>
    </w:p>
    <w:p w14:paraId="1D43DCFA" w14:textId="77777777" w:rsidR="002C1549" w:rsidRDefault="00030E96" w:rsidP="009B178F">
      <w:pPr>
        <w:jc w:val="both"/>
        <w:rPr>
          <w:rFonts w:ascii="Arial" w:hAnsi="Arial" w:cs="Arial"/>
          <w:sz w:val="20"/>
        </w:rPr>
      </w:pPr>
      <w:r>
        <w:rPr>
          <w:rFonts w:ascii="Arial" w:hAnsi="Arial" w:cs="Arial"/>
          <w:sz w:val="20"/>
        </w:rPr>
        <w:lastRenderedPageBreak/>
        <w:t>Unfortunately it was not possible to gain the views of parents in this research</w:t>
      </w:r>
      <w:r w:rsidR="00F1312D">
        <w:rPr>
          <w:rFonts w:ascii="Arial" w:hAnsi="Arial" w:cs="Arial"/>
          <w:sz w:val="20"/>
        </w:rPr>
        <w:t xml:space="preserve">.  </w:t>
      </w:r>
      <w:r w:rsidR="004531C6">
        <w:rPr>
          <w:rFonts w:ascii="Arial" w:hAnsi="Arial" w:cs="Arial"/>
          <w:sz w:val="20"/>
        </w:rPr>
        <w:t xml:space="preserve">Some of the limitations of the methodology are recorded frankly </w:t>
      </w:r>
      <w:r w:rsidR="002C1549">
        <w:rPr>
          <w:rFonts w:ascii="Arial" w:hAnsi="Arial" w:cs="Arial"/>
          <w:sz w:val="20"/>
        </w:rPr>
        <w:t xml:space="preserve">by the authors </w:t>
      </w:r>
      <w:r w:rsidR="004531C6">
        <w:rPr>
          <w:rFonts w:ascii="Arial" w:hAnsi="Arial" w:cs="Arial"/>
          <w:sz w:val="20"/>
        </w:rPr>
        <w:t>at p.11 of the</w:t>
      </w:r>
      <w:r w:rsidR="002C1549">
        <w:rPr>
          <w:rFonts w:ascii="Arial" w:hAnsi="Arial" w:cs="Arial"/>
          <w:sz w:val="20"/>
        </w:rPr>
        <w:t>ir</w:t>
      </w:r>
      <w:r w:rsidR="004531C6">
        <w:rPr>
          <w:rFonts w:ascii="Arial" w:hAnsi="Arial" w:cs="Arial"/>
          <w:sz w:val="20"/>
        </w:rPr>
        <w:t xml:space="preserve"> report.  </w:t>
      </w:r>
      <w:r w:rsidR="00911E61">
        <w:rPr>
          <w:rFonts w:ascii="Arial" w:hAnsi="Arial" w:cs="Arial"/>
          <w:sz w:val="20"/>
        </w:rPr>
        <w:t>However, i</w:t>
      </w:r>
      <w:r w:rsidR="00583A66">
        <w:rPr>
          <w:rFonts w:ascii="Arial" w:hAnsi="Arial" w:cs="Arial"/>
          <w:sz w:val="20"/>
        </w:rPr>
        <w:t xml:space="preserve">t appears that </w:t>
      </w:r>
      <w:r w:rsidR="00D32674">
        <w:rPr>
          <w:rFonts w:ascii="Arial" w:hAnsi="Arial" w:cs="Arial"/>
          <w:sz w:val="20"/>
        </w:rPr>
        <w:t xml:space="preserve">– subject to the securing of funding - </w:t>
      </w:r>
      <w:r w:rsidR="009B178F">
        <w:rPr>
          <w:rFonts w:ascii="Arial" w:hAnsi="Arial" w:cs="Arial"/>
          <w:sz w:val="20"/>
        </w:rPr>
        <w:t xml:space="preserve">Stage 2 of this </w:t>
      </w:r>
      <w:r>
        <w:rPr>
          <w:rFonts w:ascii="Arial" w:hAnsi="Arial" w:cs="Arial"/>
          <w:sz w:val="20"/>
        </w:rPr>
        <w:t>project</w:t>
      </w:r>
      <w:r w:rsidR="00D32674">
        <w:rPr>
          <w:rFonts w:ascii="Arial" w:hAnsi="Arial" w:cs="Arial"/>
          <w:sz w:val="20"/>
        </w:rPr>
        <w:t xml:space="preserve"> </w:t>
      </w:r>
      <w:r w:rsidR="002C1549">
        <w:rPr>
          <w:rFonts w:ascii="Arial" w:hAnsi="Arial" w:cs="Arial"/>
          <w:sz w:val="20"/>
        </w:rPr>
        <w:t>will include some attention to the direct experience of infants and their mothers and fathers.</w:t>
      </w:r>
    </w:p>
    <w:p w14:paraId="4F8128CD" w14:textId="77777777" w:rsidR="002C1549" w:rsidRDefault="002C1549" w:rsidP="002C1549">
      <w:pPr>
        <w:jc w:val="both"/>
        <w:rPr>
          <w:rFonts w:ascii="Arial" w:hAnsi="Arial" w:cs="Arial"/>
          <w:sz w:val="20"/>
        </w:rPr>
      </w:pPr>
    </w:p>
    <w:p w14:paraId="29073357" w14:textId="77777777" w:rsidR="00446894" w:rsidRDefault="003B2F65" w:rsidP="009B178F">
      <w:pPr>
        <w:jc w:val="both"/>
        <w:rPr>
          <w:rFonts w:ascii="Arial" w:hAnsi="Arial" w:cs="Arial"/>
          <w:sz w:val="20"/>
        </w:rPr>
      </w:pPr>
      <w:r>
        <w:rPr>
          <w:rFonts w:ascii="Arial" w:hAnsi="Arial" w:cs="Arial"/>
          <w:sz w:val="20"/>
        </w:rPr>
        <w:t>The r</w:t>
      </w:r>
      <w:r w:rsidR="000E07BF">
        <w:rPr>
          <w:rFonts w:ascii="Arial" w:hAnsi="Arial" w:cs="Arial"/>
          <w:sz w:val="20"/>
        </w:rPr>
        <w:t xml:space="preserve">esearch questions for Stage 1 </w:t>
      </w:r>
      <w:r w:rsidR="001B003A">
        <w:rPr>
          <w:rFonts w:ascii="Arial" w:hAnsi="Arial" w:cs="Arial"/>
          <w:sz w:val="20"/>
        </w:rPr>
        <w:t>and a summary of the relevant findings are as follows</w:t>
      </w:r>
      <w:r w:rsidR="00030E96">
        <w:rPr>
          <w:rFonts w:ascii="Arial" w:hAnsi="Arial" w:cs="Arial"/>
          <w:sz w:val="20"/>
        </w:rPr>
        <w:t>:</w:t>
      </w:r>
    </w:p>
    <w:p w14:paraId="1449558B" w14:textId="77777777" w:rsidR="001B003A" w:rsidRDefault="001B003A" w:rsidP="001B003A">
      <w:pPr>
        <w:jc w:val="both"/>
        <w:rPr>
          <w:rFonts w:ascii="Arial" w:hAnsi="Arial" w:cs="Arial"/>
          <w:sz w:val="20"/>
        </w:rPr>
      </w:pPr>
    </w:p>
    <w:p w14:paraId="5C636D2B" w14:textId="77777777" w:rsidR="00030E96" w:rsidRPr="001B003A" w:rsidRDefault="00030E96" w:rsidP="001B003A">
      <w:pPr>
        <w:numPr>
          <w:ilvl w:val="2"/>
          <w:numId w:val="15"/>
        </w:numPr>
        <w:tabs>
          <w:tab w:val="clear" w:pos="2340"/>
        </w:tabs>
        <w:ind w:left="357" w:hanging="357"/>
        <w:jc w:val="both"/>
        <w:rPr>
          <w:rFonts w:ascii="Arial" w:hAnsi="Arial" w:cs="Arial"/>
          <w:b/>
          <w:sz w:val="20"/>
        </w:rPr>
      </w:pPr>
      <w:r w:rsidRPr="001B003A">
        <w:rPr>
          <w:rFonts w:ascii="Arial" w:hAnsi="Arial" w:cs="Arial"/>
          <w:b/>
          <w:sz w:val="20"/>
        </w:rPr>
        <w:t>What are the current arrangements for infants</w:t>
      </w:r>
      <w:r w:rsidR="000E07BF" w:rsidRPr="001B003A">
        <w:rPr>
          <w:rFonts w:ascii="Arial" w:hAnsi="Arial" w:cs="Arial"/>
          <w:b/>
          <w:sz w:val="20"/>
        </w:rPr>
        <w:t>’</w:t>
      </w:r>
      <w:r w:rsidRPr="001B003A">
        <w:rPr>
          <w:rFonts w:ascii="Arial" w:hAnsi="Arial" w:cs="Arial"/>
          <w:b/>
          <w:sz w:val="20"/>
        </w:rPr>
        <w:t xml:space="preserve"> contact with their </w:t>
      </w:r>
      <w:r w:rsidR="000E07BF" w:rsidRPr="001B003A">
        <w:rPr>
          <w:rFonts w:ascii="Arial" w:hAnsi="Arial" w:cs="Arial"/>
          <w:b/>
          <w:sz w:val="20"/>
        </w:rPr>
        <w:t>family member</w:t>
      </w:r>
      <w:r w:rsidRPr="001B003A">
        <w:rPr>
          <w:rFonts w:ascii="Arial" w:hAnsi="Arial" w:cs="Arial"/>
          <w:b/>
          <w:sz w:val="20"/>
        </w:rPr>
        <w:t>s?</w:t>
      </w:r>
    </w:p>
    <w:p w14:paraId="6D5FE2E2" w14:textId="77777777" w:rsidR="001B003A" w:rsidRDefault="00911E61" w:rsidP="001B003A">
      <w:pPr>
        <w:spacing w:before="120"/>
        <w:jc w:val="both"/>
        <w:rPr>
          <w:rFonts w:ascii="Arial" w:hAnsi="Arial" w:cs="Arial"/>
          <w:sz w:val="20"/>
        </w:rPr>
      </w:pPr>
      <w:r>
        <w:rPr>
          <w:rFonts w:ascii="Arial" w:hAnsi="Arial" w:cs="Arial"/>
          <w:sz w:val="20"/>
        </w:rPr>
        <w:t xml:space="preserve">The key findings from the case file audit </w:t>
      </w:r>
      <w:r w:rsidR="00687BBB">
        <w:rPr>
          <w:rFonts w:ascii="Arial" w:hAnsi="Arial" w:cs="Arial"/>
          <w:sz w:val="20"/>
        </w:rPr>
        <w:t>of the</w:t>
      </w:r>
      <w:r w:rsidR="001B003A">
        <w:rPr>
          <w:rFonts w:ascii="Arial" w:hAnsi="Arial" w:cs="Arial"/>
          <w:sz w:val="20"/>
        </w:rPr>
        <w:t xml:space="preserve"> 40 high-frequency </w:t>
      </w:r>
      <w:r w:rsidR="0043680D">
        <w:rPr>
          <w:rFonts w:ascii="Arial" w:hAnsi="Arial" w:cs="Arial"/>
          <w:sz w:val="20"/>
        </w:rPr>
        <w:t xml:space="preserve">family contact </w:t>
      </w:r>
      <w:r w:rsidR="001B003A">
        <w:rPr>
          <w:rFonts w:ascii="Arial" w:hAnsi="Arial" w:cs="Arial"/>
          <w:sz w:val="20"/>
        </w:rPr>
        <w:t xml:space="preserve">cases </w:t>
      </w:r>
      <w:r w:rsidR="0043680D">
        <w:rPr>
          <w:rFonts w:ascii="Arial" w:hAnsi="Arial" w:cs="Arial"/>
          <w:sz w:val="20"/>
        </w:rPr>
        <w:t xml:space="preserve">(4-7 days per week) </w:t>
      </w:r>
      <w:r w:rsidR="00687BBB">
        <w:rPr>
          <w:rFonts w:ascii="Arial" w:hAnsi="Arial" w:cs="Arial"/>
          <w:sz w:val="20"/>
        </w:rPr>
        <w:t>are</w:t>
      </w:r>
      <w:r>
        <w:rPr>
          <w:rFonts w:ascii="Arial" w:hAnsi="Arial" w:cs="Arial"/>
          <w:sz w:val="20"/>
        </w:rPr>
        <w:t xml:space="preserve"> detailed at p.38</w:t>
      </w:r>
      <w:r w:rsidR="0043680D">
        <w:rPr>
          <w:rFonts w:ascii="Arial" w:hAnsi="Arial" w:cs="Arial"/>
          <w:sz w:val="20"/>
        </w:rPr>
        <w:t xml:space="preserve"> of the report and were summarized as follows</w:t>
      </w:r>
      <w:r w:rsidR="001B003A">
        <w:rPr>
          <w:rFonts w:ascii="Arial" w:hAnsi="Arial" w:cs="Arial"/>
          <w:sz w:val="20"/>
        </w:rPr>
        <w:t>:</w:t>
      </w:r>
    </w:p>
    <w:p w14:paraId="128FF742" w14:textId="77777777" w:rsidR="00687BBB" w:rsidRDefault="00687BBB" w:rsidP="00FB1EE3">
      <w:pPr>
        <w:numPr>
          <w:ilvl w:val="0"/>
          <w:numId w:val="71"/>
        </w:numPr>
        <w:tabs>
          <w:tab w:val="clear" w:pos="1004"/>
        </w:tabs>
        <w:ind w:left="714" w:hanging="357"/>
        <w:jc w:val="both"/>
        <w:rPr>
          <w:rFonts w:ascii="Arial" w:hAnsi="Arial" w:cs="Arial"/>
          <w:sz w:val="20"/>
        </w:rPr>
      </w:pPr>
      <w:r>
        <w:rPr>
          <w:rFonts w:ascii="Arial" w:hAnsi="Arial" w:cs="Arial"/>
          <w:sz w:val="20"/>
        </w:rPr>
        <w:t xml:space="preserve">Most infants in the sample were placed </w:t>
      </w:r>
      <w:r w:rsidR="00130E82">
        <w:rPr>
          <w:rFonts w:ascii="Arial" w:hAnsi="Arial" w:cs="Arial"/>
          <w:sz w:val="20"/>
        </w:rPr>
        <w:t xml:space="preserve">in out of home care </w:t>
      </w:r>
      <w:r>
        <w:rPr>
          <w:rFonts w:ascii="Arial" w:hAnsi="Arial" w:cs="Arial"/>
          <w:sz w:val="20"/>
        </w:rPr>
        <w:t>within two months of birth.  Most high frequency family contact orders were made when the infants were in the earliest months of their life.</w:t>
      </w:r>
    </w:p>
    <w:p w14:paraId="380D5BE5" w14:textId="77777777" w:rsidR="00687BBB" w:rsidRDefault="00687BBB" w:rsidP="00FB1EE3">
      <w:pPr>
        <w:numPr>
          <w:ilvl w:val="0"/>
          <w:numId w:val="71"/>
        </w:numPr>
        <w:tabs>
          <w:tab w:val="clear" w:pos="1004"/>
        </w:tabs>
        <w:ind w:left="714" w:hanging="357"/>
        <w:jc w:val="both"/>
        <w:rPr>
          <w:rFonts w:ascii="Arial" w:hAnsi="Arial" w:cs="Arial"/>
          <w:sz w:val="20"/>
        </w:rPr>
      </w:pPr>
      <w:r>
        <w:rPr>
          <w:rFonts w:ascii="Arial" w:hAnsi="Arial" w:cs="Arial"/>
          <w:sz w:val="20"/>
        </w:rPr>
        <w:t xml:space="preserve">In most </w:t>
      </w:r>
      <w:r w:rsidR="009F3F43">
        <w:rPr>
          <w:rFonts w:ascii="Arial" w:hAnsi="Arial" w:cs="Arial"/>
          <w:sz w:val="20"/>
        </w:rPr>
        <w:t xml:space="preserve">of the </w:t>
      </w:r>
      <w:r>
        <w:rPr>
          <w:rFonts w:ascii="Arial" w:hAnsi="Arial" w:cs="Arial"/>
          <w:sz w:val="20"/>
        </w:rPr>
        <w:t>cases there had been at least one Court contest.</w:t>
      </w:r>
    </w:p>
    <w:p w14:paraId="738B2D84" w14:textId="77777777" w:rsidR="0043680D" w:rsidRDefault="0043680D" w:rsidP="00FB1EE3">
      <w:pPr>
        <w:numPr>
          <w:ilvl w:val="0"/>
          <w:numId w:val="71"/>
        </w:numPr>
        <w:tabs>
          <w:tab w:val="clear" w:pos="1004"/>
        </w:tabs>
        <w:ind w:left="714" w:hanging="357"/>
        <w:jc w:val="both"/>
        <w:rPr>
          <w:rFonts w:ascii="Arial" w:hAnsi="Arial" w:cs="Arial"/>
          <w:sz w:val="20"/>
        </w:rPr>
      </w:pPr>
      <w:r>
        <w:rPr>
          <w:rFonts w:ascii="Arial" w:hAnsi="Arial" w:cs="Arial"/>
          <w:sz w:val="20"/>
        </w:rPr>
        <w:t>Substance abuse featured in the overwhelming majority of cases, usually involving both parents.  Domestic violence was also prominent.</w:t>
      </w:r>
    </w:p>
    <w:p w14:paraId="3D5E0C2D" w14:textId="77777777" w:rsidR="0043680D" w:rsidRDefault="0043680D" w:rsidP="00FB1EE3">
      <w:pPr>
        <w:numPr>
          <w:ilvl w:val="0"/>
          <w:numId w:val="71"/>
        </w:numPr>
        <w:tabs>
          <w:tab w:val="clear" w:pos="1004"/>
        </w:tabs>
        <w:ind w:left="714" w:hanging="357"/>
        <w:jc w:val="both"/>
        <w:rPr>
          <w:rFonts w:ascii="Arial" w:hAnsi="Arial" w:cs="Arial"/>
          <w:sz w:val="20"/>
        </w:rPr>
      </w:pPr>
      <w:r>
        <w:rPr>
          <w:rFonts w:ascii="Arial" w:hAnsi="Arial" w:cs="Arial"/>
          <w:sz w:val="20"/>
        </w:rPr>
        <w:t>Approximately one third of the 119 cases (40 out of 119) had a high frequency family contact order at some stage.</w:t>
      </w:r>
    </w:p>
    <w:p w14:paraId="5C05F17D" w14:textId="77777777" w:rsidR="001B003A" w:rsidRDefault="0043680D" w:rsidP="00FB1EE3">
      <w:pPr>
        <w:numPr>
          <w:ilvl w:val="0"/>
          <w:numId w:val="71"/>
        </w:numPr>
        <w:tabs>
          <w:tab w:val="clear" w:pos="1004"/>
        </w:tabs>
        <w:ind w:left="714" w:hanging="357"/>
        <w:jc w:val="both"/>
        <w:rPr>
          <w:rFonts w:ascii="Arial" w:hAnsi="Arial" w:cs="Arial"/>
          <w:sz w:val="20"/>
        </w:rPr>
      </w:pPr>
      <w:r>
        <w:rPr>
          <w:rFonts w:ascii="Arial" w:hAnsi="Arial" w:cs="Arial"/>
          <w:sz w:val="20"/>
        </w:rPr>
        <w:t>High frequency family contact orders</w:t>
      </w:r>
      <w:r w:rsidR="001B003A">
        <w:rPr>
          <w:rFonts w:ascii="Arial" w:hAnsi="Arial" w:cs="Arial"/>
          <w:sz w:val="20"/>
        </w:rPr>
        <w:t xml:space="preserve"> were overwhelmingly a metropolitan phenomenon.</w:t>
      </w:r>
    </w:p>
    <w:p w14:paraId="6B0E2BC3" w14:textId="77777777" w:rsidR="001B003A" w:rsidRDefault="0043680D" w:rsidP="00FB1EE3">
      <w:pPr>
        <w:numPr>
          <w:ilvl w:val="0"/>
          <w:numId w:val="71"/>
        </w:numPr>
        <w:tabs>
          <w:tab w:val="clear" w:pos="1004"/>
        </w:tabs>
        <w:ind w:left="714" w:hanging="357"/>
        <w:jc w:val="both"/>
        <w:rPr>
          <w:rFonts w:ascii="Arial" w:hAnsi="Arial" w:cs="Arial"/>
          <w:sz w:val="20"/>
        </w:rPr>
      </w:pPr>
      <w:r w:rsidRPr="006679D2">
        <w:rPr>
          <w:rFonts w:ascii="Arial" w:hAnsi="Arial" w:cs="Arial"/>
          <w:color w:val="000000"/>
          <w:sz w:val="20"/>
        </w:rPr>
        <w:t xml:space="preserve">A little over half (25) of the high </w:t>
      </w:r>
      <w:r w:rsidR="00E55A14" w:rsidRPr="006679D2">
        <w:rPr>
          <w:rFonts w:ascii="Arial" w:hAnsi="Arial" w:cs="Arial"/>
          <w:color w:val="000000"/>
          <w:sz w:val="20"/>
        </w:rPr>
        <w:t>contact</w:t>
      </w:r>
      <w:r w:rsidRPr="006679D2">
        <w:rPr>
          <w:rFonts w:ascii="Arial" w:hAnsi="Arial" w:cs="Arial"/>
          <w:color w:val="000000"/>
          <w:sz w:val="20"/>
        </w:rPr>
        <w:t xml:space="preserve"> orders were of two months or less in duration,</w:t>
      </w:r>
      <w:r>
        <w:rPr>
          <w:rFonts w:ascii="Arial" w:hAnsi="Arial" w:cs="Arial"/>
          <w:sz w:val="20"/>
        </w:rPr>
        <w:t xml:space="preserve"> 12 were of 4-8 months duration and three of 10-16 months duration or more.</w:t>
      </w:r>
    </w:p>
    <w:p w14:paraId="19B1D280" w14:textId="77777777" w:rsidR="001B003A" w:rsidRDefault="00B94EC5" w:rsidP="00FB1EE3">
      <w:pPr>
        <w:numPr>
          <w:ilvl w:val="0"/>
          <w:numId w:val="71"/>
        </w:numPr>
        <w:tabs>
          <w:tab w:val="clear" w:pos="1004"/>
        </w:tabs>
        <w:ind w:left="714" w:hanging="357"/>
        <w:jc w:val="both"/>
        <w:rPr>
          <w:rFonts w:ascii="Arial" w:hAnsi="Arial" w:cs="Arial"/>
          <w:sz w:val="20"/>
        </w:rPr>
      </w:pPr>
      <w:r>
        <w:rPr>
          <w:rFonts w:ascii="Arial" w:hAnsi="Arial" w:cs="Arial"/>
          <w:sz w:val="20"/>
        </w:rPr>
        <w:t>DOHS provided almost all contact visits ordered by the Children’s Court.  Visits were rarely cancelled by DOHS.</w:t>
      </w:r>
    </w:p>
    <w:p w14:paraId="55E53950" w14:textId="77777777" w:rsidR="001B003A" w:rsidRDefault="001B003A" w:rsidP="00FB1EE3">
      <w:pPr>
        <w:numPr>
          <w:ilvl w:val="0"/>
          <w:numId w:val="71"/>
        </w:numPr>
        <w:tabs>
          <w:tab w:val="clear" w:pos="1004"/>
        </w:tabs>
        <w:ind w:left="714" w:hanging="357"/>
        <w:jc w:val="both"/>
        <w:rPr>
          <w:rFonts w:ascii="Arial" w:hAnsi="Arial" w:cs="Arial"/>
          <w:sz w:val="20"/>
        </w:rPr>
      </w:pPr>
      <w:r>
        <w:rPr>
          <w:rFonts w:ascii="Arial" w:hAnsi="Arial" w:cs="Arial"/>
          <w:sz w:val="20"/>
        </w:rPr>
        <w:t xml:space="preserve">In half of all high </w:t>
      </w:r>
      <w:r w:rsidR="004C24F5">
        <w:rPr>
          <w:rFonts w:ascii="Arial" w:hAnsi="Arial" w:cs="Arial"/>
          <w:sz w:val="20"/>
        </w:rPr>
        <w:t xml:space="preserve">family contact orders, scheduled </w:t>
      </w:r>
      <w:r>
        <w:rPr>
          <w:rFonts w:ascii="Arial" w:hAnsi="Arial" w:cs="Arial"/>
          <w:sz w:val="20"/>
        </w:rPr>
        <w:t xml:space="preserve">contact visits </w:t>
      </w:r>
      <w:r w:rsidR="004C24F5">
        <w:rPr>
          <w:rFonts w:ascii="Arial" w:hAnsi="Arial" w:cs="Arial"/>
          <w:sz w:val="20"/>
        </w:rPr>
        <w:t>took place</w:t>
      </w:r>
      <w:r>
        <w:rPr>
          <w:rFonts w:ascii="Arial" w:hAnsi="Arial" w:cs="Arial"/>
          <w:sz w:val="20"/>
        </w:rPr>
        <w:t xml:space="preserve"> most of the time (7</w:t>
      </w:r>
      <w:r w:rsidR="004C24F5">
        <w:rPr>
          <w:rFonts w:ascii="Arial" w:hAnsi="Arial" w:cs="Arial"/>
          <w:sz w:val="20"/>
        </w:rPr>
        <w:t>5</w:t>
      </w:r>
      <w:r>
        <w:rPr>
          <w:rFonts w:ascii="Arial" w:hAnsi="Arial" w:cs="Arial"/>
          <w:sz w:val="20"/>
        </w:rPr>
        <w:t>-100% of the time).</w:t>
      </w:r>
      <w:r w:rsidR="004C24F5">
        <w:rPr>
          <w:rFonts w:ascii="Arial" w:hAnsi="Arial" w:cs="Arial"/>
          <w:sz w:val="20"/>
        </w:rPr>
        <w:t xml:space="preserve">  However, in the other half of the cases, contact visits took place far less frequently.</w:t>
      </w:r>
    </w:p>
    <w:p w14:paraId="55D49079" w14:textId="77777777" w:rsidR="00A05185" w:rsidRDefault="004C24F5" w:rsidP="00FB1EE3">
      <w:pPr>
        <w:numPr>
          <w:ilvl w:val="0"/>
          <w:numId w:val="71"/>
        </w:numPr>
        <w:tabs>
          <w:tab w:val="clear" w:pos="1004"/>
        </w:tabs>
        <w:ind w:left="714" w:hanging="357"/>
        <w:jc w:val="both"/>
        <w:rPr>
          <w:rFonts w:ascii="Arial" w:hAnsi="Arial" w:cs="Arial"/>
          <w:sz w:val="20"/>
        </w:rPr>
      </w:pPr>
      <w:r>
        <w:rPr>
          <w:rFonts w:ascii="Arial" w:hAnsi="Arial" w:cs="Arial"/>
          <w:sz w:val="20"/>
        </w:rPr>
        <w:t>Wide variation was seen in both mothers’ and fathers’ capacity to tune in to their infants’ physical and emotional needs, even when they attended most scheduled visits.  Some tuned in well to their infants, while others were disengaged or unable to respond effectively.</w:t>
      </w:r>
    </w:p>
    <w:p w14:paraId="56B746B3" w14:textId="77777777" w:rsidR="00C41F4C" w:rsidRDefault="00C41F4C" w:rsidP="00FB1EE3">
      <w:pPr>
        <w:numPr>
          <w:ilvl w:val="0"/>
          <w:numId w:val="71"/>
        </w:numPr>
        <w:tabs>
          <w:tab w:val="clear" w:pos="1004"/>
        </w:tabs>
        <w:ind w:left="714" w:hanging="357"/>
        <w:jc w:val="both"/>
        <w:rPr>
          <w:rFonts w:ascii="Arial" w:hAnsi="Arial" w:cs="Arial"/>
          <w:sz w:val="20"/>
        </w:rPr>
      </w:pPr>
      <w:r>
        <w:rPr>
          <w:rFonts w:ascii="Arial" w:hAnsi="Arial" w:cs="Arial"/>
          <w:sz w:val="20"/>
        </w:rPr>
        <w:t>A range of venues w</w:t>
      </w:r>
      <w:r w:rsidR="00940B18">
        <w:rPr>
          <w:rFonts w:ascii="Arial" w:hAnsi="Arial" w:cs="Arial"/>
          <w:sz w:val="20"/>
        </w:rPr>
        <w:t>as</w:t>
      </w:r>
      <w:r>
        <w:rPr>
          <w:rFonts w:ascii="Arial" w:hAnsi="Arial" w:cs="Arial"/>
          <w:sz w:val="20"/>
        </w:rPr>
        <w:t xml:space="preserve"> used for visits but most took place in DOHS offices.  The visit environment appears to be associate</w:t>
      </w:r>
      <w:r w:rsidR="00DD02AE">
        <w:rPr>
          <w:rFonts w:ascii="Arial" w:hAnsi="Arial" w:cs="Arial"/>
          <w:sz w:val="20"/>
        </w:rPr>
        <w:t>d</w:t>
      </w:r>
      <w:r>
        <w:rPr>
          <w:rFonts w:ascii="Arial" w:hAnsi="Arial" w:cs="Arial"/>
          <w:sz w:val="20"/>
        </w:rPr>
        <w:t xml:space="preserve"> with the rate at which ordered visits actually occurred; higher implementation rates were clearly associated with rates other than DOHS offices.</w:t>
      </w:r>
    </w:p>
    <w:p w14:paraId="50202B93" w14:textId="77777777" w:rsidR="00A05185" w:rsidRDefault="007A7643" w:rsidP="00FB1EE3">
      <w:pPr>
        <w:numPr>
          <w:ilvl w:val="0"/>
          <w:numId w:val="71"/>
        </w:numPr>
        <w:tabs>
          <w:tab w:val="clear" w:pos="1004"/>
        </w:tabs>
        <w:ind w:left="714" w:hanging="357"/>
        <w:jc w:val="both"/>
        <w:rPr>
          <w:rFonts w:ascii="Arial" w:hAnsi="Arial" w:cs="Arial"/>
          <w:sz w:val="20"/>
        </w:rPr>
      </w:pPr>
      <w:r>
        <w:rPr>
          <w:rFonts w:ascii="Arial" w:hAnsi="Arial" w:cs="Arial"/>
          <w:sz w:val="20"/>
        </w:rPr>
        <w:t>A period of court-ordered high frequency parental contact did not improve the rate of family reunification within the year studied.  There was no significant difference between the numbers of infants who were living with their mother and/or father one year later who had had an interval of high frequency parental contact (23%) and tho</w:t>
      </w:r>
      <w:r w:rsidR="00110B6F">
        <w:rPr>
          <w:rFonts w:ascii="Arial" w:hAnsi="Arial" w:cs="Arial"/>
          <w:sz w:val="20"/>
        </w:rPr>
        <w:t>se who had not (22%).</w:t>
      </w:r>
    </w:p>
    <w:p w14:paraId="7D348B7A" w14:textId="77777777" w:rsidR="001B003A" w:rsidRDefault="001B003A" w:rsidP="001B003A">
      <w:pPr>
        <w:jc w:val="both"/>
        <w:rPr>
          <w:rFonts w:ascii="Arial" w:hAnsi="Arial" w:cs="Arial"/>
          <w:sz w:val="20"/>
        </w:rPr>
      </w:pPr>
    </w:p>
    <w:p w14:paraId="63D7C8CB" w14:textId="77777777" w:rsidR="00110B6F" w:rsidRDefault="00110B6F" w:rsidP="001B003A">
      <w:pPr>
        <w:jc w:val="both"/>
        <w:rPr>
          <w:rFonts w:ascii="Arial" w:hAnsi="Arial" w:cs="Arial"/>
          <w:sz w:val="20"/>
        </w:rPr>
      </w:pPr>
      <w:r>
        <w:rPr>
          <w:rFonts w:ascii="Arial" w:hAnsi="Arial" w:cs="Arial"/>
          <w:sz w:val="20"/>
        </w:rPr>
        <w:t xml:space="preserve">Magistrate Power notes that the sample of cases reviewed was fairly small and </w:t>
      </w:r>
      <w:r w:rsidR="002D2474">
        <w:rPr>
          <w:rFonts w:ascii="Arial" w:hAnsi="Arial" w:cs="Arial"/>
          <w:sz w:val="20"/>
        </w:rPr>
        <w:t>wonders</w:t>
      </w:r>
      <w:r>
        <w:rPr>
          <w:rFonts w:ascii="Arial" w:hAnsi="Arial" w:cs="Arial"/>
          <w:sz w:val="20"/>
        </w:rPr>
        <w:t xml:space="preserve"> whether it </w:t>
      </w:r>
      <w:r w:rsidR="009F3F43">
        <w:rPr>
          <w:rFonts w:ascii="Arial" w:hAnsi="Arial" w:cs="Arial"/>
          <w:sz w:val="20"/>
        </w:rPr>
        <w:t>wa</w:t>
      </w:r>
      <w:r>
        <w:rPr>
          <w:rFonts w:ascii="Arial" w:hAnsi="Arial" w:cs="Arial"/>
          <w:sz w:val="20"/>
        </w:rPr>
        <w:t xml:space="preserve">s sufficiently representative to be amenable to rigorous statistical analysis.  While the finding that there was no significant difference between </w:t>
      </w:r>
      <w:r w:rsidR="009F3F43">
        <w:rPr>
          <w:rFonts w:ascii="Arial" w:hAnsi="Arial" w:cs="Arial"/>
          <w:sz w:val="20"/>
        </w:rPr>
        <w:t>the reunification rates for the high</w:t>
      </w:r>
      <w:r w:rsidR="00683198">
        <w:rPr>
          <w:rFonts w:ascii="Arial" w:hAnsi="Arial" w:cs="Arial"/>
          <w:sz w:val="20"/>
        </w:rPr>
        <w:t>-</w:t>
      </w:r>
      <w:r w:rsidR="009F3F43">
        <w:rPr>
          <w:rFonts w:ascii="Arial" w:hAnsi="Arial" w:cs="Arial"/>
          <w:sz w:val="20"/>
        </w:rPr>
        <w:t xml:space="preserve">contact group and the </w:t>
      </w:r>
      <w:r w:rsidR="00C243E1">
        <w:rPr>
          <w:rFonts w:ascii="Arial" w:hAnsi="Arial" w:cs="Arial"/>
          <w:sz w:val="20"/>
        </w:rPr>
        <w:t>non high</w:t>
      </w:r>
      <w:r w:rsidR="00683198">
        <w:rPr>
          <w:rFonts w:ascii="Arial" w:hAnsi="Arial" w:cs="Arial"/>
          <w:sz w:val="20"/>
        </w:rPr>
        <w:t>-</w:t>
      </w:r>
      <w:r w:rsidR="00C243E1">
        <w:rPr>
          <w:rFonts w:ascii="Arial" w:hAnsi="Arial" w:cs="Arial"/>
          <w:sz w:val="20"/>
        </w:rPr>
        <w:t xml:space="preserve">contract group accords with some of the research referred to in the report’s literature review on the subject of </w:t>
      </w:r>
      <w:r w:rsidR="00C243E1" w:rsidRPr="00D80CC0">
        <w:rPr>
          <w:rFonts w:ascii="Arial" w:hAnsi="Arial" w:cs="Arial"/>
          <w:sz w:val="20"/>
        </w:rPr>
        <w:t>“Family reunification and family contact</w:t>
      </w:r>
      <w:r w:rsidR="00C243E1">
        <w:rPr>
          <w:rFonts w:ascii="Arial" w:hAnsi="Arial" w:cs="Arial"/>
          <w:sz w:val="20"/>
        </w:rPr>
        <w:t xml:space="preserve">”, it is not </w:t>
      </w:r>
      <w:r w:rsidR="00683198">
        <w:rPr>
          <w:rFonts w:ascii="Arial" w:hAnsi="Arial" w:cs="Arial"/>
          <w:sz w:val="20"/>
        </w:rPr>
        <w:t>on all fours</w:t>
      </w:r>
      <w:r w:rsidR="00F97169">
        <w:rPr>
          <w:rFonts w:ascii="Arial" w:hAnsi="Arial" w:cs="Arial"/>
          <w:sz w:val="20"/>
        </w:rPr>
        <w:t xml:space="preserve"> with</w:t>
      </w:r>
      <w:r w:rsidR="00C243E1">
        <w:rPr>
          <w:rFonts w:ascii="Arial" w:hAnsi="Arial" w:cs="Arial"/>
          <w:sz w:val="20"/>
        </w:rPr>
        <w:t xml:space="preserve"> others.  Magistrate Power considers that the jury is still out on the existence </w:t>
      </w:r>
      <w:r w:rsidR="00F97169">
        <w:rPr>
          <w:rFonts w:ascii="Arial" w:hAnsi="Arial" w:cs="Arial"/>
          <w:sz w:val="20"/>
        </w:rPr>
        <w:t>and/</w:t>
      </w:r>
      <w:r w:rsidR="00C243E1">
        <w:rPr>
          <w:rFonts w:ascii="Arial" w:hAnsi="Arial" w:cs="Arial"/>
          <w:sz w:val="20"/>
        </w:rPr>
        <w:t xml:space="preserve">or nature of any causal link between frequency of parental contact and likelihood of reunification.  </w:t>
      </w:r>
      <w:r w:rsidR="00683198">
        <w:rPr>
          <w:rFonts w:ascii="Arial" w:hAnsi="Arial" w:cs="Arial"/>
          <w:sz w:val="20"/>
        </w:rPr>
        <w:t xml:space="preserve">However, </w:t>
      </w:r>
      <w:r w:rsidR="00C243E1">
        <w:rPr>
          <w:rFonts w:ascii="Arial" w:hAnsi="Arial" w:cs="Arial"/>
          <w:sz w:val="20"/>
        </w:rPr>
        <w:t xml:space="preserve">Magistrate Power also queries whether there </w:t>
      </w:r>
      <w:r w:rsidR="007270A9">
        <w:rPr>
          <w:rFonts w:ascii="Arial" w:hAnsi="Arial" w:cs="Arial"/>
          <w:sz w:val="20"/>
        </w:rPr>
        <w:t>w</w:t>
      </w:r>
      <w:r w:rsidR="00C243E1">
        <w:rPr>
          <w:rFonts w:ascii="Arial" w:hAnsi="Arial" w:cs="Arial"/>
          <w:sz w:val="20"/>
        </w:rPr>
        <w:t xml:space="preserve">as too </w:t>
      </w:r>
      <w:r w:rsidR="00323CA3">
        <w:rPr>
          <w:rFonts w:ascii="Arial" w:hAnsi="Arial" w:cs="Arial"/>
          <w:sz w:val="20"/>
        </w:rPr>
        <w:t>much emphasis in this study on the goal of reunification.  Surely the ultimate aim of contact between a child and a non-custodial parent is to develop the best possible parent-ch</w:t>
      </w:r>
      <w:r w:rsidR="00F97169">
        <w:rPr>
          <w:rFonts w:ascii="Arial" w:hAnsi="Arial" w:cs="Arial"/>
          <w:sz w:val="20"/>
        </w:rPr>
        <w:t xml:space="preserve">ild relationship whether </w:t>
      </w:r>
      <w:r w:rsidR="00323CA3">
        <w:rPr>
          <w:rFonts w:ascii="Arial" w:hAnsi="Arial" w:cs="Arial"/>
          <w:sz w:val="20"/>
        </w:rPr>
        <w:t>reunification is ultimately achiev</w:t>
      </w:r>
      <w:r w:rsidR="00D32674">
        <w:rPr>
          <w:rFonts w:ascii="Arial" w:hAnsi="Arial" w:cs="Arial"/>
          <w:sz w:val="20"/>
        </w:rPr>
        <w:t>ed</w:t>
      </w:r>
      <w:r w:rsidR="00F97169">
        <w:rPr>
          <w:rFonts w:ascii="Arial" w:hAnsi="Arial" w:cs="Arial"/>
          <w:sz w:val="20"/>
        </w:rPr>
        <w:t xml:space="preserve"> or not</w:t>
      </w:r>
      <w:r w:rsidR="00323CA3">
        <w:rPr>
          <w:rFonts w:ascii="Arial" w:hAnsi="Arial" w:cs="Arial"/>
          <w:sz w:val="20"/>
        </w:rPr>
        <w:t xml:space="preserve">.  </w:t>
      </w:r>
      <w:r w:rsidR="00683198">
        <w:rPr>
          <w:rFonts w:ascii="Arial" w:hAnsi="Arial" w:cs="Arial"/>
          <w:sz w:val="20"/>
        </w:rPr>
        <w:t>On one view, t</w:t>
      </w:r>
      <w:r w:rsidR="00F97169">
        <w:rPr>
          <w:rFonts w:ascii="Arial" w:hAnsi="Arial" w:cs="Arial"/>
          <w:sz w:val="20"/>
        </w:rPr>
        <w:t>hat is what Article 9.3 of the United Nations Convention on the Rights of the Child and s.10(3) of the CYFA are all about.</w:t>
      </w:r>
    </w:p>
    <w:p w14:paraId="683F0F27" w14:textId="77777777" w:rsidR="00110B6F" w:rsidRDefault="00110B6F" w:rsidP="001B003A">
      <w:pPr>
        <w:jc w:val="both"/>
        <w:rPr>
          <w:rFonts w:ascii="Arial" w:hAnsi="Arial" w:cs="Arial"/>
          <w:sz w:val="20"/>
        </w:rPr>
      </w:pPr>
    </w:p>
    <w:p w14:paraId="56352B3A" w14:textId="77777777" w:rsidR="00030E96" w:rsidRPr="001B003A" w:rsidRDefault="00030E96" w:rsidP="00C41F4C">
      <w:pPr>
        <w:keepNext/>
        <w:keepLines/>
        <w:numPr>
          <w:ilvl w:val="2"/>
          <w:numId w:val="15"/>
        </w:numPr>
        <w:tabs>
          <w:tab w:val="clear" w:pos="2340"/>
        </w:tabs>
        <w:ind w:left="357" w:hanging="357"/>
        <w:jc w:val="both"/>
        <w:rPr>
          <w:rFonts w:ascii="Arial" w:hAnsi="Arial" w:cs="Arial"/>
          <w:b/>
          <w:sz w:val="20"/>
        </w:rPr>
      </w:pPr>
      <w:r w:rsidRPr="001B003A">
        <w:rPr>
          <w:rFonts w:ascii="Arial" w:hAnsi="Arial" w:cs="Arial"/>
          <w:b/>
          <w:sz w:val="20"/>
        </w:rPr>
        <w:t>What is the evidence of the impact on infants of family contact arrangements?</w:t>
      </w:r>
    </w:p>
    <w:p w14:paraId="50C824AA" w14:textId="77777777" w:rsidR="001B003A" w:rsidRDefault="00F97169" w:rsidP="00C41F4C">
      <w:pPr>
        <w:keepNext/>
        <w:keepLines/>
        <w:spacing w:before="120"/>
        <w:jc w:val="both"/>
        <w:rPr>
          <w:rFonts w:ascii="Arial" w:hAnsi="Arial" w:cs="Arial"/>
          <w:sz w:val="20"/>
        </w:rPr>
      </w:pPr>
      <w:r>
        <w:rPr>
          <w:rFonts w:ascii="Arial" w:hAnsi="Arial" w:cs="Arial"/>
          <w:sz w:val="20"/>
        </w:rPr>
        <w:t xml:space="preserve">The themes which emerged from </w:t>
      </w:r>
      <w:r w:rsidR="00FF1EA6">
        <w:rPr>
          <w:rFonts w:ascii="Arial" w:hAnsi="Arial" w:cs="Arial"/>
          <w:sz w:val="20"/>
        </w:rPr>
        <w:t xml:space="preserve">the focus groups and brief case studies were </w:t>
      </w:r>
      <w:r>
        <w:rPr>
          <w:rFonts w:ascii="Arial" w:hAnsi="Arial" w:cs="Arial"/>
          <w:sz w:val="20"/>
        </w:rPr>
        <w:t>discussed at pp.39-64 of the report under the following headings</w:t>
      </w:r>
      <w:r w:rsidR="00FF6A22">
        <w:rPr>
          <w:rFonts w:ascii="Arial" w:hAnsi="Arial" w:cs="Arial"/>
          <w:sz w:val="20"/>
        </w:rPr>
        <w:t xml:space="preserve"> and sub-headings</w:t>
      </w:r>
      <w:r>
        <w:rPr>
          <w:rFonts w:ascii="Arial" w:hAnsi="Arial" w:cs="Arial"/>
          <w:sz w:val="20"/>
        </w:rPr>
        <w:t>:</w:t>
      </w:r>
    </w:p>
    <w:p w14:paraId="29336A5F" w14:textId="77777777" w:rsidR="00FF6A22" w:rsidRDefault="00FF6A22" w:rsidP="00FB1EE3">
      <w:pPr>
        <w:numPr>
          <w:ilvl w:val="0"/>
          <w:numId w:val="31"/>
        </w:numPr>
        <w:tabs>
          <w:tab w:val="clear" w:pos="1004"/>
        </w:tabs>
        <w:spacing w:before="60"/>
        <w:ind w:left="357" w:hanging="357"/>
        <w:jc w:val="both"/>
        <w:rPr>
          <w:rFonts w:ascii="Arial" w:hAnsi="Arial" w:cs="Arial"/>
          <w:b/>
          <w:sz w:val="20"/>
        </w:rPr>
      </w:pPr>
      <w:r w:rsidRPr="00FF6A22">
        <w:rPr>
          <w:rFonts w:ascii="Arial" w:hAnsi="Arial" w:cs="Arial"/>
          <w:b/>
          <w:sz w:val="20"/>
        </w:rPr>
        <w:t>Attachment and family relationships</w:t>
      </w:r>
    </w:p>
    <w:p w14:paraId="34848578" w14:textId="77777777" w:rsidR="00FF6A22" w:rsidRDefault="00FF6A22" w:rsidP="00FF6A22">
      <w:pPr>
        <w:ind w:left="357"/>
        <w:jc w:val="both"/>
        <w:rPr>
          <w:rFonts w:ascii="Arial" w:hAnsi="Arial" w:cs="Arial"/>
          <w:i/>
          <w:sz w:val="20"/>
        </w:rPr>
      </w:pPr>
      <w:r w:rsidRPr="00FF6A22">
        <w:rPr>
          <w:rFonts w:ascii="Arial" w:hAnsi="Arial" w:cs="Arial"/>
          <w:i/>
          <w:sz w:val="20"/>
        </w:rPr>
        <w:t>Promoting parental relationships</w:t>
      </w:r>
    </w:p>
    <w:p w14:paraId="5B0126F5" w14:textId="77777777" w:rsidR="00FF6A22" w:rsidRDefault="00FF6A22" w:rsidP="00FF6A22">
      <w:pPr>
        <w:ind w:left="357"/>
        <w:jc w:val="both"/>
        <w:rPr>
          <w:rFonts w:ascii="Arial" w:hAnsi="Arial" w:cs="Arial"/>
          <w:i/>
          <w:sz w:val="20"/>
        </w:rPr>
      </w:pPr>
      <w:r>
        <w:rPr>
          <w:rFonts w:ascii="Arial" w:hAnsi="Arial" w:cs="Arial"/>
          <w:i/>
          <w:sz w:val="20"/>
        </w:rPr>
        <w:lastRenderedPageBreak/>
        <w:t>Visits and distress</w:t>
      </w:r>
    </w:p>
    <w:p w14:paraId="56406117" w14:textId="77777777" w:rsidR="00FF6A22" w:rsidRDefault="00FF6A22" w:rsidP="00FF6A22">
      <w:pPr>
        <w:ind w:left="357"/>
        <w:jc w:val="both"/>
        <w:rPr>
          <w:rFonts w:ascii="Arial" w:hAnsi="Arial" w:cs="Arial"/>
          <w:i/>
          <w:sz w:val="20"/>
        </w:rPr>
      </w:pPr>
      <w:r>
        <w:rPr>
          <w:rFonts w:ascii="Arial" w:hAnsi="Arial" w:cs="Arial"/>
          <w:i/>
          <w:sz w:val="20"/>
        </w:rPr>
        <w:t>Enabling foster care to meet the infant’s needs</w:t>
      </w:r>
    </w:p>
    <w:p w14:paraId="7ED99242" w14:textId="77777777" w:rsidR="00FF6A22" w:rsidRDefault="00FF6A22" w:rsidP="00FF6A22">
      <w:pPr>
        <w:ind w:left="357"/>
        <w:jc w:val="both"/>
        <w:rPr>
          <w:rFonts w:ascii="Arial" w:hAnsi="Arial" w:cs="Arial"/>
          <w:i/>
          <w:sz w:val="20"/>
        </w:rPr>
      </w:pPr>
      <w:r>
        <w:rPr>
          <w:rFonts w:ascii="Arial" w:hAnsi="Arial" w:cs="Arial"/>
          <w:i/>
          <w:sz w:val="20"/>
        </w:rPr>
        <w:t>High frequency family contact</w:t>
      </w:r>
    </w:p>
    <w:p w14:paraId="7BCCE52F" w14:textId="77777777" w:rsidR="00FF6A22" w:rsidRDefault="00FF6A22" w:rsidP="00FF6A22">
      <w:pPr>
        <w:ind w:left="357"/>
        <w:jc w:val="both"/>
        <w:rPr>
          <w:rFonts w:ascii="Arial" w:hAnsi="Arial" w:cs="Arial"/>
          <w:i/>
          <w:sz w:val="20"/>
        </w:rPr>
      </w:pPr>
      <w:r>
        <w:rPr>
          <w:rFonts w:ascii="Arial" w:hAnsi="Arial" w:cs="Arial"/>
          <w:i/>
          <w:sz w:val="20"/>
        </w:rPr>
        <w:t>Multiple strangers</w:t>
      </w:r>
    </w:p>
    <w:p w14:paraId="7E813BF9" w14:textId="77777777" w:rsidR="00FF6A22" w:rsidRDefault="00FF6A22" w:rsidP="00FF6A22">
      <w:pPr>
        <w:ind w:left="357"/>
        <w:jc w:val="both"/>
        <w:rPr>
          <w:rFonts w:ascii="Arial" w:hAnsi="Arial" w:cs="Arial"/>
          <w:i/>
          <w:sz w:val="20"/>
        </w:rPr>
      </w:pPr>
      <w:r>
        <w:rPr>
          <w:rFonts w:ascii="Arial" w:hAnsi="Arial" w:cs="Arial"/>
          <w:i/>
          <w:sz w:val="20"/>
        </w:rPr>
        <w:t>Fathers</w:t>
      </w:r>
    </w:p>
    <w:p w14:paraId="3EE6C20F" w14:textId="77777777" w:rsidR="00FF6A22" w:rsidRDefault="00FF6A22" w:rsidP="00FF6A22">
      <w:pPr>
        <w:ind w:left="357"/>
        <w:jc w:val="both"/>
        <w:rPr>
          <w:rFonts w:ascii="Arial" w:hAnsi="Arial" w:cs="Arial"/>
          <w:i/>
          <w:sz w:val="20"/>
        </w:rPr>
      </w:pPr>
      <w:r>
        <w:rPr>
          <w:rFonts w:ascii="Arial" w:hAnsi="Arial" w:cs="Arial"/>
          <w:i/>
          <w:sz w:val="20"/>
        </w:rPr>
        <w:t>Brothers and sisters</w:t>
      </w:r>
    </w:p>
    <w:p w14:paraId="35AF8401" w14:textId="77777777" w:rsidR="00FF6A22" w:rsidRDefault="00FF6A22" w:rsidP="00FB1EE3">
      <w:pPr>
        <w:numPr>
          <w:ilvl w:val="0"/>
          <w:numId w:val="31"/>
        </w:numPr>
        <w:tabs>
          <w:tab w:val="clear" w:pos="1004"/>
        </w:tabs>
        <w:spacing w:before="60"/>
        <w:ind w:left="357" w:hanging="357"/>
        <w:jc w:val="both"/>
        <w:rPr>
          <w:rFonts w:ascii="Arial" w:hAnsi="Arial" w:cs="Arial"/>
          <w:b/>
          <w:sz w:val="20"/>
        </w:rPr>
      </w:pPr>
      <w:r>
        <w:rPr>
          <w:rFonts w:ascii="Arial" w:hAnsi="Arial" w:cs="Arial"/>
          <w:b/>
          <w:sz w:val="20"/>
        </w:rPr>
        <w:t>Physical well-being</w:t>
      </w:r>
    </w:p>
    <w:p w14:paraId="2967E9F0" w14:textId="77777777" w:rsidR="00FF6A22" w:rsidRDefault="00FF6A22" w:rsidP="00FF6A22">
      <w:pPr>
        <w:ind w:left="357"/>
        <w:jc w:val="both"/>
        <w:rPr>
          <w:rFonts w:ascii="Arial" w:hAnsi="Arial" w:cs="Arial"/>
          <w:i/>
          <w:sz w:val="20"/>
        </w:rPr>
      </w:pPr>
      <w:r>
        <w:rPr>
          <w:rFonts w:ascii="Arial" w:hAnsi="Arial" w:cs="Arial"/>
          <w:i/>
          <w:sz w:val="20"/>
        </w:rPr>
        <w:t>Infant travel</w:t>
      </w:r>
    </w:p>
    <w:p w14:paraId="12867249" w14:textId="77777777" w:rsidR="00FF6A22" w:rsidRDefault="00FF6A22" w:rsidP="00FF6A22">
      <w:pPr>
        <w:ind w:left="357"/>
        <w:jc w:val="both"/>
        <w:rPr>
          <w:rFonts w:ascii="Arial" w:hAnsi="Arial" w:cs="Arial"/>
          <w:i/>
          <w:sz w:val="20"/>
        </w:rPr>
      </w:pPr>
      <w:r>
        <w:rPr>
          <w:rFonts w:ascii="Arial" w:hAnsi="Arial" w:cs="Arial"/>
          <w:i/>
          <w:sz w:val="20"/>
        </w:rPr>
        <w:t>Disrupted routines</w:t>
      </w:r>
    </w:p>
    <w:p w14:paraId="4ADB02AE" w14:textId="77777777" w:rsidR="00FF6A22" w:rsidRDefault="00FF6A22" w:rsidP="00FB1EE3">
      <w:pPr>
        <w:numPr>
          <w:ilvl w:val="0"/>
          <w:numId w:val="31"/>
        </w:numPr>
        <w:tabs>
          <w:tab w:val="clear" w:pos="1004"/>
        </w:tabs>
        <w:spacing w:before="60"/>
        <w:ind w:left="357" w:hanging="357"/>
        <w:jc w:val="both"/>
        <w:rPr>
          <w:rFonts w:ascii="Arial" w:hAnsi="Arial" w:cs="Arial"/>
          <w:b/>
          <w:sz w:val="20"/>
        </w:rPr>
      </w:pPr>
      <w:r>
        <w:rPr>
          <w:rFonts w:ascii="Arial" w:hAnsi="Arial" w:cs="Arial"/>
          <w:b/>
          <w:sz w:val="20"/>
        </w:rPr>
        <w:t>Facilitators and barriers to good family contact</w:t>
      </w:r>
    </w:p>
    <w:p w14:paraId="4F02B4D6" w14:textId="77777777" w:rsidR="00FF6A22" w:rsidRDefault="00FF6A22" w:rsidP="00FF6A22">
      <w:pPr>
        <w:ind w:left="357"/>
        <w:jc w:val="both"/>
        <w:rPr>
          <w:rFonts w:ascii="Arial" w:hAnsi="Arial" w:cs="Arial"/>
          <w:i/>
          <w:sz w:val="20"/>
        </w:rPr>
      </w:pPr>
      <w:r>
        <w:rPr>
          <w:rFonts w:ascii="Arial" w:hAnsi="Arial" w:cs="Arial"/>
          <w:i/>
          <w:sz w:val="20"/>
        </w:rPr>
        <w:t>Parents’ travel</w:t>
      </w:r>
    </w:p>
    <w:p w14:paraId="35E05799" w14:textId="77777777" w:rsidR="00FF6A22" w:rsidRDefault="00FF6A22" w:rsidP="00FF6A22">
      <w:pPr>
        <w:ind w:left="357"/>
        <w:jc w:val="both"/>
        <w:rPr>
          <w:rFonts w:ascii="Arial" w:hAnsi="Arial" w:cs="Arial"/>
          <w:i/>
          <w:sz w:val="20"/>
        </w:rPr>
      </w:pPr>
      <w:r>
        <w:rPr>
          <w:rFonts w:ascii="Arial" w:hAnsi="Arial" w:cs="Arial"/>
          <w:i/>
          <w:sz w:val="20"/>
        </w:rPr>
        <w:t>Unsuitable physical environment</w:t>
      </w:r>
    </w:p>
    <w:p w14:paraId="7A8D6AF6" w14:textId="77777777" w:rsidR="00FF6A22" w:rsidRDefault="00FF6A22" w:rsidP="00FF6A22">
      <w:pPr>
        <w:ind w:left="357"/>
        <w:jc w:val="both"/>
        <w:rPr>
          <w:rFonts w:ascii="Arial" w:hAnsi="Arial" w:cs="Arial"/>
          <w:i/>
          <w:sz w:val="20"/>
        </w:rPr>
      </w:pPr>
      <w:r>
        <w:rPr>
          <w:rFonts w:ascii="Arial" w:hAnsi="Arial" w:cs="Arial"/>
          <w:i/>
          <w:sz w:val="20"/>
        </w:rPr>
        <w:t>Visits in kinship care</w:t>
      </w:r>
    </w:p>
    <w:p w14:paraId="1E4D4C2A" w14:textId="77777777" w:rsidR="00FF6A22" w:rsidRDefault="00FF6A22" w:rsidP="00FF6A22">
      <w:pPr>
        <w:ind w:left="357"/>
        <w:jc w:val="both"/>
        <w:rPr>
          <w:rFonts w:ascii="Arial" w:hAnsi="Arial" w:cs="Arial"/>
          <w:i/>
          <w:sz w:val="20"/>
        </w:rPr>
      </w:pPr>
      <w:r>
        <w:rPr>
          <w:rFonts w:ascii="Arial" w:hAnsi="Arial" w:cs="Arial"/>
          <w:i/>
          <w:sz w:val="20"/>
        </w:rPr>
        <w:t>Alternatives</w:t>
      </w:r>
    </w:p>
    <w:p w14:paraId="166FB736" w14:textId="77777777" w:rsidR="00FF6A22" w:rsidRDefault="00FF6A22" w:rsidP="00FF6A22">
      <w:pPr>
        <w:ind w:left="357"/>
        <w:jc w:val="both"/>
        <w:rPr>
          <w:rFonts w:ascii="Arial" w:hAnsi="Arial" w:cs="Arial"/>
          <w:i/>
          <w:sz w:val="20"/>
        </w:rPr>
      </w:pPr>
      <w:r>
        <w:rPr>
          <w:rFonts w:ascii="Arial" w:hAnsi="Arial" w:cs="Arial"/>
          <w:i/>
          <w:sz w:val="20"/>
        </w:rPr>
        <w:t>Purpose designed family contact centres</w:t>
      </w:r>
    </w:p>
    <w:p w14:paraId="56D43ED3" w14:textId="77777777" w:rsidR="00FF6A22" w:rsidRDefault="00FF6A22" w:rsidP="00FF6A22">
      <w:pPr>
        <w:ind w:left="357"/>
        <w:jc w:val="both"/>
        <w:rPr>
          <w:rFonts w:ascii="Arial" w:hAnsi="Arial" w:cs="Arial"/>
          <w:i/>
          <w:sz w:val="20"/>
        </w:rPr>
      </w:pPr>
      <w:r>
        <w:rPr>
          <w:rFonts w:ascii="Arial" w:hAnsi="Arial" w:cs="Arial"/>
          <w:i/>
          <w:sz w:val="20"/>
        </w:rPr>
        <w:t>Support and education for families during visits with infants</w:t>
      </w:r>
    </w:p>
    <w:p w14:paraId="277B04F0" w14:textId="77777777" w:rsidR="00FF6A22" w:rsidRPr="00FF6A22" w:rsidRDefault="00FF6A22" w:rsidP="00FB1EE3">
      <w:pPr>
        <w:numPr>
          <w:ilvl w:val="0"/>
          <w:numId w:val="31"/>
        </w:numPr>
        <w:tabs>
          <w:tab w:val="clear" w:pos="1004"/>
        </w:tabs>
        <w:spacing w:before="60"/>
        <w:ind w:left="357" w:hanging="357"/>
        <w:jc w:val="both"/>
        <w:rPr>
          <w:rFonts w:ascii="Arial" w:hAnsi="Arial" w:cs="Arial"/>
          <w:b/>
          <w:sz w:val="20"/>
        </w:rPr>
      </w:pPr>
      <w:r>
        <w:rPr>
          <w:rFonts w:ascii="Arial" w:hAnsi="Arial" w:cs="Arial"/>
          <w:b/>
          <w:sz w:val="20"/>
        </w:rPr>
        <w:t>Systems issues</w:t>
      </w:r>
    </w:p>
    <w:p w14:paraId="35792E53" w14:textId="77777777" w:rsidR="00FF6A22" w:rsidRDefault="00FF6A22" w:rsidP="00FF6A22">
      <w:pPr>
        <w:ind w:left="357"/>
        <w:jc w:val="both"/>
        <w:rPr>
          <w:rFonts w:ascii="Arial" w:hAnsi="Arial" w:cs="Arial"/>
          <w:i/>
          <w:sz w:val="20"/>
        </w:rPr>
      </w:pPr>
      <w:r>
        <w:rPr>
          <w:rFonts w:ascii="Arial" w:hAnsi="Arial" w:cs="Arial"/>
          <w:i/>
          <w:sz w:val="20"/>
        </w:rPr>
        <w:t>The adversarial Court system</w:t>
      </w:r>
    </w:p>
    <w:p w14:paraId="04F2F668" w14:textId="77777777" w:rsidR="00FF6A22" w:rsidRDefault="00DA014A" w:rsidP="00FF6A22">
      <w:pPr>
        <w:ind w:left="357"/>
        <w:jc w:val="both"/>
        <w:rPr>
          <w:rFonts w:ascii="Arial" w:hAnsi="Arial" w:cs="Arial"/>
          <w:i/>
          <w:sz w:val="20"/>
        </w:rPr>
      </w:pPr>
      <w:r>
        <w:rPr>
          <w:rFonts w:ascii="Arial" w:hAnsi="Arial" w:cs="Arial"/>
          <w:i/>
          <w:sz w:val="20"/>
        </w:rPr>
        <w:t>Timelines for the decision-making process</w:t>
      </w:r>
    </w:p>
    <w:p w14:paraId="77E3957F" w14:textId="77777777" w:rsidR="00DA014A" w:rsidRDefault="00DA014A" w:rsidP="00855531">
      <w:pPr>
        <w:ind w:left="357"/>
        <w:jc w:val="both"/>
        <w:rPr>
          <w:rFonts w:ascii="Arial" w:hAnsi="Arial" w:cs="Arial"/>
          <w:i/>
          <w:sz w:val="20"/>
        </w:rPr>
      </w:pPr>
      <w:r>
        <w:rPr>
          <w:rFonts w:ascii="Arial" w:hAnsi="Arial" w:cs="Arial"/>
          <w:i/>
          <w:sz w:val="20"/>
        </w:rPr>
        <w:t>DHS staff skill and communications</w:t>
      </w:r>
    </w:p>
    <w:p w14:paraId="70EB1F4C" w14:textId="77777777" w:rsidR="00DA014A" w:rsidRDefault="00DA014A" w:rsidP="00FF6A22">
      <w:pPr>
        <w:ind w:left="357"/>
        <w:jc w:val="both"/>
        <w:rPr>
          <w:rFonts w:ascii="Arial" w:hAnsi="Arial" w:cs="Arial"/>
          <w:i/>
          <w:sz w:val="20"/>
        </w:rPr>
      </w:pPr>
      <w:r>
        <w:rPr>
          <w:rFonts w:ascii="Arial" w:hAnsi="Arial" w:cs="Arial"/>
          <w:i/>
          <w:sz w:val="20"/>
        </w:rPr>
        <w:t>DHS resources</w:t>
      </w:r>
    </w:p>
    <w:p w14:paraId="071C91B0" w14:textId="77777777" w:rsidR="00DA014A" w:rsidRDefault="00DA014A" w:rsidP="00FF6A22">
      <w:pPr>
        <w:ind w:left="357"/>
        <w:jc w:val="both"/>
        <w:rPr>
          <w:rFonts w:ascii="Arial" w:hAnsi="Arial" w:cs="Arial"/>
          <w:i/>
          <w:sz w:val="20"/>
        </w:rPr>
      </w:pPr>
      <w:r>
        <w:rPr>
          <w:rFonts w:ascii="Arial" w:hAnsi="Arial" w:cs="Arial"/>
          <w:i/>
          <w:sz w:val="20"/>
        </w:rPr>
        <w:t>Foster carers</w:t>
      </w:r>
    </w:p>
    <w:p w14:paraId="6E0DAFC7" w14:textId="77777777" w:rsidR="00FF6A22" w:rsidRDefault="003B2F65" w:rsidP="00FF6A22">
      <w:pPr>
        <w:spacing w:before="120"/>
        <w:jc w:val="both"/>
        <w:rPr>
          <w:rFonts w:ascii="Arial" w:hAnsi="Arial" w:cs="Arial"/>
          <w:sz w:val="20"/>
        </w:rPr>
      </w:pPr>
      <w:r>
        <w:rPr>
          <w:rFonts w:ascii="Arial" w:hAnsi="Arial" w:cs="Arial"/>
          <w:sz w:val="20"/>
        </w:rPr>
        <w:t xml:space="preserve">It seems to Magistrate Power that this was </w:t>
      </w:r>
      <w:r w:rsidR="00EC64A6">
        <w:rPr>
          <w:rFonts w:ascii="Arial" w:hAnsi="Arial" w:cs="Arial"/>
          <w:sz w:val="20"/>
        </w:rPr>
        <w:t xml:space="preserve">by far </w:t>
      </w:r>
      <w:r>
        <w:rPr>
          <w:rFonts w:ascii="Arial" w:hAnsi="Arial" w:cs="Arial"/>
          <w:sz w:val="20"/>
        </w:rPr>
        <w:t xml:space="preserve">the least satisfactory </w:t>
      </w:r>
      <w:r w:rsidR="007C5324">
        <w:rPr>
          <w:rFonts w:ascii="Arial" w:hAnsi="Arial" w:cs="Arial"/>
          <w:sz w:val="20"/>
        </w:rPr>
        <w:t>section</w:t>
      </w:r>
      <w:r>
        <w:rPr>
          <w:rFonts w:ascii="Arial" w:hAnsi="Arial" w:cs="Arial"/>
          <w:sz w:val="20"/>
        </w:rPr>
        <w:t xml:space="preserve"> of the </w:t>
      </w:r>
      <w:r w:rsidR="007C5324">
        <w:rPr>
          <w:rFonts w:ascii="Arial" w:hAnsi="Arial" w:cs="Arial"/>
          <w:sz w:val="20"/>
        </w:rPr>
        <w:t xml:space="preserve">“Baby on Board” </w:t>
      </w:r>
      <w:r>
        <w:rPr>
          <w:rFonts w:ascii="Arial" w:hAnsi="Arial" w:cs="Arial"/>
          <w:sz w:val="20"/>
        </w:rPr>
        <w:t xml:space="preserve">report.  It relied heavily on </w:t>
      </w:r>
      <w:r w:rsidR="00EC64A6">
        <w:rPr>
          <w:rFonts w:ascii="Arial" w:hAnsi="Arial" w:cs="Arial"/>
          <w:sz w:val="20"/>
        </w:rPr>
        <w:t xml:space="preserve">anecdotal material and </w:t>
      </w:r>
      <w:r w:rsidR="0059647D">
        <w:rPr>
          <w:rFonts w:ascii="Arial" w:hAnsi="Arial" w:cs="Arial"/>
          <w:sz w:val="20"/>
        </w:rPr>
        <w:t>opinions</w:t>
      </w:r>
      <w:r>
        <w:rPr>
          <w:rFonts w:ascii="Arial" w:hAnsi="Arial" w:cs="Arial"/>
          <w:sz w:val="20"/>
        </w:rPr>
        <w:t xml:space="preserve"> –</w:t>
      </w:r>
      <w:r w:rsidR="00EC64A6">
        <w:rPr>
          <w:rFonts w:ascii="Arial" w:hAnsi="Arial" w:cs="Arial"/>
          <w:sz w:val="20"/>
        </w:rPr>
        <w:t xml:space="preserve"> to some extent </w:t>
      </w:r>
      <w:r>
        <w:rPr>
          <w:rFonts w:ascii="Arial" w:hAnsi="Arial" w:cs="Arial"/>
          <w:sz w:val="20"/>
        </w:rPr>
        <w:t xml:space="preserve">unsolicited </w:t>
      </w:r>
      <w:r w:rsidR="007C5324">
        <w:rPr>
          <w:rFonts w:ascii="Arial" w:hAnsi="Arial" w:cs="Arial"/>
          <w:sz w:val="20"/>
        </w:rPr>
        <w:t xml:space="preserve">anecdotal </w:t>
      </w:r>
      <w:r w:rsidR="0059647D">
        <w:rPr>
          <w:rFonts w:ascii="Arial" w:hAnsi="Arial" w:cs="Arial"/>
          <w:sz w:val="20"/>
        </w:rPr>
        <w:t>opinions</w:t>
      </w:r>
      <w:r>
        <w:rPr>
          <w:rFonts w:ascii="Arial" w:hAnsi="Arial" w:cs="Arial"/>
          <w:sz w:val="20"/>
        </w:rPr>
        <w:t xml:space="preserve"> – provided by members of interest groups who could reasonably be expected to have </w:t>
      </w:r>
      <w:r w:rsidR="007C5324">
        <w:rPr>
          <w:rFonts w:ascii="Arial" w:hAnsi="Arial" w:cs="Arial"/>
          <w:sz w:val="20"/>
        </w:rPr>
        <w:t xml:space="preserve">had </w:t>
      </w:r>
      <w:r>
        <w:rPr>
          <w:rFonts w:ascii="Arial" w:hAnsi="Arial" w:cs="Arial"/>
          <w:sz w:val="20"/>
        </w:rPr>
        <w:t xml:space="preserve">their own particular agendas.  While it is true that there was consistency in most of the themes which emerged from </w:t>
      </w:r>
      <w:r w:rsidR="00480DB1">
        <w:rPr>
          <w:rFonts w:ascii="Arial" w:hAnsi="Arial" w:cs="Arial"/>
          <w:sz w:val="20"/>
        </w:rPr>
        <w:t>most</w:t>
      </w:r>
      <w:r>
        <w:rPr>
          <w:rFonts w:ascii="Arial" w:hAnsi="Arial" w:cs="Arial"/>
          <w:sz w:val="20"/>
        </w:rPr>
        <w:t xml:space="preserve"> of the 11 focus groups, the Legal Aid lawyers </w:t>
      </w:r>
      <w:r w:rsidR="0059647D">
        <w:rPr>
          <w:rFonts w:ascii="Arial" w:hAnsi="Arial" w:cs="Arial"/>
          <w:sz w:val="20"/>
        </w:rPr>
        <w:t>(</w:t>
      </w:r>
      <w:r>
        <w:rPr>
          <w:rFonts w:ascii="Arial" w:hAnsi="Arial" w:cs="Arial"/>
          <w:sz w:val="20"/>
        </w:rPr>
        <w:t xml:space="preserve">who act as advocates for </w:t>
      </w:r>
      <w:r w:rsidR="00EC64A6">
        <w:rPr>
          <w:rFonts w:ascii="Arial" w:hAnsi="Arial" w:cs="Arial"/>
          <w:sz w:val="20"/>
        </w:rPr>
        <w:t xml:space="preserve">many of </w:t>
      </w:r>
      <w:r>
        <w:rPr>
          <w:rFonts w:ascii="Arial" w:hAnsi="Arial" w:cs="Arial"/>
          <w:sz w:val="20"/>
        </w:rPr>
        <w:t xml:space="preserve">the parents and children </w:t>
      </w:r>
      <w:r w:rsidR="0059647D">
        <w:rPr>
          <w:rFonts w:ascii="Arial" w:hAnsi="Arial" w:cs="Arial"/>
          <w:sz w:val="20"/>
        </w:rPr>
        <w:t xml:space="preserve">in the Children’s Court) expressed a very different view on </w:t>
      </w:r>
      <w:r w:rsidR="00C05682">
        <w:rPr>
          <w:rFonts w:ascii="Arial" w:hAnsi="Arial" w:cs="Arial"/>
          <w:sz w:val="20"/>
        </w:rPr>
        <w:t>a large number</w:t>
      </w:r>
      <w:r w:rsidR="0059647D">
        <w:rPr>
          <w:rFonts w:ascii="Arial" w:hAnsi="Arial" w:cs="Arial"/>
          <w:sz w:val="20"/>
        </w:rPr>
        <w:t xml:space="preserve"> of the issues discussed.</w:t>
      </w:r>
    </w:p>
    <w:p w14:paraId="1E1D50E4" w14:textId="77777777" w:rsidR="001B003A" w:rsidRDefault="001B003A" w:rsidP="001B003A">
      <w:pPr>
        <w:jc w:val="both"/>
        <w:rPr>
          <w:rFonts w:ascii="Arial" w:hAnsi="Arial" w:cs="Arial"/>
          <w:sz w:val="20"/>
        </w:rPr>
      </w:pPr>
    </w:p>
    <w:p w14:paraId="65B50E5F" w14:textId="77777777" w:rsidR="00030E96" w:rsidRPr="001B003A" w:rsidRDefault="00030E96" w:rsidP="008D0BD2">
      <w:pPr>
        <w:keepNext/>
        <w:keepLines/>
        <w:numPr>
          <w:ilvl w:val="2"/>
          <w:numId w:val="15"/>
        </w:numPr>
        <w:tabs>
          <w:tab w:val="clear" w:pos="2340"/>
        </w:tabs>
        <w:ind w:left="357" w:hanging="357"/>
        <w:jc w:val="both"/>
        <w:rPr>
          <w:rFonts w:ascii="Arial" w:hAnsi="Arial" w:cs="Arial"/>
          <w:b/>
          <w:sz w:val="20"/>
        </w:rPr>
      </w:pPr>
      <w:r w:rsidRPr="001B003A">
        <w:rPr>
          <w:rFonts w:ascii="Arial" w:hAnsi="Arial" w:cs="Arial"/>
          <w:b/>
          <w:sz w:val="20"/>
        </w:rPr>
        <w:t>What are directions for good practice in this area?</w:t>
      </w:r>
    </w:p>
    <w:p w14:paraId="6DF540A7" w14:textId="77777777" w:rsidR="00BD5B08" w:rsidRDefault="00D14E5B" w:rsidP="001B003A">
      <w:pPr>
        <w:spacing w:before="120"/>
        <w:jc w:val="both"/>
        <w:rPr>
          <w:rFonts w:ascii="Arial" w:hAnsi="Arial" w:cs="Arial"/>
          <w:sz w:val="20"/>
        </w:rPr>
      </w:pPr>
      <w:r>
        <w:rPr>
          <w:rFonts w:ascii="Arial" w:hAnsi="Arial" w:cs="Arial"/>
          <w:sz w:val="20"/>
        </w:rPr>
        <w:t xml:space="preserve">The report lists at pp.66-67 </w:t>
      </w:r>
      <w:r w:rsidR="00F1312D">
        <w:rPr>
          <w:rFonts w:ascii="Arial" w:hAnsi="Arial" w:cs="Arial"/>
          <w:sz w:val="20"/>
        </w:rPr>
        <w:t xml:space="preserve">a </w:t>
      </w:r>
      <w:r w:rsidR="00F97A9C">
        <w:rPr>
          <w:rFonts w:ascii="Arial" w:hAnsi="Arial" w:cs="Arial"/>
          <w:sz w:val="20"/>
        </w:rPr>
        <w:t>number of</w:t>
      </w:r>
      <w:r w:rsidR="00F1312D">
        <w:rPr>
          <w:rFonts w:ascii="Arial" w:hAnsi="Arial" w:cs="Arial"/>
          <w:sz w:val="20"/>
        </w:rPr>
        <w:t xml:space="preserve"> directions for good practice</w:t>
      </w:r>
      <w:r w:rsidR="00DD5297">
        <w:rPr>
          <w:rFonts w:ascii="Arial" w:hAnsi="Arial" w:cs="Arial"/>
          <w:sz w:val="20"/>
        </w:rPr>
        <w:t xml:space="preserve"> which may be summarized as follows</w:t>
      </w:r>
      <w:r w:rsidR="00F1312D">
        <w:rPr>
          <w:rFonts w:ascii="Arial" w:hAnsi="Arial" w:cs="Arial"/>
          <w:sz w:val="20"/>
        </w:rPr>
        <w:t>:</w:t>
      </w:r>
    </w:p>
    <w:p w14:paraId="74BE4751" w14:textId="77777777" w:rsidR="00F1312D" w:rsidRDefault="00F1312D" w:rsidP="00FB1EE3">
      <w:pPr>
        <w:numPr>
          <w:ilvl w:val="0"/>
          <w:numId w:val="32"/>
        </w:numPr>
        <w:tabs>
          <w:tab w:val="clear" w:pos="1004"/>
        </w:tabs>
        <w:spacing w:before="60"/>
        <w:ind w:left="357" w:hanging="357"/>
        <w:jc w:val="both"/>
        <w:rPr>
          <w:rFonts w:ascii="Arial" w:hAnsi="Arial" w:cs="Arial"/>
          <w:sz w:val="20"/>
        </w:rPr>
      </w:pPr>
      <w:r>
        <w:rPr>
          <w:rFonts w:ascii="Arial" w:hAnsi="Arial" w:cs="Arial"/>
          <w:sz w:val="20"/>
        </w:rPr>
        <w:t>A focus on quality rather than quantity of parental contact for infants is needed.</w:t>
      </w:r>
      <w:r w:rsidR="00DD5297">
        <w:rPr>
          <w:rFonts w:ascii="Arial" w:hAnsi="Arial" w:cs="Arial"/>
          <w:sz w:val="20"/>
        </w:rPr>
        <w:t xml:space="preserve">  In particular, the disruption to an infant’s secure base </w:t>
      </w:r>
    </w:p>
    <w:p w14:paraId="42C2E9FC" w14:textId="77777777" w:rsidR="00F1312D" w:rsidRDefault="00DD5297" w:rsidP="00FB1EE3">
      <w:pPr>
        <w:numPr>
          <w:ilvl w:val="0"/>
          <w:numId w:val="32"/>
        </w:numPr>
        <w:tabs>
          <w:tab w:val="clear" w:pos="1004"/>
        </w:tabs>
        <w:spacing w:before="60"/>
        <w:ind w:left="357" w:hanging="357"/>
        <w:jc w:val="both"/>
        <w:rPr>
          <w:rFonts w:ascii="Arial" w:hAnsi="Arial" w:cs="Arial"/>
          <w:sz w:val="20"/>
        </w:rPr>
      </w:pPr>
      <w:r>
        <w:rPr>
          <w:rFonts w:ascii="Arial" w:hAnsi="Arial" w:cs="Arial"/>
          <w:sz w:val="20"/>
        </w:rPr>
        <w:t>The focus of reform lies with the development of services for infants and vulnerable parents that situate family contact within services that support the infant-parent relationship, family strengthening and family reunification.</w:t>
      </w:r>
    </w:p>
    <w:p w14:paraId="4A973041" w14:textId="77777777" w:rsidR="00DD5297" w:rsidRDefault="00DD5297" w:rsidP="00FB1EE3">
      <w:pPr>
        <w:numPr>
          <w:ilvl w:val="0"/>
          <w:numId w:val="32"/>
        </w:numPr>
        <w:tabs>
          <w:tab w:val="clear" w:pos="1004"/>
        </w:tabs>
        <w:spacing w:before="60"/>
        <w:ind w:left="357" w:hanging="357"/>
        <w:jc w:val="both"/>
        <w:rPr>
          <w:rFonts w:ascii="Arial" w:hAnsi="Arial" w:cs="Arial"/>
          <w:sz w:val="20"/>
        </w:rPr>
      </w:pPr>
      <w:r>
        <w:rPr>
          <w:rFonts w:ascii="Arial" w:hAnsi="Arial" w:cs="Arial"/>
          <w:sz w:val="20"/>
        </w:rPr>
        <w:t xml:space="preserve">Kinship care is affirmed as avoiding many of the travel and associated problems for parental contact which occur in foster care.  Consideration might also be given to exploring the possibility of a pilot foster care program for mothers and infants together, such as occurs in the </w:t>
      </w:r>
      <w:smartTag w:uri="urn:schemas-microsoft-com:office:smarttags" w:element="country-region">
        <w:smartTag w:uri="urn:schemas-microsoft-com:office:smarttags" w:element="place">
          <w:r>
            <w:rPr>
              <w:rFonts w:ascii="Arial" w:hAnsi="Arial" w:cs="Arial"/>
              <w:sz w:val="20"/>
            </w:rPr>
            <w:t>United Kingdom</w:t>
          </w:r>
        </w:smartTag>
      </w:smartTag>
      <w:r>
        <w:rPr>
          <w:rFonts w:ascii="Arial" w:hAnsi="Arial" w:cs="Arial"/>
          <w:sz w:val="20"/>
        </w:rPr>
        <w:t>.</w:t>
      </w:r>
    </w:p>
    <w:p w14:paraId="252300EF" w14:textId="77777777" w:rsidR="00420450" w:rsidRDefault="00265682" w:rsidP="00FB1EE3">
      <w:pPr>
        <w:numPr>
          <w:ilvl w:val="0"/>
          <w:numId w:val="32"/>
        </w:numPr>
        <w:tabs>
          <w:tab w:val="clear" w:pos="1004"/>
        </w:tabs>
        <w:spacing w:before="60"/>
        <w:ind w:left="357" w:hanging="357"/>
        <w:jc w:val="both"/>
        <w:rPr>
          <w:rFonts w:ascii="Arial" w:hAnsi="Arial" w:cs="Arial"/>
          <w:sz w:val="20"/>
        </w:rPr>
      </w:pPr>
      <w:r>
        <w:rPr>
          <w:rFonts w:ascii="Arial" w:hAnsi="Arial" w:cs="Arial"/>
          <w:sz w:val="20"/>
        </w:rPr>
        <w:t>Specialist, skilled staff are needed to supervise family visiting to provide support, to intervene therapeutically with disturbed infant-parent attachment relationships and to model parenting skills.  This work should be separate from Child Protection but should inform decisions.</w:t>
      </w:r>
    </w:p>
    <w:p w14:paraId="4AE7AA10" w14:textId="77777777" w:rsidR="00265682" w:rsidRDefault="00265682" w:rsidP="00FB1EE3">
      <w:pPr>
        <w:numPr>
          <w:ilvl w:val="0"/>
          <w:numId w:val="32"/>
        </w:numPr>
        <w:tabs>
          <w:tab w:val="clear" w:pos="1004"/>
        </w:tabs>
        <w:spacing w:before="60"/>
        <w:ind w:left="357" w:hanging="357"/>
        <w:jc w:val="both"/>
        <w:rPr>
          <w:rFonts w:ascii="Arial" w:hAnsi="Arial" w:cs="Arial"/>
          <w:sz w:val="20"/>
        </w:rPr>
      </w:pPr>
      <w:r>
        <w:rPr>
          <w:rFonts w:ascii="Arial" w:hAnsi="Arial" w:cs="Arial"/>
          <w:sz w:val="20"/>
        </w:rPr>
        <w:t xml:space="preserve">The infant needs personal support during parental visits, ideally from the caregiver.  Where this is not possible, support should be from another one or two persons who are well-known to the infant </w:t>
      </w:r>
      <w:r w:rsidR="001A70FC">
        <w:rPr>
          <w:rFonts w:ascii="Arial" w:hAnsi="Arial" w:cs="Arial"/>
          <w:sz w:val="20"/>
        </w:rPr>
        <w:t>providing him/her with a secure base for the visit.  The involvement of multiple strangers in family contact arrangements is damaging to infants’ development.</w:t>
      </w:r>
    </w:p>
    <w:p w14:paraId="34740E77" w14:textId="77777777" w:rsidR="00265682" w:rsidRDefault="00265682" w:rsidP="00FB1EE3">
      <w:pPr>
        <w:numPr>
          <w:ilvl w:val="0"/>
          <w:numId w:val="32"/>
        </w:numPr>
        <w:tabs>
          <w:tab w:val="clear" w:pos="1004"/>
        </w:tabs>
        <w:spacing w:before="60"/>
        <w:ind w:left="357" w:hanging="357"/>
        <w:jc w:val="both"/>
        <w:rPr>
          <w:rFonts w:ascii="Arial" w:hAnsi="Arial" w:cs="Arial"/>
          <w:sz w:val="20"/>
        </w:rPr>
      </w:pPr>
      <w:r>
        <w:rPr>
          <w:rFonts w:ascii="Arial" w:hAnsi="Arial" w:cs="Arial"/>
          <w:sz w:val="20"/>
        </w:rPr>
        <w:t>Infant travel needs to be significantly reduced.  This may be done by finding venues for parental visits that are closer to the foster carer’s home and by focussing on quality rather than quantity of visits, including the possibility of longer rather than more frequent visits in some circumstances.</w:t>
      </w:r>
    </w:p>
    <w:p w14:paraId="635BBF39" w14:textId="77777777" w:rsidR="00265682" w:rsidRDefault="00265682" w:rsidP="00FB1EE3">
      <w:pPr>
        <w:numPr>
          <w:ilvl w:val="0"/>
          <w:numId w:val="32"/>
        </w:numPr>
        <w:tabs>
          <w:tab w:val="clear" w:pos="1004"/>
        </w:tabs>
        <w:spacing w:before="60"/>
        <w:ind w:left="357" w:hanging="357"/>
        <w:jc w:val="both"/>
        <w:rPr>
          <w:rFonts w:ascii="Arial" w:hAnsi="Arial" w:cs="Arial"/>
          <w:sz w:val="20"/>
        </w:rPr>
      </w:pPr>
      <w:r>
        <w:rPr>
          <w:rFonts w:ascii="Arial" w:hAnsi="Arial" w:cs="Arial"/>
          <w:sz w:val="20"/>
        </w:rPr>
        <w:t>Frequency of contact will still need to vary in line with plans for parental reunification or permanency with alternative carers.</w:t>
      </w:r>
    </w:p>
    <w:p w14:paraId="51C3DF4C" w14:textId="77777777" w:rsidR="00265682" w:rsidRDefault="00265682" w:rsidP="00FB1EE3">
      <w:pPr>
        <w:numPr>
          <w:ilvl w:val="0"/>
          <w:numId w:val="32"/>
        </w:numPr>
        <w:tabs>
          <w:tab w:val="clear" w:pos="1004"/>
        </w:tabs>
        <w:spacing w:before="60"/>
        <w:ind w:left="357" w:hanging="357"/>
        <w:jc w:val="both"/>
        <w:rPr>
          <w:rFonts w:ascii="Arial" w:hAnsi="Arial" w:cs="Arial"/>
          <w:sz w:val="20"/>
        </w:rPr>
      </w:pPr>
      <w:r>
        <w:rPr>
          <w:rFonts w:ascii="Arial" w:hAnsi="Arial" w:cs="Arial"/>
          <w:sz w:val="20"/>
        </w:rPr>
        <w:lastRenderedPageBreak/>
        <w:t>Length o</w:t>
      </w:r>
      <w:r w:rsidR="00005B83">
        <w:rPr>
          <w:rFonts w:ascii="Arial" w:hAnsi="Arial" w:cs="Arial"/>
          <w:sz w:val="20"/>
        </w:rPr>
        <w:t>f</w:t>
      </w:r>
      <w:r>
        <w:rPr>
          <w:rFonts w:ascii="Arial" w:hAnsi="Arial" w:cs="Arial"/>
          <w:sz w:val="20"/>
        </w:rPr>
        <w:t xml:space="preserve"> visits should be individually determined, developmentally informed and change as parenting capacity and the infant’s needs changed.  Longer visits would allow for a cycle of feeding, sleeping, infant care and play, all with support and education for parents provided.</w:t>
      </w:r>
    </w:p>
    <w:p w14:paraId="625A4E88" w14:textId="77777777" w:rsidR="00265682" w:rsidRDefault="00265682" w:rsidP="00FB1EE3">
      <w:pPr>
        <w:numPr>
          <w:ilvl w:val="0"/>
          <w:numId w:val="32"/>
        </w:numPr>
        <w:tabs>
          <w:tab w:val="clear" w:pos="1004"/>
        </w:tabs>
        <w:spacing w:before="60"/>
        <w:ind w:left="357" w:hanging="357"/>
        <w:jc w:val="both"/>
        <w:rPr>
          <w:rFonts w:ascii="Arial" w:hAnsi="Arial" w:cs="Arial"/>
          <w:sz w:val="20"/>
        </w:rPr>
      </w:pPr>
      <w:r>
        <w:rPr>
          <w:rFonts w:ascii="Arial" w:hAnsi="Arial" w:cs="Arial"/>
          <w:sz w:val="20"/>
        </w:rPr>
        <w:t xml:space="preserve">A range of </w:t>
      </w:r>
      <w:r w:rsidR="001A70FC">
        <w:rPr>
          <w:rFonts w:ascii="Arial" w:hAnsi="Arial" w:cs="Arial"/>
          <w:sz w:val="20"/>
        </w:rPr>
        <w:t xml:space="preserve">more family and child friendly venues for visits is needed.  Venues need to be comfortable and supportive to parents and allow for infants’ needs including sleeping, feed and play.  There is a need to explore the possibility of more visits in the parents’ home and relatives’ homes.  </w:t>
      </w:r>
      <w:r w:rsidR="00F76283">
        <w:rPr>
          <w:rFonts w:ascii="Arial" w:hAnsi="Arial" w:cs="Arial"/>
          <w:sz w:val="20"/>
        </w:rPr>
        <w:t>E</w:t>
      </w:r>
      <w:r w:rsidR="001A70FC">
        <w:rPr>
          <w:rFonts w:ascii="Arial" w:hAnsi="Arial" w:cs="Arial"/>
          <w:sz w:val="20"/>
        </w:rPr>
        <w:t>xplor</w:t>
      </w:r>
      <w:r w:rsidR="00F76283">
        <w:rPr>
          <w:rFonts w:ascii="Arial" w:hAnsi="Arial" w:cs="Arial"/>
          <w:sz w:val="20"/>
        </w:rPr>
        <w:t>ing</w:t>
      </w:r>
      <w:r w:rsidR="001A70FC">
        <w:rPr>
          <w:rFonts w:ascii="Arial" w:hAnsi="Arial" w:cs="Arial"/>
          <w:sz w:val="20"/>
        </w:rPr>
        <w:t xml:space="preserve"> </w:t>
      </w:r>
      <w:r w:rsidR="00F76283">
        <w:rPr>
          <w:rFonts w:ascii="Arial" w:hAnsi="Arial" w:cs="Arial"/>
          <w:sz w:val="20"/>
        </w:rPr>
        <w:t>the possibility of using family contact centres within the Family Law jurisdiction</w:t>
      </w:r>
      <w:r w:rsidR="00F76283" w:rsidRPr="00F76283">
        <w:rPr>
          <w:rFonts w:ascii="Arial" w:hAnsi="Arial" w:cs="Arial"/>
          <w:sz w:val="20"/>
        </w:rPr>
        <w:t xml:space="preserve"> </w:t>
      </w:r>
      <w:r w:rsidR="00F76283">
        <w:rPr>
          <w:rFonts w:ascii="Arial" w:hAnsi="Arial" w:cs="Arial"/>
          <w:sz w:val="20"/>
        </w:rPr>
        <w:t>is highly desirable.  However, in general purpose built contact centres should not be the focus of reform although m</w:t>
      </w:r>
      <w:r w:rsidR="001A70FC">
        <w:rPr>
          <w:rFonts w:ascii="Arial" w:hAnsi="Arial" w:cs="Arial"/>
          <w:sz w:val="20"/>
        </w:rPr>
        <w:t>ore suitably designed contact cen</w:t>
      </w:r>
      <w:r w:rsidR="00F76283">
        <w:rPr>
          <w:rFonts w:ascii="Arial" w:hAnsi="Arial" w:cs="Arial"/>
          <w:sz w:val="20"/>
        </w:rPr>
        <w:t>tres may be needed in specific locations in order to reduce infant travel</w:t>
      </w:r>
      <w:r w:rsidR="001A70FC">
        <w:rPr>
          <w:rFonts w:ascii="Arial" w:hAnsi="Arial" w:cs="Arial"/>
          <w:sz w:val="20"/>
        </w:rPr>
        <w:t>.</w:t>
      </w:r>
    </w:p>
    <w:p w14:paraId="3D83B523" w14:textId="77777777" w:rsidR="001A70FC" w:rsidRDefault="001A70FC" w:rsidP="00FB1EE3">
      <w:pPr>
        <w:numPr>
          <w:ilvl w:val="0"/>
          <w:numId w:val="32"/>
        </w:numPr>
        <w:tabs>
          <w:tab w:val="clear" w:pos="1004"/>
        </w:tabs>
        <w:spacing w:before="60"/>
        <w:ind w:left="357" w:hanging="357"/>
        <w:jc w:val="both"/>
        <w:rPr>
          <w:rFonts w:ascii="Arial" w:hAnsi="Arial" w:cs="Arial"/>
          <w:sz w:val="20"/>
        </w:rPr>
      </w:pPr>
      <w:r>
        <w:rPr>
          <w:rFonts w:ascii="Arial" w:hAnsi="Arial" w:cs="Arial"/>
          <w:sz w:val="20"/>
        </w:rPr>
        <w:t>The strongly adversarial approach to many decisions about family contact is not necessarily conducive to cooperative planning.</w:t>
      </w:r>
    </w:p>
    <w:p w14:paraId="00C8D19E" w14:textId="77777777" w:rsidR="001A70FC" w:rsidRDefault="001A70FC" w:rsidP="00FB1EE3">
      <w:pPr>
        <w:numPr>
          <w:ilvl w:val="0"/>
          <w:numId w:val="32"/>
        </w:numPr>
        <w:tabs>
          <w:tab w:val="clear" w:pos="1004"/>
        </w:tabs>
        <w:spacing w:before="60"/>
        <w:ind w:left="357" w:hanging="357"/>
        <w:jc w:val="both"/>
        <w:rPr>
          <w:rFonts w:ascii="Arial" w:hAnsi="Arial" w:cs="Arial"/>
          <w:sz w:val="20"/>
        </w:rPr>
      </w:pPr>
      <w:r>
        <w:rPr>
          <w:rFonts w:ascii="Arial" w:hAnsi="Arial" w:cs="Arial"/>
          <w:sz w:val="20"/>
        </w:rPr>
        <w:t>Particular attention is needed to ensure supportive family contact environments for Aboriginal and Torres Strait Islander infants who are not placed with kin.  Cultural Support Plans for indigenous children in care need to be vigorously implemented to maximise quality contact</w:t>
      </w:r>
      <w:r w:rsidR="00F76283">
        <w:rPr>
          <w:rFonts w:ascii="Arial" w:hAnsi="Arial" w:cs="Arial"/>
          <w:sz w:val="20"/>
        </w:rPr>
        <w:t xml:space="preserve"> with a range of family members which may at times include visits with more family members present rather than more separate visits.</w:t>
      </w:r>
    </w:p>
    <w:p w14:paraId="331E3BF8" w14:textId="77777777" w:rsidR="00A05185" w:rsidRDefault="00A05185" w:rsidP="00A05185">
      <w:pPr>
        <w:jc w:val="both"/>
        <w:rPr>
          <w:rFonts w:ascii="Arial" w:hAnsi="Arial" w:cs="Arial"/>
          <w:sz w:val="20"/>
        </w:rPr>
      </w:pPr>
    </w:p>
    <w:p w14:paraId="29EF5AF5" w14:textId="77777777" w:rsidR="00A05185" w:rsidRPr="001B003A" w:rsidRDefault="00A05185" w:rsidP="002C17CA">
      <w:pPr>
        <w:keepNext/>
        <w:keepLines/>
        <w:numPr>
          <w:ilvl w:val="2"/>
          <w:numId w:val="15"/>
        </w:numPr>
        <w:tabs>
          <w:tab w:val="clear" w:pos="2340"/>
        </w:tabs>
        <w:ind w:left="357" w:hanging="357"/>
        <w:jc w:val="both"/>
        <w:rPr>
          <w:rFonts w:ascii="Arial" w:hAnsi="Arial" w:cs="Arial"/>
          <w:b/>
          <w:sz w:val="20"/>
        </w:rPr>
      </w:pPr>
      <w:r>
        <w:rPr>
          <w:rFonts w:ascii="Arial" w:hAnsi="Arial" w:cs="Arial"/>
          <w:b/>
          <w:sz w:val="20"/>
        </w:rPr>
        <w:t>Literature review</w:t>
      </w:r>
    </w:p>
    <w:p w14:paraId="5E814161" w14:textId="77777777" w:rsidR="00FF1EA6" w:rsidRDefault="006468FA" w:rsidP="00FF1EA6">
      <w:pPr>
        <w:spacing w:before="120"/>
        <w:jc w:val="both"/>
        <w:rPr>
          <w:rFonts w:ascii="Arial" w:hAnsi="Arial" w:cs="Arial"/>
          <w:sz w:val="20"/>
        </w:rPr>
      </w:pPr>
      <w:r>
        <w:rPr>
          <w:rFonts w:ascii="Arial" w:hAnsi="Arial" w:cs="Arial"/>
          <w:sz w:val="20"/>
        </w:rPr>
        <w:t>The report also contains at pp.12-26 a</w:t>
      </w:r>
      <w:r w:rsidR="00265682">
        <w:rPr>
          <w:rFonts w:ascii="Arial" w:hAnsi="Arial" w:cs="Arial"/>
          <w:sz w:val="20"/>
        </w:rPr>
        <w:t xml:space="preserve"> comprehen</w:t>
      </w:r>
      <w:r>
        <w:rPr>
          <w:rFonts w:ascii="Arial" w:hAnsi="Arial" w:cs="Arial"/>
          <w:sz w:val="20"/>
        </w:rPr>
        <w:t>sive</w:t>
      </w:r>
      <w:r w:rsidR="00F236C2">
        <w:rPr>
          <w:rFonts w:ascii="Arial" w:hAnsi="Arial" w:cs="Arial"/>
          <w:sz w:val="20"/>
        </w:rPr>
        <w:t xml:space="preserve"> </w:t>
      </w:r>
      <w:r w:rsidR="00FF1EA6">
        <w:rPr>
          <w:rFonts w:ascii="Arial" w:hAnsi="Arial" w:cs="Arial"/>
          <w:sz w:val="20"/>
        </w:rPr>
        <w:t>literature review under the following headings:</w:t>
      </w:r>
    </w:p>
    <w:p w14:paraId="1FB61CAA" w14:textId="77777777" w:rsidR="00FF1EA6" w:rsidRDefault="00FF1EA6" w:rsidP="00FF1EA6">
      <w:pPr>
        <w:jc w:val="both"/>
        <w:rPr>
          <w:rFonts w:ascii="Arial" w:hAnsi="Arial" w:cs="Arial"/>
          <w:b/>
          <w:bCs/>
          <w:sz w:val="20"/>
        </w:rPr>
        <w:sectPr w:rsidR="00FF1EA6" w:rsidSect="00FF1EA6">
          <w:footerReference w:type="default" r:id="rId18"/>
          <w:type w:val="continuous"/>
          <w:pgSz w:w="11906" w:h="16838" w:code="9"/>
          <w:pgMar w:top="1298" w:right="1797" w:bottom="1298" w:left="1797" w:header="720" w:footer="720" w:gutter="0"/>
          <w:cols w:space="708"/>
          <w:docGrid w:linePitch="360"/>
        </w:sectPr>
      </w:pPr>
    </w:p>
    <w:p w14:paraId="28766FA4" w14:textId="77777777" w:rsidR="00FF1EA6" w:rsidRDefault="00FF1EA6" w:rsidP="00FB1EE3">
      <w:pPr>
        <w:numPr>
          <w:ilvl w:val="0"/>
          <w:numId w:val="31"/>
        </w:numPr>
        <w:tabs>
          <w:tab w:val="clear" w:pos="1004"/>
        </w:tabs>
        <w:ind w:left="357" w:hanging="357"/>
        <w:jc w:val="both"/>
        <w:rPr>
          <w:rFonts w:ascii="Arial" w:hAnsi="Arial" w:cs="Arial"/>
          <w:sz w:val="20"/>
        </w:rPr>
      </w:pPr>
      <w:r>
        <w:rPr>
          <w:rFonts w:ascii="Arial" w:hAnsi="Arial" w:cs="Arial"/>
          <w:sz w:val="20"/>
        </w:rPr>
        <w:t>Purpose of family contact</w:t>
      </w:r>
    </w:p>
    <w:p w14:paraId="62A59DCC" w14:textId="77777777" w:rsidR="00FF1EA6" w:rsidRDefault="00FF1EA6" w:rsidP="00FB1EE3">
      <w:pPr>
        <w:numPr>
          <w:ilvl w:val="0"/>
          <w:numId w:val="31"/>
        </w:numPr>
        <w:tabs>
          <w:tab w:val="clear" w:pos="1004"/>
        </w:tabs>
        <w:ind w:left="357" w:hanging="357"/>
        <w:jc w:val="both"/>
        <w:rPr>
          <w:rFonts w:ascii="Arial" w:hAnsi="Arial" w:cs="Arial"/>
          <w:sz w:val="20"/>
        </w:rPr>
      </w:pPr>
      <w:r>
        <w:rPr>
          <w:rFonts w:ascii="Arial" w:hAnsi="Arial" w:cs="Arial"/>
          <w:sz w:val="20"/>
        </w:rPr>
        <w:t>Indigenous children and family contact</w:t>
      </w:r>
    </w:p>
    <w:p w14:paraId="06A3964C" w14:textId="77777777" w:rsidR="00FF1EA6" w:rsidRDefault="00FF1EA6" w:rsidP="00FB1EE3">
      <w:pPr>
        <w:numPr>
          <w:ilvl w:val="0"/>
          <w:numId w:val="31"/>
        </w:numPr>
        <w:tabs>
          <w:tab w:val="clear" w:pos="1004"/>
        </w:tabs>
        <w:ind w:left="357" w:hanging="357"/>
        <w:jc w:val="both"/>
        <w:rPr>
          <w:rFonts w:ascii="Arial" w:hAnsi="Arial" w:cs="Arial"/>
          <w:sz w:val="20"/>
        </w:rPr>
      </w:pPr>
      <w:r>
        <w:rPr>
          <w:rFonts w:ascii="Arial" w:hAnsi="Arial" w:cs="Arial"/>
          <w:sz w:val="20"/>
        </w:rPr>
        <w:t>Attachment and infant development</w:t>
      </w:r>
    </w:p>
    <w:p w14:paraId="4CC98666" w14:textId="77777777" w:rsidR="00FF1EA6" w:rsidRDefault="00FF1EA6" w:rsidP="00FB1EE3">
      <w:pPr>
        <w:numPr>
          <w:ilvl w:val="0"/>
          <w:numId w:val="31"/>
        </w:numPr>
        <w:tabs>
          <w:tab w:val="clear" w:pos="1004"/>
        </w:tabs>
        <w:ind w:left="357" w:hanging="357"/>
        <w:jc w:val="both"/>
        <w:rPr>
          <w:rFonts w:ascii="Arial" w:hAnsi="Arial" w:cs="Arial"/>
          <w:sz w:val="20"/>
        </w:rPr>
      </w:pPr>
      <w:r>
        <w:rPr>
          <w:rFonts w:ascii="Arial" w:hAnsi="Arial" w:cs="Arial"/>
          <w:sz w:val="20"/>
        </w:rPr>
        <w:t>Multiple attachments</w:t>
      </w:r>
    </w:p>
    <w:p w14:paraId="6A35D802" w14:textId="77777777" w:rsidR="00FF1EA6" w:rsidRDefault="00FF1EA6" w:rsidP="00FB1EE3">
      <w:pPr>
        <w:numPr>
          <w:ilvl w:val="0"/>
          <w:numId w:val="31"/>
        </w:numPr>
        <w:tabs>
          <w:tab w:val="clear" w:pos="1004"/>
        </w:tabs>
        <w:ind w:left="357" w:hanging="357"/>
        <w:jc w:val="both"/>
        <w:rPr>
          <w:rFonts w:ascii="Arial" w:hAnsi="Arial" w:cs="Arial"/>
          <w:sz w:val="20"/>
        </w:rPr>
      </w:pPr>
      <w:r>
        <w:rPr>
          <w:rFonts w:ascii="Arial" w:hAnsi="Arial" w:cs="Arial"/>
          <w:sz w:val="20"/>
        </w:rPr>
        <w:t>Attachment and neurobiology</w:t>
      </w:r>
    </w:p>
    <w:p w14:paraId="2EACC694" w14:textId="77777777" w:rsidR="00FF1EA6" w:rsidRDefault="00FF1EA6" w:rsidP="00FB1EE3">
      <w:pPr>
        <w:numPr>
          <w:ilvl w:val="0"/>
          <w:numId w:val="31"/>
        </w:numPr>
        <w:tabs>
          <w:tab w:val="clear" w:pos="1004"/>
        </w:tabs>
        <w:ind w:left="357" w:hanging="357"/>
        <w:jc w:val="both"/>
        <w:rPr>
          <w:rFonts w:ascii="Arial" w:hAnsi="Arial" w:cs="Arial"/>
          <w:sz w:val="20"/>
        </w:rPr>
      </w:pPr>
      <w:r>
        <w:rPr>
          <w:rFonts w:ascii="Arial" w:hAnsi="Arial" w:cs="Arial"/>
          <w:sz w:val="20"/>
        </w:rPr>
        <w:t>Disrupted attachments</w:t>
      </w:r>
    </w:p>
    <w:p w14:paraId="354AED4A" w14:textId="77777777" w:rsidR="00FF1EA6" w:rsidRDefault="00FF1EA6" w:rsidP="00FB1EE3">
      <w:pPr>
        <w:numPr>
          <w:ilvl w:val="0"/>
          <w:numId w:val="31"/>
        </w:numPr>
        <w:tabs>
          <w:tab w:val="clear" w:pos="1004"/>
        </w:tabs>
        <w:ind w:left="357" w:hanging="357"/>
        <w:jc w:val="both"/>
        <w:rPr>
          <w:rFonts w:ascii="Arial" w:hAnsi="Arial" w:cs="Arial"/>
          <w:sz w:val="20"/>
        </w:rPr>
      </w:pPr>
      <w:r>
        <w:rPr>
          <w:rFonts w:ascii="Arial" w:hAnsi="Arial" w:cs="Arial"/>
          <w:sz w:val="20"/>
        </w:rPr>
        <w:t>Attachment and indigenous families</w:t>
      </w:r>
    </w:p>
    <w:p w14:paraId="167DFB57" w14:textId="77777777" w:rsidR="00FF1EA6" w:rsidRDefault="00FF1EA6" w:rsidP="00FB1EE3">
      <w:pPr>
        <w:numPr>
          <w:ilvl w:val="0"/>
          <w:numId w:val="31"/>
        </w:numPr>
        <w:tabs>
          <w:tab w:val="clear" w:pos="1004"/>
        </w:tabs>
        <w:ind w:left="357" w:hanging="357"/>
        <w:jc w:val="both"/>
        <w:rPr>
          <w:rFonts w:ascii="Arial" w:hAnsi="Arial" w:cs="Arial"/>
          <w:sz w:val="20"/>
        </w:rPr>
      </w:pPr>
      <w:r>
        <w:rPr>
          <w:rFonts w:ascii="Arial" w:hAnsi="Arial" w:cs="Arial"/>
          <w:sz w:val="20"/>
        </w:rPr>
        <w:t>Attachment and family contact</w:t>
      </w:r>
    </w:p>
    <w:p w14:paraId="7A1FE8B5" w14:textId="77777777" w:rsidR="00FF1EA6" w:rsidRDefault="00FF1EA6" w:rsidP="00FB1EE3">
      <w:pPr>
        <w:numPr>
          <w:ilvl w:val="0"/>
          <w:numId w:val="31"/>
        </w:numPr>
        <w:tabs>
          <w:tab w:val="clear" w:pos="1004"/>
        </w:tabs>
        <w:ind w:left="357" w:hanging="357"/>
        <w:jc w:val="both"/>
        <w:rPr>
          <w:rFonts w:ascii="Arial" w:hAnsi="Arial" w:cs="Arial"/>
          <w:sz w:val="20"/>
        </w:rPr>
      </w:pPr>
      <w:r>
        <w:rPr>
          <w:rFonts w:ascii="Arial" w:hAnsi="Arial" w:cs="Arial"/>
          <w:sz w:val="20"/>
        </w:rPr>
        <w:t>Family contact – in general</w:t>
      </w:r>
    </w:p>
    <w:p w14:paraId="352F591F" w14:textId="77777777" w:rsidR="00FF1EA6" w:rsidRDefault="00FF1EA6" w:rsidP="00FB1EE3">
      <w:pPr>
        <w:numPr>
          <w:ilvl w:val="0"/>
          <w:numId w:val="31"/>
        </w:numPr>
        <w:tabs>
          <w:tab w:val="clear" w:pos="1004"/>
        </w:tabs>
        <w:ind w:left="357" w:hanging="357"/>
        <w:jc w:val="both"/>
        <w:rPr>
          <w:rFonts w:ascii="Arial" w:hAnsi="Arial" w:cs="Arial"/>
          <w:sz w:val="20"/>
        </w:rPr>
      </w:pPr>
      <w:r>
        <w:rPr>
          <w:rFonts w:ascii="Arial" w:hAnsi="Arial" w:cs="Arial"/>
          <w:sz w:val="20"/>
        </w:rPr>
        <w:t>Family reunification and family contact</w:t>
      </w:r>
    </w:p>
    <w:p w14:paraId="747ACD5B" w14:textId="77777777" w:rsidR="00FF1EA6" w:rsidRDefault="00FF1EA6" w:rsidP="00FB1EE3">
      <w:pPr>
        <w:numPr>
          <w:ilvl w:val="0"/>
          <w:numId w:val="31"/>
        </w:numPr>
        <w:tabs>
          <w:tab w:val="clear" w:pos="1004"/>
        </w:tabs>
        <w:ind w:left="357" w:hanging="357"/>
        <w:jc w:val="both"/>
        <w:rPr>
          <w:rFonts w:ascii="Arial" w:hAnsi="Arial" w:cs="Arial"/>
          <w:sz w:val="20"/>
        </w:rPr>
      </w:pPr>
      <w:r>
        <w:rPr>
          <w:rFonts w:ascii="Arial" w:hAnsi="Arial" w:cs="Arial"/>
          <w:sz w:val="20"/>
        </w:rPr>
        <w:t>Infants and car transport</w:t>
      </w:r>
    </w:p>
    <w:p w14:paraId="262506C2" w14:textId="77777777" w:rsidR="00FF1EA6" w:rsidRDefault="00FF1EA6" w:rsidP="00FB1EE3">
      <w:pPr>
        <w:numPr>
          <w:ilvl w:val="0"/>
          <w:numId w:val="31"/>
        </w:numPr>
        <w:tabs>
          <w:tab w:val="clear" w:pos="1004"/>
        </w:tabs>
        <w:ind w:left="357" w:hanging="357"/>
        <w:jc w:val="both"/>
        <w:rPr>
          <w:rFonts w:ascii="Arial" w:hAnsi="Arial" w:cs="Arial"/>
          <w:sz w:val="20"/>
        </w:rPr>
      </w:pPr>
      <w:r>
        <w:rPr>
          <w:rFonts w:ascii="Arial" w:hAnsi="Arial" w:cs="Arial"/>
          <w:sz w:val="20"/>
        </w:rPr>
        <w:t>Support for infants and families during family visits</w:t>
      </w:r>
    </w:p>
    <w:p w14:paraId="75810D20" w14:textId="77777777" w:rsidR="00FF1EA6" w:rsidRDefault="00FF1EA6" w:rsidP="00FF1EA6">
      <w:pPr>
        <w:jc w:val="both"/>
        <w:rPr>
          <w:rFonts w:ascii="Arial" w:hAnsi="Arial" w:cs="Arial"/>
          <w:sz w:val="20"/>
        </w:rPr>
        <w:sectPr w:rsidR="00FF1EA6">
          <w:type w:val="continuous"/>
          <w:pgSz w:w="11906" w:h="16838" w:code="9"/>
          <w:pgMar w:top="1298" w:right="1797" w:bottom="1298" w:left="1797" w:header="720" w:footer="720" w:gutter="0"/>
          <w:cols w:num="2" w:space="708" w:equalWidth="0">
            <w:col w:w="3802" w:space="708"/>
            <w:col w:w="3802"/>
          </w:cols>
          <w:docGrid w:linePitch="360"/>
        </w:sectPr>
      </w:pPr>
    </w:p>
    <w:p w14:paraId="72E17DDB" w14:textId="77777777" w:rsidR="00491337" w:rsidRDefault="00491337" w:rsidP="00FB53EB">
      <w:pPr>
        <w:jc w:val="both"/>
        <w:rPr>
          <w:rFonts w:ascii="Arial" w:hAnsi="Arial" w:cs="Arial"/>
          <w:sz w:val="20"/>
        </w:rPr>
      </w:pPr>
    </w:p>
    <w:p w14:paraId="4FA636DD" w14:textId="77777777" w:rsidR="00655A69" w:rsidRPr="00CA2663" w:rsidRDefault="00655A69" w:rsidP="00655A69">
      <w:pPr>
        <w:pStyle w:val="Heading3"/>
        <w:keepNext/>
        <w:keepLines/>
        <w:spacing w:after="120" w:line="240" w:lineRule="auto"/>
        <w:rPr>
          <w:rFonts w:ascii="Arial" w:hAnsi="Arial" w:cs="Arial"/>
          <w:sz w:val="20"/>
          <w:lang w:val="en-US"/>
        </w:rPr>
      </w:pPr>
      <w:bookmarkStart w:id="1685" w:name="_4.14.2__Case"/>
      <w:bookmarkStart w:id="1686" w:name="B4142"/>
      <w:bookmarkEnd w:id="1685"/>
      <w:bookmarkEnd w:id="1686"/>
      <w:r>
        <w:rPr>
          <w:rFonts w:ascii="Arial" w:hAnsi="Arial" w:cs="Arial"/>
          <w:b/>
          <w:bCs/>
          <w:sz w:val="20"/>
        </w:rPr>
        <w:t>4.14.2</w:t>
      </w:r>
      <w:r>
        <w:rPr>
          <w:rFonts w:ascii="Arial" w:hAnsi="Arial" w:cs="Arial"/>
          <w:b/>
          <w:bCs/>
          <w:sz w:val="20"/>
        </w:rPr>
        <w:tab/>
      </w:r>
      <w:r>
        <w:rPr>
          <w:rFonts w:ascii="Arial" w:hAnsi="Arial" w:cs="Arial"/>
          <w:b/>
          <w:bCs/>
          <w:sz w:val="20"/>
        </w:rPr>
        <w:tab/>
        <w:t>Case law</w:t>
      </w:r>
    </w:p>
    <w:p w14:paraId="3693A350" w14:textId="77777777" w:rsidR="00081D5A" w:rsidRDefault="0055262C" w:rsidP="00FB53EB">
      <w:pPr>
        <w:jc w:val="both"/>
        <w:rPr>
          <w:rFonts w:ascii="Arial" w:hAnsi="Arial" w:cs="Arial"/>
          <w:sz w:val="20"/>
        </w:rPr>
      </w:pPr>
      <w:r w:rsidRPr="006679D2">
        <w:rPr>
          <w:rFonts w:ascii="Arial" w:hAnsi="Arial" w:cs="Arial"/>
          <w:color w:val="000000"/>
          <w:sz w:val="20"/>
        </w:rPr>
        <w:t xml:space="preserve">In </w:t>
      </w:r>
      <w:r w:rsidRPr="006679D2">
        <w:rPr>
          <w:rFonts w:ascii="Arial" w:hAnsi="Arial" w:cs="Arial"/>
          <w:i/>
          <w:color w:val="000000"/>
          <w:sz w:val="20"/>
        </w:rPr>
        <w:t>DOHS v Ms B &amp; Mr G</w:t>
      </w:r>
      <w:r w:rsidRPr="006679D2">
        <w:rPr>
          <w:rFonts w:ascii="Arial" w:hAnsi="Arial" w:cs="Arial"/>
          <w:color w:val="000000"/>
          <w:sz w:val="20"/>
        </w:rPr>
        <w:t xml:space="preserve"> [2008</w:t>
      </w:r>
      <w:r w:rsidR="00A5277D" w:rsidRPr="006679D2">
        <w:rPr>
          <w:rFonts w:ascii="Arial" w:hAnsi="Arial" w:cs="Arial"/>
          <w:color w:val="000000"/>
          <w:sz w:val="20"/>
        </w:rPr>
        <w:t>]</w:t>
      </w:r>
      <w:r w:rsidR="00C74768" w:rsidRPr="006679D2">
        <w:rPr>
          <w:rFonts w:ascii="Arial" w:hAnsi="Arial" w:cs="Arial"/>
          <w:color w:val="000000"/>
          <w:sz w:val="20"/>
        </w:rPr>
        <w:t xml:space="preserve"> </w:t>
      </w:r>
      <w:proofErr w:type="spellStart"/>
      <w:r w:rsidR="00C74768" w:rsidRPr="006679D2">
        <w:rPr>
          <w:rFonts w:ascii="Arial" w:hAnsi="Arial" w:cs="Arial"/>
          <w:color w:val="000000"/>
          <w:sz w:val="20"/>
        </w:rPr>
        <w:t>VChC</w:t>
      </w:r>
      <w:proofErr w:type="spellEnd"/>
      <w:r w:rsidR="00C74768" w:rsidRPr="006679D2">
        <w:rPr>
          <w:rFonts w:ascii="Arial" w:hAnsi="Arial" w:cs="Arial"/>
          <w:color w:val="000000"/>
          <w:sz w:val="20"/>
        </w:rPr>
        <w:t xml:space="preserve"> 1</w:t>
      </w:r>
      <w:r w:rsidR="00A5277D" w:rsidRPr="006679D2">
        <w:rPr>
          <w:rFonts w:ascii="Arial" w:hAnsi="Arial" w:cs="Arial"/>
          <w:color w:val="000000"/>
          <w:sz w:val="20"/>
        </w:rPr>
        <w:t>, a case involving 4 children two of who</w:t>
      </w:r>
      <w:r w:rsidR="00BB5EFF" w:rsidRPr="006679D2">
        <w:rPr>
          <w:rFonts w:ascii="Arial" w:hAnsi="Arial" w:cs="Arial"/>
          <w:color w:val="000000"/>
          <w:sz w:val="20"/>
        </w:rPr>
        <w:t>m</w:t>
      </w:r>
      <w:r w:rsidR="00A5277D" w:rsidRPr="006679D2">
        <w:rPr>
          <w:rFonts w:ascii="Arial" w:hAnsi="Arial" w:cs="Arial"/>
          <w:color w:val="000000"/>
          <w:sz w:val="20"/>
        </w:rPr>
        <w:t xml:space="preserve"> were twins aged 10 months who had been out of parental care since birth, </w:t>
      </w:r>
      <w:r w:rsidR="0008501B" w:rsidRPr="006679D2">
        <w:rPr>
          <w:rFonts w:ascii="Arial" w:hAnsi="Arial" w:cs="Arial"/>
          <w:color w:val="000000"/>
          <w:sz w:val="20"/>
        </w:rPr>
        <w:t xml:space="preserve">a central issue was the frequency and duration of </w:t>
      </w:r>
      <w:r w:rsidR="00E55A14" w:rsidRPr="006679D2">
        <w:rPr>
          <w:rFonts w:ascii="Arial" w:hAnsi="Arial" w:cs="Arial"/>
          <w:color w:val="000000"/>
          <w:sz w:val="20"/>
        </w:rPr>
        <w:t>contact</w:t>
      </w:r>
      <w:r w:rsidR="0008501B" w:rsidRPr="006679D2">
        <w:rPr>
          <w:rFonts w:ascii="Arial" w:hAnsi="Arial" w:cs="Arial"/>
          <w:color w:val="000000"/>
          <w:sz w:val="20"/>
        </w:rPr>
        <w:t xml:space="preserve"> between the twins and their parents.  Initially the parents had had daily </w:t>
      </w:r>
      <w:r w:rsidR="006679D2">
        <w:rPr>
          <w:rFonts w:ascii="Arial" w:hAnsi="Arial" w:cs="Arial"/>
          <w:color w:val="000000"/>
          <w:sz w:val="20"/>
        </w:rPr>
        <w:t>contact</w:t>
      </w:r>
      <w:r w:rsidR="0008501B" w:rsidRPr="006679D2">
        <w:rPr>
          <w:rFonts w:ascii="Arial" w:hAnsi="Arial" w:cs="Arial"/>
          <w:color w:val="000000"/>
          <w:sz w:val="20"/>
        </w:rPr>
        <w:t xml:space="preserve"> in the hospital’s special care nursery.  When the twins were discharged </w:t>
      </w:r>
      <w:r w:rsidR="007B4FF6" w:rsidRPr="006679D2">
        <w:rPr>
          <w:rFonts w:ascii="Arial" w:hAnsi="Arial" w:cs="Arial"/>
          <w:color w:val="000000"/>
          <w:sz w:val="20"/>
        </w:rPr>
        <w:t xml:space="preserve">at 4 weeks of age </w:t>
      </w:r>
      <w:r w:rsidR="0008501B" w:rsidRPr="006679D2">
        <w:rPr>
          <w:rFonts w:ascii="Arial" w:hAnsi="Arial" w:cs="Arial"/>
          <w:color w:val="000000"/>
          <w:sz w:val="20"/>
        </w:rPr>
        <w:t xml:space="preserve">the Court heard a submissions contest and ordered supervised </w:t>
      </w:r>
      <w:r w:rsidR="00E55A14" w:rsidRPr="006679D2">
        <w:rPr>
          <w:rFonts w:ascii="Arial" w:hAnsi="Arial" w:cs="Arial"/>
          <w:color w:val="000000"/>
          <w:sz w:val="20"/>
        </w:rPr>
        <w:t>contact</w:t>
      </w:r>
      <w:r w:rsidR="0008501B" w:rsidRPr="006679D2">
        <w:rPr>
          <w:rFonts w:ascii="Arial" w:hAnsi="Arial" w:cs="Arial"/>
          <w:color w:val="000000"/>
          <w:sz w:val="20"/>
        </w:rPr>
        <w:t xml:space="preserve"> for 4 hours each day.  </w:t>
      </w:r>
      <w:r w:rsidR="007B4FF6" w:rsidRPr="006679D2">
        <w:rPr>
          <w:rFonts w:ascii="Arial" w:hAnsi="Arial" w:cs="Arial"/>
          <w:color w:val="000000"/>
          <w:sz w:val="20"/>
        </w:rPr>
        <w:t>When they were 11½ weeks old</w:t>
      </w:r>
      <w:r w:rsidR="0008501B" w:rsidRPr="006679D2">
        <w:rPr>
          <w:rFonts w:ascii="Arial" w:hAnsi="Arial" w:cs="Arial"/>
          <w:color w:val="000000"/>
          <w:sz w:val="20"/>
        </w:rPr>
        <w:t xml:space="preserve"> this </w:t>
      </w:r>
      <w:r w:rsidR="00150328" w:rsidRPr="006679D2">
        <w:rPr>
          <w:rFonts w:ascii="Arial" w:hAnsi="Arial" w:cs="Arial"/>
          <w:color w:val="000000"/>
          <w:sz w:val="20"/>
        </w:rPr>
        <w:t xml:space="preserve">regime </w:t>
      </w:r>
      <w:r w:rsidR="0008501B" w:rsidRPr="006679D2">
        <w:rPr>
          <w:rFonts w:ascii="Arial" w:hAnsi="Arial" w:cs="Arial"/>
          <w:color w:val="000000"/>
          <w:sz w:val="20"/>
        </w:rPr>
        <w:t xml:space="preserve">was varied by consent – after the Court had heard </w:t>
      </w:r>
      <w:r w:rsidR="0008501B" w:rsidRPr="006679D2">
        <w:rPr>
          <w:rFonts w:ascii="Arial" w:hAnsi="Arial" w:cs="Arial"/>
          <w:i/>
          <w:color w:val="000000"/>
          <w:sz w:val="20"/>
        </w:rPr>
        <w:t>viva voce</w:t>
      </w:r>
      <w:r w:rsidR="0008501B" w:rsidRPr="006679D2">
        <w:rPr>
          <w:rFonts w:ascii="Arial" w:hAnsi="Arial" w:cs="Arial"/>
          <w:color w:val="000000"/>
          <w:sz w:val="20"/>
        </w:rPr>
        <w:t xml:space="preserve"> evidence from </w:t>
      </w:r>
      <w:r w:rsidR="00D7448A" w:rsidRPr="006679D2">
        <w:rPr>
          <w:rFonts w:ascii="Arial" w:hAnsi="Arial" w:cs="Arial"/>
          <w:color w:val="000000"/>
          <w:sz w:val="20"/>
        </w:rPr>
        <w:t xml:space="preserve">Dr P, </w:t>
      </w:r>
      <w:r w:rsidR="0008501B" w:rsidRPr="006679D2">
        <w:rPr>
          <w:rFonts w:ascii="Arial" w:hAnsi="Arial" w:cs="Arial"/>
          <w:color w:val="000000"/>
          <w:sz w:val="20"/>
        </w:rPr>
        <w:t xml:space="preserve">a </w:t>
      </w:r>
      <w:r w:rsidR="000F5CC6" w:rsidRPr="006679D2">
        <w:rPr>
          <w:rFonts w:ascii="Arial" w:hAnsi="Arial" w:cs="Arial"/>
          <w:color w:val="000000"/>
          <w:sz w:val="20"/>
        </w:rPr>
        <w:t xml:space="preserve">highly </w:t>
      </w:r>
      <w:r w:rsidR="0008501B" w:rsidRPr="006679D2">
        <w:rPr>
          <w:rFonts w:ascii="Arial" w:hAnsi="Arial" w:cs="Arial"/>
          <w:color w:val="000000"/>
          <w:sz w:val="20"/>
        </w:rPr>
        <w:t xml:space="preserve">respected </w:t>
      </w:r>
      <w:r w:rsidR="00D7448A" w:rsidRPr="006679D2">
        <w:rPr>
          <w:rFonts w:ascii="Arial" w:hAnsi="Arial" w:cs="Arial"/>
          <w:color w:val="000000"/>
          <w:sz w:val="20"/>
        </w:rPr>
        <w:t>consultant</w:t>
      </w:r>
      <w:r w:rsidR="000F5CC6" w:rsidRPr="006679D2">
        <w:rPr>
          <w:rFonts w:ascii="Arial" w:hAnsi="Arial" w:cs="Arial"/>
          <w:color w:val="000000"/>
          <w:sz w:val="20"/>
        </w:rPr>
        <w:t xml:space="preserve"> psychiatrist </w:t>
      </w:r>
      <w:r w:rsidR="00D7448A" w:rsidRPr="006679D2">
        <w:rPr>
          <w:rFonts w:ascii="Arial" w:hAnsi="Arial" w:cs="Arial"/>
          <w:color w:val="000000"/>
          <w:sz w:val="20"/>
        </w:rPr>
        <w:t xml:space="preserve">in the field of infant mental health </w:t>
      </w:r>
      <w:r w:rsidR="000F5CC6" w:rsidRPr="006679D2">
        <w:rPr>
          <w:rFonts w:ascii="Arial" w:hAnsi="Arial" w:cs="Arial"/>
          <w:color w:val="000000"/>
          <w:sz w:val="20"/>
        </w:rPr>
        <w:t>– to 3</w:t>
      </w:r>
      <w:r w:rsidR="0008501B" w:rsidRPr="006679D2">
        <w:rPr>
          <w:rFonts w:ascii="Arial" w:hAnsi="Arial" w:cs="Arial"/>
          <w:color w:val="000000"/>
          <w:sz w:val="20"/>
        </w:rPr>
        <w:t xml:space="preserve">½ hours on each of 5 days per week for the mother and 1 hour on each of 3 days per week for the father.  When the twins were 6½ months old their mother’s </w:t>
      </w:r>
      <w:r w:rsidR="00E55A14" w:rsidRPr="006679D2">
        <w:rPr>
          <w:rFonts w:ascii="Arial" w:hAnsi="Arial" w:cs="Arial"/>
          <w:color w:val="000000"/>
          <w:sz w:val="20"/>
        </w:rPr>
        <w:t>contact</w:t>
      </w:r>
      <w:r w:rsidR="0008501B" w:rsidRPr="006679D2">
        <w:rPr>
          <w:rFonts w:ascii="Arial" w:hAnsi="Arial" w:cs="Arial"/>
          <w:color w:val="000000"/>
          <w:sz w:val="20"/>
        </w:rPr>
        <w:t xml:space="preserve"> was suspended as a consequence of serious threats made by her to a protective worker.  Six weeks later </w:t>
      </w:r>
      <w:r w:rsidR="000F5CC6" w:rsidRPr="006679D2">
        <w:rPr>
          <w:rFonts w:ascii="Arial" w:hAnsi="Arial" w:cs="Arial"/>
          <w:color w:val="000000"/>
          <w:sz w:val="20"/>
        </w:rPr>
        <w:t xml:space="preserve">her </w:t>
      </w:r>
      <w:r w:rsidR="0008501B" w:rsidRPr="006679D2">
        <w:rPr>
          <w:rFonts w:ascii="Arial" w:hAnsi="Arial" w:cs="Arial"/>
          <w:color w:val="000000"/>
          <w:sz w:val="20"/>
        </w:rPr>
        <w:t xml:space="preserve">supervised </w:t>
      </w:r>
      <w:r w:rsidR="00E55A14" w:rsidRPr="006679D2">
        <w:rPr>
          <w:rFonts w:ascii="Arial" w:hAnsi="Arial" w:cs="Arial"/>
          <w:color w:val="000000"/>
          <w:sz w:val="20"/>
        </w:rPr>
        <w:t>contact</w:t>
      </w:r>
      <w:r w:rsidR="0008501B" w:rsidRPr="006679D2">
        <w:rPr>
          <w:rFonts w:ascii="Arial" w:hAnsi="Arial" w:cs="Arial"/>
          <w:color w:val="000000"/>
          <w:sz w:val="20"/>
        </w:rPr>
        <w:t xml:space="preserve"> was reinstated for 1 hour on 1 day per week.</w:t>
      </w:r>
      <w:r w:rsidR="00CA3540" w:rsidRPr="006679D2">
        <w:rPr>
          <w:rFonts w:ascii="Arial" w:hAnsi="Arial" w:cs="Arial"/>
          <w:color w:val="000000"/>
          <w:sz w:val="20"/>
        </w:rPr>
        <w:t xml:space="preserve">  </w:t>
      </w:r>
      <w:r w:rsidR="007B4FF6" w:rsidRPr="006679D2">
        <w:rPr>
          <w:rFonts w:ascii="Arial" w:hAnsi="Arial" w:cs="Arial"/>
          <w:color w:val="000000"/>
          <w:sz w:val="20"/>
        </w:rPr>
        <w:t>When the twins were 9½ months old</w:t>
      </w:r>
      <w:r w:rsidR="00CA3540" w:rsidRPr="006679D2">
        <w:rPr>
          <w:rFonts w:ascii="Arial" w:hAnsi="Arial" w:cs="Arial"/>
          <w:color w:val="000000"/>
          <w:sz w:val="20"/>
        </w:rPr>
        <w:t xml:space="preserve"> the writer heard evidence from a number of expert witnesses, including </w:t>
      </w:r>
      <w:r w:rsidR="008F72B2" w:rsidRPr="006679D2">
        <w:rPr>
          <w:rFonts w:ascii="Arial" w:hAnsi="Arial" w:cs="Arial"/>
          <w:color w:val="000000"/>
          <w:sz w:val="20"/>
        </w:rPr>
        <w:t xml:space="preserve">Dr P and three </w:t>
      </w:r>
      <w:r w:rsidR="000F5CC6" w:rsidRPr="006679D2">
        <w:rPr>
          <w:rFonts w:ascii="Arial" w:hAnsi="Arial" w:cs="Arial"/>
          <w:color w:val="000000"/>
          <w:sz w:val="20"/>
        </w:rPr>
        <w:t>highly regarded</w:t>
      </w:r>
      <w:r w:rsidR="008F72B2" w:rsidRPr="006679D2">
        <w:rPr>
          <w:rFonts w:ascii="Arial" w:hAnsi="Arial" w:cs="Arial"/>
          <w:color w:val="000000"/>
          <w:sz w:val="20"/>
        </w:rPr>
        <w:t xml:space="preserve"> clinical psychologists, Dr </w:t>
      </w:r>
      <w:r w:rsidR="00281666" w:rsidRPr="006679D2">
        <w:rPr>
          <w:rFonts w:ascii="Arial" w:hAnsi="Arial" w:cs="Arial"/>
          <w:color w:val="000000"/>
          <w:sz w:val="20"/>
        </w:rPr>
        <w:t>M</w:t>
      </w:r>
      <w:r w:rsidR="008F72B2" w:rsidRPr="006679D2">
        <w:rPr>
          <w:rFonts w:ascii="Arial" w:hAnsi="Arial" w:cs="Arial"/>
          <w:color w:val="000000"/>
          <w:sz w:val="20"/>
        </w:rPr>
        <w:t xml:space="preserve">, Dr </w:t>
      </w:r>
      <w:r w:rsidR="00281666" w:rsidRPr="006679D2">
        <w:rPr>
          <w:rFonts w:ascii="Arial" w:hAnsi="Arial" w:cs="Arial"/>
          <w:color w:val="000000"/>
          <w:sz w:val="20"/>
        </w:rPr>
        <w:t>S</w:t>
      </w:r>
      <w:r w:rsidR="008F72B2" w:rsidRPr="006679D2">
        <w:rPr>
          <w:rFonts w:ascii="Arial" w:hAnsi="Arial" w:cs="Arial"/>
          <w:color w:val="000000"/>
          <w:sz w:val="20"/>
        </w:rPr>
        <w:t xml:space="preserve">M &amp; Dr W.  It is no criticism of these </w:t>
      </w:r>
      <w:r w:rsidR="00705135" w:rsidRPr="006679D2">
        <w:rPr>
          <w:rFonts w:ascii="Arial" w:hAnsi="Arial" w:cs="Arial"/>
          <w:color w:val="000000"/>
          <w:sz w:val="20"/>
        </w:rPr>
        <w:t xml:space="preserve">excellent </w:t>
      </w:r>
      <w:r w:rsidR="008F72B2" w:rsidRPr="006679D2">
        <w:rPr>
          <w:rFonts w:ascii="Arial" w:hAnsi="Arial" w:cs="Arial"/>
          <w:color w:val="000000"/>
          <w:sz w:val="20"/>
        </w:rPr>
        <w:t>witnesses to say that there w</w:t>
      </w:r>
      <w:r w:rsidR="00FA453B" w:rsidRPr="006679D2">
        <w:rPr>
          <w:rFonts w:ascii="Arial" w:hAnsi="Arial" w:cs="Arial"/>
          <w:color w:val="000000"/>
          <w:sz w:val="20"/>
        </w:rPr>
        <w:t>ere very significant differences</w:t>
      </w:r>
      <w:r w:rsidR="008F72B2" w:rsidRPr="006679D2">
        <w:rPr>
          <w:rFonts w:ascii="Arial" w:hAnsi="Arial" w:cs="Arial"/>
          <w:color w:val="000000"/>
          <w:sz w:val="20"/>
        </w:rPr>
        <w:t xml:space="preserve"> between them as to the optimal frequency and duration of </w:t>
      </w:r>
      <w:r w:rsidR="00E55A14" w:rsidRPr="006679D2">
        <w:rPr>
          <w:rFonts w:ascii="Arial" w:hAnsi="Arial" w:cs="Arial"/>
          <w:color w:val="000000"/>
          <w:sz w:val="20"/>
        </w:rPr>
        <w:t>contact</w:t>
      </w:r>
      <w:r w:rsidR="00081D5A" w:rsidRPr="006679D2">
        <w:rPr>
          <w:rFonts w:ascii="Arial" w:hAnsi="Arial" w:cs="Arial"/>
          <w:color w:val="000000"/>
          <w:sz w:val="20"/>
        </w:rPr>
        <w:t xml:space="preserve"> </w:t>
      </w:r>
      <w:r w:rsidR="008E414E" w:rsidRPr="006679D2">
        <w:rPr>
          <w:rFonts w:ascii="Arial" w:hAnsi="Arial" w:cs="Arial"/>
          <w:color w:val="000000"/>
          <w:sz w:val="20"/>
        </w:rPr>
        <w:t>even</w:t>
      </w:r>
      <w:r w:rsidR="008E414E">
        <w:rPr>
          <w:rFonts w:ascii="Arial" w:hAnsi="Arial" w:cs="Arial"/>
          <w:sz w:val="20"/>
        </w:rPr>
        <w:t xml:space="preserve"> </w:t>
      </w:r>
      <w:r w:rsidR="00081D5A">
        <w:rPr>
          <w:rFonts w:ascii="Arial" w:hAnsi="Arial" w:cs="Arial"/>
          <w:sz w:val="20"/>
        </w:rPr>
        <w:t xml:space="preserve">though there was </w:t>
      </w:r>
      <w:r w:rsidR="008E414E">
        <w:rPr>
          <w:rFonts w:ascii="Arial" w:hAnsi="Arial" w:cs="Arial"/>
          <w:sz w:val="20"/>
        </w:rPr>
        <w:t xml:space="preserve">a </w:t>
      </w:r>
      <w:r w:rsidR="00A160AD">
        <w:rPr>
          <w:rFonts w:ascii="Arial" w:hAnsi="Arial" w:cs="Arial"/>
          <w:sz w:val="20"/>
        </w:rPr>
        <w:t>high</w:t>
      </w:r>
      <w:r w:rsidR="008E414E">
        <w:rPr>
          <w:rFonts w:ascii="Arial" w:hAnsi="Arial" w:cs="Arial"/>
          <w:sz w:val="20"/>
        </w:rPr>
        <w:t xml:space="preserve"> degree of</w:t>
      </w:r>
      <w:r w:rsidR="00081D5A">
        <w:rPr>
          <w:rFonts w:ascii="Arial" w:hAnsi="Arial" w:cs="Arial"/>
          <w:sz w:val="20"/>
        </w:rPr>
        <w:t xml:space="preserve"> unanimity on </w:t>
      </w:r>
      <w:r w:rsidR="007B4FF6">
        <w:rPr>
          <w:rFonts w:ascii="Arial" w:hAnsi="Arial" w:cs="Arial"/>
          <w:sz w:val="20"/>
        </w:rPr>
        <w:t>the underlying theory of infant development.</w:t>
      </w:r>
    </w:p>
    <w:p w14:paraId="58ED0489" w14:textId="77777777" w:rsidR="00081D5A" w:rsidRDefault="00081D5A" w:rsidP="00FB53EB">
      <w:pPr>
        <w:jc w:val="both"/>
        <w:rPr>
          <w:rFonts w:ascii="Arial" w:hAnsi="Arial" w:cs="Arial"/>
          <w:sz w:val="20"/>
        </w:rPr>
      </w:pPr>
    </w:p>
    <w:p w14:paraId="17D3D8C2" w14:textId="77777777" w:rsidR="00A5277D" w:rsidRPr="006679D2" w:rsidRDefault="006676FF" w:rsidP="006A4203">
      <w:pPr>
        <w:jc w:val="both"/>
        <w:rPr>
          <w:rFonts w:ascii="Arial" w:hAnsi="Arial" w:cs="Arial"/>
          <w:color w:val="000000"/>
          <w:sz w:val="20"/>
        </w:rPr>
      </w:pPr>
      <w:r w:rsidRPr="006679D2">
        <w:rPr>
          <w:rFonts w:ascii="Arial" w:hAnsi="Arial" w:cs="Arial"/>
          <w:color w:val="000000"/>
          <w:sz w:val="20"/>
        </w:rPr>
        <w:t xml:space="preserve">When the twins were 2 months old, </w:t>
      </w:r>
      <w:r w:rsidR="00281666" w:rsidRPr="006679D2">
        <w:rPr>
          <w:rFonts w:ascii="Arial" w:hAnsi="Arial" w:cs="Arial"/>
          <w:color w:val="000000"/>
          <w:sz w:val="20"/>
        </w:rPr>
        <w:t xml:space="preserve">Dr M had been asked by DOHS to provide an expert opinion as to whether </w:t>
      </w:r>
      <w:r w:rsidR="00E55A14" w:rsidRPr="006679D2">
        <w:rPr>
          <w:rFonts w:ascii="Arial" w:hAnsi="Arial" w:cs="Arial"/>
          <w:color w:val="000000"/>
          <w:sz w:val="20"/>
        </w:rPr>
        <w:t>contact</w:t>
      </w:r>
      <w:r w:rsidR="00281666" w:rsidRPr="006679D2">
        <w:rPr>
          <w:rFonts w:ascii="Arial" w:hAnsi="Arial" w:cs="Arial"/>
          <w:color w:val="000000"/>
          <w:sz w:val="20"/>
        </w:rPr>
        <w:t xml:space="preserve"> between the twins and the parents for several hours </w:t>
      </w:r>
      <w:r w:rsidRPr="006679D2">
        <w:rPr>
          <w:rFonts w:ascii="Arial" w:hAnsi="Arial" w:cs="Arial"/>
          <w:color w:val="000000"/>
          <w:sz w:val="20"/>
        </w:rPr>
        <w:t xml:space="preserve">each day </w:t>
      </w:r>
      <w:r w:rsidR="00281666" w:rsidRPr="006679D2">
        <w:rPr>
          <w:rFonts w:ascii="Arial" w:hAnsi="Arial" w:cs="Arial"/>
          <w:color w:val="000000"/>
          <w:sz w:val="20"/>
        </w:rPr>
        <w:t xml:space="preserve">was appropriate.  However she had not been given an opportunity to observe </w:t>
      </w:r>
      <w:r w:rsidR="00D52F77" w:rsidRPr="006679D2">
        <w:rPr>
          <w:rFonts w:ascii="Arial" w:hAnsi="Arial" w:cs="Arial"/>
          <w:color w:val="000000"/>
          <w:sz w:val="20"/>
        </w:rPr>
        <w:t xml:space="preserve">either </w:t>
      </w:r>
      <w:r w:rsidR="00281666" w:rsidRPr="006679D2">
        <w:rPr>
          <w:rFonts w:ascii="Arial" w:hAnsi="Arial" w:cs="Arial"/>
          <w:color w:val="000000"/>
          <w:sz w:val="20"/>
        </w:rPr>
        <w:t xml:space="preserve">the twins </w:t>
      </w:r>
      <w:r w:rsidR="00D52F77" w:rsidRPr="006679D2">
        <w:rPr>
          <w:rFonts w:ascii="Arial" w:hAnsi="Arial" w:cs="Arial"/>
          <w:color w:val="000000"/>
          <w:sz w:val="20"/>
        </w:rPr>
        <w:t>or</w:t>
      </w:r>
      <w:r w:rsidR="00281666" w:rsidRPr="006679D2">
        <w:rPr>
          <w:rFonts w:ascii="Arial" w:hAnsi="Arial" w:cs="Arial"/>
          <w:color w:val="000000"/>
          <w:sz w:val="20"/>
        </w:rPr>
        <w:t xml:space="preserve"> their parents.  It was her view that daily </w:t>
      </w:r>
      <w:r w:rsidR="00E55A14" w:rsidRPr="006679D2">
        <w:rPr>
          <w:rFonts w:ascii="Arial" w:hAnsi="Arial" w:cs="Arial"/>
          <w:color w:val="000000"/>
          <w:sz w:val="20"/>
        </w:rPr>
        <w:t>contact</w:t>
      </w:r>
      <w:r w:rsidR="00281666" w:rsidRPr="006679D2">
        <w:rPr>
          <w:rFonts w:ascii="Arial" w:hAnsi="Arial" w:cs="Arial"/>
          <w:color w:val="000000"/>
          <w:sz w:val="20"/>
        </w:rPr>
        <w:t xml:space="preserve"> was not appropriate and she recommended a reduction to once weekly for the following reasons:</w:t>
      </w:r>
    </w:p>
    <w:p w14:paraId="352F4DEA" w14:textId="77777777" w:rsidR="00281666" w:rsidRDefault="00281666" w:rsidP="00281666">
      <w:pPr>
        <w:spacing w:before="120" w:after="120"/>
        <w:ind w:left="567" w:right="567"/>
        <w:jc w:val="both"/>
        <w:rPr>
          <w:rFonts w:ascii="Arial" w:hAnsi="Arial" w:cs="Arial"/>
          <w:sz w:val="20"/>
        </w:rPr>
      </w:pPr>
      <w:r w:rsidRPr="00281666">
        <w:rPr>
          <w:rFonts w:ascii="Arial" w:hAnsi="Arial" w:cs="Arial"/>
          <w:sz w:val="20"/>
          <w:szCs w:val="22"/>
        </w:rPr>
        <w:t xml:space="preserve">“Daily contact between infant and parents is something clinically advisable when there is a very clear reunification plan and clear evidence around the capacity of the parents to care and lay down foundations for secure attachment.  I was concerned because there certainly hadn’t been a thorough assessment of the capacity of the parents to do that with these infants.  What inadvertently happens with these very frequent contact schedules is that infants are denied the </w:t>
      </w:r>
      <w:r w:rsidRPr="00281666">
        <w:rPr>
          <w:rFonts w:ascii="Arial" w:hAnsi="Arial" w:cs="Arial"/>
          <w:sz w:val="20"/>
          <w:szCs w:val="22"/>
        </w:rPr>
        <w:lastRenderedPageBreak/>
        <w:t>opportunity to form security with anyone and particularly with the foster parents</w:t>
      </w:r>
      <w:r>
        <w:rPr>
          <w:rFonts w:ascii="Arial" w:hAnsi="Arial" w:cs="Arial"/>
          <w:sz w:val="20"/>
          <w:szCs w:val="22"/>
        </w:rPr>
        <w:t>…</w:t>
      </w:r>
      <w:r w:rsidRPr="00281666">
        <w:rPr>
          <w:rFonts w:ascii="Arial" w:hAnsi="Arial" w:cs="Arial"/>
          <w:sz w:val="20"/>
          <w:szCs w:val="22"/>
        </w:rPr>
        <w:t xml:space="preserve">  It doesn’t have anything to do with the supervision of the access.  It’s got to do with the disruption of the infants’ schedule and the absence of the infants from their primary carer, in this case the foster parents.  This is the sort of regime which when ongoing for several weeks or months can cause disorganized attachment in infants…One of the core truths about attachment security is in the critical period from 0-18 months it requires the regular, consistent, predictable, reliable and most importantly the responsive presence of the primary caregiver…There is no research I am satisfied with methodologically that shows us increased access from a visiting parent adds to attachment security.  Research shows a nominal difference between infants who have access once per week and those who have access several times per week.”</w:t>
      </w:r>
    </w:p>
    <w:p w14:paraId="72CCCFC3" w14:textId="77777777" w:rsidR="00281666" w:rsidRDefault="00281666" w:rsidP="00FB53EB">
      <w:pPr>
        <w:jc w:val="both"/>
        <w:rPr>
          <w:rFonts w:ascii="Arial" w:hAnsi="Arial" w:cs="Arial"/>
          <w:sz w:val="20"/>
        </w:rPr>
      </w:pPr>
      <w:r>
        <w:rPr>
          <w:rFonts w:ascii="Arial" w:hAnsi="Arial" w:cs="Arial"/>
          <w:sz w:val="20"/>
        </w:rPr>
        <w:t>Dr M went on to identify three levels of contact for a non-custodial parent:</w:t>
      </w:r>
    </w:p>
    <w:p w14:paraId="364B702A" w14:textId="77777777" w:rsidR="00281666" w:rsidRDefault="00281666" w:rsidP="00281666">
      <w:pPr>
        <w:tabs>
          <w:tab w:val="left" w:pos="567"/>
        </w:tabs>
        <w:ind w:left="567" w:hanging="567"/>
        <w:jc w:val="both"/>
        <w:rPr>
          <w:rFonts w:ascii="Arial" w:hAnsi="Arial" w:cs="Arial"/>
          <w:sz w:val="20"/>
        </w:rPr>
      </w:pPr>
      <w:r>
        <w:rPr>
          <w:rFonts w:ascii="Arial" w:hAnsi="Arial" w:cs="Arial"/>
          <w:sz w:val="20"/>
        </w:rPr>
        <w:t>1.</w:t>
      </w:r>
      <w:r>
        <w:rPr>
          <w:rFonts w:ascii="Arial" w:hAnsi="Arial" w:cs="Arial"/>
          <w:sz w:val="20"/>
        </w:rPr>
        <w:tab/>
      </w:r>
      <w:r w:rsidRPr="00281666">
        <w:rPr>
          <w:rFonts w:ascii="Arial" w:hAnsi="Arial" w:cs="Arial"/>
          <w:sz w:val="20"/>
          <w:u w:val="single"/>
        </w:rPr>
        <w:t>Attachment</w:t>
      </w:r>
      <w:r w:rsidR="00FA453B">
        <w:rPr>
          <w:rFonts w:ascii="Arial" w:hAnsi="Arial" w:cs="Arial"/>
          <w:sz w:val="20"/>
          <w:u w:val="single"/>
        </w:rPr>
        <w:t>-</w:t>
      </w:r>
      <w:r w:rsidRPr="00281666">
        <w:rPr>
          <w:rFonts w:ascii="Arial" w:hAnsi="Arial" w:cs="Arial"/>
          <w:sz w:val="20"/>
          <w:u w:val="single"/>
        </w:rPr>
        <w:t>based contact</w:t>
      </w:r>
      <w:r>
        <w:rPr>
          <w:rFonts w:ascii="Arial" w:hAnsi="Arial" w:cs="Arial"/>
          <w:sz w:val="20"/>
        </w:rPr>
        <w:t>:  Where reunification is being pursued – up to 4 days per week leading to overnight.</w:t>
      </w:r>
    </w:p>
    <w:p w14:paraId="071ACCB5" w14:textId="77777777" w:rsidR="00FA453B" w:rsidRDefault="00FA453B" w:rsidP="00281666">
      <w:pPr>
        <w:tabs>
          <w:tab w:val="left" w:pos="567"/>
        </w:tabs>
        <w:ind w:left="567" w:hanging="567"/>
        <w:jc w:val="both"/>
        <w:rPr>
          <w:rFonts w:ascii="Arial" w:hAnsi="Arial" w:cs="Arial"/>
          <w:sz w:val="20"/>
        </w:rPr>
      </w:pPr>
      <w:r>
        <w:rPr>
          <w:rFonts w:ascii="Arial" w:hAnsi="Arial" w:cs="Arial"/>
          <w:sz w:val="20"/>
        </w:rPr>
        <w:t>2.</w:t>
      </w:r>
      <w:r>
        <w:rPr>
          <w:rFonts w:ascii="Arial" w:hAnsi="Arial" w:cs="Arial"/>
          <w:sz w:val="20"/>
        </w:rPr>
        <w:tab/>
      </w:r>
      <w:r w:rsidRPr="00FA453B">
        <w:rPr>
          <w:rFonts w:ascii="Arial" w:hAnsi="Arial" w:cs="Arial"/>
          <w:sz w:val="20"/>
          <w:u w:val="single"/>
        </w:rPr>
        <w:t>Relationship-based contact</w:t>
      </w:r>
      <w:r>
        <w:rPr>
          <w:rFonts w:ascii="Arial" w:hAnsi="Arial" w:cs="Arial"/>
          <w:sz w:val="20"/>
        </w:rPr>
        <w:t>:  Where reunification is not on the cards but the parents have been assessed as able to contribute to the emotional development of the child – more like monthly.</w:t>
      </w:r>
    </w:p>
    <w:p w14:paraId="2A2C003D" w14:textId="77777777" w:rsidR="00FA453B" w:rsidRDefault="00FA453B" w:rsidP="00281666">
      <w:pPr>
        <w:tabs>
          <w:tab w:val="left" w:pos="567"/>
        </w:tabs>
        <w:ind w:left="567" w:hanging="567"/>
        <w:jc w:val="both"/>
        <w:rPr>
          <w:rFonts w:ascii="Arial" w:hAnsi="Arial" w:cs="Arial"/>
          <w:sz w:val="20"/>
        </w:rPr>
      </w:pPr>
      <w:r>
        <w:rPr>
          <w:rFonts w:ascii="Arial" w:hAnsi="Arial" w:cs="Arial"/>
          <w:sz w:val="20"/>
        </w:rPr>
        <w:t>3.</w:t>
      </w:r>
      <w:r>
        <w:rPr>
          <w:rFonts w:ascii="Arial" w:hAnsi="Arial" w:cs="Arial"/>
          <w:sz w:val="20"/>
        </w:rPr>
        <w:tab/>
      </w:r>
      <w:r w:rsidRPr="00D9026B">
        <w:rPr>
          <w:rFonts w:ascii="Arial" w:hAnsi="Arial" w:cs="Arial"/>
          <w:sz w:val="20"/>
          <w:u w:val="single"/>
        </w:rPr>
        <w:t>Identity-based contact</w:t>
      </w:r>
      <w:r>
        <w:rPr>
          <w:rFonts w:ascii="Arial" w:hAnsi="Arial" w:cs="Arial"/>
          <w:sz w:val="20"/>
        </w:rPr>
        <w:t>:  Where reunification is not being pursued and the parents have a history of traumatized care – something of the order of 4 times per year or less.</w:t>
      </w:r>
    </w:p>
    <w:p w14:paraId="7511FEBF" w14:textId="77777777" w:rsidR="009F5EE8" w:rsidRDefault="009F5EE8" w:rsidP="009F5EE8">
      <w:pPr>
        <w:jc w:val="both"/>
        <w:rPr>
          <w:rFonts w:ascii="Arial" w:hAnsi="Arial" w:cs="Arial"/>
          <w:sz w:val="20"/>
        </w:rPr>
      </w:pPr>
    </w:p>
    <w:p w14:paraId="4E66D661" w14:textId="77777777" w:rsidR="00081D5A" w:rsidRPr="006679D2" w:rsidRDefault="00081D5A" w:rsidP="009F5EE8">
      <w:pPr>
        <w:jc w:val="both"/>
        <w:rPr>
          <w:rFonts w:ascii="Arial" w:hAnsi="Arial" w:cs="Arial"/>
          <w:color w:val="000000"/>
          <w:sz w:val="20"/>
        </w:rPr>
      </w:pPr>
      <w:r w:rsidRPr="006679D2">
        <w:rPr>
          <w:rFonts w:ascii="Arial" w:hAnsi="Arial" w:cs="Arial"/>
          <w:color w:val="000000"/>
          <w:sz w:val="20"/>
        </w:rPr>
        <w:t xml:space="preserve">At </w:t>
      </w:r>
      <w:r w:rsidR="00D52F77" w:rsidRPr="006679D2">
        <w:rPr>
          <w:rFonts w:ascii="Arial" w:hAnsi="Arial" w:cs="Arial"/>
          <w:color w:val="000000"/>
          <w:sz w:val="20"/>
        </w:rPr>
        <w:t xml:space="preserve">about </w:t>
      </w:r>
      <w:r w:rsidRPr="006679D2">
        <w:rPr>
          <w:rFonts w:ascii="Arial" w:hAnsi="Arial" w:cs="Arial"/>
          <w:color w:val="000000"/>
          <w:sz w:val="20"/>
        </w:rPr>
        <w:t xml:space="preserve">the same time Dr P had also been asked by DOHS to provide an expert opinion on the optimal frequency of </w:t>
      </w:r>
      <w:r w:rsidR="006676FF" w:rsidRPr="006679D2">
        <w:rPr>
          <w:rFonts w:ascii="Arial" w:hAnsi="Arial" w:cs="Arial"/>
          <w:color w:val="000000"/>
          <w:sz w:val="20"/>
        </w:rPr>
        <w:t xml:space="preserve">the twins’ </w:t>
      </w:r>
      <w:r w:rsidR="00E55A14" w:rsidRPr="006679D2">
        <w:rPr>
          <w:rFonts w:ascii="Arial" w:hAnsi="Arial" w:cs="Arial"/>
          <w:color w:val="000000"/>
          <w:sz w:val="20"/>
        </w:rPr>
        <w:t>contact</w:t>
      </w:r>
      <w:r w:rsidRPr="006679D2">
        <w:rPr>
          <w:rFonts w:ascii="Arial" w:hAnsi="Arial" w:cs="Arial"/>
          <w:color w:val="000000"/>
          <w:sz w:val="20"/>
        </w:rPr>
        <w:t xml:space="preserve"> with parents who had a strong desire to assume their roles as parents but who were considered at that stage unable to provide the level of emotional consistency </w:t>
      </w:r>
      <w:r w:rsidR="00F536E9" w:rsidRPr="006679D2">
        <w:rPr>
          <w:rFonts w:ascii="Arial" w:hAnsi="Arial" w:cs="Arial"/>
          <w:color w:val="000000"/>
          <w:sz w:val="20"/>
        </w:rPr>
        <w:t>and absence of disruption and trauma necessary for optimal development.  H</w:t>
      </w:r>
      <w:r w:rsidR="00E673B6" w:rsidRPr="006679D2">
        <w:rPr>
          <w:rFonts w:ascii="Arial" w:hAnsi="Arial" w:cs="Arial"/>
          <w:color w:val="000000"/>
          <w:sz w:val="20"/>
        </w:rPr>
        <w:t>e too had not seen either the twins or their parents.  H</w:t>
      </w:r>
      <w:r w:rsidR="00F536E9" w:rsidRPr="006679D2">
        <w:rPr>
          <w:rFonts w:ascii="Arial" w:hAnsi="Arial" w:cs="Arial"/>
          <w:color w:val="000000"/>
          <w:sz w:val="20"/>
        </w:rPr>
        <w:t xml:space="preserve">is reported opinion about the then daily </w:t>
      </w:r>
      <w:r w:rsidR="00E55A14" w:rsidRPr="006679D2">
        <w:rPr>
          <w:rFonts w:ascii="Arial" w:hAnsi="Arial" w:cs="Arial"/>
          <w:color w:val="000000"/>
          <w:sz w:val="20"/>
        </w:rPr>
        <w:t>contact</w:t>
      </w:r>
      <w:r w:rsidR="00F536E9" w:rsidRPr="006679D2">
        <w:rPr>
          <w:rFonts w:ascii="Arial" w:hAnsi="Arial" w:cs="Arial"/>
          <w:color w:val="000000"/>
          <w:sz w:val="20"/>
        </w:rPr>
        <w:t xml:space="preserve"> regime was that it was potentially disruptive of the twins’ development:</w:t>
      </w:r>
    </w:p>
    <w:p w14:paraId="5A3B1DC7" w14:textId="77777777" w:rsidR="008E414E" w:rsidRPr="008E414E" w:rsidRDefault="008E414E" w:rsidP="009F5EE8">
      <w:pPr>
        <w:spacing w:before="120"/>
        <w:ind w:left="567" w:right="567"/>
        <w:jc w:val="both"/>
        <w:rPr>
          <w:rFonts w:ascii="Arial" w:hAnsi="Arial" w:cs="Arial"/>
          <w:sz w:val="20"/>
        </w:rPr>
      </w:pPr>
      <w:r w:rsidRPr="008E414E">
        <w:rPr>
          <w:rFonts w:ascii="Arial" w:hAnsi="Arial" w:cs="Arial"/>
          <w:sz w:val="20"/>
        </w:rPr>
        <w:t>“The fields of early childhood development and infant mental health have provided an increasing amount of powerful evidence that the very early experiences of infants and young children can have profound effects upon their emotional, social and cognitive development.  The very young infant from the moment of birth is alert and attuned to his environment.  Necessarily, those people caring for the infant constitute his world.  The very young infant is able to hear, see, feel and perceive with all senses the quality of care provided them by their immediate carers.  The nature of this care provides the basis for the development of a stable sense of self and of attachment relationships.  Babies are able to remember in their nonverbal memory (procedural memory) the things that happen to them, and the emotional context.  The attuned and emotionally available caregiver helps the baby manage the ordinary ups and downs of life.  Extreme disruption in the availability of a consistent and predictable caregiver may constitute a significant trauma in itself</w:t>
      </w:r>
      <w:r>
        <w:rPr>
          <w:rFonts w:ascii="Arial" w:hAnsi="Arial" w:cs="Arial"/>
          <w:sz w:val="20"/>
        </w:rPr>
        <w:t xml:space="preserve">: see </w:t>
      </w:r>
      <w:proofErr w:type="spellStart"/>
      <w:r w:rsidRPr="008E414E">
        <w:rPr>
          <w:rFonts w:ascii="Arial" w:hAnsi="Arial" w:cs="Arial"/>
          <w:sz w:val="20"/>
        </w:rPr>
        <w:t>Schuder</w:t>
      </w:r>
      <w:proofErr w:type="spellEnd"/>
      <w:r w:rsidRPr="008E414E">
        <w:rPr>
          <w:rFonts w:ascii="Arial" w:hAnsi="Arial" w:cs="Arial"/>
          <w:sz w:val="20"/>
        </w:rPr>
        <w:t xml:space="preserve"> M &amp; Lyons-Ruth K, “Hidden Trauma in Infancy, Attachment, Fearful Arousal and Early Dysfunction of the Stress Response System” in “Young Children and Trauma”, ed. Osofsky J, NY, </w:t>
      </w:r>
      <w:smartTag w:uri="urn:schemas-microsoft-com:office:smarttags" w:element="place">
        <w:r w:rsidRPr="008E414E">
          <w:rPr>
            <w:rFonts w:ascii="Arial" w:hAnsi="Arial" w:cs="Arial"/>
            <w:sz w:val="20"/>
          </w:rPr>
          <w:t>Guildford</w:t>
        </w:r>
      </w:smartTag>
      <w:r w:rsidRPr="008E414E">
        <w:rPr>
          <w:rFonts w:ascii="Arial" w:hAnsi="Arial" w:cs="Arial"/>
          <w:sz w:val="20"/>
        </w:rPr>
        <w:t xml:space="preserve"> Press.</w:t>
      </w:r>
    </w:p>
    <w:p w14:paraId="28F253A1" w14:textId="77777777" w:rsidR="008E414E" w:rsidRPr="008E414E" w:rsidRDefault="008E414E" w:rsidP="008E414E">
      <w:pPr>
        <w:spacing w:before="120"/>
        <w:ind w:left="567" w:right="567"/>
        <w:jc w:val="both"/>
        <w:rPr>
          <w:rFonts w:ascii="Arial" w:hAnsi="Arial" w:cs="Arial"/>
          <w:sz w:val="20"/>
        </w:rPr>
      </w:pPr>
      <w:r w:rsidRPr="008E414E">
        <w:rPr>
          <w:rFonts w:ascii="Arial" w:hAnsi="Arial" w:cs="Arial"/>
          <w:sz w:val="20"/>
        </w:rPr>
        <w:t>Babies in the first months of life have as their primary task the development of control of their own body, and self regulatory systems.  Again, this task is facilitated by the presence of a consistent, emotionally available caregiver, who can read the baby’s psychological and emotional signals regarding hunger, tiredness, needs to play and engage and needs to rest and settle.  It is likely that being removed from their primary foster carer every day for a period of over four hours, by being taken by a worker and transported to and from their primary environment, constitutes a significant disruption or trauma in the process of establishing their own sense of self and self regulation.  It may be that this also makes them less available to develop a relationship of attachment with their parents.  It may be that the baby’s parents will be able to engage and interact with them in a more productive and fruitful way, when they are consistently cared for with the minimum of disruption to their care by their foster carer.  The babies when physiologically and emotionally contained and settled may be more available for sensitive and playful interaction with their parents, even if they have not been the primary moment to moment carers.</w:t>
      </w:r>
    </w:p>
    <w:p w14:paraId="737F1663" w14:textId="77777777" w:rsidR="008E414E" w:rsidRDefault="008E414E" w:rsidP="00A66699">
      <w:pPr>
        <w:spacing w:before="120"/>
        <w:ind w:left="567" w:right="567"/>
        <w:jc w:val="both"/>
        <w:rPr>
          <w:rFonts w:ascii="Arial" w:hAnsi="Arial" w:cs="Arial"/>
          <w:sz w:val="20"/>
        </w:rPr>
      </w:pPr>
      <w:r w:rsidRPr="008E414E">
        <w:rPr>
          <w:rFonts w:ascii="Arial" w:hAnsi="Arial" w:cs="Arial"/>
          <w:sz w:val="20"/>
        </w:rPr>
        <w:lastRenderedPageBreak/>
        <w:t>In a situation such as that described above, I would recommend that the frequency of and the amount of time that the babies have been away from the primary foster carer be reviewed such that their day-to-day experience with their primary carer becomes more predictable and contained.  I believe that adequately meeting the emotional and developmental needs of infants in the first months of life is significantly important in the development of their current and later mental state.”</w:t>
      </w:r>
    </w:p>
    <w:p w14:paraId="6D8AB811" w14:textId="77777777" w:rsidR="009F5EE8" w:rsidRDefault="009F5EE8" w:rsidP="009F5EE8">
      <w:pPr>
        <w:jc w:val="both"/>
        <w:rPr>
          <w:rFonts w:ascii="Arial" w:hAnsi="Arial" w:cs="Arial"/>
          <w:sz w:val="20"/>
        </w:rPr>
      </w:pPr>
    </w:p>
    <w:p w14:paraId="7DC457C9" w14:textId="77777777" w:rsidR="00C86487" w:rsidRDefault="00C86487" w:rsidP="009F5EE8">
      <w:pPr>
        <w:jc w:val="both"/>
        <w:rPr>
          <w:rFonts w:ascii="Arial" w:hAnsi="Arial" w:cs="Arial"/>
          <w:sz w:val="20"/>
        </w:rPr>
      </w:pPr>
      <w:r>
        <w:rPr>
          <w:rFonts w:ascii="Arial" w:hAnsi="Arial" w:cs="Arial"/>
          <w:sz w:val="20"/>
        </w:rPr>
        <w:t>W</w:t>
      </w:r>
      <w:r w:rsidR="008E414E">
        <w:rPr>
          <w:rFonts w:ascii="Arial" w:hAnsi="Arial" w:cs="Arial"/>
          <w:sz w:val="20"/>
        </w:rPr>
        <w:t xml:space="preserve">hen he </w:t>
      </w:r>
      <w:r w:rsidR="003A68FC">
        <w:rPr>
          <w:rFonts w:ascii="Arial" w:hAnsi="Arial" w:cs="Arial"/>
          <w:sz w:val="20"/>
        </w:rPr>
        <w:t xml:space="preserve">first </w:t>
      </w:r>
      <w:r w:rsidR="008E414E">
        <w:rPr>
          <w:rFonts w:ascii="Arial" w:hAnsi="Arial" w:cs="Arial"/>
          <w:sz w:val="20"/>
        </w:rPr>
        <w:t>gave evidence about a month later</w:t>
      </w:r>
      <w:r w:rsidR="00C8479C">
        <w:rPr>
          <w:rFonts w:ascii="Arial" w:hAnsi="Arial" w:cs="Arial"/>
          <w:sz w:val="20"/>
        </w:rPr>
        <w:t xml:space="preserve"> – at which time the twins were </w:t>
      </w:r>
      <w:r w:rsidR="00D52F77">
        <w:rPr>
          <w:rFonts w:ascii="Arial" w:hAnsi="Arial" w:cs="Arial"/>
          <w:sz w:val="20"/>
        </w:rPr>
        <w:t>11½ weeks</w:t>
      </w:r>
      <w:r w:rsidR="00C8479C">
        <w:rPr>
          <w:rFonts w:ascii="Arial" w:hAnsi="Arial" w:cs="Arial"/>
          <w:sz w:val="20"/>
        </w:rPr>
        <w:t xml:space="preserve"> old -</w:t>
      </w:r>
      <w:r w:rsidR="008E414E">
        <w:rPr>
          <w:rFonts w:ascii="Arial" w:hAnsi="Arial" w:cs="Arial"/>
          <w:sz w:val="20"/>
        </w:rPr>
        <w:t xml:space="preserve"> Dr P </w:t>
      </w:r>
      <w:r>
        <w:rPr>
          <w:rFonts w:ascii="Arial" w:hAnsi="Arial" w:cs="Arial"/>
          <w:sz w:val="20"/>
        </w:rPr>
        <w:t xml:space="preserve">repeated </w:t>
      </w:r>
      <w:r w:rsidR="00144AFD">
        <w:rPr>
          <w:rFonts w:ascii="Arial" w:hAnsi="Arial" w:cs="Arial"/>
          <w:sz w:val="20"/>
        </w:rPr>
        <w:t xml:space="preserve">the </w:t>
      </w:r>
      <w:r>
        <w:rPr>
          <w:rFonts w:ascii="Arial" w:hAnsi="Arial" w:cs="Arial"/>
          <w:sz w:val="20"/>
        </w:rPr>
        <w:t>concern</w:t>
      </w:r>
      <w:r w:rsidR="0028439F">
        <w:rPr>
          <w:rFonts w:ascii="Arial" w:hAnsi="Arial" w:cs="Arial"/>
          <w:sz w:val="20"/>
        </w:rPr>
        <w:t>s</w:t>
      </w:r>
      <w:r>
        <w:rPr>
          <w:rFonts w:ascii="Arial" w:hAnsi="Arial" w:cs="Arial"/>
          <w:sz w:val="20"/>
        </w:rPr>
        <w:t xml:space="preserve"> </w:t>
      </w:r>
      <w:r w:rsidR="00144AFD">
        <w:rPr>
          <w:rFonts w:ascii="Arial" w:hAnsi="Arial" w:cs="Arial"/>
          <w:sz w:val="20"/>
        </w:rPr>
        <w:t xml:space="preserve">he had </w:t>
      </w:r>
      <w:r w:rsidR="00564409">
        <w:rPr>
          <w:rFonts w:ascii="Arial" w:hAnsi="Arial" w:cs="Arial"/>
          <w:sz w:val="20"/>
        </w:rPr>
        <w:t xml:space="preserve">earlier </w:t>
      </w:r>
      <w:r w:rsidR="00144AFD">
        <w:rPr>
          <w:rFonts w:ascii="Arial" w:hAnsi="Arial" w:cs="Arial"/>
          <w:sz w:val="20"/>
        </w:rPr>
        <w:t xml:space="preserve">reported </w:t>
      </w:r>
      <w:r>
        <w:rPr>
          <w:rFonts w:ascii="Arial" w:hAnsi="Arial" w:cs="Arial"/>
          <w:sz w:val="20"/>
        </w:rPr>
        <w:t>about disruption to the twins’ routines:</w:t>
      </w:r>
    </w:p>
    <w:p w14:paraId="7068C4B6" w14:textId="77777777" w:rsidR="00C86487" w:rsidRDefault="00C86487" w:rsidP="00C86487">
      <w:pPr>
        <w:spacing w:before="120"/>
        <w:ind w:left="567" w:right="567"/>
        <w:jc w:val="both"/>
        <w:rPr>
          <w:rFonts w:ascii="Arial" w:hAnsi="Arial" w:cs="Arial"/>
          <w:sz w:val="20"/>
        </w:rPr>
      </w:pPr>
      <w:r>
        <w:rPr>
          <w:rFonts w:ascii="Arial" w:hAnsi="Arial" w:cs="Arial"/>
          <w:sz w:val="20"/>
        </w:rPr>
        <w:t xml:space="preserve">“For young children as they are developing particularly in the first year of life the need for a stable consistent carer to provide regulation of their own environment is an important and critical thing and the scenario that was put before me [viz. </w:t>
      </w:r>
      <w:r w:rsidRPr="006679D2">
        <w:rPr>
          <w:rFonts w:ascii="Arial" w:hAnsi="Arial" w:cs="Arial"/>
          <w:color w:val="000000"/>
          <w:sz w:val="20"/>
        </w:rPr>
        <w:t xml:space="preserve">daily </w:t>
      </w:r>
      <w:r w:rsidR="00E55A14" w:rsidRPr="006679D2">
        <w:rPr>
          <w:rFonts w:ascii="Arial" w:hAnsi="Arial" w:cs="Arial"/>
          <w:color w:val="000000"/>
          <w:sz w:val="20"/>
        </w:rPr>
        <w:t>contact</w:t>
      </w:r>
      <w:r w:rsidRPr="006679D2">
        <w:rPr>
          <w:rFonts w:ascii="Arial" w:hAnsi="Arial" w:cs="Arial"/>
          <w:color w:val="000000"/>
          <w:sz w:val="20"/>
        </w:rPr>
        <w:t>] suggested that it would not be the ideal set-up for a young child to</w:t>
      </w:r>
      <w:r>
        <w:rPr>
          <w:rFonts w:ascii="Arial" w:hAnsi="Arial" w:cs="Arial"/>
          <w:sz w:val="20"/>
        </w:rPr>
        <w:t xml:space="preserve"> have so much disruption in their day to day routine, particularly when they are already beginning life premature with additional needs to get their regulation organised.  Fifteen minutes each way from the carers to the place where the visit with their parents is going to occur and it’s difficult to organise that each day in a way that meets the psychological and routine needs of each of the boys at the same time.  So presumably there will be times when they would need to be woken, they might be hungry longer than they might otherwise have been if they were in the one constant situatio</w:t>
      </w:r>
      <w:r w:rsidR="00144AFD">
        <w:rPr>
          <w:rFonts w:ascii="Arial" w:hAnsi="Arial" w:cs="Arial"/>
          <w:sz w:val="20"/>
        </w:rPr>
        <w:t>n.</w:t>
      </w:r>
    </w:p>
    <w:p w14:paraId="7E4F5C58" w14:textId="77777777" w:rsidR="00375F2B" w:rsidRDefault="00375F2B" w:rsidP="00C86487">
      <w:pPr>
        <w:spacing w:before="120"/>
        <w:ind w:left="567" w:right="567"/>
        <w:jc w:val="both"/>
        <w:rPr>
          <w:rFonts w:ascii="Arial" w:hAnsi="Arial" w:cs="Arial"/>
          <w:sz w:val="20"/>
        </w:rPr>
      </w:pPr>
      <w:r>
        <w:rPr>
          <w:rFonts w:ascii="Arial" w:hAnsi="Arial" w:cs="Arial"/>
          <w:sz w:val="20"/>
        </w:rPr>
        <w:t>The very young infant comes into the world</w:t>
      </w:r>
      <w:r w:rsidR="0021794E">
        <w:rPr>
          <w:rFonts w:ascii="Arial" w:hAnsi="Arial" w:cs="Arial"/>
          <w:sz w:val="20"/>
        </w:rPr>
        <w:t xml:space="preserve"> with a lot of skills </w:t>
      </w:r>
      <w:r w:rsidR="00144AFD">
        <w:rPr>
          <w:rFonts w:ascii="Arial" w:hAnsi="Arial" w:cs="Arial"/>
          <w:sz w:val="20"/>
        </w:rPr>
        <w:t>but they are dependent upon their primary carer for things like regulation of sleep, crying, level of activity, interest in the world and the primary carer is a critical person helping the baby develop a sense of time, of things evolving from one part of the day to the next, one day to the next, because that’s not sort of built into the baby at the very beginning.  And if there are major disruptions to the baby’s daily routine and the baby’s experience of themselves and the world around them that can provide a disrupted or fractured sense of continuity in their own being, continuity in terms of what they are to expect in the next half hour, in the next two hours, how they manage their own hunger, distress, those sort of things depend on a predictability and a continuity in the care-giving environment for them.</w:t>
      </w:r>
    </w:p>
    <w:p w14:paraId="4596A144" w14:textId="77777777" w:rsidR="00375F2B" w:rsidRDefault="00375F2B" w:rsidP="00C86487">
      <w:pPr>
        <w:spacing w:before="120"/>
        <w:ind w:left="567" w:right="567"/>
        <w:jc w:val="both"/>
        <w:rPr>
          <w:rFonts w:ascii="Arial" w:hAnsi="Arial" w:cs="Arial"/>
          <w:sz w:val="20"/>
        </w:rPr>
      </w:pPr>
      <w:r>
        <w:rPr>
          <w:rFonts w:ascii="Arial" w:hAnsi="Arial" w:cs="Arial"/>
          <w:sz w:val="20"/>
        </w:rPr>
        <w:t xml:space="preserve">There is no sort of standard rule about </w:t>
      </w:r>
      <w:r w:rsidR="00144AFD">
        <w:rPr>
          <w:rFonts w:ascii="Arial" w:hAnsi="Arial" w:cs="Arial"/>
          <w:sz w:val="20"/>
        </w:rPr>
        <w:t xml:space="preserve">what’s a reasonable disruption in routine that a baby can tolerate and that another baby can’t tolerate.  I think it is so much a thing that depends on the individual infant and caregiver.  </w:t>
      </w:r>
      <w:r w:rsidR="00564409">
        <w:rPr>
          <w:rFonts w:ascii="Arial" w:hAnsi="Arial" w:cs="Arial"/>
          <w:sz w:val="20"/>
        </w:rPr>
        <w:t>But in my experience it seemed that a period of four hours every day of the week would be a significant disruption to the sense of continuity that a baby might have in an otherwise primary care situation.  So that there will be a range – from the baby’s point of view – of different people responding when they are hungry, when they are distressed, when they want to play, when they want to smile and engage, and four hours out of the day plus travelling and plus handling by the strangers that inevitably would be involved in the transporting, I understand, would be enough to disrupt a baby’s sense of self and continuity at this stage…</w:t>
      </w:r>
    </w:p>
    <w:p w14:paraId="3EB58CF0" w14:textId="77777777" w:rsidR="00564409" w:rsidRDefault="00564409" w:rsidP="00C86487">
      <w:pPr>
        <w:spacing w:before="120"/>
        <w:ind w:left="567" w:right="567"/>
        <w:jc w:val="both"/>
        <w:rPr>
          <w:rFonts w:ascii="Arial" w:hAnsi="Arial" w:cs="Arial"/>
          <w:sz w:val="20"/>
        </w:rPr>
      </w:pPr>
      <w:r>
        <w:rPr>
          <w:rFonts w:ascii="Arial" w:hAnsi="Arial" w:cs="Arial"/>
          <w:sz w:val="20"/>
        </w:rPr>
        <w:t>I don’t know what literature there is on family care for infants in the first months of life.  I don’t think there is extensive literature, but there is quite a bit about infants who go out of home, out of family care, and certainly even at older ages you can demonstrate similar things to what I was mentioning about infants who have much more profound disruptions to their care, that there is a difference in the way their stress response works when they are cared for by a number of other people who aren’t family who are closely involved in their day to day care.  So there certainly is evidence that a prolonged period out of the care of your primary carer in the first months of life can be quite disruptive to your sense of self-organisation.  If you had a situation where there was close family communicating, working closely togethe</w:t>
      </w:r>
      <w:r w:rsidR="00A860CC">
        <w:rPr>
          <w:rFonts w:ascii="Arial" w:hAnsi="Arial" w:cs="Arial"/>
          <w:sz w:val="20"/>
        </w:rPr>
        <w:t>r and usually in the same house…would that have a serious deleterious effect on the infant’s development?  I don’t know.  I think probably not if all things were working well, but it requires a lot of coordination from the two lots of carers to really know what’s happening with the baby.”</w:t>
      </w:r>
    </w:p>
    <w:p w14:paraId="55ECA7DB" w14:textId="77777777" w:rsidR="00C86487" w:rsidRDefault="00C86487" w:rsidP="009F5EE8">
      <w:pPr>
        <w:jc w:val="both"/>
        <w:rPr>
          <w:rFonts w:ascii="Arial" w:hAnsi="Arial" w:cs="Arial"/>
          <w:sz w:val="20"/>
        </w:rPr>
      </w:pPr>
    </w:p>
    <w:p w14:paraId="72F06023" w14:textId="77777777" w:rsidR="00C86487" w:rsidRDefault="002637FD" w:rsidP="006021A3">
      <w:pPr>
        <w:jc w:val="both"/>
        <w:rPr>
          <w:rFonts w:ascii="Arial" w:hAnsi="Arial" w:cs="Arial"/>
          <w:sz w:val="20"/>
        </w:rPr>
      </w:pPr>
      <w:r>
        <w:rPr>
          <w:rFonts w:ascii="Arial" w:hAnsi="Arial" w:cs="Arial"/>
          <w:sz w:val="20"/>
        </w:rPr>
        <w:lastRenderedPageBreak/>
        <w:t xml:space="preserve">At the end of a series of questions by the Court seeking to convert Dr P’s </w:t>
      </w:r>
      <w:r w:rsidR="001E113D">
        <w:rPr>
          <w:rFonts w:ascii="Arial" w:hAnsi="Arial" w:cs="Arial"/>
          <w:sz w:val="20"/>
        </w:rPr>
        <w:t>opinion</w:t>
      </w:r>
      <w:r>
        <w:rPr>
          <w:rFonts w:ascii="Arial" w:hAnsi="Arial" w:cs="Arial"/>
          <w:sz w:val="20"/>
        </w:rPr>
        <w:t xml:space="preserve">s </w:t>
      </w:r>
      <w:r w:rsidR="001E113D">
        <w:rPr>
          <w:rFonts w:ascii="Arial" w:hAnsi="Arial" w:cs="Arial"/>
          <w:sz w:val="20"/>
        </w:rPr>
        <w:t xml:space="preserve">about </w:t>
      </w:r>
      <w:r w:rsidR="001E113D" w:rsidRPr="006679D2">
        <w:rPr>
          <w:rFonts w:ascii="Arial" w:hAnsi="Arial" w:cs="Arial"/>
          <w:color w:val="000000"/>
          <w:sz w:val="20"/>
        </w:rPr>
        <w:t xml:space="preserve">infant development </w:t>
      </w:r>
      <w:r w:rsidRPr="006679D2">
        <w:rPr>
          <w:rFonts w:ascii="Arial" w:hAnsi="Arial" w:cs="Arial"/>
          <w:color w:val="000000"/>
          <w:sz w:val="20"/>
        </w:rPr>
        <w:t xml:space="preserve">into a concrete opinion about </w:t>
      </w:r>
      <w:r w:rsidR="00E55A14" w:rsidRPr="006679D2">
        <w:rPr>
          <w:rFonts w:ascii="Arial" w:hAnsi="Arial" w:cs="Arial"/>
          <w:color w:val="000000"/>
          <w:sz w:val="20"/>
        </w:rPr>
        <w:t>contact</w:t>
      </w:r>
      <w:r w:rsidRPr="006679D2">
        <w:rPr>
          <w:rFonts w:ascii="Arial" w:hAnsi="Arial" w:cs="Arial"/>
          <w:color w:val="000000"/>
          <w:sz w:val="20"/>
        </w:rPr>
        <w:t xml:space="preserve"> frequency and duration Dr P was</w:t>
      </w:r>
      <w:r>
        <w:rPr>
          <w:rFonts w:ascii="Arial" w:hAnsi="Arial" w:cs="Arial"/>
          <w:sz w:val="20"/>
        </w:rPr>
        <w:t xml:space="preserve"> asked</w:t>
      </w:r>
      <w:r w:rsidR="00C53366">
        <w:rPr>
          <w:rFonts w:ascii="Arial" w:hAnsi="Arial" w:cs="Arial"/>
          <w:sz w:val="20"/>
        </w:rPr>
        <w:t>:</w:t>
      </w:r>
      <w:r>
        <w:rPr>
          <w:rFonts w:ascii="Arial" w:hAnsi="Arial" w:cs="Arial"/>
          <w:sz w:val="20"/>
        </w:rPr>
        <w:t xml:space="preserve"> “So would five days a week be appropriate?”  Dr P replied: “From first principles I would think that’s possibly – that that would be reasonable.  And then you’d test it, you’d see how that went.  If that went well, that would be good.  If the babies were more disrupted by that, then you would reconsider it.  But I’d give it a period of trial.”  </w:t>
      </w:r>
      <w:r w:rsidR="0028439F">
        <w:rPr>
          <w:rFonts w:ascii="Arial" w:hAnsi="Arial" w:cs="Arial"/>
          <w:sz w:val="20"/>
        </w:rPr>
        <w:t xml:space="preserve">Giving evidence before the writer on a later occasion Dr P appeared regretful that he had been “pinned down” to his earlier </w:t>
      </w:r>
      <w:r w:rsidR="001E113D">
        <w:rPr>
          <w:rFonts w:ascii="Arial" w:hAnsi="Arial" w:cs="Arial"/>
          <w:sz w:val="20"/>
        </w:rPr>
        <w:t>answer</w:t>
      </w:r>
      <w:r w:rsidR="0028439F">
        <w:rPr>
          <w:rFonts w:ascii="Arial" w:hAnsi="Arial" w:cs="Arial"/>
          <w:sz w:val="20"/>
        </w:rPr>
        <w:t>, noting that he had been giving evidence in a factual vacuum and that his opinion had assumed an ideal context, namely that the parents &amp; carers were attuned to the babies’ needs, that travelling was not an issue and that the babies were not being exposed to a whole heap of strangers.</w:t>
      </w:r>
    </w:p>
    <w:p w14:paraId="0AA507EB" w14:textId="77777777" w:rsidR="00A860CC" w:rsidRDefault="00A860CC" w:rsidP="00A860CC">
      <w:pPr>
        <w:jc w:val="both"/>
        <w:rPr>
          <w:rFonts w:ascii="Arial" w:hAnsi="Arial" w:cs="Arial"/>
          <w:sz w:val="20"/>
        </w:rPr>
      </w:pPr>
    </w:p>
    <w:p w14:paraId="782D76BE" w14:textId="77777777" w:rsidR="00D52F77" w:rsidRDefault="0028439F" w:rsidP="009F5EE8">
      <w:pPr>
        <w:jc w:val="both"/>
        <w:rPr>
          <w:rFonts w:ascii="Arial" w:hAnsi="Arial" w:cs="Arial"/>
          <w:sz w:val="20"/>
        </w:rPr>
      </w:pPr>
      <w:r>
        <w:rPr>
          <w:rFonts w:ascii="Arial" w:hAnsi="Arial" w:cs="Arial"/>
          <w:sz w:val="20"/>
        </w:rPr>
        <w:t>W</w:t>
      </w:r>
      <w:r w:rsidR="00D52F77">
        <w:rPr>
          <w:rFonts w:ascii="Arial" w:hAnsi="Arial" w:cs="Arial"/>
          <w:sz w:val="20"/>
        </w:rPr>
        <w:t xml:space="preserve">hen the twins were about 8 months old – Dr P had </w:t>
      </w:r>
      <w:r w:rsidR="0073125B">
        <w:rPr>
          <w:rFonts w:ascii="Arial" w:hAnsi="Arial" w:cs="Arial"/>
          <w:sz w:val="20"/>
        </w:rPr>
        <w:t xml:space="preserve">briefly </w:t>
      </w:r>
      <w:r w:rsidR="00D52F77">
        <w:rPr>
          <w:rFonts w:ascii="Arial" w:hAnsi="Arial" w:cs="Arial"/>
          <w:sz w:val="20"/>
        </w:rPr>
        <w:t xml:space="preserve">observed the interactions between </w:t>
      </w:r>
      <w:r w:rsidR="00294327">
        <w:rPr>
          <w:rFonts w:ascii="Arial" w:hAnsi="Arial" w:cs="Arial"/>
          <w:sz w:val="20"/>
        </w:rPr>
        <w:t>them</w:t>
      </w:r>
      <w:r w:rsidR="00D52F77">
        <w:rPr>
          <w:rFonts w:ascii="Arial" w:hAnsi="Arial" w:cs="Arial"/>
          <w:sz w:val="20"/>
        </w:rPr>
        <w:t xml:space="preserve"> and their parents and between the</w:t>
      </w:r>
      <w:r w:rsidR="00294327">
        <w:rPr>
          <w:rFonts w:ascii="Arial" w:hAnsi="Arial" w:cs="Arial"/>
          <w:sz w:val="20"/>
        </w:rPr>
        <w:t>m</w:t>
      </w:r>
      <w:r w:rsidR="00D52F77">
        <w:rPr>
          <w:rFonts w:ascii="Arial" w:hAnsi="Arial" w:cs="Arial"/>
          <w:sz w:val="20"/>
        </w:rPr>
        <w:t xml:space="preserve"> and their carers</w:t>
      </w:r>
      <w:r w:rsidR="0073125B">
        <w:rPr>
          <w:rFonts w:ascii="Arial" w:hAnsi="Arial" w:cs="Arial"/>
          <w:sz w:val="20"/>
        </w:rPr>
        <w:t xml:space="preserve">.  He </w:t>
      </w:r>
      <w:r w:rsidR="00D52F77">
        <w:rPr>
          <w:rFonts w:ascii="Arial" w:hAnsi="Arial" w:cs="Arial"/>
          <w:sz w:val="20"/>
        </w:rPr>
        <w:t>said of this:</w:t>
      </w:r>
    </w:p>
    <w:p w14:paraId="033155F5" w14:textId="77777777" w:rsidR="00D52F77" w:rsidRDefault="00D52F77" w:rsidP="00D52F77">
      <w:pPr>
        <w:spacing w:before="120"/>
        <w:ind w:left="567" w:right="567"/>
        <w:jc w:val="both"/>
        <w:rPr>
          <w:rFonts w:ascii="Arial" w:hAnsi="Arial" w:cs="Arial"/>
          <w:sz w:val="20"/>
        </w:rPr>
      </w:pPr>
      <w:r>
        <w:rPr>
          <w:rFonts w:ascii="Arial" w:hAnsi="Arial" w:cs="Arial"/>
          <w:sz w:val="20"/>
        </w:rPr>
        <w:t>“</w:t>
      </w:r>
      <w:r w:rsidRPr="00D52F77">
        <w:rPr>
          <w:rFonts w:ascii="Arial" w:hAnsi="Arial" w:cs="Arial"/>
          <w:bCs/>
          <w:sz w:val="20"/>
        </w:rPr>
        <w:t>There are different types of attachment relationships – broadly secure and insecure – and these attachment relationships apply to a specific dyad rather than just the child in all circumstances.  I don’t have sufficient data to say whether attachment relationships between the boys and the carers and between the boys and the parents are secure or insecure.  I know there is a relationship but I don’t know the precise quality.  There is a particular set of procedures which one follows: the behaviour of the infant on reunion with the person after separation.  This is the main piece of data one uses to see the quality of attachment.  It is true to say I didn’t see with the twins – with parents or carers – evidence of a severely disordered attachment relationship.</w:t>
      </w:r>
      <w:r>
        <w:rPr>
          <w:rFonts w:ascii="Arial" w:hAnsi="Arial" w:cs="Arial"/>
          <w:bCs/>
          <w:sz w:val="20"/>
        </w:rPr>
        <w:t>”</w:t>
      </w:r>
    </w:p>
    <w:p w14:paraId="16BB4018" w14:textId="77777777" w:rsidR="00D52F77" w:rsidRDefault="00D52F77" w:rsidP="009F5EE8">
      <w:pPr>
        <w:jc w:val="both"/>
        <w:rPr>
          <w:rFonts w:ascii="Arial" w:hAnsi="Arial" w:cs="Arial"/>
          <w:sz w:val="20"/>
        </w:rPr>
      </w:pPr>
    </w:p>
    <w:p w14:paraId="28969304" w14:textId="77777777" w:rsidR="00EC3E56" w:rsidRPr="006679D2" w:rsidRDefault="00E673B6" w:rsidP="006A4203">
      <w:pPr>
        <w:jc w:val="both"/>
        <w:rPr>
          <w:rFonts w:ascii="Arial" w:hAnsi="Arial" w:cs="Arial"/>
          <w:color w:val="000000"/>
          <w:sz w:val="20"/>
        </w:rPr>
      </w:pPr>
      <w:r w:rsidRPr="006679D2">
        <w:rPr>
          <w:rFonts w:ascii="Arial" w:hAnsi="Arial" w:cs="Arial"/>
          <w:color w:val="000000"/>
          <w:sz w:val="20"/>
        </w:rPr>
        <w:t>G</w:t>
      </w:r>
      <w:r w:rsidR="003A68FC" w:rsidRPr="006679D2">
        <w:rPr>
          <w:rFonts w:ascii="Arial" w:hAnsi="Arial" w:cs="Arial"/>
          <w:color w:val="000000"/>
          <w:sz w:val="20"/>
        </w:rPr>
        <w:t xml:space="preserve">iving evidence when the twins were 9½ months old, Dr P </w:t>
      </w:r>
      <w:r w:rsidR="0028439F" w:rsidRPr="006679D2">
        <w:rPr>
          <w:rFonts w:ascii="Arial" w:hAnsi="Arial" w:cs="Arial"/>
          <w:color w:val="000000"/>
          <w:sz w:val="20"/>
        </w:rPr>
        <w:t xml:space="preserve">was </w:t>
      </w:r>
      <w:r w:rsidR="00EC3E56" w:rsidRPr="006679D2">
        <w:rPr>
          <w:rFonts w:ascii="Arial" w:hAnsi="Arial" w:cs="Arial"/>
          <w:color w:val="000000"/>
          <w:sz w:val="20"/>
        </w:rPr>
        <w:t xml:space="preserve">advocating a much less frequent </w:t>
      </w:r>
      <w:r w:rsidR="00E55A14" w:rsidRPr="006679D2">
        <w:rPr>
          <w:rFonts w:ascii="Arial" w:hAnsi="Arial" w:cs="Arial"/>
          <w:color w:val="000000"/>
          <w:sz w:val="20"/>
        </w:rPr>
        <w:t>contact</w:t>
      </w:r>
      <w:r w:rsidR="00EC3E56" w:rsidRPr="006679D2">
        <w:rPr>
          <w:rFonts w:ascii="Arial" w:hAnsi="Arial" w:cs="Arial"/>
          <w:color w:val="000000"/>
          <w:sz w:val="20"/>
        </w:rPr>
        <w:t xml:space="preserve"> regime if the plan was for non-reunification.  However, he also believed that it would be of benefit to each of the twins and their parents if </w:t>
      </w:r>
      <w:r w:rsidR="00E55A14" w:rsidRPr="006679D2">
        <w:rPr>
          <w:rFonts w:ascii="Arial" w:hAnsi="Arial" w:cs="Arial"/>
          <w:color w:val="000000"/>
          <w:sz w:val="20"/>
        </w:rPr>
        <w:t>contact</w:t>
      </w:r>
      <w:r w:rsidR="00EC3E56" w:rsidRPr="006679D2">
        <w:rPr>
          <w:rFonts w:ascii="Arial" w:hAnsi="Arial" w:cs="Arial"/>
          <w:color w:val="000000"/>
          <w:sz w:val="20"/>
        </w:rPr>
        <w:t xml:space="preserve"> was restructured “to provide </w:t>
      </w:r>
      <w:r w:rsidR="00EC3E56" w:rsidRPr="006679D2">
        <w:rPr>
          <w:rFonts w:ascii="Arial" w:hAnsi="Arial" w:cs="Arial"/>
          <w:b/>
          <w:color w:val="000000"/>
          <w:sz w:val="20"/>
          <w:u w:val="single"/>
        </w:rPr>
        <w:t>less frequent but longer periods of contact</w:t>
      </w:r>
      <w:r w:rsidR="00EC3E56" w:rsidRPr="006679D2">
        <w:rPr>
          <w:rFonts w:ascii="Arial" w:hAnsi="Arial" w:cs="Arial"/>
          <w:color w:val="000000"/>
          <w:sz w:val="20"/>
        </w:rPr>
        <w:t xml:space="preserve"> for [the twins] in an environment which is as much like a family setting as is possible.  A longer period of visiting would allow for the experience to be more positive and less disruptive for each of [the twins] and their parents.”</w:t>
      </w:r>
      <w:r w:rsidR="00294327" w:rsidRPr="006679D2">
        <w:rPr>
          <w:rFonts w:ascii="Arial" w:hAnsi="Arial" w:cs="Arial"/>
          <w:color w:val="000000"/>
          <w:sz w:val="20"/>
        </w:rPr>
        <w:t xml:space="preserve"> [emphasis </w:t>
      </w:r>
      <w:proofErr w:type="gramStart"/>
      <w:r w:rsidR="00294327" w:rsidRPr="006679D2">
        <w:rPr>
          <w:rFonts w:ascii="Arial" w:hAnsi="Arial" w:cs="Arial"/>
          <w:color w:val="000000"/>
          <w:sz w:val="20"/>
        </w:rPr>
        <w:t>added]</w:t>
      </w:r>
      <w:r w:rsidR="00EC3E56" w:rsidRPr="006679D2">
        <w:rPr>
          <w:rFonts w:ascii="Arial" w:hAnsi="Arial" w:cs="Arial"/>
          <w:color w:val="000000"/>
          <w:sz w:val="20"/>
        </w:rPr>
        <w:t xml:space="preserve">  Asked</w:t>
      </w:r>
      <w:proofErr w:type="gramEnd"/>
      <w:r w:rsidR="00EC3E56" w:rsidRPr="006679D2">
        <w:rPr>
          <w:rFonts w:ascii="Arial" w:hAnsi="Arial" w:cs="Arial"/>
          <w:color w:val="000000"/>
          <w:sz w:val="20"/>
        </w:rPr>
        <w:t xml:space="preserve"> about the optimal duration of each of these longer </w:t>
      </w:r>
      <w:r w:rsidR="00A135BE" w:rsidRPr="006679D2">
        <w:rPr>
          <w:rFonts w:ascii="Arial" w:hAnsi="Arial" w:cs="Arial"/>
          <w:color w:val="000000"/>
          <w:sz w:val="20"/>
        </w:rPr>
        <w:t>contact</w:t>
      </w:r>
      <w:r w:rsidR="00EC3E56" w:rsidRPr="006679D2">
        <w:rPr>
          <w:rFonts w:ascii="Arial" w:hAnsi="Arial" w:cs="Arial"/>
          <w:color w:val="000000"/>
          <w:sz w:val="20"/>
        </w:rPr>
        <w:t xml:space="preserve"> visits Dr</w:t>
      </w:r>
      <w:r w:rsidR="001E113D" w:rsidRPr="006679D2">
        <w:rPr>
          <w:rFonts w:ascii="Arial" w:hAnsi="Arial" w:cs="Arial"/>
          <w:color w:val="000000"/>
          <w:sz w:val="20"/>
        </w:rPr>
        <w:t> </w:t>
      </w:r>
      <w:r w:rsidR="00EC3E56" w:rsidRPr="006679D2">
        <w:rPr>
          <w:rFonts w:ascii="Arial" w:hAnsi="Arial" w:cs="Arial"/>
          <w:color w:val="000000"/>
          <w:sz w:val="20"/>
        </w:rPr>
        <w:t>P said:</w:t>
      </w:r>
    </w:p>
    <w:p w14:paraId="3392D712" w14:textId="77777777" w:rsidR="00A66699" w:rsidRDefault="00EC3E56" w:rsidP="00A07795">
      <w:pPr>
        <w:spacing w:before="120"/>
        <w:ind w:left="567" w:right="567"/>
        <w:jc w:val="both"/>
        <w:rPr>
          <w:rFonts w:ascii="Arial" w:hAnsi="Arial" w:cs="Arial"/>
          <w:bCs/>
          <w:sz w:val="20"/>
        </w:rPr>
      </w:pPr>
      <w:r>
        <w:rPr>
          <w:rFonts w:ascii="Arial" w:hAnsi="Arial" w:cs="Arial"/>
          <w:sz w:val="20"/>
        </w:rPr>
        <w:t>“</w:t>
      </w:r>
      <w:r w:rsidRPr="00EC3E56">
        <w:rPr>
          <w:rFonts w:ascii="Arial" w:hAnsi="Arial" w:cs="Arial"/>
          <w:bCs/>
          <w:sz w:val="20"/>
        </w:rPr>
        <w:t xml:space="preserve">It is a difficult question to answer in that there is not a lot of research in this area but my premise in making that point is for the parents to be actively engaged in the care of their infants and not just briefly visiting them for a period of 1 hour.  The babies and parents would get to know each other better if it was a longer period: feeding, settling, responding to the infants’ distress, things like changing nappies and feeding.  </w:t>
      </w:r>
      <w:r w:rsidRPr="00EC3E56">
        <w:rPr>
          <w:rFonts w:ascii="Arial" w:hAnsi="Arial" w:cs="Arial"/>
          <w:bCs/>
          <w:sz w:val="20"/>
          <w:u w:val="single"/>
        </w:rPr>
        <w:t>My estimate is that 3 hours would be a reasonable period in the course of an infant’s day where some of those things could be attended to</w:t>
      </w:r>
      <w:r w:rsidRPr="00EC3E56">
        <w:rPr>
          <w:rFonts w:ascii="Arial" w:hAnsi="Arial" w:cs="Arial"/>
          <w:bCs/>
          <w:sz w:val="20"/>
        </w:rPr>
        <w:t xml:space="preserve">.  It is likely to be a better experience than a briefer period of about 1 hour.  In the Infant Mental Health literature we talk of the importance of ‘good enough parenting’ which means in episodes of ordinary disruption to the infant’s state - e.g. crying, being unsettled, being hungry, toddler crawling around who falls over and hurts himself - the parent responds and settles the toddler or </w:t>
      </w:r>
      <w:r>
        <w:rPr>
          <w:rFonts w:ascii="Arial" w:hAnsi="Arial" w:cs="Arial"/>
          <w:bCs/>
          <w:sz w:val="20"/>
        </w:rPr>
        <w:t>[twin 1]</w:t>
      </w:r>
      <w:r w:rsidRPr="00EC3E56">
        <w:rPr>
          <w:rFonts w:ascii="Arial" w:hAnsi="Arial" w:cs="Arial"/>
          <w:bCs/>
          <w:sz w:val="20"/>
        </w:rPr>
        <w:t xml:space="preserve"> crawls over </w:t>
      </w:r>
      <w:r>
        <w:rPr>
          <w:rFonts w:ascii="Arial" w:hAnsi="Arial" w:cs="Arial"/>
          <w:bCs/>
          <w:sz w:val="20"/>
        </w:rPr>
        <w:t>[twin 2]</w:t>
      </w:r>
      <w:r w:rsidRPr="00EC3E56">
        <w:rPr>
          <w:rFonts w:ascii="Arial" w:hAnsi="Arial" w:cs="Arial"/>
          <w:bCs/>
          <w:sz w:val="20"/>
        </w:rPr>
        <w:t xml:space="preserve"> and scratches him and </w:t>
      </w:r>
      <w:r>
        <w:rPr>
          <w:rFonts w:ascii="Arial" w:hAnsi="Arial" w:cs="Arial"/>
          <w:bCs/>
          <w:sz w:val="20"/>
        </w:rPr>
        <w:t>[twin 2]</w:t>
      </w:r>
      <w:r w:rsidRPr="00EC3E56">
        <w:rPr>
          <w:rFonts w:ascii="Arial" w:hAnsi="Arial" w:cs="Arial"/>
          <w:bCs/>
          <w:sz w:val="20"/>
        </w:rPr>
        <w:t xml:space="preserve"> is upset and the parents step in to provide some sense of repair and containment.  The repair of those periods of distress is as important in developing a relationship as the time when things are going well</w:t>
      </w:r>
      <w:r w:rsidR="00A66699">
        <w:rPr>
          <w:rFonts w:ascii="Arial" w:hAnsi="Arial" w:cs="Arial"/>
          <w:bCs/>
          <w:sz w:val="20"/>
        </w:rPr>
        <w:t>…</w:t>
      </w:r>
    </w:p>
    <w:p w14:paraId="2351A67B" w14:textId="77777777" w:rsidR="00A66699" w:rsidRDefault="00A66699" w:rsidP="00031B60">
      <w:pPr>
        <w:spacing w:before="120"/>
        <w:ind w:left="567" w:right="567"/>
        <w:jc w:val="both"/>
        <w:rPr>
          <w:rFonts w:ascii="Arial" w:hAnsi="Arial" w:cs="Arial"/>
          <w:bCs/>
          <w:sz w:val="20"/>
        </w:rPr>
      </w:pPr>
      <w:r w:rsidRPr="009F5EE8">
        <w:rPr>
          <w:rFonts w:ascii="Arial" w:hAnsi="Arial" w:cs="Arial"/>
          <w:bCs/>
          <w:sz w:val="20"/>
        </w:rPr>
        <w:t>I don’t have incontrovertible evidence about optimal arrangements in any particular situation but looking at it in the longer term I’d have thought twice per week has the potential to be disruptive for the 18 months</w:t>
      </w:r>
      <w:r>
        <w:rPr>
          <w:rFonts w:ascii="Arial" w:hAnsi="Arial" w:cs="Arial"/>
          <w:bCs/>
          <w:sz w:val="20"/>
        </w:rPr>
        <w:t>’</w:t>
      </w:r>
      <w:r w:rsidRPr="009F5EE8">
        <w:rPr>
          <w:rFonts w:ascii="Arial" w:hAnsi="Arial" w:cs="Arial"/>
          <w:bCs/>
          <w:sz w:val="20"/>
        </w:rPr>
        <w:t>, 2-3 year olds</w:t>
      </w:r>
      <w:r>
        <w:rPr>
          <w:rFonts w:ascii="Arial" w:hAnsi="Arial" w:cs="Arial"/>
          <w:bCs/>
          <w:sz w:val="20"/>
        </w:rPr>
        <w:t>’</w:t>
      </w:r>
      <w:r w:rsidRPr="009F5EE8">
        <w:rPr>
          <w:rFonts w:ascii="Arial" w:hAnsi="Arial" w:cs="Arial"/>
          <w:bCs/>
          <w:sz w:val="20"/>
        </w:rPr>
        <w:t xml:space="preserve"> routine more so than once per fortnight and also has the potential to lead to confusion about where the primary caregiving response would come from, which is not to say that the child won’t have a clear set of attachment relationships with the carers and the parents as well</w:t>
      </w:r>
      <w:r>
        <w:rPr>
          <w:rFonts w:ascii="Arial" w:hAnsi="Arial" w:cs="Arial"/>
          <w:bCs/>
          <w:sz w:val="20"/>
        </w:rPr>
        <w:t xml:space="preserve">…Each child is </w:t>
      </w:r>
      <w:r w:rsidRPr="009F5EE8">
        <w:rPr>
          <w:rFonts w:ascii="Arial" w:hAnsi="Arial" w:cs="Arial"/>
          <w:bCs/>
          <w:sz w:val="20"/>
        </w:rPr>
        <w:t>different but I imagine from the perspective of the 18 months to 2 year old they would ask themselves ‘</w:t>
      </w:r>
      <w:r w:rsidRPr="009F5EE8">
        <w:rPr>
          <w:rFonts w:ascii="Arial" w:hAnsi="Arial" w:cs="Arial"/>
          <w:bCs/>
          <w:i/>
          <w:sz w:val="20"/>
        </w:rPr>
        <w:t>Who are my parents? Who are the primary persons responsible for me?  Why am I not with them?  Why am I with fostercarers?</w:t>
      </w:r>
      <w:r w:rsidRPr="009F5EE8">
        <w:rPr>
          <w:rFonts w:ascii="Arial" w:hAnsi="Arial" w:cs="Arial"/>
          <w:bCs/>
          <w:sz w:val="20"/>
        </w:rPr>
        <w:t>’  As a child gets more cognitively developed, the more likely the child is to ask.</w:t>
      </w:r>
      <w:r>
        <w:rPr>
          <w:rFonts w:ascii="Arial" w:hAnsi="Arial" w:cs="Arial"/>
          <w:bCs/>
          <w:sz w:val="20"/>
        </w:rPr>
        <w:t>”</w:t>
      </w:r>
    </w:p>
    <w:p w14:paraId="0E6C8777" w14:textId="77777777" w:rsidR="009F5EE8" w:rsidRPr="00C53366" w:rsidRDefault="009F5EE8" w:rsidP="009F5EE8">
      <w:pPr>
        <w:jc w:val="both"/>
        <w:rPr>
          <w:rFonts w:ascii="Arial" w:hAnsi="Arial" w:cs="Arial"/>
          <w:sz w:val="16"/>
        </w:rPr>
      </w:pPr>
    </w:p>
    <w:p w14:paraId="74959E58" w14:textId="77777777" w:rsidR="009F5EE8" w:rsidRDefault="00A66699" w:rsidP="009F5EE8">
      <w:pPr>
        <w:jc w:val="both"/>
        <w:rPr>
          <w:rFonts w:ascii="Arial" w:hAnsi="Arial" w:cs="Arial"/>
          <w:sz w:val="20"/>
        </w:rPr>
      </w:pPr>
      <w:r>
        <w:rPr>
          <w:rFonts w:ascii="Arial" w:hAnsi="Arial" w:cs="Arial"/>
          <w:sz w:val="20"/>
        </w:rPr>
        <w:t xml:space="preserve">However </w:t>
      </w:r>
      <w:r w:rsidR="009F5EE8">
        <w:rPr>
          <w:rFonts w:ascii="Arial" w:hAnsi="Arial" w:cs="Arial"/>
          <w:sz w:val="20"/>
        </w:rPr>
        <w:t>Dr P</w:t>
      </w:r>
      <w:r>
        <w:rPr>
          <w:rFonts w:ascii="Arial" w:hAnsi="Arial" w:cs="Arial"/>
          <w:sz w:val="20"/>
        </w:rPr>
        <w:t xml:space="preserve"> made it clear that in recommending </w:t>
      </w:r>
      <w:r w:rsidR="00205578">
        <w:rPr>
          <w:rFonts w:ascii="Arial" w:hAnsi="Arial" w:cs="Arial"/>
          <w:sz w:val="20"/>
        </w:rPr>
        <w:t xml:space="preserve">3 hours per fortnight – which he </w:t>
      </w:r>
      <w:r w:rsidR="0073125B">
        <w:rPr>
          <w:rFonts w:ascii="Arial" w:hAnsi="Arial" w:cs="Arial"/>
          <w:sz w:val="20"/>
        </w:rPr>
        <w:t>subsequently</w:t>
      </w:r>
      <w:r w:rsidR="00205578">
        <w:rPr>
          <w:rFonts w:ascii="Arial" w:hAnsi="Arial" w:cs="Arial"/>
          <w:sz w:val="20"/>
        </w:rPr>
        <w:t xml:space="preserve"> changed to 3-4 hours per fortnight - he was giving significant weight to the adverse history of </w:t>
      </w:r>
      <w:r w:rsidR="00205578">
        <w:rPr>
          <w:rFonts w:ascii="Arial" w:hAnsi="Arial" w:cs="Arial"/>
          <w:sz w:val="20"/>
        </w:rPr>
        <w:lastRenderedPageBreak/>
        <w:t xml:space="preserve">the parents in this particular case.  Hypothetically </w:t>
      </w:r>
      <w:r w:rsidR="00294327">
        <w:rPr>
          <w:rFonts w:ascii="Arial" w:hAnsi="Arial" w:cs="Arial"/>
          <w:sz w:val="20"/>
        </w:rPr>
        <w:t xml:space="preserve">- </w:t>
      </w:r>
      <w:r w:rsidR="00205578">
        <w:rPr>
          <w:rFonts w:ascii="Arial" w:hAnsi="Arial" w:cs="Arial"/>
          <w:sz w:val="20"/>
        </w:rPr>
        <w:t xml:space="preserve">in relation to children generally </w:t>
      </w:r>
      <w:r w:rsidR="00294327">
        <w:rPr>
          <w:rFonts w:ascii="Arial" w:hAnsi="Arial" w:cs="Arial"/>
          <w:sz w:val="20"/>
        </w:rPr>
        <w:t xml:space="preserve">- </w:t>
      </w:r>
      <w:r w:rsidR="00205578">
        <w:rPr>
          <w:rFonts w:ascii="Arial" w:hAnsi="Arial" w:cs="Arial"/>
          <w:sz w:val="20"/>
        </w:rPr>
        <w:t>he would have been looking at 3-4 hours per week.</w:t>
      </w:r>
    </w:p>
    <w:p w14:paraId="2AE88610" w14:textId="77777777" w:rsidR="00205578" w:rsidRPr="00C53366" w:rsidRDefault="00205578" w:rsidP="009F5EE8">
      <w:pPr>
        <w:jc w:val="both"/>
        <w:rPr>
          <w:rFonts w:ascii="Arial" w:hAnsi="Arial" w:cs="Arial"/>
          <w:sz w:val="18"/>
        </w:rPr>
      </w:pPr>
    </w:p>
    <w:p w14:paraId="356BE376" w14:textId="77777777" w:rsidR="00205578" w:rsidRDefault="00205578" w:rsidP="009F5EE8">
      <w:pPr>
        <w:jc w:val="both"/>
        <w:rPr>
          <w:rFonts w:ascii="Arial" w:hAnsi="Arial" w:cs="Arial"/>
          <w:sz w:val="20"/>
        </w:rPr>
      </w:pPr>
      <w:r w:rsidRPr="006679D2">
        <w:rPr>
          <w:rFonts w:ascii="Arial" w:hAnsi="Arial" w:cs="Arial"/>
          <w:color w:val="000000"/>
          <w:sz w:val="20"/>
        </w:rPr>
        <w:t xml:space="preserve">Dr P also pointed out the importance of considering the impact of </w:t>
      </w:r>
      <w:r w:rsidR="00294327" w:rsidRPr="006679D2">
        <w:rPr>
          <w:rFonts w:ascii="Arial" w:hAnsi="Arial" w:cs="Arial"/>
          <w:color w:val="000000"/>
          <w:sz w:val="20"/>
        </w:rPr>
        <w:t>any</w:t>
      </w:r>
      <w:r w:rsidRPr="006679D2">
        <w:rPr>
          <w:rFonts w:ascii="Arial" w:hAnsi="Arial" w:cs="Arial"/>
          <w:color w:val="000000"/>
          <w:sz w:val="20"/>
        </w:rPr>
        <w:t xml:space="preserve"> </w:t>
      </w:r>
      <w:r w:rsidR="00A135BE" w:rsidRPr="006679D2">
        <w:rPr>
          <w:rFonts w:ascii="Arial" w:hAnsi="Arial" w:cs="Arial"/>
          <w:color w:val="000000"/>
          <w:sz w:val="20"/>
        </w:rPr>
        <w:t>contact</w:t>
      </w:r>
      <w:r w:rsidRPr="006679D2">
        <w:rPr>
          <w:rFonts w:ascii="Arial" w:hAnsi="Arial" w:cs="Arial"/>
          <w:color w:val="000000"/>
          <w:sz w:val="20"/>
        </w:rPr>
        <w:t xml:space="preserve"> regime on the</w:t>
      </w:r>
      <w:r>
        <w:rPr>
          <w:rFonts w:ascii="Arial" w:hAnsi="Arial" w:cs="Arial"/>
          <w:sz w:val="20"/>
        </w:rPr>
        <w:t xml:space="preserve"> children, the parents and the caregivers:</w:t>
      </w:r>
    </w:p>
    <w:p w14:paraId="070202EF" w14:textId="77777777" w:rsidR="004B5056" w:rsidRDefault="004B5056" w:rsidP="00E673B6">
      <w:pPr>
        <w:spacing w:before="120"/>
        <w:ind w:left="567" w:right="567"/>
        <w:jc w:val="both"/>
        <w:rPr>
          <w:rFonts w:ascii="Arial" w:hAnsi="Arial" w:cs="Arial"/>
          <w:bCs/>
          <w:sz w:val="20"/>
          <w:szCs w:val="20"/>
        </w:rPr>
      </w:pPr>
      <w:r>
        <w:rPr>
          <w:rFonts w:ascii="Arial" w:hAnsi="Arial" w:cs="Arial"/>
          <w:bCs/>
          <w:sz w:val="20"/>
        </w:rPr>
        <w:t>“</w:t>
      </w:r>
      <w:r w:rsidRPr="004B5056">
        <w:rPr>
          <w:rFonts w:ascii="Arial" w:hAnsi="Arial" w:cs="Arial"/>
          <w:bCs/>
          <w:sz w:val="20"/>
          <w:szCs w:val="20"/>
        </w:rPr>
        <w:t>I think one of the likely impacts</w:t>
      </w:r>
      <w:r w:rsidR="002F5929">
        <w:rPr>
          <w:rFonts w:ascii="Arial" w:hAnsi="Arial" w:cs="Arial"/>
          <w:bCs/>
          <w:sz w:val="20"/>
          <w:szCs w:val="20"/>
        </w:rPr>
        <w:t>,</w:t>
      </w:r>
      <w:r w:rsidRPr="004B5056">
        <w:rPr>
          <w:rFonts w:ascii="Arial" w:hAnsi="Arial" w:cs="Arial"/>
          <w:bCs/>
          <w:sz w:val="20"/>
          <w:szCs w:val="20"/>
        </w:rPr>
        <w:t xml:space="preserve"> for example</w:t>
      </w:r>
      <w:r w:rsidR="002F5929">
        <w:rPr>
          <w:rFonts w:ascii="Arial" w:hAnsi="Arial" w:cs="Arial"/>
          <w:bCs/>
          <w:sz w:val="20"/>
          <w:szCs w:val="20"/>
        </w:rPr>
        <w:t>,</w:t>
      </w:r>
      <w:r w:rsidRPr="004B5056">
        <w:rPr>
          <w:rFonts w:ascii="Arial" w:hAnsi="Arial" w:cs="Arial"/>
          <w:bCs/>
          <w:sz w:val="20"/>
          <w:szCs w:val="20"/>
        </w:rPr>
        <w:t xml:space="preserve"> of an increased frequency of access, where it is reduced and then increased again, is to build up an expectation for both parents and children this is going to lead to parents resuming full care and custody of children.  If that were the decision, that</w:t>
      </w:r>
      <w:r w:rsidR="00294327">
        <w:rPr>
          <w:rFonts w:ascii="Arial" w:hAnsi="Arial" w:cs="Arial"/>
          <w:bCs/>
          <w:sz w:val="20"/>
          <w:szCs w:val="20"/>
        </w:rPr>
        <w:t xml:space="preserve"> i</w:t>
      </w:r>
      <w:r w:rsidRPr="004B5056">
        <w:rPr>
          <w:rFonts w:ascii="Arial" w:hAnsi="Arial" w:cs="Arial"/>
          <w:bCs/>
          <w:sz w:val="20"/>
          <w:szCs w:val="20"/>
        </w:rPr>
        <w:t xml:space="preserve">s how one would approach </w:t>
      </w:r>
      <w:r w:rsidR="00294327">
        <w:rPr>
          <w:rFonts w:ascii="Arial" w:hAnsi="Arial" w:cs="Arial"/>
          <w:bCs/>
          <w:sz w:val="20"/>
          <w:szCs w:val="20"/>
        </w:rPr>
        <w:t xml:space="preserve">the </w:t>
      </w:r>
      <w:r w:rsidRPr="004B5056">
        <w:rPr>
          <w:rFonts w:ascii="Arial" w:hAnsi="Arial" w:cs="Arial"/>
          <w:bCs/>
          <w:sz w:val="20"/>
          <w:szCs w:val="20"/>
        </w:rPr>
        <w:t>frequency of contact.  Conversely if there is to be no reunification it is unfair to each of the parties – parents and children – to maintain access at that sort of level</w:t>
      </w:r>
      <w:r>
        <w:rPr>
          <w:rFonts w:ascii="Arial" w:hAnsi="Arial" w:cs="Arial"/>
          <w:bCs/>
          <w:sz w:val="20"/>
          <w:szCs w:val="20"/>
        </w:rPr>
        <w:t>…</w:t>
      </w:r>
    </w:p>
    <w:p w14:paraId="73372EDD" w14:textId="77777777" w:rsidR="004B5056" w:rsidRDefault="004B5056" w:rsidP="00E673B6">
      <w:pPr>
        <w:spacing w:before="120"/>
        <w:ind w:left="567" w:right="567"/>
        <w:jc w:val="both"/>
        <w:rPr>
          <w:rFonts w:ascii="Arial" w:hAnsi="Arial" w:cs="Arial"/>
          <w:bCs/>
          <w:sz w:val="20"/>
        </w:rPr>
      </w:pPr>
      <w:r>
        <w:rPr>
          <w:rFonts w:ascii="Arial" w:hAnsi="Arial" w:cs="Arial"/>
          <w:sz w:val="20"/>
          <w:szCs w:val="20"/>
        </w:rPr>
        <w:t xml:space="preserve">[Another factor] </w:t>
      </w:r>
      <w:r w:rsidRPr="004B5056">
        <w:rPr>
          <w:rFonts w:ascii="Arial" w:hAnsi="Arial" w:cs="Arial"/>
          <w:sz w:val="20"/>
          <w:szCs w:val="20"/>
        </w:rPr>
        <w:t xml:space="preserve">is </w:t>
      </w:r>
      <w:r w:rsidR="00F927EC">
        <w:rPr>
          <w:rFonts w:ascii="Arial" w:hAnsi="Arial" w:cs="Arial"/>
          <w:sz w:val="20"/>
          <w:szCs w:val="20"/>
        </w:rPr>
        <w:t xml:space="preserve">the </w:t>
      </w:r>
      <w:r w:rsidRPr="004B5056">
        <w:rPr>
          <w:rFonts w:ascii="Arial" w:hAnsi="Arial" w:cs="Arial"/>
          <w:sz w:val="20"/>
          <w:szCs w:val="20"/>
        </w:rPr>
        <w:t>impact on foster carers</w:t>
      </w:r>
      <w:r w:rsidR="00294327">
        <w:rPr>
          <w:rFonts w:ascii="Arial" w:hAnsi="Arial" w:cs="Arial"/>
          <w:sz w:val="20"/>
          <w:szCs w:val="20"/>
        </w:rPr>
        <w:t>...</w:t>
      </w:r>
      <w:r w:rsidRPr="004B5056">
        <w:rPr>
          <w:rFonts w:ascii="Arial" w:hAnsi="Arial" w:cs="Arial"/>
          <w:sz w:val="20"/>
          <w:szCs w:val="20"/>
        </w:rPr>
        <w:t>, their feeling of continuity and stability as well.  For an infant to have a foster carer who feels no predictability from one day to the next is unfortunate for the child as well.  That’s another component to build into the process of deciding what is an optimal arrangement for a particular child.  If the child is operating from a sense of secure emotional base and out of the care of their own parents, I think that gives them a stronger position to develop a fruitful relationship with their own parents than if they are in a situation where they are feeling insecure and anxious.  If it is possible to provide some sense of consistency and predictability about a child’s longer term care arrangements then that’s in the interests of the child as well.</w:t>
      </w:r>
      <w:r w:rsidR="00F927EC">
        <w:rPr>
          <w:rFonts w:ascii="Arial" w:hAnsi="Arial" w:cs="Arial"/>
          <w:sz w:val="20"/>
          <w:szCs w:val="20"/>
        </w:rPr>
        <w:t>”</w:t>
      </w:r>
    </w:p>
    <w:p w14:paraId="270DBC4A" w14:textId="77777777" w:rsidR="00205578" w:rsidRPr="00C53366" w:rsidRDefault="00205578" w:rsidP="009F5EE8">
      <w:pPr>
        <w:jc w:val="both"/>
        <w:rPr>
          <w:rFonts w:ascii="Arial" w:hAnsi="Arial" w:cs="Arial"/>
          <w:sz w:val="18"/>
        </w:rPr>
      </w:pPr>
    </w:p>
    <w:p w14:paraId="54FD1ADA" w14:textId="77777777" w:rsidR="00281666" w:rsidRPr="006679D2" w:rsidRDefault="002F5929" w:rsidP="00281666">
      <w:pPr>
        <w:jc w:val="both"/>
        <w:rPr>
          <w:rFonts w:ascii="Arial" w:hAnsi="Arial" w:cs="Arial"/>
          <w:color w:val="000000"/>
          <w:sz w:val="20"/>
        </w:rPr>
      </w:pPr>
      <w:r w:rsidRPr="006679D2">
        <w:rPr>
          <w:rFonts w:ascii="Arial" w:hAnsi="Arial" w:cs="Arial"/>
          <w:color w:val="000000"/>
          <w:sz w:val="20"/>
        </w:rPr>
        <w:t xml:space="preserve">By contrast, </w:t>
      </w:r>
      <w:r w:rsidR="00BE3166" w:rsidRPr="006679D2">
        <w:rPr>
          <w:rFonts w:ascii="Arial" w:hAnsi="Arial" w:cs="Arial"/>
          <w:color w:val="000000"/>
          <w:sz w:val="20"/>
        </w:rPr>
        <w:t xml:space="preserve">Dr W did not see any particular reason to change the </w:t>
      </w:r>
      <w:r w:rsidR="00BE3166" w:rsidRPr="006679D2">
        <w:rPr>
          <w:rFonts w:ascii="Arial" w:hAnsi="Arial" w:cs="Arial"/>
          <w:i/>
          <w:color w:val="000000"/>
          <w:sz w:val="20"/>
        </w:rPr>
        <w:t>status quo</w:t>
      </w:r>
      <w:r w:rsidR="00BE3166" w:rsidRPr="006679D2">
        <w:rPr>
          <w:rFonts w:ascii="Arial" w:hAnsi="Arial" w:cs="Arial"/>
          <w:color w:val="000000"/>
          <w:sz w:val="20"/>
        </w:rPr>
        <w:t xml:space="preserve"> for </w:t>
      </w:r>
      <w:r w:rsidR="00A135BE" w:rsidRPr="006679D2">
        <w:rPr>
          <w:rFonts w:ascii="Arial" w:hAnsi="Arial" w:cs="Arial"/>
          <w:color w:val="000000"/>
          <w:sz w:val="20"/>
        </w:rPr>
        <w:t>contact</w:t>
      </w:r>
      <w:r w:rsidR="00BE3166" w:rsidRPr="006679D2">
        <w:rPr>
          <w:rFonts w:ascii="Arial" w:hAnsi="Arial" w:cs="Arial"/>
          <w:color w:val="000000"/>
          <w:sz w:val="20"/>
        </w:rPr>
        <w:t xml:space="preserve"> between the twins and their parents.  </w:t>
      </w:r>
      <w:r w:rsidR="003A68FC" w:rsidRPr="006679D2">
        <w:rPr>
          <w:rFonts w:ascii="Arial" w:hAnsi="Arial" w:cs="Arial"/>
          <w:color w:val="000000"/>
          <w:sz w:val="20"/>
        </w:rPr>
        <w:t xml:space="preserve">Ultimately - </w:t>
      </w:r>
      <w:r w:rsidRPr="006679D2">
        <w:rPr>
          <w:rFonts w:ascii="Arial" w:hAnsi="Arial" w:cs="Arial"/>
          <w:color w:val="000000"/>
          <w:sz w:val="20"/>
        </w:rPr>
        <w:t xml:space="preserve">balancing </w:t>
      </w:r>
      <w:r w:rsidR="003A68FC" w:rsidRPr="006679D2">
        <w:rPr>
          <w:rFonts w:ascii="Arial" w:hAnsi="Arial" w:cs="Arial"/>
          <w:color w:val="000000"/>
          <w:sz w:val="20"/>
        </w:rPr>
        <w:t xml:space="preserve">the </w:t>
      </w:r>
      <w:r w:rsidR="00150328" w:rsidRPr="006679D2">
        <w:rPr>
          <w:rFonts w:ascii="Arial" w:hAnsi="Arial" w:cs="Arial"/>
          <w:color w:val="000000"/>
          <w:sz w:val="20"/>
        </w:rPr>
        <w:t>large</w:t>
      </w:r>
      <w:r w:rsidRPr="006679D2">
        <w:rPr>
          <w:rFonts w:ascii="Arial" w:hAnsi="Arial" w:cs="Arial"/>
          <w:color w:val="000000"/>
          <w:sz w:val="20"/>
        </w:rPr>
        <w:t xml:space="preserve"> amount of </w:t>
      </w:r>
      <w:r w:rsidR="003A68FC" w:rsidRPr="006679D2">
        <w:rPr>
          <w:rFonts w:ascii="Arial" w:hAnsi="Arial" w:cs="Arial"/>
          <w:color w:val="000000"/>
          <w:sz w:val="20"/>
        </w:rPr>
        <w:t xml:space="preserve">evidence </w:t>
      </w:r>
      <w:r w:rsidRPr="006679D2">
        <w:rPr>
          <w:rFonts w:ascii="Arial" w:hAnsi="Arial" w:cs="Arial"/>
          <w:color w:val="000000"/>
          <w:sz w:val="20"/>
        </w:rPr>
        <w:t>elicited in the case</w:t>
      </w:r>
      <w:r w:rsidR="003A68FC" w:rsidRPr="006679D2">
        <w:rPr>
          <w:rFonts w:ascii="Arial" w:hAnsi="Arial" w:cs="Arial"/>
          <w:color w:val="000000"/>
          <w:sz w:val="20"/>
        </w:rPr>
        <w:t xml:space="preserve"> - the writer ordered that each parent have supervised </w:t>
      </w:r>
      <w:r w:rsidR="00A135BE" w:rsidRPr="006679D2">
        <w:rPr>
          <w:rFonts w:ascii="Arial" w:hAnsi="Arial" w:cs="Arial"/>
          <w:color w:val="000000"/>
          <w:sz w:val="20"/>
        </w:rPr>
        <w:t>contact</w:t>
      </w:r>
      <w:r w:rsidR="003A68FC" w:rsidRPr="006679D2">
        <w:rPr>
          <w:rFonts w:ascii="Arial" w:hAnsi="Arial" w:cs="Arial"/>
          <w:color w:val="000000"/>
          <w:sz w:val="20"/>
        </w:rPr>
        <w:t xml:space="preserve"> with the twins once per week for a minimum of 3 hours.</w:t>
      </w:r>
      <w:r w:rsidR="002E24B3" w:rsidRPr="006679D2">
        <w:rPr>
          <w:rFonts w:ascii="Arial" w:hAnsi="Arial" w:cs="Arial"/>
          <w:color w:val="000000"/>
          <w:sz w:val="20"/>
        </w:rPr>
        <w:t xml:space="preserve">  He also set a condition providing for increased </w:t>
      </w:r>
      <w:r w:rsidR="00A135BE" w:rsidRPr="006679D2">
        <w:rPr>
          <w:rFonts w:ascii="Arial" w:hAnsi="Arial" w:cs="Arial"/>
          <w:color w:val="000000"/>
          <w:sz w:val="20"/>
        </w:rPr>
        <w:t>contact</w:t>
      </w:r>
      <w:r w:rsidR="002E24B3" w:rsidRPr="006679D2">
        <w:rPr>
          <w:rFonts w:ascii="Arial" w:hAnsi="Arial" w:cs="Arial"/>
          <w:color w:val="000000"/>
          <w:sz w:val="20"/>
        </w:rPr>
        <w:t xml:space="preserve"> for the mother after 4 months if the mother demonstrated a commitment to live separately and apart from the father.</w:t>
      </w:r>
    </w:p>
    <w:p w14:paraId="0CFC1156" w14:textId="77777777" w:rsidR="007B4FF6" w:rsidRPr="006679D2" w:rsidRDefault="007B4FF6" w:rsidP="007B4FF6">
      <w:pPr>
        <w:jc w:val="both"/>
        <w:rPr>
          <w:rFonts w:ascii="Arial" w:hAnsi="Arial" w:cs="Arial"/>
          <w:color w:val="000000"/>
          <w:sz w:val="18"/>
        </w:rPr>
      </w:pPr>
    </w:p>
    <w:p w14:paraId="3D31D88C" w14:textId="77777777" w:rsidR="007B4FF6" w:rsidRPr="006679D2" w:rsidRDefault="007B4FF6" w:rsidP="007B4FF6">
      <w:pPr>
        <w:jc w:val="both"/>
        <w:rPr>
          <w:rFonts w:ascii="Arial" w:hAnsi="Arial" w:cs="Arial"/>
          <w:color w:val="000000"/>
          <w:sz w:val="20"/>
        </w:rPr>
      </w:pPr>
      <w:r w:rsidRPr="006679D2">
        <w:rPr>
          <w:rFonts w:ascii="Arial" w:hAnsi="Arial" w:cs="Arial"/>
          <w:color w:val="000000"/>
          <w:sz w:val="20"/>
        </w:rPr>
        <w:t xml:space="preserve">Notwithstanding Dr M’s opinion that there </w:t>
      </w:r>
      <w:r w:rsidR="00CE5847" w:rsidRPr="006679D2">
        <w:rPr>
          <w:rFonts w:ascii="Arial" w:hAnsi="Arial" w:cs="Arial"/>
          <w:color w:val="000000"/>
          <w:sz w:val="20"/>
        </w:rPr>
        <w:t>has been</w:t>
      </w:r>
      <w:r w:rsidRPr="006679D2">
        <w:rPr>
          <w:rFonts w:ascii="Arial" w:hAnsi="Arial" w:cs="Arial"/>
          <w:color w:val="000000"/>
          <w:sz w:val="20"/>
        </w:rPr>
        <w:t xml:space="preserve"> much greater precision on th</w:t>
      </w:r>
      <w:r w:rsidR="00CE5847" w:rsidRPr="006679D2">
        <w:rPr>
          <w:rFonts w:ascii="Arial" w:hAnsi="Arial" w:cs="Arial"/>
          <w:color w:val="000000"/>
          <w:sz w:val="20"/>
        </w:rPr>
        <w:t>e</w:t>
      </w:r>
      <w:r w:rsidRPr="006679D2">
        <w:rPr>
          <w:rFonts w:ascii="Arial" w:hAnsi="Arial" w:cs="Arial"/>
          <w:color w:val="000000"/>
          <w:sz w:val="20"/>
        </w:rPr>
        <w:t xml:space="preserve"> issue </w:t>
      </w:r>
      <w:r w:rsidR="00CE5847" w:rsidRPr="006679D2">
        <w:rPr>
          <w:rFonts w:ascii="Arial" w:hAnsi="Arial" w:cs="Arial"/>
          <w:color w:val="000000"/>
          <w:sz w:val="20"/>
        </w:rPr>
        <w:t xml:space="preserve">of optimal </w:t>
      </w:r>
      <w:r w:rsidR="00A135BE" w:rsidRPr="006679D2">
        <w:rPr>
          <w:rFonts w:ascii="Arial" w:hAnsi="Arial" w:cs="Arial"/>
          <w:color w:val="000000"/>
          <w:sz w:val="20"/>
        </w:rPr>
        <w:t>contact</w:t>
      </w:r>
      <w:r w:rsidR="00CE5847" w:rsidRPr="006679D2">
        <w:rPr>
          <w:rFonts w:ascii="Arial" w:hAnsi="Arial" w:cs="Arial"/>
          <w:color w:val="000000"/>
          <w:sz w:val="20"/>
        </w:rPr>
        <w:t xml:space="preserve"> frequency </w:t>
      </w:r>
      <w:r w:rsidRPr="006679D2">
        <w:rPr>
          <w:rFonts w:ascii="Arial" w:hAnsi="Arial" w:cs="Arial"/>
          <w:color w:val="000000"/>
          <w:sz w:val="20"/>
        </w:rPr>
        <w:t>in the last 5</w:t>
      </w:r>
      <w:r w:rsidR="00150328" w:rsidRPr="006679D2">
        <w:rPr>
          <w:rFonts w:ascii="Arial" w:hAnsi="Arial" w:cs="Arial"/>
          <w:color w:val="000000"/>
          <w:sz w:val="20"/>
        </w:rPr>
        <w:noBreakHyphen/>
      </w:r>
      <w:r w:rsidRPr="006679D2">
        <w:rPr>
          <w:rFonts w:ascii="Arial" w:hAnsi="Arial" w:cs="Arial"/>
          <w:color w:val="000000"/>
          <w:sz w:val="20"/>
        </w:rPr>
        <w:t>7 years</w:t>
      </w:r>
      <w:r w:rsidR="00E8297B" w:rsidRPr="006679D2">
        <w:rPr>
          <w:rFonts w:ascii="Arial" w:hAnsi="Arial" w:cs="Arial"/>
          <w:color w:val="000000"/>
          <w:sz w:val="20"/>
        </w:rPr>
        <w:t xml:space="preserve">, the writer </w:t>
      </w:r>
      <w:r w:rsidRPr="006679D2">
        <w:rPr>
          <w:rFonts w:ascii="Arial" w:hAnsi="Arial" w:cs="Arial"/>
          <w:color w:val="000000"/>
          <w:sz w:val="20"/>
        </w:rPr>
        <w:t xml:space="preserve">believes that </w:t>
      </w:r>
      <w:r w:rsidR="00A135BE" w:rsidRPr="006679D2">
        <w:rPr>
          <w:rFonts w:ascii="Arial" w:hAnsi="Arial" w:cs="Arial"/>
          <w:color w:val="000000"/>
          <w:sz w:val="20"/>
        </w:rPr>
        <w:t>contact</w:t>
      </w:r>
      <w:r w:rsidRPr="006679D2">
        <w:rPr>
          <w:rFonts w:ascii="Arial" w:hAnsi="Arial" w:cs="Arial"/>
          <w:color w:val="000000"/>
          <w:sz w:val="20"/>
        </w:rPr>
        <w:t xml:space="preserve"> frequency </w:t>
      </w:r>
      <w:r w:rsidR="00E8297B" w:rsidRPr="006679D2">
        <w:rPr>
          <w:rFonts w:ascii="Arial" w:hAnsi="Arial" w:cs="Arial"/>
          <w:color w:val="000000"/>
          <w:sz w:val="20"/>
        </w:rPr>
        <w:t>remains</w:t>
      </w:r>
      <w:r w:rsidRPr="006679D2">
        <w:rPr>
          <w:rFonts w:ascii="Arial" w:hAnsi="Arial" w:cs="Arial"/>
          <w:color w:val="000000"/>
          <w:sz w:val="20"/>
        </w:rPr>
        <w:t xml:space="preserve"> a very inexact science.  For example, Dr M was advocating </w:t>
      </w:r>
      <w:r w:rsidR="00A135BE" w:rsidRPr="006679D2">
        <w:rPr>
          <w:rFonts w:ascii="Arial" w:hAnsi="Arial" w:cs="Arial"/>
          <w:color w:val="000000"/>
          <w:sz w:val="20"/>
        </w:rPr>
        <w:t>contact</w:t>
      </w:r>
      <w:r w:rsidRPr="006679D2">
        <w:rPr>
          <w:rFonts w:ascii="Arial" w:hAnsi="Arial" w:cs="Arial"/>
          <w:color w:val="000000"/>
          <w:sz w:val="20"/>
        </w:rPr>
        <w:t xml:space="preserve"> once per week at the same time as Dr P was advocating 5 times per week.  To her credit Dr M smilingly conceded that Dr P “would have advocated more” than she did, a clear acknowledgment of the subjective nature of their respective opinions.  Dr P </w:t>
      </w:r>
      <w:r w:rsidR="0021630D" w:rsidRPr="006679D2">
        <w:rPr>
          <w:rFonts w:ascii="Arial" w:hAnsi="Arial" w:cs="Arial"/>
          <w:color w:val="000000"/>
          <w:sz w:val="20"/>
        </w:rPr>
        <w:t>conceded that “in some scenarios 7 days would be right, in others 1 day would be right.”  He also acknowledge</w:t>
      </w:r>
      <w:r w:rsidRPr="006679D2">
        <w:rPr>
          <w:rFonts w:ascii="Arial" w:hAnsi="Arial" w:cs="Arial"/>
          <w:color w:val="000000"/>
          <w:sz w:val="20"/>
        </w:rPr>
        <w:t xml:space="preserve">d the lack of research in this area and </w:t>
      </w:r>
      <w:r w:rsidR="00E8297B" w:rsidRPr="006679D2">
        <w:rPr>
          <w:rFonts w:ascii="Arial" w:hAnsi="Arial" w:cs="Arial"/>
          <w:color w:val="000000"/>
          <w:sz w:val="20"/>
        </w:rPr>
        <w:t xml:space="preserve">often prefaced his answers with a comment that </w:t>
      </w:r>
      <w:r w:rsidRPr="006679D2">
        <w:rPr>
          <w:rFonts w:ascii="Arial" w:hAnsi="Arial" w:cs="Arial"/>
          <w:color w:val="000000"/>
          <w:sz w:val="20"/>
        </w:rPr>
        <w:t>i</w:t>
      </w:r>
      <w:r w:rsidR="00F927EC" w:rsidRPr="006679D2">
        <w:rPr>
          <w:rFonts w:ascii="Arial" w:hAnsi="Arial" w:cs="Arial"/>
          <w:color w:val="000000"/>
          <w:sz w:val="20"/>
        </w:rPr>
        <w:t>t</w:t>
      </w:r>
      <w:r w:rsidRPr="006679D2">
        <w:rPr>
          <w:rFonts w:ascii="Arial" w:hAnsi="Arial" w:cs="Arial"/>
          <w:color w:val="000000"/>
          <w:sz w:val="20"/>
        </w:rPr>
        <w:t xml:space="preserve"> was a difficult question to answer.  For example</w:t>
      </w:r>
      <w:r w:rsidR="0021630D" w:rsidRPr="006679D2">
        <w:rPr>
          <w:rFonts w:ascii="Arial" w:hAnsi="Arial" w:cs="Arial"/>
          <w:color w:val="000000"/>
          <w:sz w:val="20"/>
        </w:rPr>
        <w:t>,</w:t>
      </w:r>
      <w:r w:rsidRPr="006679D2">
        <w:rPr>
          <w:rFonts w:ascii="Arial" w:hAnsi="Arial" w:cs="Arial"/>
          <w:color w:val="000000"/>
          <w:sz w:val="20"/>
        </w:rPr>
        <w:t xml:space="preserve"> in answer to the question “Joint parental access for how many hours per week in the initial stages?” Dr P replied:</w:t>
      </w:r>
    </w:p>
    <w:p w14:paraId="3C4D5790" w14:textId="77777777" w:rsidR="007B4FF6" w:rsidRDefault="007B4FF6" w:rsidP="00294327">
      <w:pPr>
        <w:spacing w:before="120"/>
        <w:ind w:left="567" w:right="567"/>
        <w:jc w:val="both"/>
        <w:rPr>
          <w:rFonts w:ascii="Arial" w:hAnsi="Arial" w:cs="Arial"/>
          <w:sz w:val="20"/>
        </w:rPr>
      </w:pPr>
      <w:r>
        <w:rPr>
          <w:rFonts w:ascii="Arial" w:hAnsi="Arial" w:cs="Arial"/>
          <w:sz w:val="20"/>
        </w:rPr>
        <w:t>“You are pushing me to specifics.  It’s a hard question.  We have a group putting forward a research proposal to see what works best for children of particular developmental ages because the scientific literature is fairly silent.  What is best for the childr</w:t>
      </w:r>
      <w:r w:rsidR="00705135">
        <w:rPr>
          <w:rFonts w:ascii="Arial" w:hAnsi="Arial" w:cs="Arial"/>
          <w:sz w:val="20"/>
        </w:rPr>
        <w:t xml:space="preserve">en is not well supported by </w:t>
      </w:r>
      <w:r>
        <w:rPr>
          <w:rFonts w:ascii="Arial" w:hAnsi="Arial" w:cs="Arial"/>
          <w:sz w:val="20"/>
        </w:rPr>
        <w:t>fact</w:t>
      </w:r>
      <w:r w:rsidR="00705135">
        <w:rPr>
          <w:rFonts w:ascii="Arial" w:hAnsi="Arial" w:cs="Arial"/>
          <w:sz w:val="20"/>
        </w:rPr>
        <w:t>s</w:t>
      </w:r>
      <w:r>
        <w:rPr>
          <w:rFonts w:ascii="Arial" w:hAnsi="Arial" w:cs="Arial"/>
          <w:sz w:val="20"/>
        </w:rPr>
        <w:t>.  I’d be going from first principles in working with very young children and families.”</w:t>
      </w:r>
    </w:p>
    <w:p w14:paraId="7E250DF2" w14:textId="77777777" w:rsidR="00A37039" w:rsidRDefault="00A37039" w:rsidP="00A37039">
      <w:pPr>
        <w:rPr>
          <w:rFonts w:ascii="Arial" w:hAnsi="Arial" w:cs="Arial"/>
          <w:b/>
          <w:bCs/>
          <w:sz w:val="20"/>
        </w:rPr>
      </w:pPr>
    </w:p>
    <w:p w14:paraId="6E94E68F" w14:textId="77777777" w:rsidR="00A37039" w:rsidRPr="00CA2663" w:rsidRDefault="00A37039" w:rsidP="00A37039">
      <w:pPr>
        <w:pStyle w:val="Heading3"/>
        <w:keepNext/>
        <w:keepLines/>
        <w:spacing w:after="120" w:line="240" w:lineRule="auto"/>
        <w:rPr>
          <w:rFonts w:ascii="Arial" w:hAnsi="Arial" w:cs="Arial"/>
          <w:sz w:val="20"/>
          <w:lang w:val="en-US"/>
        </w:rPr>
      </w:pPr>
      <w:bookmarkStart w:id="1687" w:name="_4.14.3__American"/>
      <w:bookmarkStart w:id="1688" w:name="B4143"/>
      <w:bookmarkEnd w:id="1687"/>
      <w:bookmarkEnd w:id="1688"/>
      <w:r>
        <w:rPr>
          <w:rFonts w:ascii="Arial" w:hAnsi="Arial" w:cs="Arial"/>
          <w:b/>
          <w:bCs/>
          <w:sz w:val="20"/>
        </w:rPr>
        <w:t>4.14.3</w:t>
      </w:r>
      <w:r>
        <w:rPr>
          <w:rFonts w:ascii="Arial" w:hAnsi="Arial" w:cs="Arial"/>
          <w:b/>
          <w:bCs/>
          <w:sz w:val="20"/>
        </w:rPr>
        <w:tab/>
      </w:r>
      <w:r>
        <w:rPr>
          <w:rFonts w:ascii="Arial" w:hAnsi="Arial" w:cs="Arial"/>
          <w:b/>
          <w:bCs/>
          <w:sz w:val="20"/>
        </w:rPr>
        <w:tab/>
        <w:t xml:space="preserve">American judicial </w:t>
      </w:r>
      <w:r w:rsidR="00247BF7">
        <w:rPr>
          <w:rFonts w:ascii="Arial" w:hAnsi="Arial" w:cs="Arial"/>
          <w:b/>
          <w:bCs/>
          <w:sz w:val="20"/>
        </w:rPr>
        <w:t>guidelines</w:t>
      </w:r>
      <w:r w:rsidR="00806118">
        <w:rPr>
          <w:rFonts w:ascii="Arial" w:hAnsi="Arial" w:cs="Arial"/>
          <w:b/>
          <w:bCs/>
          <w:sz w:val="20"/>
        </w:rPr>
        <w:t xml:space="preserve"> 2009</w:t>
      </w:r>
    </w:p>
    <w:p w14:paraId="615E00A5" w14:textId="77777777" w:rsidR="00BF48B5" w:rsidRPr="006679D2" w:rsidRDefault="00A37039" w:rsidP="00BF48B5">
      <w:pPr>
        <w:jc w:val="both"/>
        <w:rPr>
          <w:rFonts w:ascii="Arial" w:hAnsi="Arial" w:cs="Arial"/>
          <w:color w:val="000000"/>
          <w:sz w:val="20"/>
        </w:rPr>
      </w:pPr>
      <w:r>
        <w:rPr>
          <w:rFonts w:ascii="Arial" w:hAnsi="Arial" w:cs="Arial"/>
          <w:sz w:val="20"/>
        </w:rPr>
        <w:t xml:space="preserve">It is clear from the quite diverse expert opinions expressed in the </w:t>
      </w:r>
      <w:r w:rsidR="004844FE">
        <w:rPr>
          <w:rFonts w:ascii="Arial" w:hAnsi="Arial" w:cs="Arial"/>
          <w:sz w:val="20"/>
        </w:rPr>
        <w:t xml:space="preserve">above </w:t>
      </w:r>
      <w:r>
        <w:rPr>
          <w:rFonts w:ascii="Arial" w:hAnsi="Arial" w:cs="Arial"/>
          <w:sz w:val="20"/>
        </w:rPr>
        <w:t xml:space="preserve">extracts from </w:t>
      </w:r>
      <w:r>
        <w:rPr>
          <w:rFonts w:ascii="Arial" w:hAnsi="Arial" w:cs="Arial"/>
          <w:i/>
          <w:sz w:val="20"/>
        </w:rPr>
        <w:t xml:space="preserve">DOHS </w:t>
      </w:r>
      <w:r w:rsidRPr="006679D2">
        <w:rPr>
          <w:rFonts w:ascii="Arial" w:hAnsi="Arial" w:cs="Arial"/>
          <w:i/>
          <w:color w:val="000000"/>
          <w:sz w:val="20"/>
        </w:rPr>
        <w:t>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w:t>
      </w:r>
      <w:r w:rsidR="004844FE" w:rsidRPr="006679D2">
        <w:rPr>
          <w:rFonts w:ascii="Arial" w:hAnsi="Arial" w:cs="Arial"/>
          <w:color w:val="000000"/>
          <w:sz w:val="20"/>
        </w:rPr>
        <w:t xml:space="preserve"> </w:t>
      </w:r>
      <w:r w:rsidRPr="006679D2">
        <w:rPr>
          <w:rFonts w:ascii="Arial" w:hAnsi="Arial" w:cs="Arial"/>
          <w:color w:val="000000"/>
          <w:sz w:val="20"/>
        </w:rPr>
        <w:t xml:space="preserve">that there is no clear unanimity of </w:t>
      </w:r>
      <w:r w:rsidR="004844FE" w:rsidRPr="006679D2">
        <w:rPr>
          <w:rFonts w:ascii="Arial" w:hAnsi="Arial" w:cs="Arial"/>
          <w:color w:val="000000"/>
          <w:sz w:val="20"/>
        </w:rPr>
        <w:t xml:space="preserve">expert </w:t>
      </w:r>
      <w:r w:rsidRPr="006679D2">
        <w:rPr>
          <w:rFonts w:ascii="Arial" w:hAnsi="Arial" w:cs="Arial"/>
          <w:color w:val="000000"/>
          <w:sz w:val="20"/>
        </w:rPr>
        <w:t xml:space="preserve">view </w:t>
      </w:r>
      <w:r w:rsidR="00810034" w:rsidRPr="006679D2">
        <w:rPr>
          <w:rFonts w:ascii="Arial" w:hAnsi="Arial" w:cs="Arial"/>
          <w:color w:val="000000"/>
          <w:sz w:val="20"/>
        </w:rPr>
        <w:t xml:space="preserve">in Victoria </w:t>
      </w:r>
      <w:r w:rsidRPr="006679D2">
        <w:rPr>
          <w:rFonts w:ascii="Arial" w:hAnsi="Arial" w:cs="Arial"/>
          <w:color w:val="000000"/>
          <w:sz w:val="20"/>
        </w:rPr>
        <w:t xml:space="preserve">about the optimal frequency of </w:t>
      </w:r>
      <w:r w:rsidR="00A135BE" w:rsidRPr="006679D2">
        <w:rPr>
          <w:rFonts w:ascii="Arial" w:hAnsi="Arial" w:cs="Arial"/>
          <w:color w:val="000000"/>
          <w:sz w:val="20"/>
        </w:rPr>
        <w:t>contact</w:t>
      </w:r>
      <w:r w:rsidRPr="006679D2">
        <w:rPr>
          <w:rFonts w:ascii="Arial" w:hAnsi="Arial" w:cs="Arial"/>
          <w:color w:val="000000"/>
          <w:sz w:val="20"/>
        </w:rPr>
        <w:t xml:space="preserve"> between an infant and </w:t>
      </w:r>
      <w:r w:rsidR="0021434F" w:rsidRPr="006679D2">
        <w:rPr>
          <w:rFonts w:ascii="Arial" w:hAnsi="Arial" w:cs="Arial"/>
          <w:color w:val="000000"/>
          <w:sz w:val="20"/>
        </w:rPr>
        <w:t xml:space="preserve">his or her </w:t>
      </w:r>
      <w:r w:rsidRPr="006679D2">
        <w:rPr>
          <w:rFonts w:ascii="Arial" w:hAnsi="Arial" w:cs="Arial"/>
          <w:color w:val="000000"/>
          <w:sz w:val="20"/>
        </w:rPr>
        <w:t>non-custodial parents.  The</w:t>
      </w:r>
      <w:r w:rsidR="00115736" w:rsidRPr="006679D2">
        <w:rPr>
          <w:rFonts w:ascii="Arial" w:hAnsi="Arial" w:cs="Arial"/>
          <w:color w:val="000000"/>
          <w:sz w:val="20"/>
        </w:rPr>
        <w:t>re is no clear unanimity in the rest of the western world either.  The</w:t>
      </w:r>
      <w:r w:rsidRPr="006679D2">
        <w:rPr>
          <w:rFonts w:ascii="Arial" w:hAnsi="Arial" w:cs="Arial"/>
          <w:color w:val="000000"/>
          <w:sz w:val="20"/>
        </w:rPr>
        <w:t xml:space="preserve"> </w:t>
      </w:r>
      <w:r w:rsidR="002152DF" w:rsidRPr="006679D2">
        <w:rPr>
          <w:rFonts w:ascii="Arial" w:hAnsi="Arial" w:cs="Arial"/>
          <w:color w:val="000000"/>
          <w:sz w:val="20"/>
        </w:rPr>
        <w:t xml:space="preserve">authors of “Baby on Board” have one view.  A diametrically opposite view appears in a recent publication: “Healthy Beginnings, Healthy Futures: A Judge’s Guide” compiled in 2009 by </w:t>
      </w:r>
      <w:r w:rsidR="00B94F90" w:rsidRPr="006679D2">
        <w:rPr>
          <w:rFonts w:ascii="Arial" w:hAnsi="Arial" w:cs="Arial"/>
          <w:color w:val="000000"/>
          <w:sz w:val="20"/>
        </w:rPr>
        <w:t xml:space="preserve">a team of </w:t>
      </w:r>
      <w:r w:rsidR="002152DF" w:rsidRPr="006679D2">
        <w:rPr>
          <w:rFonts w:ascii="Arial" w:hAnsi="Arial" w:cs="Arial"/>
          <w:color w:val="000000"/>
          <w:sz w:val="20"/>
        </w:rPr>
        <w:t xml:space="preserve">six </w:t>
      </w:r>
      <w:r w:rsidR="00115736" w:rsidRPr="006679D2">
        <w:rPr>
          <w:rFonts w:ascii="Arial" w:hAnsi="Arial" w:cs="Arial"/>
          <w:color w:val="000000"/>
          <w:sz w:val="20"/>
        </w:rPr>
        <w:t xml:space="preserve">professionals </w:t>
      </w:r>
      <w:r w:rsidR="00B94F90" w:rsidRPr="006679D2">
        <w:rPr>
          <w:rFonts w:ascii="Arial" w:hAnsi="Arial" w:cs="Arial"/>
          <w:color w:val="000000"/>
          <w:sz w:val="20"/>
        </w:rPr>
        <w:t xml:space="preserve">drawn </w:t>
      </w:r>
      <w:r w:rsidR="00115736" w:rsidRPr="006679D2">
        <w:rPr>
          <w:rFonts w:ascii="Arial" w:hAnsi="Arial" w:cs="Arial"/>
          <w:color w:val="000000"/>
          <w:sz w:val="20"/>
        </w:rPr>
        <w:t xml:space="preserve">from </w:t>
      </w:r>
      <w:r w:rsidR="00B94F90" w:rsidRPr="006679D2">
        <w:rPr>
          <w:rFonts w:ascii="Arial" w:hAnsi="Arial" w:cs="Arial"/>
          <w:color w:val="000000"/>
          <w:sz w:val="20"/>
        </w:rPr>
        <w:t xml:space="preserve">(i) </w:t>
      </w:r>
      <w:r w:rsidR="00115736" w:rsidRPr="006679D2">
        <w:rPr>
          <w:rFonts w:ascii="Arial" w:hAnsi="Arial" w:cs="Arial"/>
          <w:color w:val="000000"/>
          <w:sz w:val="20"/>
        </w:rPr>
        <w:t xml:space="preserve">the American Bar Association </w:t>
      </w:r>
      <w:proofErr w:type="spellStart"/>
      <w:r w:rsidR="00115736" w:rsidRPr="006679D2">
        <w:rPr>
          <w:rFonts w:ascii="Arial" w:hAnsi="Arial" w:cs="Arial"/>
          <w:color w:val="000000"/>
          <w:sz w:val="20"/>
        </w:rPr>
        <w:t>Center</w:t>
      </w:r>
      <w:proofErr w:type="spellEnd"/>
      <w:r w:rsidR="00115736" w:rsidRPr="006679D2">
        <w:rPr>
          <w:rFonts w:ascii="Arial" w:hAnsi="Arial" w:cs="Arial"/>
          <w:color w:val="000000"/>
          <w:sz w:val="20"/>
        </w:rPr>
        <w:t xml:space="preserve"> on Children and the Law, </w:t>
      </w:r>
      <w:r w:rsidR="00B94F90" w:rsidRPr="006679D2">
        <w:rPr>
          <w:rFonts w:ascii="Arial" w:hAnsi="Arial" w:cs="Arial"/>
          <w:color w:val="000000"/>
          <w:sz w:val="20"/>
        </w:rPr>
        <w:t>(ii)</w:t>
      </w:r>
      <w:r w:rsidR="00115736" w:rsidRPr="006679D2">
        <w:rPr>
          <w:rFonts w:ascii="Arial" w:hAnsi="Arial" w:cs="Arial"/>
          <w:color w:val="000000"/>
          <w:sz w:val="20"/>
        </w:rPr>
        <w:t xml:space="preserve"> the National Council of Juvenile and Family Court Judges and </w:t>
      </w:r>
      <w:r w:rsidR="00B94F90" w:rsidRPr="006679D2">
        <w:rPr>
          <w:rFonts w:ascii="Arial" w:hAnsi="Arial" w:cs="Arial"/>
          <w:color w:val="000000"/>
          <w:sz w:val="20"/>
        </w:rPr>
        <w:t>(iii)</w:t>
      </w:r>
      <w:r w:rsidR="00115736" w:rsidRPr="006679D2">
        <w:rPr>
          <w:rFonts w:ascii="Arial" w:hAnsi="Arial" w:cs="Arial"/>
          <w:color w:val="000000"/>
          <w:sz w:val="20"/>
        </w:rPr>
        <w:t xml:space="preserve"> the Zero to Three National Policy </w:t>
      </w:r>
      <w:proofErr w:type="spellStart"/>
      <w:r w:rsidR="00115736" w:rsidRPr="006679D2">
        <w:rPr>
          <w:rFonts w:ascii="Arial" w:hAnsi="Arial" w:cs="Arial"/>
          <w:color w:val="000000"/>
          <w:sz w:val="20"/>
        </w:rPr>
        <w:t>Center</w:t>
      </w:r>
      <w:proofErr w:type="spellEnd"/>
      <w:r w:rsidR="00115736" w:rsidRPr="006679D2">
        <w:rPr>
          <w:rFonts w:ascii="Arial" w:hAnsi="Arial" w:cs="Arial"/>
          <w:color w:val="000000"/>
          <w:sz w:val="20"/>
        </w:rPr>
        <w:t xml:space="preserve">.  </w:t>
      </w:r>
      <w:r w:rsidR="00BF48B5" w:rsidRPr="006679D2">
        <w:rPr>
          <w:rFonts w:ascii="Arial" w:hAnsi="Arial" w:cs="Arial"/>
          <w:color w:val="000000"/>
          <w:sz w:val="20"/>
        </w:rPr>
        <w:t>This publication consists of 135 pages organized into five chapters:</w:t>
      </w:r>
    </w:p>
    <w:p w14:paraId="6E4BAE27" w14:textId="77777777" w:rsidR="00BF48B5" w:rsidRPr="006679D2" w:rsidRDefault="00BF48B5" w:rsidP="00FB1EE3">
      <w:pPr>
        <w:numPr>
          <w:ilvl w:val="0"/>
          <w:numId w:val="35"/>
        </w:numPr>
        <w:spacing w:before="60"/>
        <w:ind w:left="924" w:hanging="357"/>
        <w:jc w:val="both"/>
        <w:rPr>
          <w:rFonts w:ascii="Arial" w:hAnsi="Arial" w:cs="Arial"/>
          <w:color w:val="000000"/>
          <w:sz w:val="20"/>
        </w:rPr>
      </w:pPr>
      <w:r w:rsidRPr="006679D2">
        <w:rPr>
          <w:rFonts w:ascii="Arial" w:hAnsi="Arial" w:cs="Arial"/>
          <w:color w:val="000000"/>
          <w:sz w:val="20"/>
        </w:rPr>
        <w:t xml:space="preserve">Meeting the Needs of Very Young Children in </w:t>
      </w:r>
      <w:smartTag w:uri="urn:schemas-microsoft-com:office:smarttags" w:element="address">
        <w:smartTag w:uri="urn:schemas-microsoft-com:office:smarttags" w:element="Street">
          <w:r w:rsidRPr="006679D2">
            <w:rPr>
              <w:rFonts w:ascii="Arial" w:hAnsi="Arial" w:cs="Arial"/>
              <w:color w:val="000000"/>
              <w:sz w:val="20"/>
            </w:rPr>
            <w:t>Dependency Court</w:t>
          </w:r>
        </w:smartTag>
      </w:smartTag>
    </w:p>
    <w:p w14:paraId="686503CE" w14:textId="77777777" w:rsidR="00BF48B5" w:rsidRPr="006679D2" w:rsidRDefault="00BF48B5" w:rsidP="00FB1EE3">
      <w:pPr>
        <w:numPr>
          <w:ilvl w:val="0"/>
          <w:numId w:val="35"/>
        </w:numPr>
        <w:ind w:left="924" w:hanging="357"/>
        <w:jc w:val="both"/>
        <w:rPr>
          <w:rFonts w:ascii="Arial" w:hAnsi="Arial" w:cs="Arial"/>
          <w:color w:val="000000"/>
          <w:sz w:val="20"/>
        </w:rPr>
      </w:pPr>
      <w:r w:rsidRPr="006679D2">
        <w:rPr>
          <w:rFonts w:ascii="Arial" w:hAnsi="Arial" w:cs="Arial"/>
          <w:color w:val="000000"/>
          <w:sz w:val="20"/>
        </w:rPr>
        <w:t>Promoting Physical Health</w:t>
      </w:r>
    </w:p>
    <w:p w14:paraId="064FD692" w14:textId="77777777" w:rsidR="00BF48B5" w:rsidRPr="006679D2" w:rsidRDefault="00BF48B5" w:rsidP="00FB1EE3">
      <w:pPr>
        <w:numPr>
          <w:ilvl w:val="0"/>
          <w:numId w:val="35"/>
        </w:numPr>
        <w:ind w:left="924" w:hanging="357"/>
        <w:jc w:val="both"/>
        <w:rPr>
          <w:rFonts w:ascii="Arial" w:hAnsi="Arial" w:cs="Arial"/>
          <w:color w:val="000000"/>
          <w:sz w:val="20"/>
        </w:rPr>
      </w:pPr>
      <w:r w:rsidRPr="006679D2">
        <w:rPr>
          <w:rFonts w:ascii="Arial" w:hAnsi="Arial" w:cs="Arial"/>
          <w:color w:val="000000"/>
          <w:sz w:val="20"/>
        </w:rPr>
        <w:t>Addressing Early Mental Health and Developmental Needs</w:t>
      </w:r>
    </w:p>
    <w:p w14:paraId="3FE7659F" w14:textId="77777777" w:rsidR="00BF48B5" w:rsidRPr="006679D2" w:rsidRDefault="00BF48B5" w:rsidP="00FB1EE3">
      <w:pPr>
        <w:numPr>
          <w:ilvl w:val="0"/>
          <w:numId w:val="35"/>
        </w:numPr>
        <w:ind w:left="924" w:hanging="357"/>
        <w:jc w:val="both"/>
        <w:rPr>
          <w:rFonts w:ascii="Arial" w:hAnsi="Arial" w:cs="Arial"/>
          <w:color w:val="000000"/>
          <w:sz w:val="20"/>
        </w:rPr>
      </w:pPr>
      <w:r w:rsidRPr="006679D2">
        <w:rPr>
          <w:rFonts w:ascii="Arial" w:hAnsi="Arial" w:cs="Arial"/>
          <w:color w:val="000000"/>
          <w:sz w:val="20"/>
        </w:rPr>
        <w:lastRenderedPageBreak/>
        <w:t>Achieving Permanency</w:t>
      </w:r>
    </w:p>
    <w:p w14:paraId="2B3262A6" w14:textId="77777777" w:rsidR="00BF48B5" w:rsidRPr="006679D2" w:rsidRDefault="00BF48B5" w:rsidP="00FB1EE3">
      <w:pPr>
        <w:numPr>
          <w:ilvl w:val="0"/>
          <w:numId w:val="35"/>
        </w:numPr>
        <w:ind w:left="924" w:hanging="357"/>
        <w:jc w:val="both"/>
        <w:rPr>
          <w:rFonts w:ascii="Arial" w:hAnsi="Arial" w:cs="Arial"/>
          <w:color w:val="000000"/>
          <w:sz w:val="20"/>
        </w:rPr>
      </w:pPr>
      <w:r w:rsidRPr="006679D2">
        <w:rPr>
          <w:rFonts w:ascii="Arial" w:hAnsi="Arial" w:cs="Arial"/>
          <w:color w:val="000000"/>
          <w:sz w:val="20"/>
        </w:rPr>
        <w:t xml:space="preserve">A Call to Action: Improving the Court’s </w:t>
      </w:r>
      <w:proofErr w:type="spellStart"/>
      <w:r w:rsidRPr="006679D2">
        <w:rPr>
          <w:rFonts w:ascii="Arial" w:hAnsi="Arial" w:cs="Arial"/>
          <w:color w:val="000000"/>
          <w:sz w:val="20"/>
        </w:rPr>
        <w:t>Reponse</w:t>
      </w:r>
      <w:proofErr w:type="spellEnd"/>
      <w:r w:rsidRPr="006679D2">
        <w:rPr>
          <w:rFonts w:ascii="Arial" w:hAnsi="Arial" w:cs="Arial"/>
          <w:color w:val="000000"/>
          <w:sz w:val="20"/>
        </w:rPr>
        <w:t>.</w:t>
      </w:r>
    </w:p>
    <w:p w14:paraId="46FF44A2" w14:textId="77777777" w:rsidR="002152DF" w:rsidRPr="006679D2" w:rsidRDefault="00BF48B5" w:rsidP="00BF48B5">
      <w:pPr>
        <w:spacing w:before="60"/>
        <w:jc w:val="both"/>
        <w:rPr>
          <w:rFonts w:ascii="Arial" w:hAnsi="Arial" w:cs="Arial"/>
          <w:color w:val="000000"/>
          <w:sz w:val="20"/>
        </w:rPr>
      </w:pPr>
      <w:r w:rsidRPr="006679D2">
        <w:rPr>
          <w:rFonts w:ascii="Arial" w:hAnsi="Arial" w:cs="Arial"/>
          <w:color w:val="000000"/>
          <w:sz w:val="20"/>
        </w:rPr>
        <w:t>In Chapter 3 at</w:t>
      </w:r>
      <w:r w:rsidR="00EF55AE" w:rsidRPr="006679D2">
        <w:rPr>
          <w:rFonts w:ascii="Arial" w:hAnsi="Arial" w:cs="Arial"/>
          <w:color w:val="000000"/>
          <w:sz w:val="20"/>
        </w:rPr>
        <w:t> </w:t>
      </w:r>
      <w:r w:rsidR="00115736" w:rsidRPr="006679D2">
        <w:rPr>
          <w:rFonts w:ascii="Arial" w:hAnsi="Arial" w:cs="Arial"/>
          <w:color w:val="000000"/>
          <w:sz w:val="20"/>
        </w:rPr>
        <w:t xml:space="preserve">pp.72-73 the authors (Eva J Klain JD, Lisa </w:t>
      </w:r>
      <w:proofErr w:type="spellStart"/>
      <w:r w:rsidR="00115736" w:rsidRPr="006679D2">
        <w:rPr>
          <w:rFonts w:ascii="Arial" w:hAnsi="Arial" w:cs="Arial"/>
          <w:color w:val="000000"/>
          <w:sz w:val="20"/>
        </w:rPr>
        <w:t>Pilnik</w:t>
      </w:r>
      <w:proofErr w:type="spellEnd"/>
      <w:r w:rsidR="00115736" w:rsidRPr="006679D2">
        <w:rPr>
          <w:rFonts w:ascii="Arial" w:hAnsi="Arial" w:cs="Arial"/>
          <w:color w:val="000000"/>
          <w:sz w:val="20"/>
        </w:rPr>
        <w:t xml:space="preserve"> JD MS, Erin </w:t>
      </w:r>
      <w:proofErr w:type="spellStart"/>
      <w:r w:rsidR="00115736" w:rsidRPr="006679D2">
        <w:rPr>
          <w:rFonts w:ascii="Arial" w:hAnsi="Arial" w:cs="Arial"/>
          <w:color w:val="000000"/>
          <w:sz w:val="20"/>
        </w:rPr>
        <w:t>Talati</w:t>
      </w:r>
      <w:proofErr w:type="spellEnd"/>
      <w:r w:rsidR="00115736" w:rsidRPr="006679D2">
        <w:rPr>
          <w:rFonts w:ascii="Arial" w:hAnsi="Arial" w:cs="Arial"/>
          <w:color w:val="000000"/>
          <w:sz w:val="20"/>
        </w:rPr>
        <w:t xml:space="preserve"> JD MD, Candice L Maze JD, Kimberley Diamond-Berry PhD &amp; Lucy Hudson MS) outline their philosophy on child </w:t>
      </w:r>
      <w:r w:rsidR="00A135BE" w:rsidRPr="006679D2">
        <w:rPr>
          <w:rFonts w:ascii="Arial" w:hAnsi="Arial" w:cs="Arial"/>
          <w:color w:val="000000"/>
          <w:sz w:val="20"/>
        </w:rPr>
        <w:t>contact</w:t>
      </w:r>
      <w:r w:rsidR="00115736" w:rsidRPr="006679D2">
        <w:rPr>
          <w:rFonts w:ascii="Arial" w:hAnsi="Arial" w:cs="Arial"/>
          <w:color w:val="000000"/>
          <w:sz w:val="20"/>
        </w:rPr>
        <w:t>:</w:t>
      </w:r>
    </w:p>
    <w:p w14:paraId="49F8DBE2" w14:textId="77777777" w:rsidR="00115736" w:rsidRDefault="00115736" w:rsidP="006662BB">
      <w:pPr>
        <w:spacing w:before="120"/>
        <w:ind w:left="567" w:right="567"/>
        <w:jc w:val="both"/>
        <w:rPr>
          <w:rFonts w:ascii="Arial" w:hAnsi="Arial" w:cs="Arial"/>
          <w:sz w:val="20"/>
        </w:rPr>
      </w:pPr>
      <w:r w:rsidRPr="00115736">
        <w:rPr>
          <w:rFonts w:ascii="Arial" w:hAnsi="Arial" w:cs="Arial"/>
          <w:b/>
          <w:sz w:val="20"/>
          <w:u w:val="single"/>
        </w:rPr>
        <w:t>Ensure frequent parent-child contact</w:t>
      </w:r>
      <w:r>
        <w:rPr>
          <w:rFonts w:ascii="Arial" w:hAnsi="Arial" w:cs="Arial"/>
          <w:sz w:val="20"/>
        </w:rPr>
        <w:t xml:space="preserve"> (This section includes excerpts from </w:t>
      </w:r>
      <w:proofErr w:type="spellStart"/>
      <w:r>
        <w:rPr>
          <w:rFonts w:ascii="Arial" w:hAnsi="Arial" w:cs="Arial"/>
          <w:sz w:val="20"/>
        </w:rPr>
        <w:t>Smariga</w:t>
      </w:r>
      <w:proofErr w:type="spellEnd"/>
      <w:r>
        <w:rPr>
          <w:rFonts w:ascii="Arial" w:hAnsi="Arial" w:cs="Arial"/>
          <w:sz w:val="20"/>
        </w:rPr>
        <w:t xml:space="preserve"> M, </w:t>
      </w:r>
      <w:r w:rsidRPr="00490AD2">
        <w:rPr>
          <w:rFonts w:ascii="Arial" w:hAnsi="Arial" w:cs="Arial"/>
          <w:i/>
          <w:sz w:val="20"/>
        </w:rPr>
        <w:t>Visitation with Infants and Toddlers in Foster Care: What Judges and Attorneys Need to Know</w:t>
      </w:r>
      <w:r>
        <w:rPr>
          <w:rFonts w:ascii="Arial" w:hAnsi="Arial" w:cs="Arial"/>
          <w:sz w:val="20"/>
        </w:rPr>
        <w:t xml:space="preserve">.  </w:t>
      </w:r>
      <w:smartTag w:uri="urn:schemas-microsoft-com:office:smarttags" w:element="City">
        <w:r>
          <w:rPr>
            <w:rFonts w:ascii="Arial" w:hAnsi="Arial" w:cs="Arial"/>
            <w:sz w:val="20"/>
          </w:rPr>
          <w:t>Washington</w:t>
        </w:r>
      </w:smartTag>
      <w:r>
        <w:rPr>
          <w:rFonts w:ascii="Arial" w:hAnsi="Arial" w:cs="Arial"/>
          <w:sz w:val="20"/>
        </w:rPr>
        <w:t xml:space="preserve"> </w:t>
      </w:r>
      <w:smartTag w:uri="urn:schemas-microsoft-com:office:smarttags" w:element="State">
        <w:r>
          <w:rPr>
            <w:rFonts w:ascii="Arial" w:hAnsi="Arial" w:cs="Arial"/>
            <w:sz w:val="20"/>
          </w:rPr>
          <w:t>DC</w:t>
        </w:r>
      </w:smartTag>
      <w:r>
        <w:rPr>
          <w:rFonts w:ascii="Arial" w:hAnsi="Arial" w:cs="Arial"/>
          <w:sz w:val="20"/>
        </w:rPr>
        <w:t xml:space="preserve">: </w:t>
      </w:r>
      <w:smartTag w:uri="urn:schemas-microsoft-com:office:smarttags" w:element="PlaceName">
        <w:r>
          <w:rPr>
            <w:rFonts w:ascii="Arial" w:hAnsi="Arial" w:cs="Arial"/>
            <w:sz w:val="20"/>
          </w:rPr>
          <w:t>American</w:t>
        </w:r>
      </w:smartTag>
      <w:r>
        <w:rPr>
          <w:rFonts w:ascii="Arial" w:hAnsi="Arial" w:cs="Arial"/>
          <w:sz w:val="20"/>
        </w:rPr>
        <w:t xml:space="preserve"> </w:t>
      </w:r>
      <w:smartTag w:uri="urn:schemas-microsoft-com:office:smarttags" w:element="PlaceType">
        <w:r>
          <w:rPr>
            <w:rFonts w:ascii="Arial" w:hAnsi="Arial" w:cs="Arial"/>
            <w:sz w:val="20"/>
          </w:rPr>
          <w:t>Bar</w:t>
        </w:r>
      </w:smartTag>
      <w:r>
        <w:rPr>
          <w:rFonts w:ascii="Arial" w:hAnsi="Arial" w:cs="Arial"/>
          <w:sz w:val="20"/>
        </w:rPr>
        <w:t xml:space="preserve"> </w:t>
      </w:r>
      <w:smartTag w:uri="urn:schemas-microsoft-com:office:smarttags" w:element="PlaceName">
        <w:r>
          <w:rPr>
            <w:rFonts w:ascii="Arial" w:hAnsi="Arial" w:cs="Arial"/>
            <w:sz w:val="20"/>
          </w:rPr>
          <w:t>Association</w:t>
        </w:r>
      </w:smartTag>
      <w:r>
        <w:rPr>
          <w:rFonts w:ascii="Arial" w:hAnsi="Arial" w:cs="Arial"/>
          <w:sz w:val="20"/>
        </w:rPr>
        <w:t xml:space="preserve"> </w:t>
      </w:r>
      <w:proofErr w:type="spellStart"/>
      <w:smartTag w:uri="urn:schemas-microsoft-com:office:smarttags" w:element="PlaceType">
        <w:r>
          <w:rPr>
            <w:rFonts w:ascii="Arial" w:hAnsi="Arial" w:cs="Arial"/>
            <w:sz w:val="20"/>
          </w:rPr>
          <w:t>Center</w:t>
        </w:r>
      </w:smartTag>
      <w:proofErr w:type="spellEnd"/>
      <w:r>
        <w:rPr>
          <w:rFonts w:ascii="Arial" w:hAnsi="Arial" w:cs="Arial"/>
          <w:sz w:val="20"/>
        </w:rPr>
        <w:t xml:space="preserve"> on Children and the Law &amp; Zero to </w:t>
      </w:r>
      <w:smartTag w:uri="urn:schemas-microsoft-com:office:smarttags" w:element="place">
        <w:smartTag w:uri="urn:schemas-microsoft-com:office:smarttags" w:element="PlaceName">
          <w:r>
            <w:rPr>
              <w:rFonts w:ascii="Arial" w:hAnsi="Arial" w:cs="Arial"/>
              <w:sz w:val="20"/>
            </w:rPr>
            <w:t>Three</w:t>
          </w:r>
        </w:smartTag>
        <w:r>
          <w:rPr>
            <w:rFonts w:ascii="Arial" w:hAnsi="Arial" w:cs="Arial"/>
            <w:sz w:val="20"/>
          </w:rPr>
          <w:t xml:space="preserve"> </w:t>
        </w:r>
        <w:smartTag w:uri="urn:schemas-microsoft-com:office:smarttags" w:element="PlaceName">
          <w:r>
            <w:rPr>
              <w:rFonts w:ascii="Arial" w:hAnsi="Arial" w:cs="Arial"/>
              <w:sz w:val="20"/>
            </w:rPr>
            <w:t>Policy</w:t>
          </w:r>
        </w:smartTag>
        <w:r>
          <w:rPr>
            <w:rFonts w:ascii="Arial" w:hAnsi="Arial" w:cs="Arial"/>
            <w:sz w:val="20"/>
          </w:rPr>
          <w:t xml:space="preserve"> </w:t>
        </w:r>
        <w:proofErr w:type="spellStart"/>
        <w:smartTag w:uri="urn:schemas-microsoft-com:office:smarttags" w:element="PlaceType">
          <w:r>
            <w:rPr>
              <w:rFonts w:ascii="Arial" w:hAnsi="Arial" w:cs="Arial"/>
              <w:sz w:val="20"/>
            </w:rPr>
            <w:t>Center</w:t>
          </w:r>
        </w:smartTag>
      </w:smartTag>
      <w:proofErr w:type="spellEnd"/>
      <w:r>
        <w:rPr>
          <w:rFonts w:ascii="Arial" w:hAnsi="Arial" w:cs="Arial"/>
          <w:sz w:val="20"/>
        </w:rPr>
        <w:t>, 2007)</w:t>
      </w:r>
    </w:p>
    <w:p w14:paraId="6B184F8E" w14:textId="77777777" w:rsidR="00490AD2" w:rsidRDefault="00490AD2" w:rsidP="00490AD2">
      <w:pPr>
        <w:spacing w:before="120"/>
        <w:ind w:left="567" w:right="567"/>
        <w:jc w:val="both"/>
        <w:rPr>
          <w:rFonts w:ascii="Arial" w:hAnsi="Arial" w:cs="Arial"/>
          <w:sz w:val="20"/>
        </w:rPr>
      </w:pPr>
      <w:r>
        <w:rPr>
          <w:rFonts w:ascii="Arial" w:hAnsi="Arial" w:cs="Arial"/>
          <w:sz w:val="20"/>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t>
      </w:r>
      <w:proofErr w:type="spellStart"/>
      <w:r>
        <w:rPr>
          <w:rFonts w:ascii="Arial" w:hAnsi="Arial" w:cs="Arial"/>
          <w:sz w:val="20"/>
        </w:rPr>
        <w:t>Wanlass</w:t>
      </w:r>
      <w:proofErr w:type="spellEnd"/>
      <w:r>
        <w:rPr>
          <w:rFonts w:ascii="Arial" w:hAnsi="Arial" w:cs="Arial"/>
          <w:sz w:val="20"/>
        </w:rPr>
        <w:t xml:space="preserve">. “Separation and Reunification: Using Attachment Theory and Research to Inform Decisions Affecting the Placements of Children in Foster Care”. </w:t>
      </w:r>
      <w:r w:rsidRPr="00490AD2">
        <w:rPr>
          <w:rFonts w:ascii="Arial" w:hAnsi="Arial" w:cs="Arial"/>
          <w:i/>
          <w:sz w:val="20"/>
        </w:rPr>
        <w:t>Juvenile and Family Court Journal</w:t>
      </w:r>
      <w:r>
        <w:rPr>
          <w:rFonts w:ascii="Arial" w:hAnsi="Arial" w:cs="Arial"/>
          <w:sz w:val="20"/>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Pr>
              <w:rFonts w:ascii="Arial" w:hAnsi="Arial" w:cs="Arial"/>
              <w:sz w:val="20"/>
            </w:rPr>
            <w:t>Academy</w:t>
          </w:r>
        </w:smartTag>
        <w:r>
          <w:rPr>
            <w:rFonts w:ascii="Arial" w:hAnsi="Arial" w:cs="Arial"/>
            <w:sz w:val="20"/>
          </w:rPr>
          <w:t xml:space="preserve"> of </w:t>
        </w:r>
        <w:smartTag w:uri="urn:schemas-microsoft-com:office:smarttags" w:element="PlaceName">
          <w:r>
            <w:rPr>
              <w:rFonts w:ascii="Arial" w:hAnsi="Arial" w:cs="Arial"/>
              <w:sz w:val="20"/>
            </w:rPr>
            <w:t>Pediatrics Committee</w:t>
          </w:r>
        </w:smartTag>
      </w:smartTag>
      <w:r>
        <w:rPr>
          <w:rFonts w:ascii="Arial" w:hAnsi="Arial" w:cs="Arial"/>
          <w:sz w:val="20"/>
        </w:rPr>
        <w:t xml:space="preserve"> on Early Childhood, Adoption and Dependent Care. “Developmental Issues for Young Children in Foster Care.” </w:t>
      </w:r>
      <w:r w:rsidRPr="00490AD2">
        <w:rPr>
          <w:rFonts w:ascii="Arial" w:hAnsi="Arial" w:cs="Arial"/>
          <w:i/>
          <w:sz w:val="20"/>
        </w:rPr>
        <w:t>Pediatrics</w:t>
      </w:r>
      <w:r>
        <w:rPr>
          <w:rFonts w:ascii="Arial" w:hAnsi="Arial" w:cs="Arial"/>
          <w:sz w:val="20"/>
        </w:rPr>
        <w:t xml:space="preserve"> 105(5), 2000, 1146).  </w:t>
      </w:r>
      <w:r w:rsidR="00585496">
        <w:rPr>
          <w:rFonts w:ascii="Arial" w:hAnsi="Arial" w:cs="Arial"/>
          <w:sz w:val="20"/>
        </w:rPr>
        <w:t>Maintaining consistent contact between the child and his or her parents and siblings is critical unless visits would harm the child (</w:t>
      </w:r>
      <w:smartTag w:uri="urn:schemas-microsoft-com:office:smarttags" w:element="place">
        <w:smartTag w:uri="urn:schemas-microsoft-com:office:smarttags" w:element="PlaceName">
          <w:r w:rsidR="00585496">
            <w:rPr>
              <w:rFonts w:ascii="Arial" w:hAnsi="Arial" w:cs="Arial"/>
              <w:sz w:val="20"/>
            </w:rPr>
            <w:t>American</w:t>
          </w:r>
        </w:smartTag>
        <w:r w:rsidR="00585496">
          <w:rPr>
            <w:rFonts w:ascii="Arial" w:hAnsi="Arial" w:cs="Arial"/>
            <w:sz w:val="20"/>
          </w:rPr>
          <w:t xml:space="preserve"> </w:t>
        </w:r>
        <w:smartTag w:uri="urn:schemas-microsoft-com:office:smarttags" w:element="PlaceType">
          <w:r w:rsidR="00585496">
            <w:rPr>
              <w:rFonts w:ascii="Arial" w:hAnsi="Arial" w:cs="Arial"/>
              <w:sz w:val="20"/>
            </w:rPr>
            <w:t>Academy</w:t>
          </w:r>
        </w:smartTag>
      </w:smartTag>
      <w:r w:rsidR="00585496">
        <w:rPr>
          <w:rFonts w:ascii="Arial" w:hAnsi="Arial" w:cs="Arial"/>
          <w:sz w:val="20"/>
        </w:rPr>
        <w:t xml:space="preserve"> of Pediatrics Committee on Early Childhood, Adoption and Dependent Care. “Developmental Issues for Young Children in Foster Care.” {Policy Statement} </w:t>
      </w:r>
      <w:r w:rsidR="00585496" w:rsidRPr="00490AD2">
        <w:rPr>
          <w:rFonts w:ascii="Arial" w:hAnsi="Arial" w:cs="Arial"/>
          <w:i/>
          <w:sz w:val="20"/>
        </w:rPr>
        <w:t>Pediatrics</w:t>
      </w:r>
      <w:r w:rsidR="00585496">
        <w:rPr>
          <w:rFonts w:ascii="Arial" w:hAnsi="Arial" w:cs="Arial"/>
          <w:sz w:val="20"/>
        </w:rPr>
        <w:t xml:space="preserve"> 106(5), 2000, 1145-1150).  In fact, parent-child contact is the number one indicator of reunification (</w:t>
      </w:r>
      <w:smartTag w:uri="urn:schemas-microsoft-com:office:smarttags" w:element="place">
        <w:smartTag w:uri="urn:schemas-microsoft-com:office:smarttags" w:element="City">
          <w:r w:rsidR="00585496">
            <w:rPr>
              <w:rFonts w:ascii="Arial" w:hAnsi="Arial" w:cs="Arial"/>
              <w:sz w:val="20"/>
            </w:rPr>
            <w:t>Ginther</w:t>
          </w:r>
        </w:smartTag>
        <w:r w:rsidR="00585496">
          <w:rPr>
            <w:rFonts w:ascii="Arial" w:hAnsi="Arial" w:cs="Arial"/>
            <w:sz w:val="20"/>
          </w:rPr>
          <w:t xml:space="preserve">, </w:t>
        </w:r>
        <w:smartTag w:uri="urn:schemas-microsoft-com:office:smarttags" w:element="State">
          <w:r w:rsidR="00585496">
            <w:rPr>
              <w:rFonts w:ascii="Arial" w:hAnsi="Arial" w:cs="Arial"/>
              <w:sz w:val="20"/>
            </w:rPr>
            <w:t>N.M.</w:t>
          </w:r>
        </w:smartTag>
      </w:smartTag>
      <w:r w:rsidR="00585496">
        <w:rPr>
          <w:rFonts w:ascii="Arial" w:hAnsi="Arial" w:cs="Arial"/>
          <w:sz w:val="20"/>
        </w:rPr>
        <w:t xml:space="preserve"> and J.D. Ginther, “Family Interaction: The Expressway to Permanency – Facilitating Successful Visitation” Presentation prepared for Western Training Partnership at the University of Wisconsin River Falls, 2005, 12-13).  </w:t>
      </w:r>
      <w:r w:rsidR="004E4AAE">
        <w:rPr>
          <w:rFonts w:ascii="Arial" w:hAnsi="Arial" w:cs="Arial"/>
          <w:sz w:val="20"/>
        </w:rPr>
        <w:t>Family contact and interaction is important and the relationship between the foster family and biological family can be crucial.</w:t>
      </w:r>
    </w:p>
    <w:p w14:paraId="1EB0EE5A" w14:textId="77777777" w:rsidR="004E4AAE" w:rsidRDefault="004E4AAE" w:rsidP="00490AD2">
      <w:pPr>
        <w:spacing w:before="120"/>
        <w:ind w:left="567" w:right="567"/>
        <w:jc w:val="both"/>
        <w:rPr>
          <w:rFonts w:ascii="Arial" w:hAnsi="Arial" w:cs="Arial"/>
          <w:sz w:val="20"/>
        </w:rPr>
      </w:pPr>
      <w:r>
        <w:rPr>
          <w:rFonts w:ascii="Arial" w:hAnsi="Arial" w:cs="Arial"/>
          <w:sz w:val="20"/>
        </w:rPr>
        <w:t xml:space="preserve">Because physical proximity with the caregiver is central to the attachment process for infants and toddlers (Ohio Caseload Analysis Initiative, </w:t>
      </w:r>
      <w:r w:rsidRPr="004E4AAE">
        <w:rPr>
          <w:rFonts w:ascii="Arial" w:hAnsi="Arial" w:cs="Arial"/>
          <w:i/>
          <w:sz w:val="20"/>
        </w:rPr>
        <w:t>Visitation/Family Access Guide: A Best Practice Model for Social Workers and Agencies</w:t>
      </w:r>
      <w:r>
        <w:rPr>
          <w:rFonts w:ascii="Arial" w:hAnsi="Arial" w:cs="Arial"/>
          <w:sz w:val="20"/>
        </w:rPr>
        <w:t xml:space="preserve">, 2005, 14), </w:t>
      </w:r>
      <w:r w:rsidRPr="004E4AAE">
        <w:rPr>
          <w:rFonts w:ascii="Arial" w:hAnsi="Arial" w:cs="Arial"/>
          <w:b/>
          <w:sz w:val="20"/>
          <w:u w:val="single"/>
        </w:rPr>
        <w:t>an infant should ideally spend time with the parent(s) daily, and a toddler should see the parent(s) at least every two to three days</w:t>
      </w:r>
      <w:r w:rsidRPr="004E4AAE">
        <w:rPr>
          <w:rFonts w:ascii="Arial" w:hAnsi="Arial" w:cs="Arial"/>
          <w:sz w:val="20"/>
        </w:rPr>
        <w:t xml:space="preserve"> (</w:t>
      </w:r>
      <w:r w:rsidR="00B75F4E">
        <w:rPr>
          <w:rFonts w:ascii="Arial" w:hAnsi="Arial" w:cs="Arial"/>
          <w:sz w:val="20"/>
        </w:rPr>
        <w:t>Ginther and Ginther, 2005, 10, 21</w:t>
      </w:r>
      <w:r w:rsidRPr="004E4AAE">
        <w:rPr>
          <w:rFonts w:ascii="Arial" w:hAnsi="Arial" w:cs="Arial"/>
          <w:sz w:val="20"/>
        </w:rPr>
        <w:t>).</w:t>
      </w:r>
      <w:r>
        <w:rPr>
          <w:rFonts w:ascii="Arial" w:hAnsi="Arial" w:cs="Arial"/>
          <w:sz w:val="20"/>
        </w:rPr>
        <w:t xml:space="preserve">  [</w:t>
      </w:r>
      <w:r w:rsidR="00806118">
        <w:rPr>
          <w:rFonts w:ascii="Arial" w:hAnsi="Arial" w:cs="Arial"/>
          <w:sz w:val="20"/>
        </w:rPr>
        <w:t>E</w:t>
      </w:r>
      <w:r>
        <w:rPr>
          <w:rFonts w:ascii="Arial" w:hAnsi="Arial" w:cs="Arial"/>
          <w:sz w:val="20"/>
        </w:rPr>
        <w:t xml:space="preserve">mphasis </w:t>
      </w:r>
      <w:r w:rsidR="00806118">
        <w:rPr>
          <w:rFonts w:ascii="Arial" w:hAnsi="Arial" w:cs="Arial"/>
          <w:sz w:val="20"/>
        </w:rPr>
        <w:t>added</w:t>
      </w:r>
      <w:r>
        <w:rPr>
          <w:rFonts w:ascii="Arial" w:hAnsi="Arial" w:cs="Arial"/>
          <w:sz w:val="20"/>
        </w:rPr>
        <w:t>].  To reduce the trauma of sudden separation, the first parent-child visit should occur as soon as possible and no later than 48 hours after the child is removed from the home (</w:t>
      </w:r>
      <w:r w:rsidR="00E8061A">
        <w:rPr>
          <w:rFonts w:ascii="Arial" w:hAnsi="Arial" w:cs="Arial"/>
          <w:sz w:val="20"/>
        </w:rPr>
        <w:t xml:space="preserve">Wright, Lois E. </w:t>
      </w:r>
      <w:r w:rsidR="00E8061A" w:rsidRPr="00E8061A">
        <w:rPr>
          <w:rFonts w:ascii="Arial" w:hAnsi="Arial" w:cs="Arial"/>
          <w:i/>
          <w:sz w:val="20"/>
        </w:rPr>
        <w:t>Toolbox No. 1: Using Visitation to Support Permanency</w:t>
      </w:r>
      <w:r w:rsidR="00E8061A">
        <w:rPr>
          <w:rFonts w:ascii="Arial" w:hAnsi="Arial" w:cs="Arial"/>
          <w:sz w:val="20"/>
        </w:rPr>
        <w:t xml:space="preserve">.  </w:t>
      </w:r>
      <w:smartTag w:uri="urn:schemas-microsoft-com:office:smarttags" w:element="City">
        <w:r w:rsidR="00E8061A">
          <w:rPr>
            <w:rFonts w:ascii="Arial" w:hAnsi="Arial" w:cs="Arial"/>
            <w:sz w:val="20"/>
          </w:rPr>
          <w:t>Washington</w:t>
        </w:r>
      </w:smartTag>
      <w:r w:rsidR="00E8061A">
        <w:rPr>
          <w:rFonts w:ascii="Arial" w:hAnsi="Arial" w:cs="Arial"/>
          <w:sz w:val="20"/>
        </w:rPr>
        <w:t xml:space="preserve"> </w:t>
      </w:r>
      <w:smartTag w:uri="urn:schemas-microsoft-com:office:smarttags" w:element="State">
        <w:r w:rsidR="00E8061A">
          <w:rPr>
            <w:rFonts w:ascii="Arial" w:hAnsi="Arial" w:cs="Arial"/>
            <w:sz w:val="20"/>
          </w:rPr>
          <w:t>DC</w:t>
        </w:r>
      </w:smartTag>
      <w:r w:rsidR="00E8061A">
        <w:rPr>
          <w:rFonts w:ascii="Arial" w:hAnsi="Arial" w:cs="Arial"/>
          <w:sz w:val="20"/>
        </w:rPr>
        <w:t xml:space="preserve">: CWLA Press, 2001; </w:t>
      </w:r>
      <w:smartTag w:uri="urn:schemas-microsoft-com:office:smarttags" w:element="place">
        <w:smartTag w:uri="urn:schemas-microsoft-com:office:smarttags" w:element="State">
          <w:r w:rsidR="00E8061A">
            <w:rPr>
              <w:rFonts w:ascii="Arial" w:hAnsi="Arial" w:cs="Arial"/>
              <w:sz w:val="20"/>
            </w:rPr>
            <w:t>Ohio</w:t>
          </w:r>
        </w:smartTag>
      </w:smartTag>
      <w:r w:rsidR="00E8061A">
        <w:rPr>
          <w:rFonts w:ascii="Arial" w:hAnsi="Arial" w:cs="Arial"/>
          <w:sz w:val="20"/>
        </w:rPr>
        <w:t xml:space="preserve"> Caseload Analysis Initiative, 2005, 16</w:t>
      </w:r>
      <w:r>
        <w:rPr>
          <w:rFonts w:ascii="Arial" w:hAnsi="Arial" w:cs="Arial"/>
          <w:sz w:val="20"/>
        </w:rPr>
        <w:t>).</w:t>
      </w:r>
    </w:p>
    <w:p w14:paraId="04B4BE9A" w14:textId="77777777" w:rsidR="004E4AAE" w:rsidRDefault="00E8061A" w:rsidP="00BF48B5">
      <w:pPr>
        <w:spacing w:before="120"/>
        <w:ind w:left="567" w:right="567"/>
        <w:jc w:val="both"/>
        <w:rPr>
          <w:rFonts w:ascii="Arial" w:hAnsi="Arial" w:cs="Arial"/>
          <w:sz w:val="20"/>
        </w:rPr>
      </w:pPr>
      <w:r>
        <w:rPr>
          <w:rFonts w:ascii="Arial" w:hAnsi="Arial" w:cs="Arial"/>
          <w:sz w:val="20"/>
        </w:rPr>
        <w:t>Visits should promote parent-child attachment and be an opportunity to model good parenting skills.  The length and frequency of visits should reflect the child’s developmental stages and gradually increase as the parent shows she is able to respond to her child’s cues in consistent and nurturing ways, soothe her child, and attend to her child’s needs.  During the initial phase, limiting visits to one-to-two hours allows the parent to experience small successes without becoming overwhelmed.  By the transition phase, as the family approaches reunification, unsupervised, all-day, overnight and weekend visits should be completed (</w:t>
      </w:r>
      <w:r w:rsidR="00EF55AE">
        <w:rPr>
          <w:rFonts w:ascii="Arial" w:hAnsi="Arial" w:cs="Arial"/>
          <w:sz w:val="20"/>
        </w:rPr>
        <w:t>Wright 2001; Ohio Caseload Initiative Analysis, 2005</w:t>
      </w:r>
      <w:r>
        <w:rPr>
          <w:rFonts w:ascii="Arial" w:hAnsi="Arial" w:cs="Arial"/>
          <w:sz w:val="20"/>
        </w:rPr>
        <w:t>).</w:t>
      </w:r>
    </w:p>
    <w:p w14:paraId="2500CD7F" w14:textId="77777777" w:rsidR="00EF55AE" w:rsidRDefault="00EF55AE" w:rsidP="00EF55AE">
      <w:pPr>
        <w:spacing w:before="120"/>
        <w:ind w:left="567" w:right="567"/>
        <w:jc w:val="both"/>
        <w:rPr>
          <w:rFonts w:ascii="Arial" w:hAnsi="Arial" w:cs="Arial"/>
          <w:sz w:val="20"/>
        </w:rPr>
      </w:pPr>
      <w:r>
        <w:rPr>
          <w:rFonts w:ascii="Arial" w:hAnsi="Arial" w:cs="Arial"/>
          <w:sz w:val="20"/>
        </w:rPr>
        <w:t xml:space="preserve">A young child’s emotional dysregulation following a visit does not necessarily mean the parent did something harmful during the visit (Goldsmith </w:t>
      </w:r>
      <w:r w:rsidRPr="00EF55AE">
        <w:rPr>
          <w:rFonts w:ascii="Arial" w:hAnsi="Arial" w:cs="Arial"/>
          <w:i/>
          <w:sz w:val="20"/>
        </w:rPr>
        <w:t>et al.</w:t>
      </w:r>
      <w:r>
        <w:rPr>
          <w:rFonts w:ascii="Arial" w:hAnsi="Arial" w:cs="Arial"/>
          <w:sz w:val="20"/>
        </w:rPr>
        <w:t xml:space="preserve">, 2004, 2; Wright, 2001, 28-32).  Visitation can be extremely upsetting for children, and it is important to understand the developmental context of their feelings and behaviors.  Very young children cannot understand the separation, and they tend to respond with bewilderment, sadness and grief.  During visits, they may cling or cry, act out, or withdraw from their parent.  At the end of a visit, when another separation is imminent, they may become confused, sad or angry.  Following visits, infants and </w:t>
      </w:r>
      <w:r>
        <w:rPr>
          <w:rFonts w:ascii="Arial" w:hAnsi="Arial" w:cs="Arial"/>
          <w:sz w:val="20"/>
        </w:rPr>
        <w:lastRenderedPageBreak/>
        <w:t>toddlers may show regressive behaviors, depression, physical symptoms, or behavioral problems.  Foster caregivers may need information to help them understand and support young children who are distressed after a visit.</w:t>
      </w:r>
    </w:p>
    <w:p w14:paraId="2AD859C7" w14:textId="77777777" w:rsidR="00EF55AE" w:rsidRDefault="00F033DE" w:rsidP="00EF55AE">
      <w:pPr>
        <w:spacing w:before="120"/>
        <w:ind w:left="567" w:right="567"/>
        <w:jc w:val="both"/>
        <w:rPr>
          <w:rFonts w:ascii="Arial" w:hAnsi="Arial" w:cs="Arial"/>
          <w:sz w:val="20"/>
        </w:rPr>
      </w:pPr>
      <w:r>
        <w:rPr>
          <w:rFonts w:ascii="Arial" w:hAnsi="Arial" w:cs="Arial"/>
          <w:sz w:val="20"/>
        </w:rPr>
        <w:t>Parents also find visits to be a time of emotional upheaval, particularly during the first phase of placement.  Parents often experience pain and sadness resulting from the separation.  They may feel shame, guilt, depression, denial that there is a problem. Anger and/or worry about the child.  During the first visits, the parent is likely to be awkward, tense, and uncertain.  Visit coaches, caseworkers, and foster parents should help the parent process her emotions and help her interact with her child (</w:t>
      </w:r>
      <w:r w:rsidR="00AC7B1A">
        <w:rPr>
          <w:rFonts w:ascii="Arial" w:hAnsi="Arial" w:cs="Arial"/>
          <w:sz w:val="20"/>
        </w:rPr>
        <w:t xml:space="preserve">Wright 2001, 23-28; Haight, W.L. </w:t>
      </w:r>
      <w:r w:rsidR="00AC7B1A" w:rsidRPr="00AC7B1A">
        <w:rPr>
          <w:rFonts w:ascii="Arial" w:hAnsi="Arial" w:cs="Arial"/>
          <w:i/>
          <w:sz w:val="20"/>
        </w:rPr>
        <w:t>et al</w:t>
      </w:r>
      <w:r w:rsidR="00AC7B1A">
        <w:rPr>
          <w:rFonts w:ascii="Arial" w:hAnsi="Arial" w:cs="Arial"/>
          <w:sz w:val="20"/>
        </w:rPr>
        <w:t xml:space="preserve">. “Making Visits Better: The Perspectives of Parents, Foster Parents and Child Welfare Workers” </w:t>
      </w:r>
      <w:r w:rsidR="00AC7B1A" w:rsidRPr="00AC7B1A">
        <w:rPr>
          <w:rFonts w:ascii="Arial" w:hAnsi="Arial" w:cs="Arial"/>
          <w:i/>
          <w:sz w:val="20"/>
        </w:rPr>
        <w:t>Child Welfare</w:t>
      </w:r>
      <w:r w:rsidR="00AC7B1A">
        <w:rPr>
          <w:rFonts w:ascii="Arial" w:hAnsi="Arial" w:cs="Arial"/>
          <w:sz w:val="20"/>
        </w:rPr>
        <w:t xml:space="preserve"> 81(2), 2002, 173-202</w:t>
      </w:r>
      <w:r>
        <w:rPr>
          <w:rFonts w:ascii="Arial" w:hAnsi="Arial" w:cs="Arial"/>
          <w:sz w:val="20"/>
        </w:rPr>
        <w:t>).</w:t>
      </w:r>
    </w:p>
    <w:p w14:paraId="48F8FC90" w14:textId="77777777" w:rsidR="00F033DE" w:rsidRPr="00F033DE" w:rsidRDefault="00F033DE" w:rsidP="00EF55AE">
      <w:pPr>
        <w:spacing w:before="120"/>
        <w:ind w:left="567" w:right="567"/>
        <w:jc w:val="both"/>
        <w:rPr>
          <w:rFonts w:ascii="Arial" w:hAnsi="Arial" w:cs="Arial"/>
          <w:b/>
          <w:sz w:val="20"/>
          <w:u w:val="single"/>
        </w:rPr>
      </w:pPr>
      <w:r w:rsidRPr="00F033DE">
        <w:rPr>
          <w:rFonts w:ascii="Arial" w:hAnsi="Arial" w:cs="Arial"/>
          <w:b/>
          <w:sz w:val="20"/>
          <w:u w:val="single"/>
        </w:rPr>
        <w:t>Ensure frequent sibling contact</w:t>
      </w:r>
    </w:p>
    <w:p w14:paraId="12FDEEEA" w14:textId="77777777" w:rsidR="00F033DE" w:rsidRDefault="00AC7B1A" w:rsidP="00EF55AE">
      <w:pPr>
        <w:spacing w:before="120"/>
        <w:ind w:left="567" w:right="567"/>
        <w:jc w:val="both"/>
        <w:rPr>
          <w:rFonts w:ascii="Arial" w:hAnsi="Arial" w:cs="Arial"/>
          <w:sz w:val="20"/>
        </w:rPr>
      </w:pPr>
      <w:r>
        <w:rPr>
          <w:rFonts w:ascii="Arial" w:hAnsi="Arial" w:cs="Arial"/>
          <w:sz w:val="20"/>
        </w:rPr>
        <w:t xml:space="preserve">The Fostering Connections to Success and Increasing Adoptions Act of 2008 addresses many issues that promote permanency and affect the health and wellbeing of very young children in foster care, including placing greater priority on keeping siblings together.  </w:t>
      </w:r>
      <w:r w:rsidR="00D47E5D">
        <w:rPr>
          <w:rFonts w:ascii="Arial" w:hAnsi="Arial" w:cs="Arial"/>
          <w:sz w:val="20"/>
        </w:rPr>
        <w:t>While placements that can accommodate a very young child’s siblings should be sought, it may be necessary to separate siblings due to the special needs or circumstances of the very young child.  When siblings are not placed together, the importance of siblings to the young child should not be minimized, especially if there is an established bond.  Ensure frequent sibling visits and opportunities to maintain the sibling bond, especially for toddlers and preschools who may perceive their older siblings as caregivers.</w:t>
      </w:r>
    </w:p>
    <w:p w14:paraId="32C34F3D" w14:textId="77777777" w:rsidR="002152DF" w:rsidRDefault="002152DF" w:rsidP="00A37039">
      <w:pPr>
        <w:jc w:val="both"/>
        <w:rPr>
          <w:rFonts w:ascii="Arial" w:hAnsi="Arial" w:cs="Arial"/>
          <w:sz w:val="20"/>
        </w:rPr>
      </w:pPr>
    </w:p>
    <w:p w14:paraId="09C3B4E6" w14:textId="77777777" w:rsidR="00FB0F65" w:rsidRPr="00FB0F65" w:rsidRDefault="00D47E5D" w:rsidP="00FB0F65">
      <w:pPr>
        <w:jc w:val="both"/>
        <w:rPr>
          <w:rFonts w:ascii="Arial" w:hAnsi="Arial" w:cs="Arial"/>
          <w:sz w:val="20"/>
        </w:rPr>
      </w:pPr>
      <w:r>
        <w:rPr>
          <w:rFonts w:ascii="Arial" w:hAnsi="Arial" w:cs="Arial"/>
          <w:sz w:val="20"/>
        </w:rPr>
        <w:t xml:space="preserve">It is important to note that these guidelines </w:t>
      </w:r>
      <w:r w:rsidR="001A647B">
        <w:rPr>
          <w:rFonts w:ascii="Arial" w:hAnsi="Arial" w:cs="Arial"/>
          <w:sz w:val="20"/>
        </w:rPr>
        <w:t>we</w:t>
      </w:r>
      <w:r>
        <w:rPr>
          <w:rFonts w:ascii="Arial" w:hAnsi="Arial" w:cs="Arial"/>
          <w:sz w:val="20"/>
        </w:rPr>
        <w:t xml:space="preserve">re not merely written by lawyers for lawyers.  The guidelines </w:t>
      </w:r>
      <w:r w:rsidR="00B94F90">
        <w:rPr>
          <w:rFonts w:ascii="Arial" w:hAnsi="Arial" w:cs="Arial"/>
          <w:sz w:val="20"/>
        </w:rPr>
        <w:t>were</w:t>
      </w:r>
      <w:r>
        <w:rPr>
          <w:rFonts w:ascii="Arial" w:hAnsi="Arial" w:cs="Arial"/>
          <w:sz w:val="20"/>
        </w:rPr>
        <w:t xml:space="preserve"> prepared by both </w:t>
      </w:r>
      <w:r w:rsidR="001A647B">
        <w:rPr>
          <w:rFonts w:ascii="Arial" w:hAnsi="Arial" w:cs="Arial"/>
          <w:sz w:val="20"/>
        </w:rPr>
        <w:t>lawyers and social scientists</w:t>
      </w:r>
      <w:r w:rsidR="00EE7788">
        <w:rPr>
          <w:rFonts w:ascii="Arial" w:hAnsi="Arial" w:cs="Arial"/>
          <w:sz w:val="20"/>
        </w:rPr>
        <w:t xml:space="preserve">.  </w:t>
      </w:r>
      <w:r>
        <w:rPr>
          <w:rFonts w:ascii="Arial" w:hAnsi="Arial" w:cs="Arial"/>
          <w:sz w:val="20"/>
        </w:rPr>
        <w:t xml:space="preserve">In addition the </w:t>
      </w:r>
      <w:r w:rsidR="00B94F90">
        <w:rPr>
          <w:rFonts w:ascii="Arial" w:hAnsi="Arial" w:cs="Arial"/>
          <w:sz w:val="20"/>
        </w:rPr>
        <w:t>project</w:t>
      </w:r>
      <w:r>
        <w:rPr>
          <w:rFonts w:ascii="Arial" w:hAnsi="Arial" w:cs="Arial"/>
          <w:sz w:val="20"/>
        </w:rPr>
        <w:t xml:space="preserve"> w</w:t>
      </w:r>
      <w:r w:rsidR="00B94F90">
        <w:rPr>
          <w:rFonts w:ascii="Arial" w:hAnsi="Arial" w:cs="Arial"/>
          <w:sz w:val="20"/>
        </w:rPr>
        <w:t>as</w:t>
      </w:r>
      <w:r>
        <w:rPr>
          <w:rFonts w:ascii="Arial" w:hAnsi="Arial" w:cs="Arial"/>
          <w:sz w:val="20"/>
        </w:rPr>
        <w:t xml:space="preserve"> overseen by an Advisory Committee consisting of some of the most </w:t>
      </w:r>
      <w:r w:rsidR="00B94F90">
        <w:rPr>
          <w:rFonts w:ascii="Arial" w:hAnsi="Arial" w:cs="Arial"/>
          <w:sz w:val="20"/>
        </w:rPr>
        <w:t>respected</w:t>
      </w:r>
      <w:r>
        <w:rPr>
          <w:rFonts w:ascii="Arial" w:hAnsi="Arial" w:cs="Arial"/>
          <w:sz w:val="20"/>
        </w:rPr>
        <w:t xml:space="preserve"> American social scientists and judicial officers.  </w:t>
      </w:r>
      <w:r w:rsidR="001A647B">
        <w:rPr>
          <w:rFonts w:ascii="Arial" w:hAnsi="Arial" w:cs="Arial"/>
          <w:sz w:val="20"/>
        </w:rPr>
        <w:t>These include Dr Joy D. Osofsky (Professor of Public Health, Psychiatry &amp; Paediatrics at Louisiana State University Health Sciences Center), Dr Sheri L Hill (Early Childhood Policy Specialist Seattle, WA), Dr Brenda Jones Harden (Institute for Child Study, University of Maryland, College Park</w:t>
      </w:r>
      <w:r w:rsidR="00BF48B5">
        <w:rPr>
          <w:rFonts w:ascii="Arial" w:hAnsi="Arial" w:cs="Arial"/>
          <w:sz w:val="20"/>
        </w:rPr>
        <w:t>,</w:t>
      </w:r>
      <w:r w:rsidR="001A647B">
        <w:rPr>
          <w:rFonts w:ascii="Arial" w:hAnsi="Arial" w:cs="Arial"/>
          <w:sz w:val="20"/>
        </w:rPr>
        <w:t xml:space="preserve"> MD), </w:t>
      </w:r>
      <w:r w:rsidR="00BF48B5">
        <w:rPr>
          <w:rFonts w:ascii="Arial" w:hAnsi="Arial" w:cs="Arial"/>
          <w:sz w:val="20"/>
        </w:rPr>
        <w:t>The Honorable Pamela L Abernethy (Marion County Circuit Court Salem, OR) and The Honorable Katherine Lucero (Superior Court, Santa Clara County, San Jose, CA).</w:t>
      </w:r>
      <w:r w:rsidR="00EE7788">
        <w:rPr>
          <w:rFonts w:ascii="Arial" w:hAnsi="Arial" w:cs="Arial"/>
          <w:sz w:val="20"/>
        </w:rPr>
        <w:t xml:space="preserve">  It is also important to note that operation of the guidelines is not simply confined to one small state.  They are </w:t>
      </w:r>
      <w:r w:rsidR="00547131">
        <w:rPr>
          <w:rFonts w:ascii="Arial" w:hAnsi="Arial" w:cs="Arial"/>
          <w:sz w:val="20"/>
        </w:rPr>
        <w:t xml:space="preserve">intended </w:t>
      </w:r>
      <w:r w:rsidR="00EE7788">
        <w:rPr>
          <w:rFonts w:ascii="Arial" w:hAnsi="Arial" w:cs="Arial"/>
          <w:sz w:val="20"/>
        </w:rPr>
        <w:t xml:space="preserve">for </w:t>
      </w:r>
      <w:r w:rsidR="00547131">
        <w:rPr>
          <w:rFonts w:ascii="Arial" w:hAnsi="Arial" w:cs="Arial"/>
          <w:sz w:val="20"/>
        </w:rPr>
        <w:t xml:space="preserve">application in </w:t>
      </w:r>
      <w:r w:rsidR="00EE7788">
        <w:rPr>
          <w:rFonts w:ascii="Arial" w:hAnsi="Arial" w:cs="Arial"/>
          <w:sz w:val="20"/>
        </w:rPr>
        <w:t xml:space="preserve">the whole of the </w:t>
      </w:r>
      <w:smartTag w:uri="urn:schemas-microsoft-com:office:smarttags" w:element="country-region">
        <w:smartTag w:uri="urn:schemas-microsoft-com:office:smarttags" w:element="place">
          <w:r w:rsidR="00EE7788">
            <w:rPr>
              <w:rFonts w:ascii="Arial" w:hAnsi="Arial" w:cs="Arial"/>
              <w:sz w:val="20"/>
            </w:rPr>
            <w:t>U.S.A.</w:t>
          </w:r>
        </w:smartTag>
      </w:smartTag>
      <w:r w:rsidR="00EE7788">
        <w:rPr>
          <w:rFonts w:ascii="Arial" w:hAnsi="Arial" w:cs="Arial"/>
          <w:sz w:val="20"/>
        </w:rPr>
        <w:t xml:space="preserve">  As Justice Abernethy says: “This guide helps to ensure that </w:t>
      </w:r>
      <w:r w:rsidR="00EE7788" w:rsidRPr="00806118">
        <w:rPr>
          <w:rFonts w:ascii="Arial" w:hAnsi="Arial" w:cs="Arial"/>
          <w:b/>
          <w:sz w:val="20"/>
          <w:u w:val="single"/>
        </w:rPr>
        <w:t>as a nation</w:t>
      </w:r>
      <w:r w:rsidR="00EE7788">
        <w:rPr>
          <w:rFonts w:ascii="Arial" w:hAnsi="Arial" w:cs="Arial"/>
          <w:sz w:val="20"/>
        </w:rPr>
        <w:t>, we equip the bench to do better by babies every day.  Judges can be key players in breaking the intergenerational cycle of abuse and neglect…Let’s act now.  Let’s usher in a new future now, one baby at a time.”</w:t>
      </w:r>
      <w:r w:rsidR="00806118">
        <w:rPr>
          <w:rFonts w:ascii="Arial" w:hAnsi="Arial" w:cs="Arial"/>
          <w:sz w:val="20"/>
        </w:rPr>
        <w:t xml:space="preserve"> [Emphasis added]</w:t>
      </w:r>
    </w:p>
    <w:p w14:paraId="33FF97F3" w14:textId="77777777" w:rsidR="00490AD2" w:rsidRDefault="00490AD2" w:rsidP="00A37039">
      <w:pPr>
        <w:jc w:val="both"/>
        <w:rPr>
          <w:rFonts w:ascii="Arial" w:hAnsi="Arial" w:cs="Arial"/>
          <w:sz w:val="20"/>
        </w:rPr>
      </w:pPr>
    </w:p>
    <w:p w14:paraId="6F750830" w14:textId="77777777" w:rsidR="00B94F90" w:rsidRDefault="00B94F90" w:rsidP="00BE5170">
      <w:pPr>
        <w:jc w:val="both"/>
        <w:rPr>
          <w:rFonts w:ascii="Arial" w:hAnsi="Arial" w:cs="Arial"/>
          <w:sz w:val="20"/>
        </w:rPr>
      </w:pPr>
      <w:r>
        <w:rPr>
          <w:rFonts w:ascii="Arial" w:hAnsi="Arial" w:cs="Arial"/>
          <w:sz w:val="20"/>
        </w:rPr>
        <w:t xml:space="preserve">An electronic copy of the American judicial guidelines </w:t>
      </w:r>
      <w:r w:rsidR="00547131">
        <w:rPr>
          <w:rFonts w:ascii="Arial" w:hAnsi="Arial" w:cs="Arial"/>
          <w:sz w:val="20"/>
        </w:rPr>
        <w:t xml:space="preserve">2009 </w:t>
      </w:r>
      <w:r>
        <w:rPr>
          <w:rFonts w:ascii="Arial" w:hAnsi="Arial" w:cs="Arial"/>
          <w:sz w:val="20"/>
        </w:rPr>
        <w:t xml:space="preserve">can be downloaded from the website of the </w:t>
      </w:r>
      <w:r w:rsidR="00722D9E">
        <w:rPr>
          <w:rFonts w:ascii="Arial" w:hAnsi="Arial" w:cs="Arial"/>
          <w:sz w:val="20"/>
        </w:rPr>
        <w:t xml:space="preserve">American Bar Association </w:t>
      </w:r>
      <w:hyperlink r:id="rId19" w:history="1">
        <w:r w:rsidR="00722D9E" w:rsidRPr="00AF707D">
          <w:rPr>
            <w:rStyle w:val="Hyperlink"/>
            <w:rFonts w:ascii="Arial" w:hAnsi="Arial" w:cs="Arial"/>
            <w:sz w:val="20"/>
          </w:rPr>
          <w:t>www.abanet.org</w:t>
        </w:r>
      </w:hyperlink>
      <w:r w:rsidR="00722D9E">
        <w:rPr>
          <w:rFonts w:ascii="Arial" w:hAnsi="Arial" w:cs="Arial"/>
          <w:sz w:val="20"/>
        </w:rPr>
        <w:t xml:space="preserve">.  The </w:t>
      </w:r>
      <w:smartTag w:uri="urn:schemas-microsoft-com:office:smarttags" w:element="place">
        <w:smartTag w:uri="urn:schemas-microsoft-com:office:smarttags" w:element="City">
          <w:r w:rsidR="00722D9E">
            <w:rPr>
              <w:rFonts w:ascii="Arial" w:hAnsi="Arial" w:cs="Arial"/>
              <w:sz w:val="20"/>
            </w:rPr>
            <w:t>ABA</w:t>
          </w:r>
        </w:smartTag>
      </w:smartTag>
      <w:r w:rsidR="00722D9E">
        <w:rPr>
          <w:rFonts w:ascii="Arial" w:hAnsi="Arial" w:cs="Arial"/>
          <w:sz w:val="20"/>
        </w:rPr>
        <w:t xml:space="preserve"> - whose catchcry is “Defending Liberty, Pursuing Justice” - is the largest professional organization in the world and provides services, including educational services, to almost every area of the legal profession.  The Zero to </w:t>
      </w:r>
      <w:smartTag w:uri="urn:schemas-microsoft-com:office:smarttags" w:element="place">
        <w:smartTag w:uri="urn:schemas-microsoft-com:office:smarttags" w:element="PlaceName">
          <w:r w:rsidR="00722D9E">
            <w:rPr>
              <w:rFonts w:ascii="Arial" w:hAnsi="Arial" w:cs="Arial"/>
              <w:sz w:val="20"/>
            </w:rPr>
            <w:t>Three</w:t>
          </w:r>
        </w:smartTag>
        <w:r w:rsidR="00722D9E">
          <w:rPr>
            <w:rFonts w:ascii="Arial" w:hAnsi="Arial" w:cs="Arial"/>
            <w:sz w:val="20"/>
          </w:rPr>
          <w:t xml:space="preserve"> </w:t>
        </w:r>
        <w:smartTag w:uri="urn:schemas-microsoft-com:office:smarttags" w:element="PlaceName">
          <w:r w:rsidR="00722D9E">
            <w:rPr>
              <w:rFonts w:ascii="Arial" w:hAnsi="Arial" w:cs="Arial"/>
              <w:sz w:val="20"/>
            </w:rPr>
            <w:t>National</w:t>
          </w:r>
        </w:smartTag>
        <w:r w:rsidR="00722D9E">
          <w:rPr>
            <w:rFonts w:ascii="Arial" w:hAnsi="Arial" w:cs="Arial"/>
            <w:sz w:val="20"/>
          </w:rPr>
          <w:t xml:space="preserve"> </w:t>
        </w:r>
        <w:smartTag w:uri="urn:schemas-microsoft-com:office:smarttags" w:element="PlaceName">
          <w:r w:rsidR="00722D9E">
            <w:rPr>
              <w:rFonts w:ascii="Arial" w:hAnsi="Arial" w:cs="Arial"/>
              <w:sz w:val="20"/>
            </w:rPr>
            <w:t>Policy</w:t>
          </w:r>
        </w:smartTag>
        <w:r w:rsidR="00722D9E">
          <w:rPr>
            <w:rFonts w:ascii="Arial" w:hAnsi="Arial" w:cs="Arial"/>
            <w:sz w:val="20"/>
          </w:rPr>
          <w:t xml:space="preserve"> </w:t>
        </w:r>
        <w:proofErr w:type="spellStart"/>
        <w:smartTag w:uri="urn:schemas-microsoft-com:office:smarttags" w:element="PlaceType">
          <w:r w:rsidR="00722D9E">
            <w:rPr>
              <w:rFonts w:ascii="Arial" w:hAnsi="Arial" w:cs="Arial"/>
              <w:sz w:val="20"/>
            </w:rPr>
            <w:t>Center</w:t>
          </w:r>
        </w:smartTag>
      </w:smartTag>
      <w:proofErr w:type="spellEnd"/>
      <w:r w:rsidR="00722D9E">
        <w:rPr>
          <w:rFonts w:ascii="Arial" w:hAnsi="Arial" w:cs="Arial"/>
          <w:sz w:val="20"/>
        </w:rPr>
        <w:t xml:space="preserve">, whose website is </w:t>
      </w:r>
      <w:hyperlink r:id="rId20" w:history="1">
        <w:r w:rsidR="00C36CC7" w:rsidRPr="00AF707D">
          <w:rPr>
            <w:rStyle w:val="Hyperlink"/>
            <w:rFonts w:ascii="Arial" w:hAnsi="Arial" w:cs="Arial"/>
            <w:sz w:val="20"/>
          </w:rPr>
          <w:t>www.zerotothree.org</w:t>
        </w:r>
      </w:hyperlink>
      <w:r w:rsidR="00722D9E">
        <w:rPr>
          <w:rFonts w:ascii="Arial" w:hAnsi="Arial" w:cs="Arial"/>
          <w:sz w:val="20"/>
        </w:rPr>
        <w:t>, is a non-partisan, research-based resource for American federal</w:t>
      </w:r>
      <w:r w:rsidR="00316C68">
        <w:rPr>
          <w:rFonts w:ascii="Arial" w:hAnsi="Arial" w:cs="Arial"/>
          <w:sz w:val="20"/>
        </w:rPr>
        <w:t xml:space="preserve"> </w:t>
      </w:r>
      <w:r w:rsidR="00722D9E">
        <w:rPr>
          <w:rFonts w:ascii="Arial" w:hAnsi="Arial" w:cs="Arial"/>
          <w:sz w:val="20"/>
        </w:rPr>
        <w:t xml:space="preserve">and state policymakers and advocates on the unique developmental needs of infants and toddlers.  </w:t>
      </w:r>
      <w:r w:rsidR="00DD072C">
        <w:rPr>
          <w:rFonts w:ascii="Arial" w:hAnsi="Arial" w:cs="Arial"/>
          <w:sz w:val="20"/>
        </w:rPr>
        <w:t xml:space="preserve">The eminent Dr Joy D Osofsky is the organization’s President-Elect.  </w:t>
      </w:r>
      <w:r w:rsidR="00722D9E">
        <w:rPr>
          <w:rFonts w:ascii="Arial" w:hAnsi="Arial" w:cs="Arial"/>
          <w:sz w:val="20"/>
        </w:rPr>
        <w:t xml:space="preserve">The </w:t>
      </w:r>
      <w:smartTag w:uri="urn:schemas-microsoft-com:office:smarttags" w:element="PlaceName">
        <w:r w:rsidR="00722D9E">
          <w:rPr>
            <w:rFonts w:ascii="Arial" w:hAnsi="Arial" w:cs="Arial"/>
            <w:sz w:val="20"/>
          </w:rPr>
          <w:t>Policy</w:t>
        </w:r>
      </w:smartTag>
      <w:r w:rsidR="00722D9E">
        <w:rPr>
          <w:rFonts w:ascii="Arial" w:hAnsi="Arial" w:cs="Arial"/>
          <w:sz w:val="20"/>
        </w:rPr>
        <w:t xml:space="preserve"> </w:t>
      </w:r>
      <w:proofErr w:type="spellStart"/>
      <w:smartTag w:uri="urn:schemas-microsoft-com:office:smarttags" w:element="PlaceType">
        <w:r w:rsidR="00722D9E">
          <w:rPr>
            <w:rFonts w:ascii="Arial" w:hAnsi="Arial" w:cs="Arial"/>
            <w:sz w:val="20"/>
          </w:rPr>
          <w:t>Center</w:t>
        </w:r>
      </w:smartTag>
      <w:proofErr w:type="spellEnd"/>
      <w:r w:rsidR="00722D9E">
        <w:rPr>
          <w:rFonts w:ascii="Arial" w:hAnsi="Arial" w:cs="Arial"/>
          <w:sz w:val="20"/>
        </w:rPr>
        <w:t xml:space="preserve"> brings to bear the organization’s more than 30 years of research-based expertise on</w:t>
      </w:r>
      <w:r w:rsidR="00316C68">
        <w:rPr>
          <w:rFonts w:ascii="Arial" w:hAnsi="Arial" w:cs="Arial"/>
          <w:sz w:val="20"/>
        </w:rPr>
        <w:t xml:space="preserve"> infant and toddler development to ensure that American public policies reflect best practices and current research in support of </w:t>
      </w:r>
      <w:smartTag w:uri="urn:schemas-microsoft-com:office:smarttags" w:element="place">
        <w:smartTag w:uri="urn:schemas-microsoft-com:office:smarttags" w:element="country-region">
          <w:r w:rsidR="00316C68">
            <w:rPr>
              <w:rFonts w:ascii="Arial" w:hAnsi="Arial" w:cs="Arial"/>
              <w:sz w:val="20"/>
            </w:rPr>
            <w:t>America</w:t>
          </w:r>
        </w:smartTag>
      </w:smartTag>
      <w:r w:rsidR="00316C68">
        <w:rPr>
          <w:rFonts w:ascii="Arial" w:hAnsi="Arial" w:cs="Arial"/>
          <w:sz w:val="20"/>
        </w:rPr>
        <w:t xml:space="preserve">’s very young children.  The name of the National Council of Juvenile and Family Court </w:t>
      </w:r>
      <w:r w:rsidR="00876B84">
        <w:rPr>
          <w:rFonts w:ascii="Arial" w:hAnsi="Arial" w:cs="Arial"/>
          <w:sz w:val="20"/>
        </w:rPr>
        <w:t>J</w:t>
      </w:r>
      <w:r w:rsidR="00316C68">
        <w:rPr>
          <w:rFonts w:ascii="Arial" w:hAnsi="Arial" w:cs="Arial"/>
          <w:sz w:val="20"/>
        </w:rPr>
        <w:t xml:space="preserve">udges speaks for itself.  </w:t>
      </w:r>
      <w:r w:rsidR="00216B97">
        <w:rPr>
          <w:rFonts w:ascii="Arial" w:hAnsi="Arial" w:cs="Arial"/>
          <w:sz w:val="20"/>
        </w:rPr>
        <w:t>It is difficult to think of a more diverse and authoritative professional group than that which was responsible for the generation of the American judicial guidelines 2009.</w:t>
      </w:r>
    </w:p>
    <w:p w14:paraId="77C7FB24" w14:textId="77777777" w:rsidR="00B94F90" w:rsidRDefault="00B94F90" w:rsidP="00A37039">
      <w:pPr>
        <w:jc w:val="both"/>
        <w:rPr>
          <w:rFonts w:ascii="Arial" w:hAnsi="Arial" w:cs="Arial"/>
          <w:sz w:val="20"/>
        </w:rPr>
      </w:pPr>
    </w:p>
    <w:p w14:paraId="4DFA8EE3" w14:textId="77777777" w:rsidR="00BE5170" w:rsidRPr="00CA2663" w:rsidRDefault="00FB0F65" w:rsidP="00BE5170">
      <w:pPr>
        <w:pStyle w:val="Heading3"/>
        <w:keepNext/>
        <w:keepLines/>
        <w:spacing w:line="240" w:lineRule="auto"/>
        <w:rPr>
          <w:rFonts w:ascii="Arial" w:hAnsi="Arial" w:cs="Arial"/>
          <w:sz w:val="20"/>
          <w:lang w:val="en-US"/>
        </w:rPr>
      </w:pPr>
      <w:bookmarkStart w:id="1689" w:name="_4.14.4__Contact"/>
      <w:bookmarkStart w:id="1690" w:name="B4144"/>
      <w:bookmarkEnd w:id="1689"/>
      <w:bookmarkEnd w:id="1690"/>
      <w:r w:rsidRPr="006679D2">
        <w:rPr>
          <w:rFonts w:ascii="Arial" w:hAnsi="Arial" w:cs="Arial"/>
          <w:b/>
          <w:bCs/>
          <w:color w:val="000000"/>
          <w:sz w:val="20"/>
        </w:rPr>
        <w:t>4.14.4</w:t>
      </w:r>
      <w:r w:rsidRPr="006679D2">
        <w:rPr>
          <w:rFonts w:ascii="Arial" w:hAnsi="Arial" w:cs="Arial"/>
          <w:b/>
          <w:bCs/>
          <w:color w:val="000000"/>
          <w:sz w:val="20"/>
        </w:rPr>
        <w:tab/>
      </w:r>
      <w:r w:rsidRPr="006679D2">
        <w:rPr>
          <w:rFonts w:ascii="Arial" w:hAnsi="Arial" w:cs="Arial"/>
          <w:b/>
          <w:bCs/>
          <w:color w:val="000000"/>
          <w:sz w:val="20"/>
        </w:rPr>
        <w:tab/>
      </w:r>
      <w:r w:rsidR="00CF6AAD" w:rsidRPr="006679D2">
        <w:rPr>
          <w:rFonts w:ascii="Arial" w:hAnsi="Arial" w:cs="Arial"/>
          <w:b/>
          <w:bCs/>
          <w:color w:val="000000"/>
          <w:sz w:val="20"/>
        </w:rPr>
        <w:t>Contact</w:t>
      </w:r>
      <w:r w:rsidRPr="006679D2">
        <w:rPr>
          <w:rFonts w:ascii="Arial" w:hAnsi="Arial" w:cs="Arial"/>
          <w:b/>
          <w:bCs/>
          <w:color w:val="000000"/>
          <w:sz w:val="20"/>
        </w:rPr>
        <w:t xml:space="preserve"> conditions </w:t>
      </w:r>
      <w:r w:rsidR="00310561" w:rsidRPr="006679D2">
        <w:rPr>
          <w:rFonts w:ascii="Arial" w:hAnsi="Arial" w:cs="Arial"/>
          <w:b/>
          <w:bCs/>
          <w:color w:val="000000"/>
          <w:sz w:val="20"/>
        </w:rPr>
        <w:t xml:space="preserve">are </w:t>
      </w:r>
      <w:r w:rsidRPr="006679D2">
        <w:rPr>
          <w:rFonts w:ascii="Arial" w:hAnsi="Arial" w:cs="Arial"/>
          <w:b/>
          <w:bCs/>
          <w:color w:val="000000"/>
          <w:sz w:val="20"/>
        </w:rPr>
        <w:t>an integral part of a court order</w:t>
      </w:r>
    </w:p>
    <w:p w14:paraId="20486937" w14:textId="77777777" w:rsidR="00FB0F65" w:rsidRDefault="00FB0F65" w:rsidP="00BE5170">
      <w:pPr>
        <w:jc w:val="both"/>
        <w:rPr>
          <w:rFonts w:ascii="Arial" w:hAnsi="Arial" w:cs="Arial"/>
          <w:sz w:val="20"/>
        </w:rPr>
      </w:pPr>
    </w:p>
    <w:p w14:paraId="14F93927" w14:textId="77777777" w:rsidR="00FB0F65" w:rsidRPr="006679D2" w:rsidRDefault="00454BD5" w:rsidP="00A37039">
      <w:pPr>
        <w:jc w:val="both"/>
        <w:rPr>
          <w:rFonts w:ascii="Arial" w:hAnsi="Arial" w:cs="Arial"/>
          <w:color w:val="000000"/>
          <w:sz w:val="20"/>
        </w:rPr>
      </w:pPr>
      <w:r>
        <w:rPr>
          <w:rFonts w:ascii="Arial" w:hAnsi="Arial" w:cs="Arial"/>
          <w:sz w:val="20"/>
        </w:rPr>
        <w:t xml:space="preserve">Section </w:t>
      </w:r>
      <w:r w:rsidR="004D0346">
        <w:rPr>
          <w:rFonts w:ascii="Arial" w:hAnsi="Arial" w:cs="Arial"/>
          <w:sz w:val="20"/>
        </w:rPr>
        <w:t xml:space="preserve">10(3) of the CYFA sets out 18 matters to which the Court must have regard in determining whether a decision or action is in </w:t>
      </w:r>
      <w:r>
        <w:rPr>
          <w:rFonts w:ascii="Arial" w:hAnsi="Arial" w:cs="Arial"/>
          <w:sz w:val="20"/>
        </w:rPr>
        <w:t>the best interests of a child. As the writer has noted</w:t>
      </w:r>
      <w:r w:rsidR="00E75912">
        <w:rPr>
          <w:rFonts w:ascii="Arial" w:hAnsi="Arial" w:cs="Arial"/>
          <w:sz w:val="20"/>
        </w:rPr>
        <w:t xml:space="preserve"> above</w:t>
      </w:r>
      <w:r>
        <w:rPr>
          <w:rFonts w:ascii="Arial" w:hAnsi="Arial" w:cs="Arial"/>
          <w:sz w:val="20"/>
        </w:rPr>
        <w:t>, p</w:t>
      </w:r>
      <w:r w:rsidR="004D0346">
        <w:rPr>
          <w:rFonts w:ascii="Arial" w:hAnsi="Arial" w:cs="Arial"/>
          <w:sz w:val="20"/>
        </w:rPr>
        <w:t xml:space="preserve">aragraph (k) of that </w:t>
      </w:r>
      <w:r w:rsidR="001040F9">
        <w:rPr>
          <w:rFonts w:ascii="Arial" w:hAnsi="Arial" w:cs="Arial"/>
          <w:sz w:val="20"/>
        </w:rPr>
        <w:t>sub-</w:t>
      </w:r>
      <w:r w:rsidR="004D0346">
        <w:rPr>
          <w:rFonts w:ascii="Arial" w:hAnsi="Arial" w:cs="Arial"/>
          <w:sz w:val="20"/>
        </w:rPr>
        <w:t>section provides that the Court must give consideration to</w:t>
      </w:r>
      <w:r w:rsidR="00DB3C4C">
        <w:rPr>
          <w:rFonts w:ascii="Arial" w:hAnsi="Arial" w:cs="Arial"/>
          <w:sz w:val="20"/>
        </w:rPr>
        <w:t xml:space="preserve"> “</w:t>
      </w:r>
      <w:r w:rsidR="00CF6AAD" w:rsidRPr="006679D2">
        <w:rPr>
          <w:rFonts w:ascii="Arial" w:hAnsi="Arial" w:cs="Arial"/>
          <w:color w:val="000000"/>
          <w:sz w:val="20"/>
        </w:rPr>
        <w:t>contact</w:t>
      </w:r>
      <w:r w:rsidR="00DB3C4C" w:rsidRPr="006679D2">
        <w:rPr>
          <w:rFonts w:ascii="Arial" w:hAnsi="Arial" w:cs="Arial"/>
          <w:color w:val="000000"/>
          <w:sz w:val="20"/>
        </w:rPr>
        <w:t xml:space="preserve"> arrangements between the child and the child’s parents, siblings, family members and other persons significant to the child”.</w:t>
      </w:r>
    </w:p>
    <w:p w14:paraId="38123C4C" w14:textId="77777777" w:rsidR="00454BD5" w:rsidRPr="006679D2" w:rsidRDefault="00454BD5" w:rsidP="00A37039">
      <w:pPr>
        <w:jc w:val="both"/>
        <w:rPr>
          <w:rFonts w:ascii="Arial" w:hAnsi="Arial" w:cs="Arial"/>
          <w:color w:val="000000"/>
          <w:sz w:val="20"/>
        </w:rPr>
      </w:pPr>
    </w:p>
    <w:p w14:paraId="2EA0131E" w14:textId="77777777" w:rsidR="00454BD5" w:rsidRPr="006679D2" w:rsidRDefault="00454BD5" w:rsidP="00A37039">
      <w:pPr>
        <w:jc w:val="both"/>
        <w:rPr>
          <w:rFonts w:ascii="Arial" w:hAnsi="Arial" w:cs="Arial"/>
          <w:color w:val="000000"/>
          <w:sz w:val="20"/>
        </w:rPr>
      </w:pPr>
      <w:r w:rsidRPr="006679D2">
        <w:rPr>
          <w:rFonts w:ascii="Arial" w:hAnsi="Arial" w:cs="Arial"/>
          <w:color w:val="000000"/>
          <w:sz w:val="20"/>
        </w:rPr>
        <w:t xml:space="preserve">It appears that </w:t>
      </w:r>
      <w:r w:rsidR="00E75912" w:rsidRPr="006679D2">
        <w:rPr>
          <w:rFonts w:ascii="Arial" w:hAnsi="Arial" w:cs="Arial"/>
          <w:color w:val="000000"/>
          <w:sz w:val="20"/>
        </w:rPr>
        <w:t xml:space="preserve">recently </w:t>
      </w:r>
      <w:r w:rsidR="00785D2D">
        <w:rPr>
          <w:rFonts w:ascii="Arial" w:hAnsi="Arial" w:cs="Arial"/>
          <w:color w:val="000000"/>
          <w:sz w:val="20"/>
        </w:rPr>
        <w:t>DFFH</w:t>
      </w:r>
      <w:r w:rsidR="00D8131F" w:rsidRPr="006679D2">
        <w:rPr>
          <w:rFonts w:ascii="Arial" w:hAnsi="Arial" w:cs="Arial"/>
          <w:color w:val="000000"/>
          <w:sz w:val="20"/>
        </w:rPr>
        <w:t xml:space="preserve"> </w:t>
      </w:r>
      <w:r w:rsidR="000402B6" w:rsidRPr="006679D2">
        <w:rPr>
          <w:rFonts w:ascii="Arial" w:hAnsi="Arial" w:cs="Arial"/>
          <w:color w:val="000000"/>
          <w:sz w:val="20"/>
        </w:rPr>
        <w:t xml:space="preserve">has </w:t>
      </w:r>
      <w:r w:rsidR="0021434F" w:rsidRPr="006679D2">
        <w:rPr>
          <w:rFonts w:ascii="Arial" w:hAnsi="Arial" w:cs="Arial"/>
          <w:color w:val="000000"/>
          <w:sz w:val="20"/>
        </w:rPr>
        <w:t xml:space="preserve">been championing a view that conditions relating to child </w:t>
      </w:r>
      <w:r w:rsidR="00CF6AAD" w:rsidRPr="006679D2">
        <w:rPr>
          <w:rFonts w:ascii="Arial" w:hAnsi="Arial" w:cs="Arial"/>
          <w:color w:val="000000"/>
          <w:sz w:val="20"/>
        </w:rPr>
        <w:t>contact</w:t>
      </w:r>
      <w:r w:rsidR="0021434F" w:rsidRPr="006679D2">
        <w:rPr>
          <w:rFonts w:ascii="Arial" w:hAnsi="Arial" w:cs="Arial"/>
          <w:color w:val="000000"/>
          <w:sz w:val="20"/>
        </w:rPr>
        <w:t xml:space="preserve"> should be determined </w:t>
      </w:r>
      <w:r w:rsidR="00A736FD" w:rsidRPr="006679D2">
        <w:rPr>
          <w:rFonts w:ascii="Arial" w:hAnsi="Arial" w:cs="Arial"/>
          <w:color w:val="000000"/>
          <w:sz w:val="20"/>
        </w:rPr>
        <w:t>administratively</w:t>
      </w:r>
      <w:r w:rsidR="00D8131F" w:rsidRPr="006679D2">
        <w:rPr>
          <w:rFonts w:ascii="Arial" w:hAnsi="Arial" w:cs="Arial"/>
          <w:color w:val="000000"/>
          <w:sz w:val="20"/>
        </w:rPr>
        <w:t xml:space="preserve"> </w:t>
      </w:r>
      <w:r w:rsidR="0021434F" w:rsidRPr="006679D2">
        <w:rPr>
          <w:rFonts w:ascii="Arial" w:hAnsi="Arial" w:cs="Arial"/>
          <w:color w:val="000000"/>
          <w:sz w:val="20"/>
        </w:rPr>
        <w:t xml:space="preserve">and should not be justiciable in the Children’s Court.  </w:t>
      </w:r>
      <w:r w:rsidR="00D8131F" w:rsidRPr="006679D2">
        <w:rPr>
          <w:rFonts w:ascii="Arial" w:hAnsi="Arial" w:cs="Arial"/>
          <w:color w:val="000000"/>
          <w:sz w:val="20"/>
        </w:rPr>
        <w:t xml:space="preserve">In the writer’s view that would be </w:t>
      </w:r>
      <w:r w:rsidR="00A736FD" w:rsidRPr="006679D2">
        <w:rPr>
          <w:rFonts w:ascii="Arial" w:hAnsi="Arial" w:cs="Arial"/>
          <w:color w:val="000000"/>
          <w:sz w:val="20"/>
        </w:rPr>
        <w:t>unwise</w:t>
      </w:r>
      <w:r w:rsidR="00D8131F" w:rsidRPr="006679D2">
        <w:rPr>
          <w:rFonts w:ascii="Arial" w:hAnsi="Arial" w:cs="Arial"/>
          <w:color w:val="000000"/>
          <w:sz w:val="20"/>
        </w:rPr>
        <w:t xml:space="preserve">.  There is no doubt that </w:t>
      </w:r>
      <w:r w:rsidR="00785D2D">
        <w:rPr>
          <w:rFonts w:ascii="Arial" w:hAnsi="Arial" w:cs="Arial"/>
          <w:color w:val="000000"/>
          <w:sz w:val="20"/>
        </w:rPr>
        <w:t>DFFH</w:t>
      </w:r>
      <w:r w:rsidR="00D8131F" w:rsidRPr="006679D2">
        <w:rPr>
          <w:rFonts w:ascii="Arial" w:hAnsi="Arial" w:cs="Arial"/>
          <w:color w:val="000000"/>
          <w:sz w:val="20"/>
        </w:rPr>
        <w:t xml:space="preserve"> enthusiastically adopted the “Baby on Board” </w:t>
      </w:r>
      <w:r w:rsidR="000402B6" w:rsidRPr="006679D2">
        <w:rPr>
          <w:rFonts w:ascii="Arial" w:hAnsi="Arial" w:cs="Arial"/>
          <w:color w:val="000000"/>
          <w:sz w:val="20"/>
        </w:rPr>
        <w:t xml:space="preserve">report.  But </w:t>
      </w:r>
      <w:r w:rsidR="00247BF7" w:rsidRPr="006679D2">
        <w:rPr>
          <w:rFonts w:ascii="Arial" w:hAnsi="Arial" w:cs="Arial"/>
          <w:color w:val="000000"/>
          <w:sz w:val="20"/>
        </w:rPr>
        <w:t xml:space="preserve">“Baby on Board” </w:t>
      </w:r>
      <w:r w:rsidR="000402B6" w:rsidRPr="006679D2">
        <w:rPr>
          <w:rFonts w:ascii="Arial" w:hAnsi="Arial" w:cs="Arial"/>
          <w:color w:val="000000"/>
          <w:sz w:val="20"/>
        </w:rPr>
        <w:t xml:space="preserve">is only one of a number of diverse </w:t>
      </w:r>
      <w:r w:rsidR="00247BF7" w:rsidRPr="006679D2">
        <w:rPr>
          <w:rFonts w:ascii="Arial" w:hAnsi="Arial" w:cs="Arial"/>
          <w:color w:val="000000"/>
          <w:sz w:val="20"/>
        </w:rPr>
        <w:t>vie</w:t>
      </w:r>
      <w:r w:rsidR="00247BF7">
        <w:rPr>
          <w:rFonts w:ascii="Arial" w:hAnsi="Arial" w:cs="Arial"/>
          <w:sz w:val="20"/>
        </w:rPr>
        <w:t>w</w:t>
      </w:r>
      <w:r w:rsidR="000402B6">
        <w:rPr>
          <w:rFonts w:ascii="Arial" w:hAnsi="Arial" w:cs="Arial"/>
          <w:sz w:val="20"/>
        </w:rPr>
        <w:t xml:space="preserve">s, a view </w:t>
      </w:r>
      <w:r w:rsidR="00E75912">
        <w:rPr>
          <w:rFonts w:ascii="Arial" w:hAnsi="Arial" w:cs="Arial"/>
          <w:sz w:val="20"/>
        </w:rPr>
        <w:t xml:space="preserve">moreover </w:t>
      </w:r>
      <w:r w:rsidR="00547131">
        <w:rPr>
          <w:rFonts w:ascii="Arial" w:hAnsi="Arial" w:cs="Arial"/>
          <w:sz w:val="20"/>
        </w:rPr>
        <w:t xml:space="preserve">which is diametrically </w:t>
      </w:r>
      <w:r w:rsidR="00436120">
        <w:rPr>
          <w:rFonts w:ascii="Arial" w:hAnsi="Arial" w:cs="Arial"/>
          <w:sz w:val="20"/>
        </w:rPr>
        <w:t>at odds with</w:t>
      </w:r>
      <w:r w:rsidR="000402B6">
        <w:rPr>
          <w:rFonts w:ascii="Arial" w:hAnsi="Arial" w:cs="Arial"/>
          <w:sz w:val="20"/>
        </w:rPr>
        <w:t xml:space="preserve"> </w:t>
      </w:r>
      <w:r w:rsidR="00436120">
        <w:rPr>
          <w:rFonts w:ascii="Arial" w:hAnsi="Arial" w:cs="Arial"/>
          <w:sz w:val="20"/>
        </w:rPr>
        <w:t>the</w:t>
      </w:r>
      <w:r w:rsidR="00806118">
        <w:rPr>
          <w:rFonts w:ascii="Arial" w:hAnsi="Arial" w:cs="Arial"/>
          <w:sz w:val="20"/>
        </w:rPr>
        <w:t xml:space="preserve"> </w:t>
      </w:r>
      <w:r w:rsidR="000402B6">
        <w:rPr>
          <w:rFonts w:ascii="Arial" w:hAnsi="Arial" w:cs="Arial"/>
          <w:sz w:val="20"/>
        </w:rPr>
        <w:t xml:space="preserve">modern </w:t>
      </w:r>
      <w:r w:rsidR="000402B6" w:rsidRPr="006679D2">
        <w:rPr>
          <w:rFonts w:ascii="Arial" w:hAnsi="Arial" w:cs="Arial"/>
          <w:color w:val="000000"/>
          <w:sz w:val="20"/>
        </w:rPr>
        <w:t xml:space="preserve">American </w:t>
      </w:r>
      <w:r w:rsidR="00436120" w:rsidRPr="006679D2">
        <w:rPr>
          <w:rFonts w:ascii="Arial" w:hAnsi="Arial" w:cs="Arial"/>
          <w:color w:val="000000"/>
          <w:sz w:val="20"/>
        </w:rPr>
        <w:t xml:space="preserve">child developmental </w:t>
      </w:r>
      <w:r w:rsidR="000402B6" w:rsidRPr="006679D2">
        <w:rPr>
          <w:rFonts w:ascii="Arial" w:hAnsi="Arial" w:cs="Arial"/>
          <w:color w:val="000000"/>
          <w:sz w:val="20"/>
        </w:rPr>
        <w:t>opinion</w:t>
      </w:r>
      <w:r w:rsidR="00810034" w:rsidRPr="006679D2">
        <w:rPr>
          <w:rFonts w:ascii="Arial" w:hAnsi="Arial" w:cs="Arial"/>
          <w:color w:val="000000"/>
          <w:sz w:val="20"/>
        </w:rPr>
        <w:t xml:space="preserve"> upon which the </w:t>
      </w:r>
      <w:r w:rsidR="00103F02" w:rsidRPr="006679D2">
        <w:rPr>
          <w:rFonts w:ascii="Arial" w:hAnsi="Arial" w:cs="Arial"/>
          <w:color w:val="000000"/>
          <w:sz w:val="20"/>
        </w:rPr>
        <w:t xml:space="preserve">American </w:t>
      </w:r>
      <w:r w:rsidR="00810034" w:rsidRPr="006679D2">
        <w:rPr>
          <w:rFonts w:ascii="Arial" w:hAnsi="Arial" w:cs="Arial"/>
          <w:color w:val="000000"/>
          <w:sz w:val="20"/>
        </w:rPr>
        <w:t xml:space="preserve">judicial guidelines </w:t>
      </w:r>
      <w:r w:rsidR="001040F9" w:rsidRPr="006679D2">
        <w:rPr>
          <w:rFonts w:ascii="Arial" w:hAnsi="Arial" w:cs="Arial"/>
          <w:color w:val="000000"/>
          <w:sz w:val="20"/>
        </w:rPr>
        <w:t>2009 a</w:t>
      </w:r>
      <w:r w:rsidR="00810034" w:rsidRPr="006679D2">
        <w:rPr>
          <w:rFonts w:ascii="Arial" w:hAnsi="Arial" w:cs="Arial"/>
          <w:color w:val="000000"/>
          <w:sz w:val="20"/>
        </w:rPr>
        <w:t>re based</w:t>
      </w:r>
      <w:r w:rsidR="000402B6" w:rsidRPr="006679D2">
        <w:rPr>
          <w:rFonts w:ascii="Arial" w:hAnsi="Arial" w:cs="Arial"/>
          <w:color w:val="000000"/>
          <w:sz w:val="20"/>
        </w:rPr>
        <w:t>.  In</w:t>
      </w:r>
      <w:r w:rsidR="00806118" w:rsidRPr="006679D2">
        <w:rPr>
          <w:rFonts w:ascii="Arial" w:hAnsi="Arial" w:cs="Arial"/>
          <w:color w:val="000000"/>
          <w:sz w:val="20"/>
        </w:rPr>
        <w:t> </w:t>
      </w:r>
      <w:r w:rsidR="000402B6" w:rsidRPr="006679D2">
        <w:rPr>
          <w:rFonts w:ascii="Arial" w:hAnsi="Arial" w:cs="Arial"/>
          <w:color w:val="000000"/>
          <w:sz w:val="20"/>
        </w:rPr>
        <w:t xml:space="preserve">addition, the proper determination of what is in the best interests of any child </w:t>
      </w:r>
      <w:r w:rsidR="003959CF" w:rsidRPr="006679D2">
        <w:rPr>
          <w:rFonts w:ascii="Arial" w:hAnsi="Arial" w:cs="Arial"/>
          <w:color w:val="000000"/>
          <w:sz w:val="20"/>
        </w:rPr>
        <w:t>in</w:t>
      </w:r>
      <w:r w:rsidR="000402B6" w:rsidRPr="006679D2">
        <w:rPr>
          <w:rFonts w:ascii="Arial" w:hAnsi="Arial" w:cs="Arial"/>
          <w:color w:val="000000"/>
          <w:sz w:val="20"/>
        </w:rPr>
        <w:t xml:space="preserve"> the Children’s Court requires a holistic determination, not just </w:t>
      </w:r>
      <w:r w:rsidR="00247BF7" w:rsidRPr="006679D2">
        <w:rPr>
          <w:rFonts w:ascii="Arial" w:hAnsi="Arial" w:cs="Arial"/>
          <w:color w:val="000000"/>
          <w:sz w:val="20"/>
        </w:rPr>
        <w:t xml:space="preserve">the </w:t>
      </w:r>
      <w:r w:rsidR="000402B6" w:rsidRPr="006679D2">
        <w:rPr>
          <w:rFonts w:ascii="Arial" w:hAnsi="Arial" w:cs="Arial"/>
          <w:color w:val="000000"/>
          <w:sz w:val="20"/>
        </w:rPr>
        <w:t xml:space="preserve">determination of </w:t>
      </w:r>
      <w:r w:rsidR="00547131" w:rsidRPr="006679D2">
        <w:rPr>
          <w:rFonts w:ascii="Arial" w:hAnsi="Arial" w:cs="Arial"/>
          <w:color w:val="000000"/>
          <w:sz w:val="20"/>
        </w:rPr>
        <w:t xml:space="preserve">whether the child is in need of protection </w:t>
      </w:r>
      <w:r w:rsidR="00A06EBC" w:rsidRPr="006679D2">
        <w:rPr>
          <w:rFonts w:ascii="Arial" w:hAnsi="Arial" w:cs="Arial"/>
          <w:color w:val="000000"/>
          <w:sz w:val="20"/>
        </w:rPr>
        <w:t>and/</w:t>
      </w:r>
      <w:r w:rsidR="00547131" w:rsidRPr="006679D2">
        <w:rPr>
          <w:rFonts w:ascii="Arial" w:hAnsi="Arial" w:cs="Arial"/>
          <w:color w:val="000000"/>
          <w:sz w:val="20"/>
        </w:rPr>
        <w:t xml:space="preserve">or the appropriate </w:t>
      </w:r>
      <w:r w:rsidR="000402B6" w:rsidRPr="006679D2">
        <w:rPr>
          <w:rFonts w:ascii="Arial" w:hAnsi="Arial" w:cs="Arial"/>
          <w:color w:val="000000"/>
          <w:sz w:val="20"/>
        </w:rPr>
        <w:t xml:space="preserve">placement but determination of </w:t>
      </w:r>
      <w:r w:rsidR="00CF6AAD" w:rsidRPr="006679D2">
        <w:rPr>
          <w:rFonts w:ascii="Arial" w:hAnsi="Arial" w:cs="Arial"/>
          <w:color w:val="000000"/>
          <w:sz w:val="20"/>
        </w:rPr>
        <w:t>contact</w:t>
      </w:r>
      <w:r w:rsidR="000402B6" w:rsidRPr="006679D2">
        <w:rPr>
          <w:rFonts w:ascii="Arial" w:hAnsi="Arial" w:cs="Arial"/>
          <w:color w:val="000000"/>
          <w:sz w:val="20"/>
        </w:rPr>
        <w:t xml:space="preserve"> conditions in the event that a child is placed out of parental care.  </w:t>
      </w:r>
      <w:r w:rsidRPr="006679D2">
        <w:rPr>
          <w:rFonts w:ascii="Arial" w:hAnsi="Arial" w:cs="Arial"/>
          <w:color w:val="000000"/>
          <w:sz w:val="20"/>
        </w:rPr>
        <w:t xml:space="preserve">Section 10(3)(k) </w:t>
      </w:r>
      <w:r w:rsidR="00E75912" w:rsidRPr="006679D2">
        <w:rPr>
          <w:rFonts w:ascii="Arial" w:hAnsi="Arial" w:cs="Arial"/>
          <w:color w:val="000000"/>
          <w:sz w:val="20"/>
        </w:rPr>
        <w:t>of the CYPA effectivel</w:t>
      </w:r>
      <w:r w:rsidRPr="006679D2">
        <w:rPr>
          <w:rFonts w:ascii="Arial" w:hAnsi="Arial" w:cs="Arial"/>
          <w:color w:val="000000"/>
          <w:sz w:val="20"/>
        </w:rPr>
        <w:t xml:space="preserve">y provides a child with an inherent right to </w:t>
      </w:r>
      <w:r w:rsidR="00CF6AAD" w:rsidRPr="006679D2">
        <w:rPr>
          <w:rFonts w:ascii="Arial" w:hAnsi="Arial" w:cs="Arial"/>
          <w:color w:val="000000"/>
          <w:sz w:val="20"/>
        </w:rPr>
        <w:t>contact</w:t>
      </w:r>
      <w:r w:rsidRPr="006679D2">
        <w:rPr>
          <w:rFonts w:ascii="Arial" w:hAnsi="Arial" w:cs="Arial"/>
          <w:color w:val="000000"/>
          <w:sz w:val="20"/>
        </w:rPr>
        <w:t xml:space="preserve"> and provides a parent and a sibling with a consequential right, these rights hav</w:t>
      </w:r>
      <w:r w:rsidR="00425E9D" w:rsidRPr="006679D2">
        <w:rPr>
          <w:rFonts w:ascii="Arial" w:hAnsi="Arial" w:cs="Arial"/>
          <w:color w:val="000000"/>
          <w:sz w:val="20"/>
        </w:rPr>
        <w:t>ing</w:t>
      </w:r>
      <w:r w:rsidRPr="006679D2">
        <w:rPr>
          <w:rFonts w:ascii="Arial" w:hAnsi="Arial" w:cs="Arial"/>
          <w:color w:val="000000"/>
          <w:sz w:val="20"/>
        </w:rPr>
        <w:t xml:space="preserve"> been </w:t>
      </w:r>
      <w:r w:rsidR="00425E9D" w:rsidRPr="006679D2">
        <w:rPr>
          <w:rFonts w:ascii="Arial" w:hAnsi="Arial" w:cs="Arial"/>
          <w:color w:val="000000"/>
          <w:sz w:val="20"/>
        </w:rPr>
        <w:t>recognized</w:t>
      </w:r>
      <w:r w:rsidRPr="006679D2">
        <w:rPr>
          <w:rFonts w:ascii="Arial" w:hAnsi="Arial" w:cs="Arial"/>
          <w:color w:val="000000"/>
          <w:sz w:val="20"/>
        </w:rPr>
        <w:t xml:space="preserve"> by the Victorian </w:t>
      </w:r>
      <w:r w:rsidR="00425E9D" w:rsidRPr="006679D2">
        <w:rPr>
          <w:rFonts w:ascii="Arial" w:hAnsi="Arial" w:cs="Arial"/>
          <w:color w:val="000000"/>
          <w:sz w:val="20"/>
        </w:rPr>
        <w:t>parliament</w:t>
      </w:r>
      <w:r w:rsidRPr="006679D2">
        <w:rPr>
          <w:rFonts w:ascii="Arial" w:hAnsi="Arial" w:cs="Arial"/>
          <w:color w:val="000000"/>
          <w:sz w:val="20"/>
        </w:rPr>
        <w:t xml:space="preserve"> in compliance with Australia’s obligations under the </w:t>
      </w:r>
      <w:r w:rsidR="00425E9D" w:rsidRPr="006679D2">
        <w:rPr>
          <w:rFonts w:ascii="Arial" w:hAnsi="Arial" w:cs="Arial"/>
          <w:color w:val="000000"/>
          <w:sz w:val="20"/>
        </w:rPr>
        <w:t xml:space="preserve">United Nations Convention on the Rights of the Child.  Even if expert opinion about the appropriate frequency of </w:t>
      </w:r>
      <w:r w:rsidR="00CF6AAD" w:rsidRPr="006679D2">
        <w:rPr>
          <w:rFonts w:ascii="Arial" w:hAnsi="Arial" w:cs="Arial"/>
          <w:color w:val="000000"/>
          <w:sz w:val="20"/>
        </w:rPr>
        <w:t>contact</w:t>
      </w:r>
      <w:r w:rsidR="00425E9D" w:rsidRPr="006679D2">
        <w:rPr>
          <w:rFonts w:ascii="Arial" w:hAnsi="Arial" w:cs="Arial"/>
          <w:color w:val="000000"/>
          <w:sz w:val="20"/>
        </w:rPr>
        <w:t xml:space="preserve"> between a child and a family member was a non-controversial matter – which it absolutely is not – it is the writer’s strong view that protection of these important rights requires </w:t>
      </w:r>
      <w:r w:rsidR="00E75912" w:rsidRPr="006679D2">
        <w:rPr>
          <w:rFonts w:ascii="Arial" w:hAnsi="Arial" w:cs="Arial"/>
          <w:color w:val="000000"/>
          <w:sz w:val="20"/>
        </w:rPr>
        <w:t>judicial intervention and is manifestly not a matter that should be left for administrative determination.</w:t>
      </w:r>
    </w:p>
    <w:p w14:paraId="4E0A21C4" w14:textId="77777777" w:rsidR="00454BD5" w:rsidRDefault="00454BD5" w:rsidP="00A37039">
      <w:pPr>
        <w:jc w:val="both"/>
        <w:rPr>
          <w:rFonts w:ascii="Arial" w:hAnsi="Arial" w:cs="Arial"/>
          <w:sz w:val="20"/>
        </w:rPr>
      </w:pPr>
    </w:p>
    <w:p w14:paraId="75BE3B0F" w14:textId="77777777" w:rsidR="00FB53EB" w:rsidRDefault="00FB53EB" w:rsidP="00FB53EB">
      <w:pPr>
        <w:pStyle w:val="Heading2"/>
        <w:tabs>
          <w:tab w:val="left" w:pos="567"/>
        </w:tabs>
        <w:spacing w:line="240" w:lineRule="auto"/>
        <w:rPr>
          <w:rFonts w:ascii="Arial" w:hAnsi="Arial" w:cs="Arial"/>
          <w:b/>
          <w:bCs/>
        </w:rPr>
      </w:pPr>
      <w:bookmarkStart w:id="1691" w:name="_4.15_Cumulative_harm"/>
      <w:bookmarkStart w:id="1692" w:name="B415"/>
      <w:bookmarkEnd w:id="1691"/>
      <w:bookmarkEnd w:id="1692"/>
      <w:r>
        <w:rPr>
          <w:rFonts w:ascii="Arial" w:hAnsi="Arial" w:cs="Arial"/>
          <w:b/>
          <w:bCs/>
        </w:rPr>
        <w:t>4.1</w:t>
      </w:r>
      <w:r w:rsidR="00E14F02">
        <w:rPr>
          <w:rFonts w:ascii="Arial" w:hAnsi="Arial" w:cs="Arial"/>
          <w:b/>
          <w:bCs/>
        </w:rPr>
        <w:t>5</w:t>
      </w:r>
      <w:r>
        <w:rPr>
          <w:rFonts w:ascii="Arial" w:hAnsi="Arial" w:cs="Arial"/>
          <w:b/>
          <w:bCs/>
        </w:rPr>
        <w:tab/>
        <w:t>Cumulative harm</w:t>
      </w:r>
    </w:p>
    <w:p w14:paraId="1DECAD01" w14:textId="77777777" w:rsidR="00FB53EB" w:rsidRDefault="00FB53EB" w:rsidP="00FB53EB">
      <w:pPr>
        <w:rPr>
          <w:rFonts w:ascii="Arial" w:hAnsi="Arial" w:cs="Arial"/>
          <w:sz w:val="16"/>
        </w:rPr>
      </w:pPr>
    </w:p>
    <w:p w14:paraId="1BB5D143" w14:textId="77777777" w:rsidR="00FB53EB" w:rsidRDefault="003216F3" w:rsidP="00FB53EB">
      <w:pPr>
        <w:widowControl w:val="0"/>
        <w:jc w:val="both"/>
        <w:rPr>
          <w:rFonts w:ascii="Arial" w:hAnsi="Arial" w:cs="Arial"/>
          <w:sz w:val="20"/>
        </w:rPr>
      </w:pPr>
      <w:r>
        <w:rPr>
          <w:rFonts w:ascii="Arial" w:hAnsi="Arial" w:cs="Arial"/>
          <w:sz w:val="20"/>
        </w:rPr>
        <w:t xml:space="preserve">Section 162(1) of the CYFA sets out </w:t>
      </w:r>
      <w:r w:rsidR="00E55A14">
        <w:rPr>
          <w:rFonts w:ascii="Arial" w:hAnsi="Arial" w:cs="Arial"/>
          <w:sz w:val="20"/>
        </w:rPr>
        <w:t>six</w:t>
      </w:r>
      <w:r>
        <w:rPr>
          <w:rFonts w:ascii="Arial" w:hAnsi="Arial" w:cs="Arial"/>
          <w:sz w:val="20"/>
        </w:rPr>
        <w:t xml:space="preserve"> </w:t>
      </w:r>
      <w:r w:rsidR="00B355F8">
        <w:rPr>
          <w:rFonts w:ascii="Arial" w:hAnsi="Arial" w:cs="Arial"/>
          <w:sz w:val="20"/>
        </w:rPr>
        <w:t>type</w:t>
      </w:r>
      <w:r>
        <w:rPr>
          <w:rFonts w:ascii="Arial" w:hAnsi="Arial" w:cs="Arial"/>
          <w:sz w:val="20"/>
        </w:rPr>
        <w:t xml:space="preserve">s </w:t>
      </w:r>
      <w:r w:rsidR="00B355F8">
        <w:rPr>
          <w:rFonts w:ascii="Arial" w:hAnsi="Arial" w:cs="Arial"/>
          <w:sz w:val="20"/>
        </w:rPr>
        <w:t xml:space="preserve">of harm, any one of which is sufficient to justify a finding that a child is </w:t>
      </w:r>
      <w:r>
        <w:rPr>
          <w:rFonts w:ascii="Arial" w:hAnsi="Arial" w:cs="Arial"/>
          <w:sz w:val="20"/>
        </w:rPr>
        <w:t xml:space="preserve">in need of protection.  These </w:t>
      </w:r>
      <w:r w:rsidR="00B355F8">
        <w:rPr>
          <w:rFonts w:ascii="Arial" w:hAnsi="Arial" w:cs="Arial"/>
          <w:sz w:val="20"/>
        </w:rPr>
        <w:t xml:space="preserve">grounds, which are in identical terms to those </w:t>
      </w:r>
      <w:r w:rsidR="00DD66EE">
        <w:rPr>
          <w:rFonts w:ascii="Arial" w:hAnsi="Arial" w:cs="Arial"/>
          <w:sz w:val="20"/>
        </w:rPr>
        <w:t xml:space="preserve">which were </w:t>
      </w:r>
      <w:r w:rsidR="00B355F8">
        <w:rPr>
          <w:rFonts w:ascii="Arial" w:hAnsi="Arial" w:cs="Arial"/>
          <w:sz w:val="20"/>
        </w:rPr>
        <w:t xml:space="preserve">in s.63 of the CYPA, </w:t>
      </w:r>
      <w:r>
        <w:rPr>
          <w:rFonts w:ascii="Arial" w:hAnsi="Arial" w:cs="Arial"/>
          <w:sz w:val="20"/>
        </w:rPr>
        <w:t>may be summarized as follows:</w:t>
      </w:r>
    </w:p>
    <w:p w14:paraId="2929BF46" w14:textId="77777777" w:rsidR="00693223" w:rsidRDefault="003216F3" w:rsidP="003216F3">
      <w:pPr>
        <w:jc w:val="both"/>
        <w:rPr>
          <w:rFonts w:ascii="Arial" w:hAnsi="Arial" w:cs="Arial"/>
          <w:sz w:val="20"/>
        </w:rPr>
      </w:pPr>
      <w:r w:rsidRPr="003216F3">
        <w:rPr>
          <w:rFonts w:ascii="Arial" w:hAnsi="Arial" w:cs="Arial"/>
          <w:sz w:val="20"/>
        </w:rPr>
        <w:t>(a</w:t>
      </w:r>
      <w:r>
        <w:rPr>
          <w:rFonts w:ascii="Arial" w:hAnsi="Arial" w:cs="Arial"/>
          <w:sz w:val="20"/>
        </w:rPr>
        <w:t>)</w:t>
      </w:r>
      <w:r>
        <w:rPr>
          <w:rFonts w:ascii="Arial" w:hAnsi="Arial" w:cs="Arial"/>
          <w:sz w:val="20"/>
        </w:rPr>
        <w:tab/>
        <w:t>abandonment;</w:t>
      </w:r>
    </w:p>
    <w:p w14:paraId="419BA24B" w14:textId="77777777" w:rsidR="003216F3" w:rsidRDefault="003216F3" w:rsidP="003216F3">
      <w:pPr>
        <w:jc w:val="both"/>
        <w:rPr>
          <w:rFonts w:ascii="Arial" w:hAnsi="Arial" w:cs="Arial"/>
          <w:sz w:val="20"/>
        </w:rPr>
      </w:pPr>
      <w:r>
        <w:rPr>
          <w:rFonts w:ascii="Arial" w:hAnsi="Arial" w:cs="Arial"/>
          <w:sz w:val="20"/>
        </w:rPr>
        <w:t>(b)</w:t>
      </w:r>
      <w:r>
        <w:rPr>
          <w:rFonts w:ascii="Arial" w:hAnsi="Arial" w:cs="Arial"/>
          <w:sz w:val="20"/>
        </w:rPr>
        <w:tab/>
        <w:t>death or incapacity of parent;</w:t>
      </w:r>
    </w:p>
    <w:p w14:paraId="0AADE420" w14:textId="77777777" w:rsidR="003216F3" w:rsidRDefault="003216F3" w:rsidP="003216F3">
      <w:pPr>
        <w:jc w:val="both"/>
        <w:rPr>
          <w:rFonts w:ascii="Arial" w:hAnsi="Arial" w:cs="Arial"/>
          <w:sz w:val="20"/>
        </w:rPr>
      </w:pPr>
      <w:r>
        <w:rPr>
          <w:rFonts w:ascii="Arial" w:hAnsi="Arial" w:cs="Arial"/>
          <w:sz w:val="20"/>
        </w:rPr>
        <w:t>(c)</w:t>
      </w:r>
      <w:r>
        <w:rPr>
          <w:rFonts w:ascii="Arial" w:hAnsi="Arial" w:cs="Arial"/>
          <w:sz w:val="20"/>
        </w:rPr>
        <w:tab/>
        <w:t>physical abuse;</w:t>
      </w:r>
    </w:p>
    <w:p w14:paraId="4C156109" w14:textId="77777777" w:rsidR="003216F3" w:rsidRDefault="003216F3" w:rsidP="003216F3">
      <w:pPr>
        <w:jc w:val="both"/>
        <w:rPr>
          <w:rFonts w:ascii="Arial" w:hAnsi="Arial" w:cs="Arial"/>
          <w:sz w:val="20"/>
        </w:rPr>
      </w:pPr>
      <w:r>
        <w:rPr>
          <w:rFonts w:ascii="Arial" w:hAnsi="Arial" w:cs="Arial"/>
          <w:sz w:val="20"/>
        </w:rPr>
        <w:t>(d)</w:t>
      </w:r>
      <w:r>
        <w:rPr>
          <w:rFonts w:ascii="Arial" w:hAnsi="Arial" w:cs="Arial"/>
          <w:sz w:val="20"/>
        </w:rPr>
        <w:tab/>
        <w:t>sexual abuse;</w:t>
      </w:r>
    </w:p>
    <w:p w14:paraId="6B38860F" w14:textId="77777777" w:rsidR="003216F3" w:rsidRDefault="003216F3" w:rsidP="003216F3">
      <w:pPr>
        <w:jc w:val="both"/>
        <w:rPr>
          <w:rFonts w:ascii="Arial" w:hAnsi="Arial" w:cs="Arial"/>
          <w:sz w:val="20"/>
        </w:rPr>
      </w:pPr>
      <w:r>
        <w:rPr>
          <w:rFonts w:ascii="Arial" w:hAnsi="Arial" w:cs="Arial"/>
          <w:sz w:val="20"/>
        </w:rPr>
        <w:t>(e)</w:t>
      </w:r>
      <w:r>
        <w:rPr>
          <w:rFonts w:ascii="Arial" w:hAnsi="Arial" w:cs="Arial"/>
          <w:sz w:val="20"/>
        </w:rPr>
        <w:tab/>
        <w:t>emotional/psychological abuse; and</w:t>
      </w:r>
    </w:p>
    <w:p w14:paraId="727BEDF3" w14:textId="77777777" w:rsidR="003216F3" w:rsidRDefault="003216F3" w:rsidP="003216F3">
      <w:pPr>
        <w:jc w:val="both"/>
        <w:rPr>
          <w:rFonts w:ascii="Arial" w:hAnsi="Arial" w:cs="Arial"/>
          <w:sz w:val="20"/>
        </w:rPr>
      </w:pPr>
      <w:r>
        <w:rPr>
          <w:rFonts w:ascii="Arial" w:hAnsi="Arial" w:cs="Arial"/>
          <w:sz w:val="20"/>
        </w:rPr>
        <w:t>(f)</w:t>
      </w:r>
      <w:r>
        <w:rPr>
          <w:rFonts w:ascii="Arial" w:hAnsi="Arial" w:cs="Arial"/>
          <w:sz w:val="20"/>
        </w:rPr>
        <w:tab/>
        <w:t>neglect.</w:t>
      </w:r>
    </w:p>
    <w:p w14:paraId="176470E6" w14:textId="77777777" w:rsidR="003216F3" w:rsidRDefault="00B355F8">
      <w:pPr>
        <w:jc w:val="both"/>
        <w:rPr>
          <w:rFonts w:ascii="Arial" w:hAnsi="Arial" w:cs="Arial"/>
          <w:sz w:val="20"/>
        </w:rPr>
      </w:pPr>
      <w:r>
        <w:rPr>
          <w:rFonts w:ascii="Arial" w:hAnsi="Arial" w:cs="Arial"/>
          <w:sz w:val="20"/>
        </w:rPr>
        <w:t>Grounds (c), (d), (e) &amp; (f) may be proved on the basis of actual harm or likelihood of future harm or both.</w:t>
      </w:r>
    </w:p>
    <w:p w14:paraId="034BF782" w14:textId="77777777" w:rsidR="003216F3" w:rsidRDefault="003216F3">
      <w:pPr>
        <w:jc w:val="both"/>
        <w:rPr>
          <w:rFonts w:ascii="Arial" w:hAnsi="Arial" w:cs="Arial"/>
          <w:sz w:val="20"/>
        </w:rPr>
      </w:pPr>
    </w:p>
    <w:p w14:paraId="1462E270" w14:textId="77777777" w:rsidR="00DD66EE" w:rsidRDefault="00B355F8">
      <w:pPr>
        <w:jc w:val="both"/>
        <w:rPr>
          <w:rFonts w:ascii="Arial" w:hAnsi="Arial" w:cs="Arial"/>
          <w:sz w:val="20"/>
        </w:rPr>
      </w:pPr>
      <w:r>
        <w:rPr>
          <w:rFonts w:ascii="Arial" w:hAnsi="Arial" w:cs="Arial"/>
          <w:sz w:val="20"/>
        </w:rPr>
        <w:t xml:space="preserve">Section 162(2) of the CYFA, which had no equivalent in the CYPA, provides that for the purposes of grounds (c), (d), (e) &amp; (f) the harm may be constituted by a single act, omission or circumstance or accumulate through a series of continuing acts, omissions or circumstances.  Although this statutory enactment of the principle of “cumulative harm” dates only from </w:t>
      </w:r>
      <w:smartTag w:uri="urn:schemas-microsoft-com:office:smarttags" w:element="date">
        <w:smartTagPr>
          <w:attr w:name="Year" w:val="2007"/>
          <w:attr w:name="Day" w:val="23"/>
          <w:attr w:name="Month" w:val="4"/>
        </w:smartTagPr>
        <w:r>
          <w:rPr>
            <w:rFonts w:ascii="Arial" w:hAnsi="Arial" w:cs="Arial"/>
            <w:sz w:val="20"/>
          </w:rPr>
          <w:t>23/04/2007</w:t>
        </w:r>
      </w:smartTag>
      <w:r>
        <w:rPr>
          <w:rFonts w:ascii="Arial" w:hAnsi="Arial" w:cs="Arial"/>
          <w:sz w:val="20"/>
        </w:rPr>
        <w:t xml:space="preserve">, the concept of “cumulative harm” is </w:t>
      </w:r>
      <w:r w:rsidRPr="00B355F8">
        <w:rPr>
          <w:rFonts w:ascii="Arial" w:hAnsi="Arial" w:cs="Arial"/>
          <w:sz w:val="20"/>
          <w:u w:val="single"/>
        </w:rPr>
        <w:t>not</w:t>
      </w:r>
      <w:r>
        <w:rPr>
          <w:rFonts w:ascii="Arial" w:hAnsi="Arial" w:cs="Arial"/>
          <w:sz w:val="20"/>
        </w:rPr>
        <w:t xml:space="preserve"> new.  It has </w:t>
      </w:r>
      <w:r w:rsidR="00C20A4D">
        <w:rPr>
          <w:rFonts w:ascii="Arial" w:hAnsi="Arial" w:cs="Arial"/>
          <w:sz w:val="20"/>
        </w:rPr>
        <w:t xml:space="preserve">long </w:t>
      </w:r>
      <w:r>
        <w:rPr>
          <w:rFonts w:ascii="Arial" w:hAnsi="Arial" w:cs="Arial"/>
          <w:sz w:val="20"/>
        </w:rPr>
        <w:t xml:space="preserve">been accepted and applied both by the Court and by </w:t>
      </w:r>
      <w:r w:rsidR="00785D2D">
        <w:rPr>
          <w:rFonts w:ascii="Arial" w:hAnsi="Arial" w:cs="Arial"/>
          <w:sz w:val="20"/>
        </w:rPr>
        <w:t>DFFH</w:t>
      </w:r>
      <w:r>
        <w:rPr>
          <w:rFonts w:ascii="Arial" w:hAnsi="Arial" w:cs="Arial"/>
          <w:sz w:val="20"/>
        </w:rPr>
        <w:t>.</w:t>
      </w:r>
    </w:p>
    <w:p w14:paraId="30959C9C" w14:textId="77777777" w:rsidR="00DD66EE" w:rsidRDefault="00DD66EE">
      <w:pPr>
        <w:jc w:val="both"/>
        <w:rPr>
          <w:rFonts w:ascii="Arial" w:hAnsi="Arial" w:cs="Arial"/>
          <w:sz w:val="20"/>
        </w:rPr>
      </w:pPr>
    </w:p>
    <w:p w14:paraId="76A5E6CF" w14:textId="77777777" w:rsidR="00DD66EE" w:rsidRDefault="00B355F8" w:rsidP="00D74C22">
      <w:pPr>
        <w:jc w:val="both"/>
        <w:rPr>
          <w:rFonts w:ascii="Arial" w:hAnsi="Arial" w:cs="Arial"/>
          <w:sz w:val="20"/>
        </w:rPr>
      </w:pPr>
      <w:r>
        <w:rPr>
          <w:rFonts w:ascii="Arial" w:hAnsi="Arial" w:cs="Arial"/>
          <w:sz w:val="20"/>
        </w:rPr>
        <w:t xml:space="preserve">The Department’s Victorian Risk Framework, which has been the risk assessment tool used by </w:t>
      </w:r>
      <w:r w:rsidR="00785D2D">
        <w:rPr>
          <w:rFonts w:ascii="Arial" w:hAnsi="Arial" w:cs="Arial"/>
          <w:sz w:val="20"/>
        </w:rPr>
        <w:t>DFFH</w:t>
      </w:r>
      <w:r>
        <w:rPr>
          <w:rFonts w:ascii="Arial" w:hAnsi="Arial" w:cs="Arial"/>
          <w:sz w:val="20"/>
        </w:rPr>
        <w:t xml:space="preserve"> since 1999, </w:t>
      </w:r>
      <w:r w:rsidR="00C20A4D">
        <w:rPr>
          <w:rFonts w:ascii="Arial" w:hAnsi="Arial" w:cs="Arial"/>
          <w:sz w:val="20"/>
        </w:rPr>
        <w:t xml:space="preserve">has a section labelled “Pattern and history of harm” which is part of every intake investigation.  For many years, the Department’s court reports have included a section listing the </w:t>
      </w:r>
      <w:r w:rsidR="00A54088">
        <w:rPr>
          <w:rFonts w:ascii="Arial" w:hAnsi="Arial" w:cs="Arial"/>
          <w:sz w:val="20"/>
        </w:rPr>
        <w:t>details</w:t>
      </w:r>
      <w:r w:rsidR="00C20A4D">
        <w:rPr>
          <w:rFonts w:ascii="Arial" w:hAnsi="Arial" w:cs="Arial"/>
          <w:sz w:val="20"/>
        </w:rPr>
        <w:t xml:space="preserve"> of any earlier involvement which the Department had had with the subject child &amp; family.</w:t>
      </w:r>
    </w:p>
    <w:p w14:paraId="559480BE" w14:textId="77777777" w:rsidR="00DD66EE" w:rsidRDefault="00DD66EE">
      <w:pPr>
        <w:jc w:val="both"/>
        <w:rPr>
          <w:rFonts w:ascii="Arial" w:hAnsi="Arial" w:cs="Arial"/>
          <w:sz w:val="20"/>
        </w:rPr>
      </w:pPr>
    </w:p>
    <w:p w14:paraId="3D1BE871" w14:textId="77777777" w:rsidR="00B355F8" w:rsidRDefault="00DD66EE">
      <w:pPr>
        <w:jc w:val="both"/>
        <w:rPr>
          <w:rFonts w:ascii="Arial" w:hAnsi="Arial" w:cs="Arial"/>
          <w:sz w:val="20"/>
        </w:rPr>
      </w:pPr>
      <w:r>
        <w:rPr>
          <w:rFonts w:ascii="Arial" w:hAnsi="Arial" w:cs="Arial"/>
          <w:sz w:val="20"/>
        </w:rPr>
        <w:t>F</w:t>
      </w:r>
      <w:r w:rsidR="00C20A4D">
        <w:rPr>
          <w:rFonts w:ascii="Arial" w:hAnsi="Arial" w:cs="Arial"/>
          <w:sz w:val="20"/>
        </w:rPr>
        <w:t>or its part, the Court ha</w:t>
      </w:r>
      <w:r w:rsidR="00A54088">
        <w:rPr>
          <w:rFonts w:ascii="Arial" w:hAnsi="Arial" w:cs="Arial"/>
          <w:sz w:val="20"/>
        </w:rPr>
        <w:t>s</w:t>
      </w:r>
      <w:r w:rsidR="00C20A4D">
        <w:rPr>
          <w:rFonts w:ascii="Arial" w:hAnsi="Arial" w:cs="Arial"/>
          <w:sz w:val="20"/>
        </w:rPr>
        <w:t xml:space="preserve"> </w:t>
      </w:r>
      <w:r w:rsidR="00DC7D04">
        <w:rPr>
          <w:rFonts w:ascii="Arial" w:hAnsi="Arial" w:cs="Arial"/>
          <w:sz w:val="20"/>
        </w:rPr>
        <w:t>regularly</w:t>
      </w:r>
      <w:r w:rsidR="00C20A4D">
        <w:rPr>
          <w:rFonts w:ascii="Arial" w:hAnsi="Arial" w:cs="Arial"/>
          <w:sz w:val="20"/>
        </w:rPr>
        <w:t xml:space="preserve"> </w:t>
      </w:r>
      <w:r>
        <w:rPr>
          <w:rFonts w:ascii="Arial" w:hAnsi="Arial" w:cs="Arial"/>
          <w:sz w:val="20"/>
        </w:rPr>
        <w:t>taken into account the notion</w:t>
      </w:r>
      <w:r w:rsidR="00796994">
        <w:rPr>
          <w:rFonts w:ascii="Arial" w:hAnsi="Arial" w:cs="Arial"/>
          <w:sz w:val="20"/>
        </w:rPr>
        <w:t>s</w:t>
      </w:r>
      <w:r>
        <w:rPr>
          <w:rFonts w:ascii="Arial" w:hAnsi="Arial" w:cs="Arial"/>
          <w:sz w:val="20"/>
        </w:rPr>
        <w:t xml:space="preserve"> of cumulative harm</w:t>
      </w:r>
      <w:r w:rsidR="00796994">
        <w:rPr>
          <w:rFonts w:ascii="Arial" w:hAnsi="Arial" w:cs="Arial"/>
          <w:sz w:val="20"/>
        </w:rPr>
        <w:t xml:space="preserve"> and cumulative risk of harm</w:t>
      </w:r>
      <w:r>
        <w:rPr>
          <w:rFonts w:ascii="Arial" w:hAnsi="Arial" w:cs="Arial"/>
          <w:sz w:val="20"/>
        </w:rPr>
        <w:t xml:space="preserve">, </w:t>
      </w:r>
      <w:r w:rsidR="00C20A4D">
        <w:rPr>
          <w:rFonts w:ascii="Arial" w:hAnsi="Arial" w:cs="Arial"/>
          <w:sz w:val="20"/>
        </w:rPr>
        <w:t>appl</w:t>
      </w:r>
      <w:r>
        <w:rPr>
          <w:rFonts w:ascii="Arial" w:hAnsi="Arial" w:cs="Arial"/>
          <w:sz w:val="20"/>
        </w:rPr>
        <w:t>ying where appropriate</w:t>
      </w:r>
      <w:r w:rsidR="00C20A4D">
        <w:rPr>
          <w:rFonts w:ascii="Arial" w:hAnsi="Arial" w:cs="Arial"/>
          <w:sz w:val="20"/>
        </w:rPr>
        <w:t xml:space="preserve"> dicta of Lord Nicholls of Birkenhead (with whom Lord Goff of Chiefly &amp; Lord Mustill agreed) in </w:t>
      </w:r>
      <w:r w:rsidR="00B355F8">
        <w:rPr>
          <w:rFonts w:ascii="Arial" w:hAnsi="Arial" w:cs="Arial"/>
          <w:i/>
          <w:iCs/>
          <w:sz w:val="20"/>
        </w:rPr>
        <w:t>In re H. &amp; Others (Minors</w:t>
      </w:r>
      <w:proofErr w:type="gramStart"/>
      <w:r w:rsidR="00B355F8">
        <w:rPr>
          <w:rFonts w:ascii="Arial" w:hAnsi="Arial" w:cs="Arial"/>
          <w:i/>
          <w:iCs/>
          <w:sz w:val="20"/>
        </w:rPr>
        <w:t>)(</w:t>
      </w:r>
      <w:proofErr w:type="gramEnd"/>
      <w:r w:rsidR="00B355F8">
        <w:rPr>
          <w:rFonts w:ascii="Arial" w:hAnsi="Arial" w:cs="Arial"/>
          <w:i/>
          <w:iCs/>
          <w:sz w:val="20"/>
        </w:rPr>
        <w:t>Sexual Abuse: Standard of Proof)</w:t>
      </w:r>
      <w:r w:rsidR="00C20A4D">
        <w:rPr>
          <w:rFonts w:ascii="Arial" w:hAnsi="Arial" w:cs="Arial"/>
          <w:sz w:val="20"/>
        </w:rPr>
        <w:t xml:space="preserve"> [1996] AC 563 </w:t>
      </w:r>
      <w:r w:rsidR="00B355F8">
        <w:rPr>
          <w:rFonts w:ascii="Arial" w:hAnsi="Arial" w:cs="Arial"/>
          <w:sz w:val="20"/>
        </w:rPr>
        <w:t>at p.5</w:t>
      </w:r>
      <w:r w:rsidR="00C20A4D">
        <w:rPr>
          <w:rFonts w:ascii="Arial" w:hAnsi="Arial" w:cs="Arial"/>
          <w:sz w:val="20"/>
        </w:rPr>
        <w:t>91</w:t>
      </w:r>
      <w:r w:rsidR="00B355F8">
        <w:rPr>
          <w:rFonts w:ascii="Arial" w:hAnsi="Arial" w:cs="Arial"/>
          <w:sz w:val="20"/>
        </w:rPr>
        <w:t>:</w:t>
      </w:r>
    </w:p>
    <w:p w14:paraId="72B114B5" w14:textId="77777777" w:rsidR="00C20A4D" w:rsidRDefault="00C20A4D" w:rsidP="00D74C22">
      <w:pPr>
        <w:spacing w:before="60"/>
        <w:ind w:left="567" w:right="567"/>
        <w:jc w:val="both"/>
        <w:rPr>
          <w:rFonts w:ascii="Arial" w:hAnsi="Arial" w:cs="Arial"/>
          <w:sz w:val="20"/>
        </w:rPr>
      </w:pPr>
      <w:r>
        <w:rPr>
          <w:rFonts w:ascii="Arial" w:hAnsi="Arial" w:cs="Arial"/>
          <w:sz w:val="20"/>
        </w:rPr>
        <w:t>“The range of facts which may properly be taken into account [in determining whether a child is in need of protection] is infinite.  Facts include the history of members of the family, the state of relationships within a family, proposed changes within the membership of a</w:t>
      </w:r>
      <w:r w:rsidR="00A54088">
        <w:rPr>
          <w:rFonts w:ascii="Arial" w:hAnsi="Arial" w:cs="Arial"/>
          <w:sz w:val="20"/>
        </w:rPr>
        <w:t xml:space="preserve"> family, parental attitudes, and omissions which might not reasonably have been expected, just as much as actual physical assaults.  They include threats, and abnormal behaviour by a child…</w:t>
      </w:r>
      <w:r w:rsidR="00A54088" w:rsidRPr="0078379C">
        <w:rPr>
          <w:rFonts w:ascii="Arial" w:hAnsi="Arial" w:cs="Arial"/>
          <w:b/>
          <w:sz w:val="20"/>
          <w:u w:val="single"/>
        </w:rPr>
        <w:t>And facts which are minor or even trivial if considered in isolation, when taken together, may suffice to satisfy the court of the likelihood of future harm.</w:t>
      </w:r>
      <w:r w:rsidR="00A54088">
        <w:rPr>
          <w:rFonts w:ascii="Arial" w:hAnsi="Arial" w:cs="Arial"/>
          <w:sz w:val="20"/>
        </w:rPr>
        <w:t xml:space="preserve">” [emphasis </w:t>
      </w:r>
      <w:r w:rsidR="0078379C">
        <w:rPr>
          <w:rFonts w:ascii="Arial" w:hAnsi="Arial" w:cs="Arial"/>
          <w:sz w:val="20"/>
        </w:rPr>
        <w:t>by the writer</w:t>
      </w:r>
      <w:r w:rsidR="00A54088">
        <w:rPr>
          <w:rFonts w:ascii="Arial" w:hAnsi="Arial" w:cs="Arial"/>
          <w:sz w:val="20"/>
        </w:rPr>
        <w:t>]</w:t>
      </w:r>
    </w:p>
    <w:p w14:paraId="0E7465E8" w14:textId="77777777" w:rsidR="00B355F8" w:rsidRDefault="00B355F8">
      <w:pPr>
        <w:jc w:val="both"/>
        <w:rPr>
          <w:rFonts w:ascii="Arial" w:hAnsi="Arial" w:cs="Arial"/>
          <w:sz w:val="20"/>
        </w:rPr>
      </w:pPr>
    </w:p>
    <w:p w14:paraId="22763C64" w14:textId="77777777" w:rsidR="00A54088" w:rsidRDefault="00DD66EE">
      <w:pPr>
        <w:jc w:val="both"/>
        <w:rPr>
          <w:rFonts w:ascii="Arial" w:hAnsi="Arial" w:cs="Arial"/>
          <w:sz w:val="20"/>
        </w:rPr>
      </w:pPr>
      <w:r>
        <w:rPr>
          <w:rFonts w:ascii="Arial" w:hAnsi="Arial" w:cs="Arial"/>
          <w:sz w:val="20"/>
        </w:rPr>
        <w:lastRenderedPageBreak/>
        <w:t xml:space="preserve">Why, then, was it deemed necessary to include a specific statutory provision to deal with the issue of cumulative harm?  The explanation given by Ms Robyn Miller at p.11 of her paper “Cumulative </w:t>
      </w:r>
      <w:r w:rsidR="002572B5">
        <w:rPr>
          <w:rFonts w:ascii="Arial" w:hAnsi="Arial" w:cs="Arial"/>
          <w:sz w:val="20"/>
        </w:rPr>
        <w:t>H</w:t>
      </w:r>
      <w:r>
        <w:rPr>
          <w:rFonts w:ascii="Arial" w:hAnsi="Arial" w:cs="Arial"/>
          <w:sz w:val="20"/>
        </w:rPr>
        <w:t xml:space="preserve">arm: </w:t>
      </w:r>
      <w:r w:rsidR="002572B5">
        <w:rPr>
          <w:rFonts w:ascii="Arial" w:hAnsi="Arial" w:cs="Arial"/>
          <w:sz w:val="20"/>
        </w:rPr>
        <w:t>A</w:t>
      </w:r>
      <w:r>
        <w:rPr>
          <w:rFonts w:ascii="Arial" w:hAnsi="Arial" w:cs="Arial"/>
          <w:sz w:val="20"/>
        </w:rPr>
        <w:t xml:space="preserve"> </w:t>
      </w:r>
      <w:r w:rsidR="002572B5">
        <w:rPr>
          <w:rFonts w:ascii="Arial" w:hAnsi="Arial" w:cs="Arial"/>
          <w:sz w:val="20"/>
        </w:rPr>
        <w:t>C</w:t>
      </w:r>
      <w:r>
        <w:rPr>
          <w:rFonts w:ascii="Arial" w:hAnsi="Arial" w:cs="Arial"/>
          <w:sz w:val="20"/>
        </w:rPr>
        <w:t xml:space="preserve">onceptual </w:t>
      </w:r>
      <w:r w:rsidR="002572B5">
        <w:rPr>
          <w:rFonts w:ascii="Arial" w:hAnsi="Arial" w:cs="Arial"/>
          <w:sz w:val="20"/>
        </w:rPr>
        <w:t>O</w:t>
      </w:r>
      <w:r>
        <w:rPr>
          <w:rFonts w:ascii="Arial" w:hAnsi="Arial" w:cs="Arial"/>
          <w:sz w:val="20"/>
        </w:rPr>
        <w:t xml:space="preserve">verview” </w:t>
      </w:r>
      <w:r w:rsidR="0055674E">
        <w:rPr>
          <w:rFonts w:ascii="Arial" w:hAnsi="Arial" w:cs="Arial"/>
          <w:sz w:val="20"/>
        </w:rPr>
        <w:t>dated December 2006</w:t>
      </w:r>
      <w:r w:rsidR="007726E2">
        <w:rPr>
          <w:rFonts w:ascii="Arial" w:hAnsi="Arial" w:cs="Arial"/>
          <w:sz w:val="20"/>
        </w:rPr>
        <w:t xml:space="preserve"> </w:t>
      </w:r>
      <w:r>
        <w:rPr>
          <w:rFonts w:ascii="Arial" w:hAnsi="Arial" w:cs="Arial"/>
          <w:sz w:val="20"/>
        </w:rPr>
        <w:t>is as follows:</w:t>
      </w:r>
    </w:p>
    <w:p w14:paraId="2CF78A44" w14:textId="77777777" w:rsidR="00DD66EE" w:rsidRDefault="00DD66EE" w:rsidP="00D74C22">
      <w:pPr>
        <w:spacing w:before="60"/>
        <w:ind w:left="567" w:right="567"/>
        <w:jc w:val="both"/>
        <w:rPr>
          <w:rFonts w:ascii="Arial" w:hAnsi="Arial" w:cs="Arial"/>
          <w:sz w:val="20"/>
        </w:rPr>
      </w:pPr>
      <w:r>
        <w:rPr>
          <w:rFonts w:ascii="Arial" w:hAnsi="Arial" w:cs="Arial"/>
          <w:sz w:val="20"/>
        </w:rPr>
        <w:t xml:space="preserve">“The intention of the previous Act was to respond to vulnerable children and families in respectful, appropriate ways using the minimum intervention required.  One of the </w:t>
      </w:r>
      <w:r w:rsidRPr="00DD66EE">
        <w:rPr>
          <w:rFonts w:ascii="Arial" w:hAnsi="Arial" w:cs="Arial"/>
          <w:b/>
          <w:sz w:val="20"/>
        </w:rPr>
        <w:t>unintended</w:t>
      </w:r>
      <w:r>
        <w:rPr>
          <w:rFonts w:ascii="Arial" w:hAnsi="Arial" w:cs="Arial"/>
          <w:sz w:val="20"/>
        </w:rPr>
        <w:t xml:space="preserve"> consequences of the practice, which developed from the </w:t>
      </w:r>
      <w:r w:rsidRPr="00DD66EE">
        <w:rPr>
          <w:rFonts w:ascii="Arial" w:hAnsi="Arial" w:cs="Arial"/>
          <w:i/>
          <w:sz w:val="20"/>
        </w:rPr>
        <w:t>Children and Young Persons Act 1989</w:t>
      </w:r>
      <w:r>
        <w:rPr>
          <w:rFonts w:ascii="Arial" w:hAnsi="Arial" w:cs="Arial"/>
          <w:sz w:val="20"/>
        </w:rPr>
        <w:t>, is that intake and initial investigations were increasingly based on episodic assessments, which were focused on immediate risk and safety, and less focussed on the developmental wellbeing of children, and patterns of abuse and neglect over time.”</w:t>
      </w:r>
    </w:p>
    <w:p w14:paraId="2F80268D" w14:textId="77777777" w:rsidR="00DD66EE" w:rsidRDefault="00DD66EE">
      <w:pPr>
        <w:jc w:val="both"/>
        <w:rPr>
          <w:rFonts w:ascii="Arial" w:hAnsi="Arial" w:cs="Arial"/>
          <w:sz w:val="20"/>
        </w:rPr>
      </w:pPr>
    </w:p>
    <w:p w14:paraId="6253AC83" w14:textId="77777777" w:rsidR="00DD66EE" w:rsidRDefault="007726E2">
      <w:pPr>
        <w:jc w:val="both"/>
        <w:rPr>
          <w:rFonts w:ascii="Arial" w:hAnsi="Arial" w:cs="Arial"/>
          <w:sz w:val="20"/>
        </w:rPr>
      </w:pPr>
      <w:r>
        <w:rPr>
          <w:rFonts w:ascii="Arial" w:hAnsi="Arial" w:cs="Arial"/>
          <w:sz w:val="20"/>
        </w:rPr>
        <w:t xml:space="preserve">It is not the experience of </w:t>
      </w:r>
      <w:r w:rsidR="009A1245">
        <w:rPr>
          <w:rFonts w:ascii="Arial" w:hAnsi="Arial" w:cs="Arial"/>
          <w:sz w:val="20"/>
        </w:rPr>
        <w:t xml:space="preserve">former </w:t>
      </w:r>
      <w:r w:rsidR="0036761C">
        <w:rPr>
          <w:rFonts w:ascii="Arial" w:hAnsi="Arial" w:cs="Arial"/>
          <w:sz w:val="20"/>
        </w:rPr>
        <w:t>Magistrate Power</w:t>
      </w:r>
      <w:r>
        <w:rPr>
          <w:rFonts w:ascii="Arial" w:hAnsi="Arial" w:cs="Arial"/>
          <w:sz w:val="20"/>
        </w:rPr>
        <w:t xml:space="preserve"> that in Court cases the Department’s focus was so restricted but it must be remembered that only a </w:t>
      </w:r>
      <w:r w:rsidR="00796994">
        <w:rPr>
          <w:rFonts w:ascii="Arial" w:hAnsi="Arial" w:cs="Arial"/>
          <w:sz w:val="20"/>
        </w:rPr>
        <w:t xml:space="preserve">comparatively </w:t>
      </w:r>
      <w:r>
        <w:rPr>
          <w:rFonts w:ascii="Arial" w:hAnsi="Arial" w:cs="Arial"/>
          <w:sz w:val="20"/>
        </w:rPr>
        <w:t xml:space="preserve">small percentage of reports of child abuse eventually find their way to a Court </w:t>
      </w:r>
      <w:r w:rsidR="0036761C">
        <w:rPr>
          <w:rFonts w:ascii="Arial" w:hAnsi="Arial" w:cs="Arial"/>
          <w:sz w:val="20"/>
        </w:rPr>
        <w:t>case and an even smaller percentage find their way to a contested Court hearing</w:t>
      </w:r>
      <w:r>
        <w:rPr>
          <w:rFonts w:ascii="Arial" w:hAnsi="Arial" w:cs="Arial"/>
          <w:sz w:val="20"/>
        </w:rPr>
        <w:t>.</w:t>
      </w:r>
    </w:p>
    <w:p w14:paraId="3F0E0DC2" w14:textId="77777777" w:rsidR="00DD66EE" w:rsidRDefault="00DD66EE">
      <w:pPr>
        <w:jc w:val="both"/>
        <w:rPr>
          <w:rFonts w:ascii="Arial" w:hAnsi="Arial" w:cs="Arial"/>
          <w:sz w:val="20"/>
        </w:rPr>
      </w:pPr>
    </w:p>
    <w:p w14:paraId="1932A219" w14:textId="77777777" w:rsidR="00DD66EE" w:rsidRDefault="007726E2">
      <w:pPr>
        <w:jc w:val="both"/>
        <w:rPr>
          <w:rFonts w:ascii="Arial" w:hAnsi="Arial" w:cs="Arial"/>
          <w:sz w:val="20"/>
        </w:rPr>
      </w:pPr>
      <w:r>
        <w:rPr>
          <w:rFonts w:ascii="Arial" w:hAnsi="Arial" w:cs="Arial"/>
          <w:sz w:val="20"/>
        </w:rPr>
        <w:t xml:space="preserve">In her interesting paper Ms Robyn Miller defines </w:t>
      </w:r>
      <w:r w:rsidR="00C45717">
        <w:rPr>
          <w:rFonts w:ascii="Arial" w:hAnsi="Arial" w:cs="Arial"/>
          <w:sz w:val="20"/>
        </w:rPr>
        <w:t>cumulative harm as “the effects of patterns of circumstances in a child’s life, which diminish a child’s sense of safety, stability and wellbeing” resulting from “compounded experiences of multiple episodes of abuse or ‘layers’ of neglect”.</w:t>
      </w:r>
      <w:r w:rsidR="009E48F2">
        <w:rPr>
          <w:rFonts w:ascii="Arial" w:hAnsi="Arial" w:cs="Arial"/>
          <w:sz w:val="20"/>
        </w:rPr>
        <w:t xml:space="preserve">  She goes on to discuss various manifestations of </w:t>
      </w:r>
      <w:r>
        <w:rPr>
          <w:rFonts w:ascii="Arial" w:hAnsi="Arial" w:cs="Arial"/>
          <w:sz w:val="20"/>
        </w:rPr>
        <w:t>cumulative harm and provides a conceptual overview of the issue.  The hist</w:t>
      </w:r>
      <w:r w:rsidR="009E48F2">
        <w:rPr>
          <w:rFonts w:ascii="Arial" w:hAnsi="Arial" w:cs="Arial"/>
          <w:sz w:val="20"/>
        </w:rPr>
        <w:t xml:space="preserve">orical context is discussed, </w:t>
      </w:r>
      <w:r>
        <w:rPr>
          <w:rFonts w:ascii="Arial" w:hAnsi="Arial" w:cs="Arial"/>
          <w:sz w:val="20"/>
        </w:rPr>
        <w:t xml:space="preserve">the theoretical underpinnings </w:t>
      </w:r>
      <w:r w:rsidR="009E48F2">
        <w:rPr>
          <w:rFonts w:ascii="Arial" w:hAnsi="Arial" w:cs="Arial"/>
          <w:sz w:val="20"/>
        </w:rPr>
        <w:t xml:space="preserve">are </w:t>
      </w:r>
      <w:r>
        <w:rPr>
          <w:rFonts w:ascii="Arial" w:hAnsi="Arial" w:cs="Arial"/>
          <w:sz w:val="20"/>
        </w:rPr>
        <w:t>explored and a range of relevant paradigms and research is presented under various headings, including:</w:t>
      </w:r>
    </w:p>
    <w:p w14:paraId="46814BA9" w14:textId="77777777" w:rsidR="007726E2" w:rsidRDefault="007726E2" w:rsidP="002239D1">
      <w:pPr>
        <w:numPr>
          <w:ilvl w:val="0"/>
          <w:numId w:val="4"/>
        </w:numPr>
        <w:ind w:left="284" w:hanging="284"/>
        <w:jc w:val="both"/>
        <w:rPr>
          <w:rFonts w:ascii="Arial" w:hAnsi="Arial" w:cs="Arial"/>
          <w:sz w:val="20"/>
        </w:rPr>
      </w:pPr>
      <w:r>
        <w:rPr>
          <w:rFonts w:ascii="Arial" w:hAnsi="Arial" w:cs="Arial"/>
          <w:sz w:val="20"/>
        </w:rPr>
        <w:t>Culture</w:t>
      </w:r>
    </w:p>
    <w:p w14:paraId="69405D2C" w14:textId="77777777" w:rsidR="007726E2" w:rsidRDefault="007726E2" w:rsidP="002239D1">
      <w:pPr>
        <w:numPr>
          <w:ilvl w:val="0"/>
          <w:numId w:val="4"/>
        </w:numPr>
        <w:ind w:left="284" w:hanging="284"/>
        <w:jc w:val="both"/>
        <w:rPr>
          <w:rFonts w:ascii="Arial" w:hAnsi="Arial" w:cs="Arial"/>
          <w:sz w:val="20"/>
        </w:rPr>
      </w:pPr>
      <w:r>
        <w:rPr>
          <w:rFonts w:ascii="Arial" w:hAnsi="Arial" w:cs="Arial"/>
          <w:sz w:val="20"/>
        </w:rPr>
        <w:t>The impact of cumulative harm on early brain development</w:t>
      </w:r>
    </w:p>
    <w:p w14:paraId="65434576" w14:textId="77777777" w:rsidR="007726E2" w:rsidRDefault="007726E2" w:rsidP="002239D1">
      <w:pPr>
        <w:numPr>
          <w:ilvl w:val="0"/>
          <w:numId w:val="4"/>
        </w:numPr>
        <w:ind w:left="284" w:hanging="284"/>
        <w:jc w:val="both"/>
        <w:rPr>
          <w:rFonts w:ascii="Arial" w:hAnsi="Arial" w:cs="Arial"/>
          <w:sz w:val="20"/>
        </w:rPr>
      </w:pPr>
      <w:r>
        <w:rPr>
          <w:rFonts w:ascii="Arial" w:hAnsi="Arial" w:cs="Arial"/>
          <w:sz w:val="20"/>
        </w:rPr>
        <w:t>Cumulative harm and childhood trauma</w:t>
      </w:r>
    </w:p>
    <w:p w14:paraId="60CCAFF5" w14:textId="77777777" w:rsidR="007726E2" w:rsidRDefault="007726E2" w:rsidP="002239D1">
      <w:pPr>
        <w:numPr>
          <w:ilvl w:val="0"/>
          <w:numId w:val="4"/>
        </w:numPr>
        <w:ind w:left="284" w:hanging="284"/>
        <w:jc w:val="both"/>
        <w:rPr>
          <w:rFonts w:ascii="Arial" w:hAnsi="Arial" w:cs="Arial"/>
          <w:sz w:val="20"/>
        </w:rPr>
      </w:pPr>
      <w:r>
        <w:rPr>
          <w:rFonts w:ascii="Arial" w:hAnsi="Arial" w:cs="Arial"/>
          <w:sz w:val="20"/>
        </w:rPr>
        <w:t>The impact of nurture on nature</w:t>
      </w:r>
    </w:p>
    <w:p w14:paraId="27874005" w14:textId="77777777" w:rsidR="007726E2" w:rsidRDefault="007726E2" w:rsidP="002239D1">
      <w:pPr>
        <w:numPr>
          <w:ilvl w:val="0"/>
          <w:numId w:val="4"/>
        </w:numPr>
        <w:ind w:left="284" w:hanging="284"/>
        <w:jc w:val="both"/>
        <w:rPr>
          <w:rFonts w:ascii="Arial" w:hAnsi="Arial" w:cs="Arial"/>
          <w:sz w:val="20"/>
        </w:rPr>
      </w:pPr>
      <w:r>
        <w:rPr>
          <w:rFonts w:ascii="Arial" w:hAnsi="Arial" w:cs="Arial"/>
          <w:sz w:val="20"/>
        </w:rPr>
        <w:t>Cumulative harm and neglect</w:t>
      </w:r>
    </w:p>
    <w:p w14:paraId="0AAFB685" w14:textId="77777777" w:rsidR="007726E2" w:rsidRDefault="007726E2" w:rsidP="002239D1">
      <w:pPr>
        <w:numPr>
          <w:ilvl w:val="0"/>
          <w:numId w:val="4"/>
        </w:numPr>
        <w:ind w:left="284" w:hanging="284"/>
        <w:jc w:val="both"/>
        <w:rPr>
          <w:rFonts w:ascii="Arial" w:hAnsi="Arial" w:cs="Arial"/>
          <w:sz w:val="20"/>
        </w:rPr>
      </w:pPr>
      <w:r>
        <w:rPr>
          <w:rFonts w:ascii="Arial" w:hAnsi="Arial" w:cs="Arial"/>
          <w:sz w:val="20"/>
        </w:rPr>
        <w:t>The cumulative impact of family violence on development</w:t>
      </w:r>
    </w:p>
    <w:p w14:paraId="11F9B05C" w14:textId="77777777" w:rsidR="007726E2" w:rsidRDefault="007726E2" w:rsidP="002239D1">
      <w:pPr>
        <w:numPr>
          <w:ilvl w:val="0"/>
          <w:numId w:val="4"/>
        </w:numPr>
        <w:ind w:left="284" w:hanging="284"/>
        <w:jc w:val="both"/>
        <w:rPr>
          <w:rFonts w:ascii="Arial" w:hAnsi="Arial" w:cs="Arial"/>
          <w:sz w:val="20"/>
        </w:rPr>
      </w:pPr>
      <w:r>
        <w:rPr>
          <w:rFonts w:ascii="Arial" w:hAnsi="Arial" w:cs="Arial"/>
          <w:sz w:val="20"/>
        </w:rPr>
        <w:t>Early childhood development and cumulative harm</w:t>
      </w:r>
    </w:p>
    <w:p w14:paraId="32EF7B0F" w14:textId="77777777" w:rsidR="007726E2" w:rsidRDefault="007726E2" w:rsidP="002239D1">
      <w:pPr>
        <w:numPr>
          <w:ilvl w:val="0"/>
          <w:numId w:val="4"/>
        </w:numPr>
        <w:ind w:left="284" w:hanging="284"/>
        <w:jc w:val="both"/>
        <w:rPr>
          <w:rFonts w:ascii="Arial" w:hAnsi="Arial" w:cs="Arial"/>
          <w:sz w:val="20"/>
        </w:rPr>
      </w:pPr>
      <w:r>
        <w:rPr>
          <w:rFonts w:ascii="Arial" w:hAnsi="Arial" w:cs="Arial"/>
          <w:sz w:val="20"/>
        </w:rPr>
        <w:t>Broad practice implications</w:t>
      </w:r>
    </w:p>
    <w:p w14:paraId="2850CCC9" w14:textId="77777777" w:rsidR="007726E2" w:rsidRDefault="00C45717">
      <w:pPr>
        <w:jc w:val="both"/>
        <w:rPr>
          <w:rFonts w:ascii="Arial" w:hAnsi="Arial" w:cs="Arial"/>
          <w:sz w:val="20"/>
        </w:rPr>
      </w:pPr>
      <w:r>
        <w:rPr>
          <w:rFonts w:ascii="Arial" w:hAnsi="Arial" w:cs="Arial"/>
          <w:sz w:val="20"/>
        </w:rPr>
        <w:t>While the paper presents an academic discussion of the issues relating to cumulative harm, its aim is to engage workers in the field with the experience of children and young people whose lives are dynamic, evolving and vulnerable to cumulative harm, particularly at the hands of those who are meant to care for and protect them.</w:t>
      </w:r>
    </w:p>
    <w:p w14:paraId="3ECD08CC" w14:textId="77777777" w:rsidR="003216F3" w:rsidRDefault="003216F3">
      <w:pPr>
        <w:jc w:val="both"/>
        <w:rPr>
          <w:rFonts w:ascii="Arial" w:hAnsi="Arial" w:cs="Arial"/>
          <w:sz w:val="20"/>
        </w:rPr>
      </w:pPr>
    </w:p>
    <w:p w14:paraId="5AD7426A" w14:textId="77777777" w:rsidR="00796994" w:rsidRDefault="00796994">
      <w:pPr>
        <w:jc w:val="both"/>
        <w:rPr>
          <w:rFonts w:ascii="Arial" w:hAnsi="Arial" w:cs="Arial"/>
          <w:sz w:val="20"/>
        </w:rPr>
      </w:pPr>
      <w:r>
        <w:rPr>
          <w:rFonts w:ascii="Arial" w:hAnsi="Arial" w:cs="Arial"/>
          <w:sz w:val="20"/>
        </w:rPr>
        <w:t xml:space="preserve">In </w:t>
      </w:r>
      <w:r w:rsidRPr="00796994">
        <w:rPr>
          <w:rFonts w:ascii="Arial" w:hAnsi="Arial" w:cs="Arial"/>
          <w:i/>
          <w:sz w:val="20"/>
        </w:rPr>
        <w:t>DOHS v Mr D &amp; Ms W</w:t>
      </w:r>
      <w:r>
        <w:rPr>
          <w:rFonts w:ascii="Arial" w:hAnsi="Arial" w:cs="Arial"/>
          <w:sz w:val="20"/>
        </w:rPr>
        <w:t xml:space="preserve"> [2009] </w:t>
      </w:r>
      <w:proofErr w:type="spellStart"/>
      <w:r w:rsidR="00C74768">
        <w:rPr>
          <w:rFonts w:ascii="Arial" w:hAnsi="Arial" w:cs="Arial"/>
          <w:sz w:val="20"/>
        </w:rPr>
        <w:t>VChC</w:t>
      </w:r>
      <w:proofErr w:type="spellEnd"/>
      <w:r w:rsidR="00C74768">
        <w:rPr>
          <w:rFonts w:ascii="Arial" w:hAnsi="Arial" w:cs="Arial"/>
          <w:sz w:val="20"/>
        </w:rPr>
        <w:t xml:space="preserve"> 1 </w:t>
      </w:r>
      <w:r>
        <w:rPr>
          <w:rFonts w:ascii="Arial" w:hAnsi="Arial" w:cs="Arial"/>
          <w:sz w:val="20"/>
        </w:rPr>
        <w:t>at pp.94-95, Power M discuss</w:t>
      </w:r>
      <w:r w:rsidR="002572B5">
        <w:rPr>
          <w:rFonts w:ascii="Arial" w:hAnsi="Arial" w:cs="Arial"/>
          <w:sz w:val="20"/>
        </w:rPr>
        <w:t>ed</w:t>
      </w:r>
      <w:r>
        <w:rPr>
          <w:rFonts w:ascii="Arial" w:hAnsi="Arial" w:cs="Arial"/>
          <w:sz w:val="20"/>
        </w:rPr>
        <w:t xml:space="preserve"> what he termed “The Misunderstood Concept of ‘Cumulative Harm’”:</w:t>
      </w:r>
    </w:p>
    <w:p w14:paraId="0F1BC137" w14:textId="77777777" w:rsidR="00796994" w:rsidRPr="00DC7D04" w:rsidRDefault="00796994" w:rsidP="00F04E13">
      <w:pPr>
        <w:spacing w:before="60"/>
        <w:ind w:left="567" w:right="567"/>
        <w:jc w:val="both"/>
        <w:rPr>
          <w:rFonts w:ascii="Arial" w:hAnsi="Arial" w:cs="Arial"/>
          <w:sz w:val="20"/>
        </w:rPr>
      </w:pPr>
      <w:r>
        <w:rPr>
          <w:rFonts w:ascii="Arial" w:hAnsi="Arial" w:cs="Arial"/>
          <w:sz w:val="20"/>
        </w:rPr>
        <w:t xml:space="preserve">“In their reports [the protective workers] have cut and pasted part of Robyn Miller’s paper </w:t>
      </w:r>
      <w:r w:rsidR="00F83923">
        <w:rPr>
          <w:rFonts w:ascii="Arial" w:hAnsi="Arial" w:cs="Arial"/>
          <w:sz w:val="20"/>
        </w:rPr>
        <w:t>‘</w:t>
      </w:r>
      <w:r w:rsidR="00DC7D04" w:rsidRPr="00DC7D04">
        <w:rPr>
          <w:rFonts w:ascii="Arial" w:hAnsi="Arial" w:cs="Arial"/>
          <w:sz w:val="20"/>
        </w:rPr>
        <w:t xml:space="preserve">Cumulative Harm: </w:t>
      </w:r>
      <w:r w:rsidR="0055674E">
        <w:rPr>
          <w:rFonts w:ascii="Arial" w:hAnsi="Arial" w:cs="Arial"/>
          <w:sz w:val="20"/>
        </w:rPr>
        <w:t>A</w:t>
      </w:r>
      <w:r w:rsidR="00DC7D04" w:rsidRPr="00DC7D04">
        <w:rPr>
          <w:rFonts w:ascii="Arial" w:hAnsi="Arial" w:cs="Arial"/>
          <w:sz w:val="20"/>
        </w:rPr>
        <w:t xml:space="preserve"> Co</w:t>
      </w:r>
      <w:r w:rsidR="002572B5">
        <w:rPr>
          <w:rFonts w:ascii="Arial" w:hAnsi="Arial" w:cs="Arial"/>
          <w:sz w:val="20"/>
        </w:rPr>
        <w:t>nceptual Overview</w:t>
      </w:r>
      <w:r w:rsidR="00F83923">
        <w:rPr>
          <w:rFonts w:ascii="Arial" w:hAnsi="Arial" w:cs="Arial"/>
          <w:sz w:val="20"/>
        </w:rPr>
        <w:t>’</w:t>
      </w:r>
      <w:r w:rsidR="002572B5">
        <w:rPr>
          <w:rFonts w:ascii="Arial" w:hAnsi="Arial" w:cs="Arial"/>
          <w:sz w:val="20"/>
        </w:rPr>
        <w:t xml:space="preserve">, </w:t>
      </w:r>
      <w:r w:rsidR="00DC7D04" w:rsidRPr="00DC7D04">
        <w:rPr>
          <w:rFonts w:ascii="Arial" w:hAnsi="Arial" w:cs="Arial"/>
          <w:sz w:val="20"/>
        </w:rPr>
        <w:t>December 2006</w:t>
      </w:r>
      <w:r w:rsidR="002572B5">
        <w:rPr>
          <w:rFonts w:ascii="Arial" w:hAnsi="Arial" w:cs="Arial"/>
          <w:sz w:val="20"/>
        </w:rPr>
        <w:t>,</w:t>
      </w:r>
      <w:r w:rsidR="00DC7D04" w:rsidRPr="00DC7D04">
        <w:rPr>
          <w:rFonts w:ascii="Arial" w:hAnsi="Arial" w:cs="Arial"/>
          <w:sz w:val="20"/>
        </w:rPr>
        <w:t xml:space="preserve"> p.3</w:t>
      </w:r>
      <w:r w:rsidR="00DC7D04">
        <w:rPr>
          <w:rFonts w:ascii="Arial" w:hAnsi="Arial" w:cs="Arial"/>
          <w:sz w:val="20"/>
        </w:rPr>
        <w:t>:</w:t>
      </w:r>
    </w:p>
    <w:p w14:paraId="36D01341" w14:textId="77777777" w:rsidR="00796994" w:rsidRPr="002572B5" w:rsidRDefault="00F83923" w:rsidP="00F04E13">
      <w:pPr>
        <w:spacing w:before="60"/>
        <w:ind w:left="1134" w:right="1134"/>
        <w:jc w:val="both"/>
        <w:rPr>
          <w:rFonts w:ascii="Arial" w:hAnsi="Arial" w:cs="Arial"/>
          <w:i/>
          <w:sz w:val="20"/>
          <w:u w:val="single"/>
        </w:rPr>
      </w:pPr>
      <w:r>
        <w:rPr>
          <w:rFonts w:ascii="Arial" w:hAnsi="Arial" w:cs="Arial"/>
          <w:i/>
          <w:sz w:val="20"/>
        </w:rPr>
        <w:t>‘</w:t>
      </w:r>
      <w:r w:rsidR="00796994" w:rsidRPr="00DC7D04">
        <w:rPr>
          <w:rFonts w:ascii="Arial" w:hAnsi="Arial" w:cs="Arial"/>
          <w:i/>
          <w:sz w:val="20"/>
        </w:rPr>
        <w:t xml:space="preserve">Cumulative harm refers to the effects of patterns of circumstances and events in a child’s life which diminishes a child’s sense of safety, stability and wellbeing.  Cumulative harm is the existence of compounded experiences of multiple episodes of abuse or layers of neglect.  The unremitting daily impact on the child can be profound and exponential, covering multiple dimensions of the child’s life.  Cumulative harm </w:t>
      </w:r>
      <w:r w:rsidR="00796994" w:rsidRPr="002572B5">
        <w:rPr>
          <w:rFonts w:ascii="Arial" w:hAnsi="Arial" w:cs="Arial"/>
          <w:i/>
          <w:sz w:val="20"/>
          <w:u w:val="single"/>
        </w:rPr>
        <w:t>is</w:t>
      </w:r>
      <w:r w:rsidR="00796994" w:rsidRPr="00DC7D04">
        <w:rPr>
          <w:rFonts w:ascii="Arial" w:hAnsi="Arial" w:cs="Arial"/>
          <w:i/>
          <w:sz w:val="20"/>
        </w:rPr>
        <w:t xml:space="preserve"> experienced by a child as a result of a pattern of harmful events and experiences that may be historical, or ongoing with the strong possibility of the risk factors being multiple, interrelated and co-existing over critical developmental periods</w:t>
      </w:r>
      <w:r w:rsidR="00FF670C">
        <w:rPr>
          <w:rFonts w:ascii="Arial" w:hAnsi="Arial" w:cs="Arial"/>
          <w:i/>
          <w:sz w:val="20"/>
        </w:rPr>
        <w:t>’</w:t>
      </w:r>
      <w:r w:rsidR="002572B5">
        <w:rPr>
          <w:rFonts w:ascii="Arial" w:hAnsi="Arial" w:cs="Arial"/>
          <w:i/>
          <w:sz w:val="20"/>
        </w:rPr>
        <w:t xml:space="preserve"> [emphasis by Power M]</w:t>
      </w:r>
    </w:p>
    <w:p w14:paraId="677F67E6" w14:textId="77777777" w:rsidR="00DC7D04" w:rsidRPr="00DC7D04" w:rsidRDefault="00DC7D04" w:rsidP="00D74C22">
      <w:pPr>
        <w:spacing w:before="120"/>
        <w:ind w:left="567" w:right="567"/>
        <w:jc w:val="both"/>
        <w:rPr>
          <w:rFonts w:ascii="Arial" w:hAnsi="Arial" w:cs="Arial"/>
          <w:sz w:val="20"/>
        </w:rPr>
      </w:pPr>
      <w:r>
        <w:rPr>
          <w:rFonts w:ascii="Arial" w:hAnsi="Arial" w:cs="Arial"/>
          <w:sz w:val="20"/>
        </w:rPr>
        <w:t xml:space="preserve">They have also urged that the protection application be proved on [what </w:t>
      </w:r>
      <w:r w:rsidR="002572B5">
        <w:rPr>
          <w:rFonts w:ascii="Arial" w:hAnsi="Arial" w:cs="Arial"/>
          <w:sz w:val="20"/>
        </w:rPr>
        <w:t>wa</w:t>
      </w:r>
      <w:r>
        <w:rPr>
          <w:rFonts w:ascii="Arial" w:hAnsi="Arial" w:cs="Arial"/>
          <w:sz w:val="20"/>
        </w:rPr>
        <w:t>s said to be] the ground set out in s.162(2) of the CYFA which provides:</w:t>
      </w:r>
    </w:p>
    <w:p w14:paraId="1DC1C0BE"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For the purposes of sub-sections (1)(c) to (1)(f), the harm may be constituted by a single act, omission or circumstance or accumulate through a series of acts, omissions or circumstances.</w:t>
      </w:r>
      <w:r>
        <w:rPr>
          <w:rFonts w:ascii="Arial" w:hAnsi="Arial" w:cs="Arial"/>
          <w:i/>
          <w:sz w:val="20"/>
        </w:rPr>
        <w:t>’</w:t>
      </w:r>
    </w:p>
    <w:p w14:paraId="2D0BF8DD" w14:textId="77777777" w:rsidR="00DC7D04" w:rsidRPr="00DC7D04" w:rsidRDefault="00DC7D04" w:rsidP="00806118">
      <w:pPr>
        <w:spacing w:before="120"/>
        <w:ind w:left="567" w:right="567"/>
        <w:jc w:val="both"/>
        <w:rPr>
          <w:rFonts w:ascii="Arial" w:hAnsi="Arial" w:cs="Arial"/>
          <w:sz w:val="20"/>
        </w:rPr>
      </w:pPr>
      <w:r w:rsidRPr="00DC7D04">
        <w:rPr>
          <w:rFonts w:ascii="Arial" w:hAnsi="Arial" w:cs="Arial"/>
          <w:sz w:val="20"/>
        </w:rPr>
        <w:t xml:space="preserve">The concept expressed in s.162(2) is neither new nor revolutionary.  For as long as I can remember this Court has regularly taken into account the notion of cumulative risk of harm, applying where appropriate dicta of Lord Nicholls of </w:t>
      </w:r>
      <w:r w:rsidRPr="00DC7D04">
        <w:rPr>
          <w:rFonts w:ascii="Arial" w:hAnsi="Arial" w:cs="Arial"/>
          <w:sz w:val="20"/>
        </w:rPr>
        <w:lastRenderedPageBreak/>
        <w:t xml:space="preserve">Birkenhead (with whom Lord Goff of Chiefly &amp; Lord Mustill agreed) in </w:t>
      </w:r>
      <w:r w:rsidRPr="00DC7D04">
        <w:rPr>
          <w:rFonts w:ascii="Arial" w:hAnsi="Arial" w:cs="Arial"/>
          <w:i/>
          <w:iCs/>
          <w:sz w:val="20"/>
        </w:rPr>
        <w:t>In re H. &amp; Others (Minors</w:t>
      </w:r>
      <w:proofErr w:type="gramStart"/>
      <w:r w:rsidRPr="00DC7D04">
        <w:rPr>
          <w:rFonts w:ascii="Arial" w:hAnsi="Arial" w:cs="Arial"/>
          <w:i/>
          <w:iCs/>
          <w:sz w:val="20"/>
        </w:rPr>
        <w:t>)(</w:t>
      </w:r>
      <w:proofErr w:type="gramEnd"/>
      <w:r w:rsidRPr="00DC7D04">
        <w:rPr>
          <w:rFonts w:ascii="Arial" w:hAnsi="Arial" w:cs="Arial"/>
          <w:i/>
          <w:iCs/>
          <w:sz w:val="20"/>
        </w:rPr>
        <w:t>Sexual Abuse: Standard of Proof)</w:t>
      </w:r>
      <w:r>
        <w:rPr>
          <w:rFonts w:ascii="Arial" w:hAnsi="Arial" w:cs="Arial"/>
          <w:sz w:val="20"/>
        </w:rPr>
        <w:t xml:space="preserve"> [1996] AC 563,591:</w:t>
      </w:r>
    </w:p>
    <w:p w14:paraId="3F5706D5"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Facts which are minor or even trivial if considered in isolation, when taken together, may suffice to satisfy the court of the likelihood of future harm.</w:t>
      </w:r>
      <w:r>
        <w:rPr>
          <w:rFonts w:ascii="Arial" w:hAnsi="Arial" w:cs="Arial"/>
          <w:i/>
          <w:sz w:val="20"/>
        </w:rPr>
        <w:t>’</w:t>
      </w:r>
    </w:p>
    <w:p w14:paraId="08ADFD56" w14:textId="77777777" w:rsidR="00DC7D04" w:rsidRDefault="00862834" w:rsidP="00606909">
      <w:pPr>
        <w:spacing w:before="120"/>
        <w:ind w:left="567" w:right="567"/>
        <w:jc w:val="both"/>
        <w:rPr>
          <w:rFonts w:ascii="Arial" w:hAnsi="Arial" w:cs="Arial"/>
          <w:sz w:val="20"/>
        </w:rPr>
      </w:pPr>
      <w:r w:rsidRPr="00862834">
        <w:rPr>
          <w:rFonts w:ascii="Arial" w:hAnsi="Arial" w:cs="Arial"/>
          <w:sz w:val="20"/>
        </w:rPr>
        <w:t>And</w:t>
      </w:r>
      <w:r w:rsidR="002572B5">
        <w:rPr>
          <w:rFonts w:ascii="Arial" w:hAnsi="Arial" w:cs="Arial"/>
          <w:sz w:val="20"/>
        </w:rPr>
        <w:t>,</w:t>
      </w:r>
      <w:r w:rsidRPr="00862834">
        <w:rPr>
          <w:rFonts w:ascii="Arial" w:hAnsi="Arial" w:cs="Arial"/>
          <w:sz w:val="20"/>
        </w:rPr>
        <w:t xml:space="preserve"> of course</w:t>
      </w:r>
      <w:r w:rsidR="002572B5">
        <w:rPr>
          <w:rFonts w:ascii="Arial" w:hAnsi="Arial" w:cs="Arial"/>
          <w:sz w:val="20"/>
        </w:rPr>
        <w:t>,</w:t>
      </w:r>
      <w:r w:rsidRPr="00862834">
        <w:rPr>
          <w:rFonts w:ascii="Arial" w:hAnsi="Arial" w:cs="Arial"/>
          <w:sz w:val="20"/>
        </w:rPr>
        <w:t xml:space="preserve"> the less minor and less trivial the multiple facts, the more likely it is that their accumulation will suffice to satisfy the court to the requisite level.</w:t>
      </w:r>
    </w:p>
    <w:p w14:paraId="15DC8B8F" w14:textId="77777777" w:rsidR="00862834" w:rsidRDefault="00862834" w:rsidP="00606909">
      <w:pPr>
        <w:spacing w:before="120"/>
        <w:ind w:left="567" w:right="567"/>
        <w:jc w:val="both"/>
        <w:rPr>
          <w:rFonts w:ascii="Arial" w:hAnsi="Arial" w:cs="Arial"/>
          <w:sz w:val="20"/>
        </w:rPr>
      </w:pPr>
      <w:r w:rsidRPr="00862834">
        <w:rPr>
          <w:rFonts w:ascii="Arial" w:hAnsi="Arial" w:cs="Arial"/>
          <w:sz w:val="20"/>
        </w:rPr>
        <w:t>But s</w:t>
      </w:r>
      <w:r>
        <w:rPr>
          <w:rFonts w:ascii="Arial" w:hAnsi="Arial" w:cs="Arial"/>
          <w:sz w:val="20"/>
        </w:rPr>
        <w:t>.</w:t>
      </w:r>
      <w:r w:rsidRPr="00862834">
        <w:rPr>
          <w:rFonts w:ascii="Arial" w:hAnsi="Arial" w:cs="Arial"/>
          <w:sz w:val="20"/>
        </w:rPr>
        <w:t xml:space="preserve">162(2) of the </w:t>
      </w:r>
      <w:r w:rsidRPr="00862834">
        <w:rPr>
          <w:rFonts w:ascii="Arial" w:hAnsi="Arial" w:cs="Arial"/>
          <w:i/>
          <w:sz w:val="20"/>
        </w:rPr>
        <w:t>CYFA</w:t>
      </w:r>
      <w:r w:rsidRPr="00862834">
        <w:rPr>
          <w:rFonts w:ascii="Arial" w:hAnsi="Arial" w:cs="Arial"/>
          <w:sz w:val="20"/>
        </w:rPr>
        <w:t xml:space="preserve"> does not set out a separate ground for proof of a protection application.  It is clear from its wording that it is no more than an evidentiary provision which may, in appropriate circumstances, make it easier for DOHS to prove one or more of the grounds set out in sub-sections (1)(c) to (1)(f).</w:t>
      </w:r>
    </w:p>
    <w:p w14:paraId="48E2B315" w14:textId="77777777" w:rsidR="00862834" w:rsidRPr="00862834" w:rsidRDefault="00862834" w:rsidP="008D0BD2">
      <w:pPr>
        <w:spacing w:before="120"/>
        <w:ind w:left="567" w:right="567"/>
        <w:jc w:val="both"/>
        <w:rPr>
          <w:rFonts w:ascii="Arial" w:hAnsi="Arial" w:cs="Arial"/>
          <w:sz w:val="20"/>
        </w:rPr>
      </w:pPr>
      <w:r w:rsidRPr="00862834">
        <w:rPr>
          <w:rFonts w:ascii="Arial" w:hAnsi="Arial" w:cs="Arial"/>
          <w:sz w:val="20"/>
          <w:szCs w:val="20"/>
        </w:rPr>
        <w:t xml:space="preserve">Further, there is one thing in the above extract from Robyn Miller’s fine paper with which I disagree.  That is the underlined word </w:t>
      </w:r>
      <w:r w:rsidR="00F83923">
        <w:rPr>
          <w:rFonts w:ascii="Arial" w:hAnsi="Arial" w:cs="Arial"/>
          <w:sz w:val="20"/>
          <w:szCs w:val="20"/>
        </w:rPr>
        <w:t>‘</w:t>
      </w:r>
      <w:proofErr w:type="gramStart"/>
      <w:r w:rsidRPr="00862834">
        <w:rPr>
          <w:rFonts w:ascii="Arial" w:hAnsi="Arial" w:cs="Arial"/>
          <w:i/>
          <w:sz w:val="20"/>
          <w:szCs w:val="20"/>
          <w:u w:val="single"/>
        </w:rPr>
        <w:t>is</w:t>
      </w:r>
      <w:r w:rsidR="00F83923">
        <w:rPr>
          <w:rFonts w:ascii="Arial" w:hAnsi="Arial" w:cs="Arial"/>
          <w:sz w:val="20"/>
          <w:szCs w:val="20"/>
        </w:rPr>
        <w:t>’</w:t>
      </w:r>
      <w:proofErr w:type="gramEnd"/>
      <w:r w:rsidRPr="00862834">
        <w:rPr>
          <w:rFonts w:ascii="Arial" w:hAnsi="Arial" w:cs="Arial"/>
          <w:sz w:val="20"/>
          <w:szCs w:val="20"/>
        </w:rPr>
        <w:t xml:space="preserve">.  In my view it should read </w:t>
      </w:r>
      <w:r w:rsidR="00F83923">
        <w:rPr>
          <w:rFonts w:ascii="Arial" w:hAnsi="Arial" w:cs="Arial"/>
          <w:sz w:val="20"/>
          <w:szCs w:val="20"/>
        </w:rPr>
        <w:t>‘</w:t>
      </w:r>
      <w:r w:rsidRPr="00862834">
        <w:rPr>
          <w:rFonts w:ascii="Arial" w:hAnsi="Arial" w:cs="Arial"/>
          <w:i/>
          <w:sz w:val="20"/>
          <w:szCs w:val="20"/>
          <w:u w:val="single"/>
        </w:rPr>
        <w:t>may be</w:t>
      </w:r>
      <w:r w:rsidR="00F83923">
        <w:rPr>
          <w:rFonts w:ascii="Arial" w:hAnsi="Arial" w:cs="Arial"/>
          <w:sz w:val="20"/>
          <w:szCs w:val="20"/>
        </w:rPr>
        <w:t>’</w:t>
      </w:r>
      <w:r w:rsidRPr="00862834">
        <w:rPr>
          <w:rFonts w:ascii="Arial" w:hAnsi="Arial" w:cs="Arial"/>
          <w:sz w:val="20"/>
          <w:szCs w:val="20"/>
        </w:rPr>
        <w:t xml:space="preserve">.  To say that harm </w:t>
      </w:r>
      <w:r w:rsidRPr="00862834">
        <w:rPr>
          <w:rFonts w:ascii="Arial" w:hAnsi="Arial" w:cs="Arial"/>
          <w:i/>
          <w:sz w:val="20"/>
          <w:szCs w:val="20"/>
          <w:u w:val="single"/>
        </w:rPr>
        <w:t>is</w:t>
      </w:r>
      <w:r w:rsidRPr="00862834">
        <w:rPr>
          <w:rFonts w:ascii="Arial" w:hAnsi="Arial" w:cs="Arial"/>
          <w:sz w:val="20"/>
          <w:szCs w:val="20"/>
        </w:rPr>
        <w:t xml:space="preserve"> experienced by a child as a result of harmful events and experiences ignores the reality of resilience and treats a child as </w:t>
      </w:r>
      <w:proofErr w:type="gramStart"/>
      <w:r w:rsidRPr="00862834">
        <w:rPr>
          <w:rFonts w:ascii="Arial" w:hAnsi="Arial" w:cs="Arial"/>
          <w:sz w:val="20"/>
          <w:szCs w:val="20"/>
        </w:rPr>
        <w:t>a</w:t>
      </w:r>
      <w:proofErr w:type="gramEnd"/>
      <w:r w:rsidRPr="00862834">
        <w:rPr>
          <w:rFonts w:ascii="Arial" w:hAnsi="Arial" w:cs="Arial"/>
          <w:sz w:val="20"/>
          <w:szCs w:val="20"/>
        </w:rPr>
        <w:t xml:space="preserve"> automaton.  Some children may be harmed by exposure to relatively minor events.  Other children may not be harmed by exposure to relatively traumatic events.  It all depends on the resilience of the child.  There is no evidence in this case that </w:t>
      </w:r>
      <w:r>
        <w:rPr>
          <w:rFonts w:ascii="Arial" w:hAnsi="Arial" w:cs="Arial"/>
          <w:sz w:val="20"/>
          <w:szCs w:val="20"/>
        </w:rPr>
        <w:t>[any of the three children]</w:t>
      </w:r>
      <w:r w:rsidRPr="00862834">
        <w:rPr>
          <w:rFonts w:ascii="Arial" w:hAnsi="Arial" w:cs="Arial"/>
          <w:sz w:val="20"/>
          <w:szCs w:val="20"/>
        </w:rPr>
        <w:t xml:space="preserve"> have actually been physically harmed or psychologically harmed as yet by exposure to life events.  This suggests to me that they are probably rather robust, resilient children since their life experiences to date could fairly be described as somewhat chaotic.  If they have not yet suffered harm, it makes no sense to speak of them having suffered cumulative harm.  In algebraic terms 0</w:t>
      </w:r>
      <w:r w:rsidRPr="00862834">
        <w:rPr>
          <w:rFonts w:ascii="Arial" w:hAnsi="Arial" w:cs="Arial"/>
          <w:sz w:val="20"/>
          <w:szCs w:val="20"/>
          <w:vertAlign w:val="superscript"/>
        </w:rPr>
        <w:t>x</w:t>
      </w:r>
      <w:r w:rsidRPr="00862834">
        <w:rPr>
          <w:rFonts w:ascii="Arial" w:hAnsi="Arial" w:cs="Arial"/>
          <w:sz w:val="20"/>
          <w:szCs w:val="20"/>
        </w:rPr>
        <w:t xml:space="preserve"> = 0.  The relevance of Robyn Miller’s thesis to the present case is in relation to cumulative </w:t>
      </w:r>
      <w:r w:rsidRPr="00862834">
        <w:rPr>
          <w:rFonts w:ascii="Arial" w:hAnsi="Arial" w:cs="Arial"/>
          <w:sz w:val="20"/>
          <w:szCs w:val="20"/>
          <w:u w:val="single"/>
        </w:rPr>
        <w:t>risk of</w:t>
      </w:r>
      <w:r w:rsidRPr="00862834">
        <w:rPr>
          <w:rFonts w:ascii="Arial" w:hAnsi="Arial" w:cs="Arial"/>
          <w:sz w:val="20"/>
          <w:szCs w:val="20"/>
        </w:rPr>
        <w:t xml:space="preserve"> harm, not to cumulative harm </w:t>
      </w:r>
      <w:r w:rsidRPr="00862834">
        <w:rPr>
          <w:rFonts w:ascii="Arial" w:hAnsi="Arial" w:cs="Arial"/>
          <w:i/>
          <w:sz w:val="20"/>
          <w:szCs w:val="20"/>
        </w:rPr>
        <w:t>per</w:t>
      </w:r>
      <w:r>
        <w:rPr>
          <w:rFonts w:ascii="Arial" w:hAnsi="Arial" w:cs="Arial"/>
          <w:i/>
          <w:sz w:val="20"/>
          <w:szCs w:val="20"/>
        </w:rPr>
        <w:t> </w:t>
      </w:r>
      <w:r w:rsidRPr="00862834">
        <w:rPr>
          <w:rFonts w:ascii="Arial" w:hAnsi="Arial" w:cs="Arial"/>
          <w:i/>
          <w:sz w:val="20"/>
          <w:szCs w:val="20"/>
        </w:rPr>
        <w:t>se</w:t>
      </w:r>
      <w:r w:rsidRPr="00862834">
        <w:rPr>
          <w:rFonts w:ascii="Arial" w:hAnsi="Arial" w:cs="Arial"/>
          <w:sz w:val="20"/>
          <w:szCs w:val="20"/>
        </w:rPr>
        <w:t>.</w:t>
      </w:r>
      <w:r>
        <w:rPr>
          <w:rFonts w:ascii="Arial" w:hAnsi="Arial" w:cs="Arial"/>
          <w:sz w:val="20"/>
          <w:szCs w:val="20"/>
        </w:rPr>
        <w:t>”</w:t>
      </w:r>
    </w:p>
    <w:p w14:paraId="3BFD0711" w14:textId="77777777" w:rsidR="00F034D2" w:rsidRDefault="00F034D2" w:rsidP="00F034D2">
      <w:pPr>
        <w:jc w:val="both"/>
        <w:rPr>
          <w:rFonts w:ascii="Arial" w:hAnsi="Arial" w:cs="Arial"/>
          <w:sz w:val="20"/>
        </w:rPr>
      </w:pPr>
    </w:p>
    <w:p w14:paraId="7504FA3A" w14:textId="77777777" w:rsidR="00F034D2" w:rsidRPr="00841D14" w:rsidRDefault="00F034D2" w:rsidP="00F034D2">
      <w:pPr>
        <w:pStyle w:val="Heading2"/>
        <w:tabs>
          <w:tab w:val="left" w:pos="567"/>
        </w:tabs>
        <w:spacing w:line="240" w:lineRule="auto"/>
        <w:rPr>
          <w:rFonts w:ascii="Arial" w:hAnsi="Arial" w:cs="Arial"/>
          <w:b/>
          <w:bCs/>
          <w:color w:val="000000"/>
        </w:rPr>
      </w:pPr>
      <w:bookmarkStart w:id="1693" w:name="_4.16_Effect_on"/>
      <w:bookmarkStart w:id="1694" w:name="B416"/>
      <w:bookmarkEnd w:id="1693"/>
      <w:bookmarkEnd w:id="1694"/>
      <w:r w:rsidRPr="00841D14">
        <w:rPr>
          <w:rFonts w:ascii="Arial" w:hAnsi="Arial" w:cs="Arial"/>
          <w:b/>
          <w:bCs/>
          <w:color w:val="000000"/>
        </w:rPr>
        <w:t>4.16</w:t>
      </w:r>
      <w:r w:rsidRPr="00841D14">
        <w:rPr>
          <w:rFonts w:ascii="Arial" w:hAnsi="Arial" w:cs="Arial"/>
          <w:b/>
          <w:bCs/>
          <w:color w:val="000000"/>
        </w:rPr>
        <w:tab/>
      </w:r>
      <w:r w:rsidR="003F5149" w:rsidRPr="00841D14">
        <w:rPr>
          <w:rFonts w:ascii="Arial" w:hAnsi="Arial" w:cs="Arial"/>
          <w:b/>
          <w:bCs/>
          <w:color w:val="000000"/>
        </w:rPr>
        <w:t>Effect o</w:t>
      </w:r>
      <w:r w:rsidR="006A48FD" w:rsidRPr="00841D14">
        <w:rPr>
          <w:rFonts w:ascii="Arial" w:hAnsi="Arial" w:cs="Arial"/>
          <w:b/>
          <w:bCs/>
          <w:color w:val="000000"/>
        </w:rPr>
        <w:t xml:space="preserve">n child of separation </w:t>
      </w:r>
      <w:r w:rsidR="003F5149" w:rsidRPr="00841D14">
        <w:rPr>
          <w:rFonts w:ascii="Arial" w:hAnsi="Arial" w:cs="Arial"/>
          <w:b/>
          <w:bCs/>
          <w:color w:val="000000"/>
        </w:rPr>
        <w:t>from primary attachment figure</w:t>
      </w:r>
    </w:p>
    <w:p w14:paraId="5B008837" w14:textId="77777777" w:rsidR="002E2492" w:rsidRDefault="002E2492" w:rsidP="002E2492">
      <w:pPr>
        <w:rPr>
          <w:rFonts w:ascii="Arial" w:hAnsi="Arial" w:cs="Arial"/>
          <w:sz w:val="20"/>
          <w:szCs w:val="20"/>
        </w:rPr>
      </w:pPr>
    </w:p>
    <w:p w14:paraId="3E769DA4" w14:textId="77777777" w:rsidR="00E50918" w:rsidRPr="00E50918" w:rsidRDefault="00E50918" w:rsidP="00E50918">
      <w:pPr>
        <w:pBdr>
          <w:top w:val="single" w:sz="4" w:space="1" w:color="auto"/>
          <w:left w:val="single" w:sz="4" w:space="4" w:color="auto"/>
          <w:bottom w:val="single" w:sz="4" w:space="1" w:color="auto"/>
          <w:right w:val="single" w:sz="4" w:space="4" w:color="auto"/>
        </w:pBdr>
        <w:jc w:val="center"/>
        <w:rPr>
          <w:rFonts w:ascii="Arial" w:hAnsi="Arial" w:cs="Arial"/>
          <w:sz w:val="18"/>
          <w:szCs w:val="20"/>
        </w:rPr>
      </w:pPr>
      <w:r w:rsidRPr="00E50918">
        <w:rPr>
          <w:rFonts w:ascii="Arial" w:hAnsi="Arial" w:cs="Arial"/>
          <w:sz w:val="18"/>
          <w:szCs w:val="20"/>
        </w:rPr>
        <w:t>Th</w:t>
      </w:r>
      <w:r>
        <w:rPr>
          <w:rFonts w:ascii="Arial" w:hAnsi="Arial" w:cs="Arial"/>
          <w:sz w:val="18"/>
          <w:szCs w:val="20"/>
        </w:rPr>
        <w:t xml:space="preserve">e Court is indebted to </w:t>
      </w:r>
      <w:r w:rsidRPr="00E50918">
        <w:rPr>
          <w:rFonts w:ascii="Arial" w:hAnsi="Arial" w:cs="Arial"/>
          <w:sz w:val="18"/>
          <w:szCs w:val="20"/>
        </w:rPr>
        <w:t xml:space="preserve">psychologists Dr Carmel Fahey and Dr </w:t>
      </w:r>
      <w:proofErr w:type="spellStart"/>
      <w:r>
        <w:rPr>
          <w:rFonts w:ascii="Arial" w:hAnsi="Arial" w:cs="Arial"/>
          <w:sz w:val="18"/>
          <w:szCs w:val="20"/>
        </w:rPr>
        <w:t>Oriella</w:t>
      </w:r>
      <w:proofErr w:type="spellEnd"/>
      <w:r>
        <w:rPr>
          <w:rFonts w:ascii="Arial" w:hAnsi="Arial" w:cs="Arial"/>
          <w:sz w:val="18"/>
          <w:szCs w:val="20"/>
        </w:rPr>
        <w:t xml:space="preserve"> </w:t>
      </w:r>
      <w:proofErr w:type="spellStart"/>
      <w:r w:rsidRPr="00E50918">
        <w:rPr>
          <w:rFonts w:ascii="Arial" w:hAnsi="Arial" w:cs="Arial"/>
          <w:sz w:val="18"/>
          <w:szCs w:val="20"/>
        </w:rPr>
        <w:t>Ca</w:t>
      </w:r>
      <w:r>
        <w:rPr>
          <w:rFonts w:ascii="Arial" w:hAnsi="Arial" w:cs="Arial"/>
          <w:sz w:val="18"/>
          <w:szCs w:val="20"/>
        </w:rPr>
        <w:t>t</w:t>
      </w:r>
      <w:r w:rsidRPr="00E50918">
        <w:rPr>
          <w:rFonts w:ascii="Arial" w:hAnsi="Arial" w:cs="Arial"/>
          <w:sz w:val="18"/>
          <w:szCs w:val="20"/>
        </w:rPr>
        <w:t>tapan</w:t>
      </w:r>
      <w:proofErr w:type="spellEnd"/>
      <w:r w:rsidRPr="00E50918">
        <w:rPr>
          <w:rFonts w:ascii="Arial" w:hAnsi="Arial" w:cs="Arial"/>
          <w:sz w:val="18"/>
          <w:szCs w:val="20"/>
        </w:rPr>
        <w:t xml:space="preserve"> </w:t>
      </w:r>
      <w:r>
        <w:rPr>
          <w:rFonts w:ascii="Arial" w:hAnsi="Arial" w:cs="Arial"/>
          <w:sz w:val="18"/>
          <w:szCs w:val="20"/>
        </w:rPr>
        <w:t xml:space="preserve">of the Children’s Court Clinic </w:t>
      </w:r>
      <w:r w:rsidRPr="00AC3492">
        <w:rPr>
          <w:rFonts w:ascii="Arial" w:hAnsi="Arial" w:cs="Arial"/>
          <w:sz w:val="18"/>
        </w:rPr>
        <w:t xml:space="preserve">for </w:t>
      </w:r>
      <w:r>
        <w:rPr>
          <w:rFonts w:ascii="Arial" w:hAnsi="Arial" w:cs="Arial"/>
          <w:sz w:val="18"/>
        </w:rPr>
        <w:t xml:space="preserve">providing much of this material on “separation distress” and </w:t>
      </w:r>
      <w:r w:rsidR="00A3241D">
        <w:rPr>
          <w:rFonts w:ascii="Arial" w:hAnsi="Arial" w:cs="Arial"/>
          <w:sz w:val="18"/>
        </w:rPr>
        <w:t>some</w:t>
      </w:r>
      <w:r>
        <w:rPr>
          <w:rFonts w:ascii="Arial" w:hAnsi="Arial" w:cs="Arial"/>
          <w:sz w:val="18"/>
        </w:rPr>
        <w:t xml:space="preserve"> of the attached bibliography.</w:t>
      </w:r>
    </w:p>
    <w:p w14:paraId="678A797D" w14:textId="77777777" w:rsidR="00E50918" w:rsidRPr="00F04E13" w:rsidRDefault="00E50918" w:rsidP="002E2492">
      <w:pPr>
        <w:rPr>
          <w:rFonts w:ascii="Arial" w:hAnsi="Arial" w:cs="Arial"/>
          <w:sz w:val="20"/>
          <w:szCs w:val="20"/>
        </w:rPr>
      </w:pPr>
    </w:p>
    <w:p w14:paraId="4663933E" w14:textId="77777777" w:rsidR="00AC260C" w:rsidRPr="003A7BC5" w:rsidRDefault="00AC260C" w:rsidP="00AC260C">
      <w:pPr>
        <w:jc w:val="both"/>
        <w:rPr>
          <w:rFonts w:ascii="Arial" w:hAnsi="Arial" w:cs="Arial"/>
          <w:sz w:val="20"/>
          <w:szCs w:val="20"/>
        </w:rPr>
      </w:pPr>
      <w:r w:rsidRPr="003A7BC5">
        <w:rPr>
          <w:rFonts w:ascii="Arial" w:hAnsi="Arial" w:cs="Arial"/>
          <w:sz w:val="20"/>
          <w:szCs w:val="20"/>
        </w:rPr>
        <w:t>Clinical experience shows that children experience distress – sometimes severe enough to lead to a diagnosis of anxiety – for a number of reasons.  Separation is one of these.  The manifestation and degree of this distress varies with the child’s age and resilience and with the particular circumstances of the separation.  When the separation involves the removal of the child, other familiar adults can assist in soothing the child’s distress.  Remaining with siblings, remaining in a familiar environment, having familiar objects, 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75147B66" w14:textId="77777777" w:rsidR="00AC260C" w:rsidRPr="003A7BC5" w:rsidRDefault="00AC260C" w:rsidP="0077281F">
      <w:pPr>
        <w:jc w:val="both"/>
        <w:rPr>
          <w:rFonts w:ascii="Arial" w:hAnsi="Arial" w:cs="Arial"/>
          <w:sz w:val="20"/>
          <w:szCs w:val="20"/>
        </w:rPr>
      </w:pPr>
    </w:p>
    <w:p w14:paraId="2DCEFC01" w14:textId="77777777" w:rsidR="00AC260C" w:rsidRPr="003A7BC5" w:rsidRDefault="00AC260C" w:rsidP="0077281F">
      <w:pPr>
        <w:jc w:val="both"/>
        <w:rPr>
          <w:rFonts w:ascii="Arial" w:hAnsi="Arial" w:cs="Arial"/>
          <w:sz w:val="20"/>
          <w:szCs w:val="20"/>
        </w:rPr>
      </w:pPr>
      <w:r w:rsidRPr="003A7BC5">
        <w:rPr>
          <w:rFonts w:ascii="Arial" w:hAnsi="Arial" w:cs="Arial"/>
          <w:sz w:val="20"/>
          <w:szCs w:val="20"/>
        </w:rPr>
        <w:t xml:space="preserve">Children of all ages are </w:t>
      </w:r>
      <w:r w:rsidR="0077281F" w:rsidRPr="003A7BC5">
        <w:rPr>
          <w:rFonts w:ascii="Arial" w:hAnsi="Arial" w:cs="Arial"/>
          <w:sz w:val="20"/>
          <w:szCs w:val="20"/>
        </w:rPr>
        <w:t xml:space="preserve">potentially </w:t>
      </w:r>
      <w:r w:rsidRPr="003A7BC5">
        <w:rPr>
          <w:rFonts w:ascii="Arial" w:hAnsi="Arial" w:cs="Arial"/>
          <w:sz w:val="20"/>
          <w:szCs w:val="20"/>
        </w:rPr>
        <w:t xml:space="preserve">affected by separation.  It was previously thought that for infants prior to the age of six to nine months, the effect of separation from the mother was less detrimental because the infant had not reached the stage of </w:t>
      </w:r>
      <w:r w:rsidR="0077281F" w:rsidRPr="003A7BC5">
        <w:rPr>
          <w:rFonts w:ascii="Arial" w:hAnsi="Arial" w:cs="Arial"/>
          <w:sz w:val="20"/>
          <w:szCs w:val="20"/>
        </w:rPr>
        <w:t>“</w:t>
      </w:r>
      <w:r w:rsidRPr="003A7BC5">
        <w:rPr>
          <w:rFonts w:ascii="Arial" w:hAnsi="Arial" w:cs="Arial"/>
          <w:sz w:val="20"/>
          <w:szCs w:val="20"/>
        </w:rPr>
        <w:t>object permanence</w:t>
      </w:r>
      <w:r w:rsidR="0077281F" w:rsidRPr="003A7BC5">
        <w:rPr>
          <w:rFonts w:ascii="Arial" w:hAnsi="Arial" w:cs="Arial"/>
          <w:sz w:val="20"/>
          <w:szCs w:val="20"/>
        </w:rPr>
        <w:t>”, a term coined by Piaget to relate to an infant’s capacity to perceive the mother as a separate object.</w:t>
      </w:r>
      <w:r w:rsidRPr="003A7BC5">
        <w:rPr>
          <w:rFonts w:ascii="Arial" w:hAnsi="Arial" w:cs="Arial"/>
          <w:sz w:val="20"/>
          <w:szCs w:val="20"/>
        </w:rPr>
        <w:t xml:space="preserve">  The empirical evidence in relation to the experience of very young infants when separated from the mother (who, it must be remembered, has carried the child through pregnancy) is continuing to emerge through measures of body chemistry</w:t>
      </w:r>
      <w:r w:rsidR="0077281F" w:rsidRPr="003A7BC5">
        <w:rPr>
          <w:rFonts w:ascii="Arial" w:hAnsi="Arial" w:cs="Arial"/>
          <w:sz w:val="20"/>
          <w:szCs w:val="20"/>
        </w:rPr>
        <w:t xml:space="preserve">: see, for example, Goldsmith, D.F., Oppenheim, D. &amp; </w:t>
      </w:r>
      <w:proofErr w:type="spellStart"/>
      <w:r w:rsidR="0077281F" w:rsidRPr="003A7BC5">
        <w:rPr>
          <w:rFonts w:ascii="Arial" w:hAnsi="Arial" w:cs="Arial"/>
          <w:sz w:val="20"/>
          <w:szCs w:val="20"/>
        </w:rPr>
        <w:t>Wanless</w:t>
      </w:r>
      <w:proofErr w:type="spellEnd"/>
      <w:r w:rsidR="0077281F" w:rsidRPr="003A7BC5">
        <w:rPr>
          <w:rFonts w:ascii="Arial" w:hAnsi="Arial" w:cs="Arial"/>
          <w:sz w:val="20"/>
          <w:szCs w:val="20"/>
        </w:rPr>
        <w:t xml:space="preserve">, J. (2004) Separation and reunification: Using attachment theory and research to inform decisions affecting the placements of children in foster care.  </w:t>
      </w:r>
      <w:r w:rsidR="0077281F" w:rsidRPr="003A7BC5">
        <w:rPr>
          <w:rFonts w:ascii="Arial" w:hAnsi="Arial" w:cs="Arial"/>
          <w:i/>
          <w:sz w:val="20"/>
          <w:szCs w:val="20"/>
        </w:rPr>
        <w:t>Juvenile and Family Court Journal, 55, 1-14</w:t>
      </w:r>
      <w:r w:rsidR="0077281F" w:rsidRPr="003A7BC5">
        <w:rPr>
          <w:rFonts w:ascii="Arial" w:hAnsi="Arial" w:cs="Arial"/>
          <w:sz w:val="20"/>
          <w:szCs w:val="20"/>
        </w:rPr>
        <w:t xml:space="preserve">.  </w:t>
      </w:r>
      <w:r w:rsidRPr="003A7BC5">
        <w:rPr>
          <w:rFonts w:ascii="Arial" w:hAnsi="Arial" w:cs="Arial"/>
          <w:sz w:val="20"/>
          <w:szCs w:val="20"/>
        </w:rPr>
        <w:t xml:space="preserve">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the child’s subsequent ability to find comfort in the return of the primary attachment figure.  Ainsworth (1978) developed a way of recording the separation </w:t>
      </w:r>
      <w:r w:rsidRPr="003A7BC5">
        <w:rPr>
          <w:rFonts w:ascii="Arial" w:hAnsi="Arial" w:cs="Arial"/>
          <w:sz w:val="20"/>
          <w:szCs w:val="20"/>
        </w:rPr>
        <w:lastRenderedPageBreak/>
        <w:t>through the “Strange Situation”.  Initially the “Strange Situation” involved the child remaining with an unfamiliar therapist while the mother left the room for just three minutes.  It</w:t>
      </w:r>
      <w:r w:rsidR="002D166A" w:rsidRPr="003A7BC5">
        <w:rPr>
          <w:rFonts w:ascii="Arial" w:hAnsi="Arial" w:cs="Arial"/>
          <w:sz w:val="20"/>
          <w:szCs w:val="20"/>
        </w:rPr>
        <w:t> </w:t>
      </w:r>
      <w:r w:rsidRPr="003A7BC5">
        <w:rPr>
          <w:rFonts w:ascii="Arial" w:hAnsi="Arial" w:cs="Arial"/>
          <w:sz w:val="20"/>
          <w:szCs w:val="20"/>
        </w:rPr>
        <w:t>is well</w:t>
      </w:r>
      <w:r w:rsidR="002E2492" w:rsidRPr="003A7BC5">
        <w:rPr>
          <w:rFonts w:ascii="Arial" w:hAnsi="Arial" w:cs="Arial"/>
          <w:sz w:val="20"/>
          <w:szCs w:val="20"/>
        </w:rPr>
        <w:t>-</w:t>
      </w:r>
      <w:r w:rsidRPr="003A7BC5">
        <w:rPr>
          <w:rFonts w:ascii="Arial" w:hAnsi="Arial" w:cs="Arial"/>
          <w:sz w:val="20"/>
          <w:szCs w:val="20"/>
        </w:rPr>
        <w:t>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78A68741" w14:textId="77777777" w:rsidR="003F5149" w:rsidRPr="003A7BC5" w:rsidRDefault="003F5149" w:rsidP="003F5149">
      <w:pPr>
        <w:jc w:val="both"/>
        <w:rPr>
          <w:rFonts w:ascii="Arial" w:hAnsi="Arial" w:cs="Arial"/>
          <w:sz w:val="20"/>
          <w:szCs w:val="20"/>
        </w:rPr>
      </w:pPr>
    </w:p>
    <w:p w14:paraId="279FC11A" w14:textId="77777777" w:rsidR="003F5149" w:rsidRPr="003A7BC5" w:rsidRDefault="003F5149" w:rsidP="003F5149">
      <w:pPr>
        <w:jc w:val="both"/>
        <w:rPr>
          <w:rFonts w:ascii="Arial" w:hAnsi="Arial" w:cs="Arial"/>
          <w:sz w:val="20"/>
          <w:szCs w:val="20"/>
        </w:rPr>
      </w:pPr>
      <w:r w:rsidRPr="003A7BC5">
        <w:rPr>
          <w:rFonts w:ascii="Arial" w:hAnsi="Arial" w:cs="Arial"/>
          <w:sz w:val="20"/>
          <w:szCs w:val="20"/>
        </w:rPr>
        <w:t>In t</w:t>
      </w:r>
      <w:r w:rsidR="00A3241D">
        <w:rPr>
          <w:rFonts w:ascii="Arial" w:hAnsi="Arial" w:cs="Arial"/>
          <w:sz w:val="20"/>
          <w:szCs w:val="20"/>
        </w:rPr>
        <w:t>he recent publication entitled “</w:t>
      </w:r>
      <w:r w:rsidRPr="003A7BC5">
        <w:rPr>
          <w:rFonts w:ascii="Arial" w:hAnsi="Arial" w:cs="Arial"/>
          <w:sz w:val="20"/>
          <w:szCs w:val="20"/>
        </w:rPr>
        <w:t>Healthy Beginnings, He</w:t>
      </w:r>
      <w:r w:rsidR="00A3241D">
        <w:rPr>
          <w:rFonts w:ascii="Arial" w:hAnsi="Arial" w:cs="Arial"/>
          <w:sz w:val="20"/>
          <w:szCs w:val="20"/>
        </w:rPr>
        <w:t>althy Futures – A Judge’s Guide”</w:t>
      </w:r>
      <w:r w:rsidRPr="003A7BC5">
        <w:rPr>
          <w:rFonts w:ascii="Arial" w:hAnsi="Arial" w:cs="Arial"/>
          <w:sz w:val="20"/>
          <w:szCs w:val="20"/>
        </w:rPr>
        <w:t xml:space="preserve"> (discussed in greater detail above in </w:t>
      </w:r>
      <w:r w:rsidR="0030413C" w:rsidRPr="003A7BC5">
        <w:rPr>
          <w:rFonts w:ascii="Arial" w:hAnsi="Arial" w:cs="Arial"/>
          <w:sz w:val="20"/>
          <w:szCs w:val="20"/>
        </w:rPr>
        <w:t xml:space="preserve">the </w:t>
      </w:r>
      <w:r w:rsidRPr="003A7BC5">
        <w:rPr>
          <w:rFonts w:ascii="Arial" w:hAnsi="Arial" w:cs="Arial"/>
          <w:sz w:val="20"/>
          <w:szCs w:val="20"/>
        </w:rPr>
        <w:t>section entitled “American judicial guidelines 2009</w:t>
      </w:r>
      <w:r w:rsidR="00A3241D">
        <w:rPr>
          <w:rFonts w:ascii="Arial" w:hAnsi="Arial" w:cs="Arial"/>
          <w:sz w:val="20"/>
          <w:szCs w:val="20"/>
        </w:rPr>
        <w:t>”</w:t>
      </w:r>
      <w:r w:rsidRPr="003A7BC5">
        <w:rPr>
          <w:rFonts w:ascii="Arial" w:hAnsi="Arial" w:cs="Arial"/>
          <w:sz w:val="20"/>
          <w:szCs w:val="20"/>
        </w:rPr>
        <w:t>) a number of comments are made about the effects of removing children from their parents, including the following opinion:</w:t>
      </w:r>
    </w:p>
    <w:p w14:paraId="36BFB8EB" w14:textId="77777777" w:rsidR="003F5149" w:rsidRPr="003A7BC5" w:rsidRDefault="002D166A" w:rsidP="003F5149">
      <w:pPr>
        <w:spacing w:before="120"/>
        <w:ind w:left="567" w:right="567"/>
        <w:jc w:val="both"/>
        <w:rPr>
          <w:rFonts w:ascii="Arial" w:hAnsi="Arial" w:cs="Arial"/>
          <w:sz w:val="20"/>
          <w:szCs w:val="20"/>
        </w:rPr>
      </w:pPr>
      <w:r w:rsidRPr="003A7BC5">
        <w:rPr>
          <w:rFonts w:ascii="Arial" w:hAnsi="Arial" w:cs="Arial"/>
          <w:sz w:val="20"/>
          <w:szCs w:val="20"/>
        </w:rPr>
        <w:t>“</w:t>
      </w:r>
      <w:r w:rsidR="003F5149" w:rsidRPr="003A7BC5">
        <w:rPr>
          <w:rFonts w:ascii="Arial" w:hAnsi="Arial" w:cs="Arial"/>
          <w:sz w:val="20"/>
          <w:szCs w:val="20"/>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t>
      </w:r>
      <w:proofErr w:type="spellStart"/>
      <w:r w:rsidR="003F5149" w:rsidRPr="003A7BC5">
        <w:rPr>
          <w:rFonts w:ascii="Arial" w:hAnsi="Arial" w:cs="Arial"/>
          <w:sz w:val="20"/>
          <w:szCs w:val="20"/>
        </w:rPr>
        <w:t>Wanlass</w:t>
      </w:r>
      <w:proofErr w:type="spellEnd"/>
      <w:r w:rsidR="003F5149" w:rsidRPr="003A7BC5">
        <w:rPr>
          <w:rFonts w:ascii="Arial" w:hAnsi="Arial" w:cs="Arial"/>
          <w:sz w:val="20"/>
          <w:szCs w:val="20"/>
        </w:rPr>
        <w:t xml:space="preserve">. “Separation and Reunification: Using Attachment Theory and Research to Inform Decisions Affecting the Placements of Children in Foster Care”. </w:t>
      </w:r>
      <w:r w:rsidR="003F5149" w:rsidRPr="003A7BC5">
        <w:rPr>
          <w:rFonts w:ascii="Arial" w:hAnsi="Arial" w:cs="Arial"/>
          <w:i/>
          <w:sz w:val="20"/>
          <w:szCs w:val="20"/>
        </w:rPr>
        <w:t>Juvenile and Family Court Journal</w:t>
      </w:r>
      <w:r w:rsidR="003F5149" w:rsidRPr="003A7BC5">
        <w:rPr>
          <w:rFonts w:ascii="Arial" w:hAnsi="Arial" w:cs="Arial"/>
          <w:sz w:val="20"/>
          <w:szCs w:val="20"/>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3F5149" w:rsidRPr="003A7BC5">
            <w:rPr>
              <w:rFonts w:ascii="Arial" w:hAnsi="Arial" w:cs="Arial"/>
              <w:sz w:val="20"/>
              <w:szCs w:val="20"/>
            </w:rPr>
            <w:t>Academy</w:t>
          </w:r>
        </w:smartTag>
        <w:r w:rsidR="003F5149" w:rsidRPr="003A7BC5">
          <w:rPr>
            <w:rFonts w:ascii="Arial" w:hAnsi="Arial" w:cs="Arial"/>
            <w:sz w:val="20"/>
            <w:szCs w:val="20"/>
          </w:rPr>
          <w:t xml:space="preserve"> of </w:t>
        </w:r>
        <w:smartTag w:uri="urn:schemas-microsoft-com:office:smarttags" w:element="PlaceName">
          <w:r w:rsidR="003F5149" w:rsidRPr="003A7BC5">
            <w:rPr>
              <w:rFonts w:ascii="Arial" w:hAnsi="Arial" w:cs="Arial"/>
              <w:sz w:val="20"/>
              <w:szCs w:val="20"/>
            </w:rPr>
            <w:t>Pediatrics Committee</w:t>
          </w:r>
        </w:smartTag>
      </w:smartTag>
      <w:r w:rsidR="003F5149" w:rsidRPr="003A7BC5">
        <w:rPr>
          <w:rFonts w:ascii="Arial" w:hAnsi="Arial" w:cs="Arial"/>
          <w:sz w:val="20"/>
          <w:szCs w:val="20"/>
        </w:rPr>
        <w:t xml:space="preserve"> on Early Childhood, Adoption and Dependent Care. “Developmental Issues for Young Children in Foster Care.” </w:t>
      </w:r>
      <w:r w:rsidR="003F5149" w:rsidRPr="003A7BC5">
        <w:rPr>
          <w:rFonts w:ascii="Arial" w:hAnsi="Arial" w:cs="Arial"/>
          <w:i/>
          <w:sz w:val="20"/>
          <w:szCs w:val="20"/>
        </w:rPr>
        <w:t>Pediatrics</w:t>
      </w:r>
      <w:r w:rsidR="003F5149" w:rsidRPr="003A7BC5">
        <w:rPr>
          <w:rFonts w:ascii="Arial" w:hAnsi="Arial" w:cs="Arial"/>
          <w:sz w:val="20"/>
          <w:szCs w:val="20"/>
        </w:rPr>
        <w:t xml:space="preserve"> 105(5), 2000, 1146).”</w:t>
      </w:r>
    </w:p>
    <w:p w14:paraId="7425EB3B" w14:textId="77777777" w:rsidR="00B47D65" w:rsidRPr="003A7BC5" w:rsidRDefault="00B47D65" w:rsidP="003F5149">
      <w:pPr>
        <w:jc w:val="both"/>
        <w:rPr>
          <w:rFonts w:ascii="Arial" w:hAnsi="Arial" w:cs="Arial"/>
          <w:sz w:val="20"/>
          <w:szCs w:val="20"/>
        </w:rPr>
      </w:pPr>
    </w:p>
    <w:p w14:paraId="6DBE2ACB" w14:textId="77777777" w:rsidR="00B8277B" w:rsidRPr="003A7BC5" w:rsidRDefault="00B8277B" w:rsidP="003F5149">
      <w:pPr>
        <w:jc w:val="both"/>
        <w:rPr>
          <w:rFonts w:ascii="Arial" w:hAnsi="Arial" w:cs="Arial"/>
          <w:sz w:val="20"/>
          <w:szCs w:val="20"/>
        </w:rPr>
      </w:pPr>
      <w:r w:rsidRPr="003A7BC5">
        <w:rPr>
          <w:rFonts w:ascii="Arial" w:hAnsi="Arial" w:cs="Arial"/>
          <w:sz w:val="20"/>
          <w:szCs w:val="20"/>
        </w:rPr>
        <w:t xml:space="preserve">There is </w:t>
      </w:r>
      <w:r w:rsidR="002D166A" w:rsidRPr="003A7BC5">
        <w:rPr>
          <w:rFonts w:ascii="Arial" w:hAnsi="Arial" w:cs="Arial"/>
          <w:sz w:val="20"/>
          <w:szCs w:val="20"/>
        </w:rPr>
        <w:t xml:space="preserve">now </w:t>
      </w:r>
      <w:r w:rsidRPr="003A7BC5">
        <w:rPr>
          <w:rFonts w:ascii="Arial" w:hAnsi="Arial" w:cs="Arial"/>
          <w:sz w:val="20"/>
          <w:szCs w:val="20"/>
        </w:rPr>
        <w:t xml:space="preserve">an abundance of literature over </w:t>
      </w:r>
      <w:r w:rsidR="002D166A" w:rsidRPr="003A7BC5">
        <w:rPr>
          <w:rFonts w:ascii="Arial" w:hAnsi="Arial" w:cs="Arial"/>
          <w:sz w:val="20"/>
          <w:szCs w:val="20"/>
        </w:rPr>
        <w:t xml:space="preserve">four </w:t>
      </w:r>
      <w:r w:rsidRPr="003A7BC5">
        <w:rPr>
          <w:rFonts w:ascii="Arial" w:hAnsi="Arial" w:cs="Arial"/>
          <w:sz w:val="20"/>
          <w:szCs w:val="20"/>
        </w:rPr>
        <w:t xml:space="preserve">decades that describes the psychological impact on a child of separation from his or her primary attachment figure.  A bibliography together with </w:t>
      </w:r>
      <w:r w:rsidR="00E50918">
        <w:rPr>
          <w:rFonts w:ascii="Arial" w:hAnsi="Arial" w:cs="Arial"/>
          <w:sz w:val="20"/>
          <w:szCs w:val="20"/>
        </w:rPr>
        <w:t xml:space="preserve">extracts from and comments on </w:t>
      </w:r>
      <w:r w:rsidR="002D166A" w:rsidRPr="003A7BC5">
        <w:rPr>
          <w:rFonts w:ascii="Arial" w:hAnsi="Arial" w:cs="Arial"/>
          <w:sz w:val="20"/>
          <w:szCs w:val="20"/>
        </w:rPr>
        <w:t xml:space="preserve">cited literature with </w:t>
      </w:r>
      <w:r w:rsidRPr="003A7BC5">
        <w:rPr>
          <w:rFonts w:ascii="Arial" w:hAnsi="Arial" w:cs="Arial"/>
          <w:sz w:val="20"/>
          <w:szCs w:val="20"/>
        </w:rPr>
        <w:t>particular relevance to the psychological impact of such separation follows.</w:t>
      </w:r>
    </w:p>
    <w:p w14:paraId="337CB165" w14:textId="77777777" w:rsidR="00B8277B" w:rsidRPr="003A7BC5" w:rsidRDefault="00B8277B" w:rsidP="00B8277B">
      <w:pPr>
        <w:spacing w:before="120"/>
        <w:jc w:val="both"/>
        <w:rPr>
          <w:rFonts w:ascii="Arial" w:hAnsi="Arial" w:cs="Arial"/>
          <w:sz w:val="20"/>
          <w:szCs w:val="20"/>
        </w:rPr>
      </w:pPr>
    </w:p>
    <w:p w14:paraId="51AE4F13" w14:textId="77777777" w:rsidR="00AC260C" w:rsidRPr="00AC260C" w:rsidRDefault="00B8277B" w:rsidP="00B8277B">
      <w:pPr>
        <w:jc w:val="center"/>
        <w:rPr>
          <w:rFonts w:ascii="Arial" w:hAnsi="Arial" w:cs="Arial"/>
          <w:b/>
          <w:i/>
          <w:sz w:val="20"/>
          <w:szCs w:val="20"/>
        </w:rPr>
      </w:pPr>
      <w:r>
        <w:rPr>
          <w:rFonts w:ascii="Arial" w:hAnsi="Arial" w:cs="Arial"/>
          <w:b/>
          <w:i/>
          <w:sz w:val="20"/>
          <w:szCs w:val="20"/>
        </w:rPr>
        <w:t>Bibliography</w:t>
      </w:r>
    </w:p>
    <w:p w14:paraId="271C6E83" w14:textId="77777777" w:rsidR="00AC260C" w:rsidRPr="00AC260C" w:rsidRDefault="00AC260C" w:rsidP="00AC260C">
      <w:pPr>
        <w:rPr>
          <w:rFonts w:ascii="Arial" w:hAnsi="Arial" w:cs="Arial"/>
          <w:sz w:val="20"/>
          <w:szCs w:val="20"/>
        </w:rPr>
      </w:pPr>
    </w:p>
    <w:p w14:paraId="08C84C91"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Agrawal, H.R., Gunderson, J., Holmes, B.M., &amp; Lyons-Ruth, K. (2004) Attachment studies with borderline patients: A review.  </w:t>
      </w:r>
      <w:r w:rsidRPr="00AC260C">
        <w:rPr>
          <w:rFonts w:ascii="Arial" w:hAnsi="Arial" w:cs="Arial"/>
          <w:i/>
          <w:sz w:val="20"/>
          <w:szCs w:val="20"/>
        </w:rPr>
        <w:t>Harvard Review of Psychiatry, 12,</w:t>
      </w:r>
      <w:r w:rsidRPr="00AC260C">
        <w:rPr>
          <w:rFonts w:ascii="Arial" w:hAnsi="Arial" w:cs="Arial"/>
          <w:sz w:val="20"/>
          <w:szCs w:val="20"/>
        </w:rPr>
        <w:t xml:space="preserve"> 94-104.</w:t>
      </w:r>
    </w:p>
    <w:p w14:paraId="072E1A44" w14:textId="77777777" w:rsidR="00AC260C" w:rsidRPr="00AC260C" w:rsidRDefault="00AC260C" w:rsidP="00AC260C">
      <w:pPr>
        <w:ind w:left="720" w:hanging="720"/>
        <w:jc w:val="both"/>
        <w:rPr>
          <w:rFonts w:ascii="Arial" w:hAnsi="Arial" w:cs="Arial"/>
          <w:sz w:val="20"/>
          <w:szCs w:val="20"/>
        </w:rPr>
      </w:pPr>
    </w:p>
    <w:p w14:paraId="0EB2500A"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Ainsworth, M.D.S., </w:t>
      </w:r>
      <w:proofErr w:type="spellStart"/>
      <w:r w:rsidRPr="00AC260C">
        <w:rPr>
          <w:rFonts w:ascii="Arial" w:hAnsi="Arial" w:cs="Arial"/>
          <w:sz w:val="20"/>
          <w:szCs w:val="20"/>
        </w:rPr>
        <w:t>Blehar</w:t>
      </w:r>
      <w:proofErr w:type="spellEnd"/>
      <w:r w:rsidRPr="00AC260C">
        <w:rPr>
          <w:rFonts w:ascii="Arial" w:hAnsi="Arial" w:cs="Arial"/>
          <w:sz w:val="20"/>
          <w:szCs w:val="20"/>
        </w:rPr>
        <w:t xml:space="preserve">, M.C., Waters, E. &amp; Wall, S. (1978) </w:t>
      </w:r>
      <w:r w:rsidRPr="00AC260C">
        <w:rPr>
          <w:rFonts w:ascii="Arial" w:hAnsi="Arial" w:cs="Arial"/>
          <w:i/>
          <w:sz w:val="20"/>
          <w:szCs w:val="20"/>
        </w:rPr>
        <w:t>Patterns of Attachment: A psychological study of the Strange Situation</w:t>
      </w:r>
      <w:r w:rsidRPr="00AC260C">
        <w:rPr>
          <w:rFonts w:ascii="Arial" w:hAnsi="Arial" w:cs="Arial"/>
          <w:sz w:val="20"/>
          <w:szCs w:val="20"/>
        </w:rPr>
        <w:t xml:space="preserve">.  Erlbaum, </w:t>
      </w:r>
      <w:smartTag w:uri="urn:schemas-microsoft-com:office:smarttags" w:element="place">
        <w:smartTag w:uri="urn:schemas-microsoft-com:office:smarttags" w:element="City">
          <w:r w:rsidRPr="00AC260C">
            <w:rPr>
              <w:rFonts w:ascii="Arial" w:hAnsi="Arial" w:cs="Arial"/>
              <w:sz w:val="20"/>
              <w:szCs w:val="20"/>
            </w:rPr>
            <w:t>Hillsdale</w:t>
          </w:r>
        </w:smartTag>
        <w:r w:rsidRPr="00AC260C">
          <w:rPr>
            <w:rFonts w:ascii="Arial" w:hAnsi="Arial" w:cs="Arial"/>
            <w:sz w:val="20"/>
            <w:szCs w:val="20"/>
          </w:rPr>
          <w:t xml:space="preserve">, </w:t>
        </w:r>
        <w:smartTag w:uri="urn:schemas-microsoft-com:office:smarttags" w:element="State">
          <w:r w:rsidRPr="00AC260C">
            <w:rPr>
              <w:rFonts w:ascii="Arial" w:hAnsi="Arial" w:cs="Arial"/>
              <w:sz w:val="20"/>
              <w:szCs w:val="20"/>
            </w:rPr>
            <w:t>NJ</w:t>
          </w:r>
        </w:smartTag>
      </w:smartTag>
      <w:r w:rsidRPr="00AC260C">
        <w:rPr>
          <w:rFonts w:ascii="Arial" w:hAnsi="Arial" w:cs="Arial"/>
          <w:sz w:val="20"/>
          <w:szCs w:val="20"/>
        </w:rPr>
        <w:t>.</w:t>
      </w:r>
    </w:p>
    <w:p w14:paraId="69B53EFC" w14:textId="77777777" w:rsidR="00AC260C" w:rsidRPr="00AC260C" w:rsidRDefault="00AC260C" w:rsidP="00AC260C">
      <w:pPr>
        <w:ind w:left="720" w:hanging="720"/>
        <w:jc w:val="both"/>
        <w:rPr>
          <w:rFonts w:ascii="Arial" w:hAnsi="Arial" w:cs="Arial"/>
          <w:sz w:val="20"/>
          <w:szCs w:val="20"/>
        </w:rPr>
      </w:pPr>
    </w:p>
    <w:p w14:paraId="693E41F4"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Bartholomew, K., </w:t>
      </w:r>
      <w:proofErr w:type="spellStart"/>
      <w:r w:rsidRPr="00AC260C">
        <w:rPr>
          <w:rFonts w:ascii="Arial" w:hAnsi="Arial" w:cs="Arial"/>
          <w:sz w:val="20"/>
          <w:szCs w:val="20"/>
        </w:rPr>
        <w:t>Kwong</w:t>
      </w:r>
      <w:proofErr w:type="spellEnd"/>
      <w:r w:rsidRPr="00AC260C">
        <w:rPr>
          <w:rFonts w:ascii="Arial" w:hAnsi="Arial" w:cs="Arial"/>
          <w:sz w:val="20"/>
          <w:szCs w:val="20"/>
        </w:rPr>
        <w:t>, M.J., &amp; Hart, S.D., (2001) Attachment.  In W.J. </w:t>
      </w:r>
      <w:proofErr w:type="spellStart"/>
      <w:r w:rsidRPr="00AC260C">
        <w:rPr>
          <w:rFonts w:ascii="Arial" w:hAnsi="Arial" w:cs="Arial"/>
          <w:sz w:val="20"/>
          <w:szCs w:val="20"/>
        </w:rPr>
        <w:t>Livesley</w:t>
      </w:r>
      <w:proofErr w:type="spellEnd"/>
      <w:r w:rsidRPr="00AC260C">
        <w:rPr>
          <w:rFonts w:ascii="Arial" w:hAnsi="Arial" w:cs="Arial"/>
          <w:sz w:val="20"/>
          <w:szCs w:val="20"/>
        </w:rPr>
        <w:t xml:space="preserve"> (Ed.) </w:t>
      </w:r>
      <w:r w:rsidRPr="00AC260C">
        <w:rPr>
          <w:rFonts w:ascii="Arial" w:hAnsi="Arial" w:cs="Arial"/>
          <w:i/>
          <w:sz w:val="20"/>
          <w:szCs w:val="20"/>
        </w:rPr>
        <w:t>Handbook of personality disorders</w:t>
      </w:r>
      <w:r w:rsidRPr="00AC260C">
        <w:rPr>
          <w:rFonts w:ascii="Arial" w:hAnsi="Arial" w:cs="Arial"/>
          <w:sz w:val="20"/>
          <w:szCs w:val="20"/>
        </w:rPr>
        <w:t xml:space="preserve"> (pp.196-230).  </w:t>
      </w:r>
      <w:smartTag w:uri="urn:schemas-microsoft-com:office:smarttags" w:element="State">
        <w:r w:rsidRPr="00AC260C">
          <w:rPr>
            <w:rFonts w:ascii="Arial" w:hAnsi="Arial" w:cs="Arial"/>
            <w:sz w:val="20"/>
            <w:szCs w:val="20"/>
          </w:rPr>
          <w:t>New York</w:t>
        </w:r>
      </w:smartTag>
      <w:r w:rsidRPr="00AC260C">
        <w:rPr>
          <w:rFonts w:ascii="Arial" w:hAnsi="Arial" w:cs="Arial"/>
          <w:sz w:val="20"/>
          <w:szCs w:val="20"/>
        </w:rPr>
        <w:t xml:space="preserve">: </w:t>
      </w:r>
      <w:smartTag w:uri="urn:schemas-microsoft-com:office:smarttags" w:element="place">
        <w:smartTag w:uri="urn:schemas-microsoft-com:office:smarttags" w:element="City">
          <w:r w:rsidRPr="00AC260C">
            <w:rPr>
              <w:rFonts w:ascii="Arial" w:hAnsi="Arial" w:cs="Arial"/>
              <w:sz w:val="20"/>
              <w:szCs w:val="20"/>
            </w:rPr>
            <w:t>Guilford</w:t>
          </w:r>
        </w:smartTag>
      </w:smartTag>
      <w:r w:rsidRPr="00AC260C">
        <w:rPr>
          <w:rFonts w:ascii="Arial" w:hAnsi="Arial" w:cs="Arial"/>
          <w:sz w:val="20"/>
          <w:szCs w:val="20"/>
        </w:rPr>
        <w:t xml:space="preserve"> Press.</w:t>
      </w:r>
    </w:p>
    <w:p w14:paraId="147529E0" w14:textId="77777777" w:rsidR="00AC260C" w:rsidRPr="00AC260C" w:rsidRDefault="00AC260C" w:rsidP="00AC260C">
      <w:pPr>
        <w:jc w:val="both"/>
        <w:rPr>
          <w:rFonts w:ascii="Arial" w:hAnsi="Arial" w:cs="Arial"/>
          <w:sz w:val="20"/>
          <w:szCs w:val="20"/>
        </w:rPr>
      </w:pPr>
    </w:p>
    <w:p w14:paraId="6DD42FFE"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Bowlby, J. (1969).  </w:t>
      </w:r>
      <w:r w:rsidRPr="00AC260C">
        <w:rPr>
          <w:rFonts w:ascii="Arial" w:hAnsi="Arial" w:cs="Arial"/>
          <w:i/>
          <w:sz w:val="20"/>
          <w:szCs w:val="20"/>
        </w:rPr>
        <w:t>Attachment and loss: Vol.1 Attachment.</w:t>
      </w:r>
      <w:r w:rsidRPr="00AC260C">
        <w:rPr>
          <w:rFonts w:ascii="Arial" w:hAnsi="Arial" w:cs="Arial"/>
          <w:sz w:val="20"/>
          <w:szCs w:val="20"/>
        </w:rPr>
        <w:t xml:space="preserve">  </w:t>
      </w:r>
      <w:smartTag w:uri="urn:schemas-microsoft-com:office:smarttags" w:element="State">
        <w:smartTag w:uri="urn:schemas-microsoft-com:office:smarttags" w:element="place">
          <w:r w:rsidRPr="00AC260C">
            <w:rPr>
              <w:rFonts w:ascii="Arial" w:hAnsi="Arial" w:cs="Arial"/>
              <w:sz w:val="20"/>
              <w:szCs w:val="20"/>
            </w:rPr>
            <w:t>New York</w:t>
          </w:r>
        </w:smartTag>
      </w:smartTag>
      <w:r w:rsidRPr="00AC260C">
        <w:rPr>
          <w:rFonts w:ascii="Arial" w:hAnsi="Arial" w:cs="Arial"/>
          <w:sz w:val="20"/>
          <w:szCs w:val="20"/>
        </w:rPr>
        <w:t>: Basic Books.</w:t>
      </w:r>
    </w:p>
    <w:p w14:paraId="00421744" w14:textId="77777777" w:rsidR="00AC260C" w:rsidRPr="00AC260C" w:rsidRDefault="00AC260C" w:rsidP="00AC260C">
      <w:pPr>
        <w:ind w:left="720" w:hanging="720"/>
        <w:jc w:val="both"/>
        <w:rPr>
          <w:rFonts w:ascii="Arial" w:hAnsi="Arial" w:cs="Arial"/>
          <w:sz w:val="20"/>
          <w:szCs w:val="20"/>
        </w:rPr>
      </w:pPr>
    </w:p>
    <w:p w14:paraId="02834614"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Bowlby, J. (1973).  </w:t>
      </w:r>
      <w:r w:rsidRPr="00AC260C">
        <w:rPr>
          <w:rFonts w:ascii="Arial" w:hAnsi="Arial" w:cs="Arial"/>
          <w:i/>
          <w:sz w:val="20"/>
          <w:szCs w:val="20"/>
        </w:rPr>
        <w:t>Attachment and loss: Vol.2 Separation.</w:t>
      </w:r>
      <w:r w:rsidRPr="00AC260C">
        <w:rPr>
          <w:rFonts w:ascii="Arial" w:hAnsi="Arial" w:cs="Arial"/>
          <w:sz w:val="20"/>
          <w:szCs w:val="20"/>
        </w:rPr>
        <w:t xml:space="preserve">  </w:t>
      </w:r>
      <w:smartTag w:uri="urn:schemas-microsoft-com:office:smarttags" w:element="State">
        <w:smartTag w:uri="urn:schemas-microsoft-com:office:smarttags" w:element="place">
          <w:r w:rsidRPr="00AC260C">
            <w:rPr>
              <w:rFonts w:ascii="Arial" w:hAnsi="Arial" w:cs="Arial"/>
              <w:sz w:val="20"/>
              <w:szCs w:val="20"/>
            </w:rPr>
            <w:t>New York</w:t>
          </w:r>
        </w:smartTag>
      </w:smartTag>
      <w:r w:rsidRPr="00AC260C">
        <w:rPr>
          <w:rFonts w:ascii="Arial" w:hAnsi="Arial" w:cs="Arial"/>
          <w:sz w:val="20"/>
          <w:szCs w:val="20"/>
        </w:rPr>
        <w:t>: Basic Books.</w:t>
      </w:r>
    </w:p>
    <w:p w14:paraId="01240D7E" w14:textId="77777777" w:rsidR="00AC260C" w:rsidRPr="00AC260C" w:rsidRDefault="00AC260C" w:rsidP="00AC260C">
      <w:pPr>
        <w:ind w:left="720" w:hanging="720"/>
        <w:jc w:val="both"/>
        <w:rPr>
          <w:rFonts w:ascii="Arial" w:hAnsi="Arial" w:cs="Arial"/>
          <w:sz w:val="20"/>
          <w:szCs w:val="20"/>
        </w:rPr>
      </w:pPr>
    </w:p>
    <w:p w14:paraId="5F263A4E"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Bowlby, J. (1980).  </w:t>
      </w:r>
      <w:r w:rsidRPr="00AC260C">
        <w:rPr>
          <w:rFonts w:ascii="Arial" w:hAnsi="Arial" w:cs="Arial"/>
          <w:i/>
          <w:sz w:val="20"/>
          <w:szCs w:val="20"/>
        </w:rPr>
        <w:t>Attachment and loss: Vol.3 Loss, sadness and depression.</w:t>
      </w:r>
      <w:r w:rsidRPr="00AC260C">
        <w:rPr>
          <w:rFonts w:ascii="Arial" w:hAnsi="Arial" w:cs="Arial"/>
          <w:sz w:val="20"/>
          <w:szCs w:val="20"/>
        </w:rPr>
        <w:t xml:space="preserve">  </w:t>
      </w:r>
      <w:smartTag w:uri="urn:schemas-microsoft-com:office:smarttags" w:element="State">
        <w:smartTag w:uri="urn:schemas-microsoft-com:office:smarttags" w:element="place">
          <w:r w:rsidRPr="00AC260C">
            <w:rPr>
              <w:rFonts w:ascii="Arial" w:hAnsi="Arial" w:cs="Arial"/>
              <w:sz w:val="20"/>
              <w:szCs w:val="20"/>
            </w:rPr>
            <w:t>New York</w:t>
          </w:r>
        </w:smartTag>
      </w:smartTag>
      <w:r w:rsidRPr="00AC260C">
        <w:rPr>
          <w:rFonts w:ascii="Arial" w:hAnsi="Arial" w:cs="Arial"/>
          <w:sz w:val="20"/>
          <w:szCs w:val="20"/>
        </w:rPr>
        <w:t>: Basic Books.</w:t>
      </w:r>
    </w:p>
    <w:p w14:paraId="5897AE58" w14:textId="77777777" w:rsidR="00AC260C" w:rsidRPr="00AC260C" w:rsidRDefault="00AC260C" w:rsidP="00AC260C">
      <w:pPr>
        <w:jc w:val="both"/>
        <w:rPr>
          <w:rFonts w:ascii="Arial" w:hAnsi="Arial" w:cs="Arial"/>
          <w:sz w:val="20"/>
          <w:szCs w:val="20"/>
        </w:rPr>
      </w:pPr>
    </w:p>
    <w:p w14:paraId="4E084128"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Brennan, K.A., &amp; Shaver, P.R. (1998) Attachment styles and personality disorders: Their connection to each other and parental divorce, parental death, and perception of parental caregiving.  </w:t>
      </w:r>
      <w:r w:rsidRPr="00AC260C">
        <w:rPr>
          <w:rFonts w:ascii="Arial" w:hAnsi="Arial" w:cs="Arial"/>
          <w:i/>
          <w:sz w:val="20"/>
          <w:szCs w:val="20"/>
        </w:rPr>
        <w:t>Journal of Personality, 66,</w:t>
      </w:r>
      <w:r w:rsidRPr="00AC260C">
        <w:rPr>
          <w:rFonts w:ascii="Arial" w:hAnsi="Arial" w:cs="Arial"/>
          <w:sz w:val="20"/>
          <w:szCs w:val="20"/>
        </w:rPr>
        <w:t xml:space="preserve"> 835-878.</w:t>
      </w:r>
    </w:p>
    <w:p w14:paraId="2DB8778B" w14:textId="77777777" w:rsidR="00AC260C" w:rsidRPr="00AC260C" w:rsidRDefault="00AC260C" w:rsidP="00AC260C">
      <w:pPr>
        <w:jc w:val="both"/>
        <w:rPr>
          <w:rFonts w:ascii="Arial" w:hAnsi="Arial" w:cs="Arial"/>
          <w:sz w:val="20"/>
          <w:szCs w:val="20"/>
        </w:rPr>
      </w:pPr>
    </w:p>
    <w:p w14:paraId="18CEEB70"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Browne, D. &amp; Moloney, A. (2002). ‘Contact irregular’: A qualitative analysis of the impact of visiting patterns of natural parents on foster placements. </w:t>
      </w:r>
      <w:r w:rsidRPr="00AC260C">
        <w:rPr>
          <w:rFonts w:ascii="Arial" w:hAnsi="Arial" w:cs="Arial"/>
          <w:i/>
          <w:sz w:val="20"/>
          <w:szCs w:val="20"/>
        </w:rPr>
        <w:t xml:space="preserve">Child and Family Social Work, 7, </w:t>
      </w:r>
      <w:r w:rsidRPr="00AC260C">
        <w:rPr>
          <w:rFonts w:ascii="Arial" w:hAnsi="Arial" w:cs="Arial"/>
          <w:sz w:val="20"/>
          <w:szCs w:val="20"/>
        </w:rPr>
        <w:t>35-45.</w:t>
      </w:r>
    </w:p>
    <w:p w14:paraId="552AD64B" w14:textId="77777777" w:rsidR="00AC260C" w:rsidRPr="00AC260C" w:rsidRDefault="00AC260C" w:rsidP="00AC260C">
      <w:pPr>
        <w:ind w:left="720" w:hanging="720"/>
        <w:jc w:val="both"/>
        <w:rPr>
          <w:rFonts w:ascii="Arial" w:hAnsi="Arial" w:cs="Arial"/>
          <w:sz w:val="20"/>
          <w:szCs w:val="20"/>
        </w:rPr>
      </w:pPr>
    </w:p>
    <w:p w14:paraId="676BD455"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lang w:val="de-DE"/>
        </w:rPr>
        <w:lastRenderedPageBreak/>
        <w:t xml:space="preserve">Crawford, T.N., Cohen, P.R., Chen, H. Anglin, D., &amp; Ehrensaft, M. (2009). </w:t>
      </w:r>
      <w:r w:rsidRPr="00AC260C">
        <w:rPr>
          <w:rFonts w:ascii="Arial" w:hAnsi="Arial" w:cs="Arial"/>
          <w:sz w:val="20"/>
          <w:szCs w:val="20"/>
        </w:rPr>
        <w:t xml:space="preserve">Early maternal separation and the trajectory of borderline personality disorder symptoms. </w:t>
      </w:r>
      <w:r w:rsidRPr="00AC260C">
        <w:rPr>
          <w:rFonts w:ascii="Arial" w:hAnsi="Arial" w:cs="Arial"/>
          <w:i/>
          <w:sz w:val="20"/>
          <w:szCs w:val="20"/>
        </w:rPr>
        <w:t xml:space="preserve">Development and Psychopathology, 21, </w:t>
      </w:r>
      <w:r w:rsidRPr="00AC260C">
        <w:rPr>
          <w:rFonts w:ascii="Arial" w:hAnsi="Arial" w:cs="Arial"/>
          <w:sz w:val="20"/>
          <w:szCs w:val="20"/>
        </w:rPr>
        <w:t>1013 -1030.</w:t>
      </w:r>
    </w:p>
    <w:p w14:paraId="2EBDBFF5" w14:textId="77777777" w:rsidR="00AC260C" w:rsidRPr="00AC260C" w:rsidRDefault="00AC260C" w:rsidP="00FB1EE3">
      <w:pPr>
        <w:numPr>
          <w:ilvl w:val="0"/>
          <w:numId w:val="36"/>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“Bowlby (1969, 1973, 1980) identified early separations as significant threats to emotional development while working in a paediatric hospital during World War II.  He observed how infants were severely traumatised when separated from mother, first calling out frantically and then eventually falling into long periods of despair.  Bowlby hypothesized that extended separations undermine the emotional security infants or toddlers normally experience when they are closely attached to primary caregivers.  Young children rely heavily on caregivers to be available, sensitive, and responsive to their needs, especially insofar as their own coping resources are developmentally immature.  As such, separations from a parent are not just alarming in early childhood; that distress is compounded when infants and toddlers have limited ability to modulate potentially overwhelming emotions on their own.  Subsequent research confirmed that childhood separations are associated with lasting attachment insecurity (Moss, Cyr, Bureau, </w:t>
      </w:r>
      <w:proofErr w:type="spellStart"/>
      <w:r w:rsidRPr="00AC260C">
        <w:rPr>
          <w:rFonts w:ascii="Arial" w:hAnsi="Arial" w:cs="Arial"/>
          <w:sz w:val="20"/>
          <w:szCs w:val="20"/>
        </w:rPr>
        <w:t>Tarabulsy</w:t>
      </w:r>
      <w:proofErr w:type="spellEnd"/>
      <w:r w:rsidRPr="00AC260C">
        <w:rPr>
          <w:rFonts w:ascii="Arial" w:hAnsi="Arial" w:cs="Arial"/>
          <w:sz w:val="20"/>
          <w:szCs w:val="20"/>
        </w:rPr>
        <w:t xml:space="preserve"> &amp; Dubois-</w:t>
      </w:r>
      <w:proofErr w:type="spellStart"/>
      <w:r w:rsidRPr="00AC260C">
        <w:rPr>
          <w:rFonts w:ascii="Arial" w:hAnsi="Arial" w:cs="Arial"/>
          <w:sz w:val="20"/>
          <w:szCs w:val="20"/>
        </w:rPr>
        <w:t>Comtois</w:t>
      </w:r>
      <w:proofErr w:type="spellEnd"/>
      <w:r w:rsidRPr="00AC260C">
        <w:rPr>
          <w:rFonts w:ascii="Arial" w:hAnsi="Arial" w:cs="Arial"/>
          <w:sz w:val="20"/>
          <w:szCs w:val="20"/>
        </w:rPr>
        <w:t xml:space="preserve">, 2005; Waters, Merrick, </w:t>
      </w:r>
      <w:proofErr w:type="spellStart"/>
      <w:r w:rsidRPr="00AC260C">
        <w:rPr>
          <w:rFonts w:ascii="Arial" w:hAnsi="Arial" w:cs="Arial"/>
          <w:sz w:val="20"/>
          <w:szCs w:val="20"/>
        </w:rPr>
        <w:t>Treboux</w:t>
      </w:r>
      <w:proofErr w:type="spellEnd"/>
      <w:r w:rsidRPr="00AC260C">
        <w:rPr>
          <w:rFonts w:ascii="Arial" w:hAnsi="Arial" w:cs="Arial"/>
          <w:sz w:val="20"/>
          <w:szCs w:val="20"/>
        </w:rPr>
        <w:t xml:space="preserve">, Cromwell &amp; </w:t>
      </w:r>
      <w:proofErr w:type="spellStart"/>
      <w:r w:rsidRPr="00AC260C">
        <w:rPr>
          <w:rFonts w:ascii="Arial" w:hAnsi="Arial" w:cs="Arial"/>
          <w:sz w:val="20"/>
          <w:szCs w:val="20"/>
        </w:rPr>
        <w:t>Albersheim</w:t>
      </w:r>
      <w:proofErr w:type="spellEnd"/>
      <w:r w:rsidRPr="00AC260C">
        <w:rPr>
          <w:rFonts w:ascii="Arial" w:hAnsi="Arial" w:cs="Arial"/>
          <w:sz w:val="20"/>
          <w:szCs w:val="20"/>
        </w:rPr>
        <w:t xml:space="preserve"> 2000).  The link between insecure attachment and early separation is important, in turn, because insecure attachment is strongly associated with a wide range of psychopathology in young children, adolescents, and adults (see </w:t>
      </w:r>
      <w:proofErr w:type="spellStart"/>
      <w:r w:rsidRPr="00AC260C">
        <w:rPr>
          <w:rFonts w:ascii="Arial" w:hAnsi="Arial" w:cs="Arial"/>
          <w:sz w:val="20"/>
          <w:szCs w:val="20"/>
        </w:rPr>
        <w:t>Milkulincer</w:t>
      </w:r>
      <w:proofErr w:type="spellEnd"/>
      <w:r w:rsidRPr="00AC260C">
        <w:rPr>
          <w:rFonts w:ascii="Arial" w:hAnsi="Arial" w:cs="Arial"/>
          <w:sz w:val="20"/>
          <w:szCs w:val="20"/>
        </w:rPr>
        <w:t xml:space="preserve"> &amp; Shaver, 2007, for a review).” [p.1014]</w:t>
      </w:r>
    </w:p>
    <w:p w14:paraId="4079F63E" w14:textId="77777777" w:rsidR="00AC260C" w:rsidRPr="00AC260C" w:rsidRDefault="00AC260C" w:rsidP="00FB1EE3">
      <w:pPr>
        <w:numPr>
          <w:ilvl w:val="0"/>
          <w:numId w:val="36"/>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“Insecure attachment plays an especially salient role in borderline personality disorder [BPD] (Agrawal </w:t>
      </w:r>
      <w:r w:rsidRPr="00AC260C">
        <w:rPr>
          <w:rFonts w:ascii="Arial" w:hAnsi="Arial" w:cs="Arial"/>
          <w:i/>
          <w:sz w:val="20"/>
          <w:szCs w:val="20"/>
        </w:rPr>
        <w:t>et al.</w:t>
      </w:r>
      <w:r w:rsidRPr="00AC260C">
        <w:rPr>
          <w:rFonts w:ascii="Arial" w:hAnsi="Arial" w:cs="Arial"/>
          <w:sz w:val="20"/>
          <w:szCs w:val="20"/>
        </w:rPr>
        <w:t xml:space="preserve">, 2004; Bartholomew, </w:t>
      </w:r>
      <w:proofErr w:type="spellStart"/>
      <w:r w:rsidRPr="00AC260C">
        <w:rPr>
          <w:rFonts w:ascii="Arial" w:hAnsi="Arial" w:cs="Arial"/>
          <w:sz w:val="20"/>
          <w:szCs w:val="20"/>
        </w:rPr>
        <w:t>Kwong</w:t>
      </w:r>
      <w:proofErr w:type="spellEnd"/>
      <w:r w:rsidRPr="00AC260C">
        <w:rPr>
          <w:rFonts w:ascii="Arial" w:hAnsi="Arial" w:cs="Arial"/>
          <w:sz w:val="20"/>
          <w:szCs w:val="20"/>
        </w:rPr>
        <w:t xml:space="preserve"> &amp; Hart, 2001).  As detailed in a recent interview (Levy, 2005), there is a robust link between BPD diagnoses and insecurely attached adults identified with the identified with the Adult Attachment Interview (AAI: George, Kaplan &amp; Main, 1985), which elicits thoughts, feelings and memories about childhood attachment experiences with caregivers.  BPD is also robustly associated with a different domain of attachment insecurity measured with self-report questionnaires assessing close relationships between adolescents or adults (Brennan &amp; Shaver, 1998).  However attachment insecurity is conceptualized or measured, it is closely linked with BPD and may even mediate associations between extended separations in childhood and subsequent personality disorder in adults.  Attachment insecurity in adolescence and early adulthood also could maintain BPD symptoms at elevated levels during development when these symptoms normally subside.” [p.1014]</w:t>
      </w:r>
    </w:p>
    <w:p w14:paraId="21E87301" w14:textId="77777777" w:rsidR="00AC260C" w:rsidRPr="00AC260C" w:rsidRDefault="00AC260C" w:rsidP="00AC260C">
      <w:pPr>
        <w:ind w:left="720" w:hanging="720"/>
        <w:rPr>
          <w:rFonts w:ascii="Arial" w:hAnsi="Arial" w:cs="Arial"/>
          <w:i/>
          <w:sz w:val="20"/>
          <w:szCs w:val="20"/>
        </w:rPr>
      </w:pPr>
    </w:p>
    <w:p w14:paraId="6D90B5F7"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Eagle, R.S. (1990). Denial of access: Past, present, and future. </w:t>
      </w:r>
      <w:r w:rsidRPr="00AC260C">
        <w:rPr>
          <w:rFonts w:ascii="Arial" w:hAnsi="Arial" w:cs="Arial"/>
          <w:i/>
          <w:sz w:val="20"/>
          <w:szCs w:val="20"/>
        </w:rPr>
        <w:t>Canadian Psychology, 31 (2), 121-131.</w:t>
      </w:r>
    </w:p>
    <w:p w14:paraId="63A1C54E" w14:textId="77777777" w:rsidR="00AC260C" w:rsidRPr="00AC260C" w:rsidRDefault="00AC260C" w:rsidP="00AC260C">
      <w:pPr>
        <w:ind w:left="720" w:hanging="720"/>
        <w:jc w:val="both"/>
        <w:rPr>
          <w:rFonts w:ascii="Arial" w:hAnsi="Arial" w:cs="Arial"/>
          <w:i/>
          <w:sz w:val="20"/>
          <w:szCs w:val="20"/>
        </w:rPr>
      </w:pPr>
    </w:p>
    <w:p w14:paraId="501B35D9"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Eagle, R.S. (1994). The separation experience of children in long-term care: Theory, research, and implications for practice. </w:t>
      </w:r>
      <w:r w:rsidRPr="00AC260C">
        <w:rPr>
          <w:rFonts w:ascii="Arial" w:hAnsi="Arial" w:cs="Arial"/>
          <w:i/>
          <w:sz w:val="20"/>
          <w:szCs w:val="20"/>
        </w:rPr>
        <w:t xml:space="preserve">American Journal of Orthopsychiatry, 64 (3), </w:t>
      </w:r>
      <w:r w:rsidRPr="00AC260C">
        <w:rPr>
          <w:rFonts w:ascii="Arial" w:hAnsi="Arial" w:cs="Arial"/>
          <w:sz w:val="20"/>
          <w:szCs w:val="20"/>
        </w:rPr>
        <w:t>421-434.</w:t>
      </w:r>
      <w:r w:rsidRPr="00AC260C">
        <w:rPr>
          <w:rFonts w:ascii="Arial" w:hAnsi="Arial" w:cs="Arial"/>
          <w:i/>
          <w:sz w:val="20"/>
          <w:szCs w:val="20"/>
        </w:rPr>
        <w:t xml:space="preserve"> </w:t>
      </w:r>
    </w:p>
    <w:p w14:paraId="3EEDB0FB" w14:textId="77777777" w:rsidR="00AC260C" w:rsidRPr="00AC260C" w:rsidRDefault="00AC260C" w:rsidP="00FB1EE3">
      <w:pPr>
        <w:numPr>
          <w:ilvl w:val="0"/>
          <w:numId w:val="36"/>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“Young toddlers may react strongly to the mother’s absence because they experience it not as a finite separation, but as interminable abandonment (i.e., complete loss) and are at an age when children cannot sustain themselves without attachment.  The very young child’s distress at such separation would therefore reflect the intensity and magnitude of dependency upon the mother as well as a developmentally determined lack of understanding that separation is not loss.  (Bowlby claimed that older toddlers may also protest in an effort to prevent this loss, and their anger may express their frustration when this effort to keep or regain the person who is leaving has been unsuccessful.)” [p.428]</w:t>
      </w:r>
    </w:p>
    <w:p w14:paraId="3FAB5D48" w14:textId="77777777" w:rsidR="00AC260C" w:rsidRPr="00AC260C" w:rsidRDefault="00AC260C" w:rsidP="00AC260C">
      <w:pPr>
        <w:ind w:left="720" w:hanging="720"/>
        <w:rPr>
          <w:rFonts w:ascii="Arial" w:hAnsi="Arial" w:cs="Arial"/>
          <w:i/>
          <w:sz w:val="20"/>
          <w:szCs w:val="20"/>
        </w:rPr>
      </w:pPr>
    </w:p>
    <w:p w14:paraId="2C2673AA"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George, C., Kaplan, N., &amp; Main, M. (1985)</w:t>
      </w:r>
      <w:r w:rsidRPr="00AC260C">
        <w:rPr>
          <w:rFonts w:ascii="Arial" w:hAnsi="Arial" w:cs="Arial"/>
          <w:i/>
          <w:sz w:val="20"/>
          <w:szCs w:val="20"/>
        </w:rPr>
        <w:t xml:space="preserve"> The </w:t>
      </w:r>
      <w:smartTag w:uri="urn:schemas-microsoft-com:office:smarttags" w:element="City">
        <w:smartTag w:uri="urn:schemas-microsoft-com:office:smarttags" w:element="place">
          <w:r w:rsidRPr="00AC260C">
            <w:rPr>
              <w:rFonts w:ascii="Arial" w:hAnsi="Arial" w:cs="Arial"/>
              <w:i/>
              <w:sz w:val="20"/>
              <w:szCs w:val="20"/>
            </w:rPr>
            <w:t>Berkeley</w:t>
          </w:r>
        </w:smartTag>
      </w:smartTag>
      <w:r w:rsidRPr="00AC260C">
        <w:rPr>
          <w:rFonts w:ascii="Arial" w:hAnsi="Arial" w:cs="Arial"/>
          <w:i/>
          <w:sz w:val="20"/>
          <w:szCs w:val="20"/>
        </w:rPr>
        <w:t xml:space="preserve"> Adult Attachment Interview</w:t>
      </w:r>
      <w:r w:rsidRPr="00AC260C">
        <w:rPr>
          <w:rFonts w:ascii="Arial" w:hAnsi="Arial" w:cs="Arial"/>
          <w:sz w:val="20"/>
          <w:szCs w:val="20"/>
        </w:rPr>
        <w:t xml:space="preserve">.  Unpublished manuscript, </w:t>
      </w:r>
      <w:smartTag w:uri="urn:schemas-microsoft-com:office:smarttags" w:element="PlaceType">
        <w:r w:rsidRPr="00AC260C">
          <w:rPr>
            <w:rFonts w:ascii="Arial" w:hAnsi="Arial" w:cs="Arial"/>
            <w:sz w:val="20"/>
            <w:szCs w:val="20"/>
          </w:rPr>
          <w:t>University</w:t>
        </w:r>
      </w:smartTag>
      <w:r w:rsidRPr="00AC260C">
        <w:rPr>
          <w:rFonts w:ascii="Arial" w:hAnsi="Arial" w:cs="Arial"/>
          <w:sz w:val="20"/>
          <w:szCs w:val="20"/>
        </w:rPr>
        <w:t xml:space="preserve"> of </w:t>
      </w:r>
      <w:smartTag w:uri="urn:schemas-microsoft-com:office:smarttags" w:element="PlaceName">
        <w:r w:rsidRPr="00AC260C">
          <w:rPr>
            <w:rFonts w:ascii="Arial" w:hAnsi="Arial" w:cs="Arial"/>
            <w:sz w:val="20"/>
            <w:szCs w:val="20"/>
          </w:rPr>
          <w:t>California</w:t>
        </w:r>
      </w:smartTag>
      <w:r w:rsidRPr="00AC260C">
        <w:rPr>
          <w:rFonts w:ascii="Arial" w:hAnsi="Arial" w:cs="Arial"/>
          <w:sz w:val="20"/>
          <w:szCs w:val="20"/>
        </w:rPr>
        <w:t xml:space="preserve">, </w:t>
      </w:r>
      <w:smartTag w:uri="urn:schemas-microsoft-com:office:smarttags" w:element="City">
        <w:smartTag w:uri="urn:schemas-microsoft-com:office:smarttags" w:element="place">
          <w:r w:rsidRPr="00AC260C">
            <w:rPr>
              <w:rFonts w:ascii="Arial" w:hAnsi="Arial" w:cs="Arial"/>
              <w:sz w:val="20"/>
              <w:szCs w:val="20"/>
            </w:rPr>
            <w:t>Berkeley</w:t>
          </w:r>
        </w:smartTag>
      </w:smartTag>
      <w:r w:rsidRPr="00AC260C">
        <w:rPr>
          <w:rFonts w:ascii="Arial" w:hAnsi="Arial" w:cs="Arial"/>
          <w:sz w:val="20"/>
          <w:szCs w:val="20"/>
        </w:rPr>
        <w:t>.</w:t>
      </w:r>
    </w:p>
    <w:p w14:paraId="5A3018CC" w14:textId="77777777" w:rsidR="00AC260C" w:rsidRPr="00AC260C" w:rsidRDefault="00AC260C" w:rsidP="00AC260C">
      <w:pPr>
        <w:ind w:left="720" w:hanging="720"/>
        <w:rPr>
          <w:rFonts w:ascii="Arial" w:hAnsi="Arial" w:cs="Arial"/>
          <w:i/>
          <w:sz w:val="20"/>
          <w:szCs w:val="20"/>
        </w:rPr>
      </w:pPr>
    </w:p>
    <w:p w14:paraId="0234345D"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Goldsmith, D.F., Oppenheim, D., &amp; </w:t>
      </w:r>
      <w:proofErr w:type="spellStart"/>
      <w:r w:rsidRPr="00AC260C">
        <w:rPr>
          <w:rFonts w:ascii="Arial" w:hAnsi="Arial" w:cs="Arial"/>
          <w:sz w:val="20"/>
          <w:szCs w:val="20"/>
        </w:rPr>
        <w:t>Wanless</w:t>
      </w:r>
      <w:proofErr w:type="spellEnd"/>
      <w:r w:rsidRPr="00AC260C">
        <w:rPr>
          <w:rFonts w:ascii="Arial" w:hAnsi="Arial" w:cs="Arial"/>
          <w:sz w:val="20"/>
          <w:szCs w:val="20"/>
        </w:rPr>
        <w:t xml:space="preserve">, J. (2004). Separation and reunification: Using attachment theory and research to inform decisions affecting the placements of children in foster care. </w:t>
      </w:r>
      <w:r w:rsidRPr="00AC260C">
        <w:rPr>
          <w:rFonts w:ascii="Arial" w:hAnsi="Arial" w:cs="Arial"/>
          <w:i/>
          <w:sz w:val="20"/>
          <w:szCs w:val="20"/>
        </w:rPr>
        <w:t xml:space="preserve">Juvenile and Family Court Journal, 55, </w:t>
      </w:r>
      <w:r w:rsidRPr="00AC260C">
        <w:rPr>
          <w:rFonts w:ascii="Arial" w:hAnsi="Arial" w:cs="Arial"/>
          <w:sz w:val="20"/>
          <w:szCs w:val="20"/>
        </w:rPr>
        <w:t>1-14.</w:t>
      </w:r>
    </w:p>
    <w:p w14:paraId="27C976A1" w14:textId="77777777" w:rsidR="00AC260C" w:rsidRPr="00AC260C" w:rsidRDefault="00AC260C" w:rsidP="00FB1EE3">
      <w:pPr>
        <w:numPr>
          <w:ilvl w:val="0"/>
          <w:numId w:val="36"/>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This article discusses how a child develops a secure attachment to a caregiver, the deleterious consequences associated with maltreatment and separation and how attachment theory and research can inform permanency decisions that are in the best interests of the child. [ABSTRACT, p.1</w:t>
      </w:r>
      <w:proofErr w:type="gramStart"/>
      <w:r w:rsidRPr="00AC260C">
        <w:rPr>
          <w:rFonts w:ascii="Arial" w:hAnsi="Arial" w:cs="Arial"/>
          <w:sz w:val="20"/>
          <w:szCs w:val="20"/>
        </w:rPr>
        <w:t>]  It</w:t>
      </w:r>
      <w:proofErr w:type="gramEnd"/>
      <w:r w:rsidRPr="00AC260C">
        <w:rPr>
          <w:rFonts w:ascii="Arial" w:hAnsi="Arial" w:cs="Arial"/>
          <w:sz w:val="20"/>
          <w:szCs w:val="20"/>
        </w:rPr>
        <w:t xml:space="preserve"> looks at both removal and reunification through </w:t>
      </w:r>
      <w:r w:rsidRPr="00AC260C">
        <w:rPr>
          <w:rFonts w:ascii="Arial" w:hAnsi="Arial" w:cs="Arial"/>
          <w:sz w:val="20"/>
          <w:szCs w:val="20"/>
        </w:rPr>
        <w:lastRenderedPageBreak/>
        <w:t>the prism of attachment theory from the point of view of the disruption in a child’s attachment consequent upon either type of change in the child’s care arrangements.</w:t>
      </w:r>
    </w:p>
    <w:p w14:paraId="76D8C3B9" w14:textId="77777777" w:rsidR="00AC260C" w:rsidRPr="00AC260C" w:rsidRDefault="00AC260C" w:rsidP="00FB1EE3">
      <w:pPr>
        <w:numPr>
          <w:ilvl w:val="0"/>
          <w:numId w:val="36"/>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“When children are removed from their homes due to physical abuse, neglect, or inadequate supervision, they may find relief in the protection offered by foster families.  As a result of the separation, however, they simultaneously begin to experience grief over the loss of their caregivers.  While the long-term risks of maltreatment have received extensive recognition by professionals, less recognized and often under-appreciated is the severe risk endured by the child as a result of separation from the caregiver, and the long-term effects of separation on the child.  In keeping with the best interest of the child, decisions about child placement must look beyond maltreatment as a single risk factor, giving additional consideration to the emotional costs of separation on a child’s developing attachments and examining how system responses and legal decision-making may help or harm the child’s attachment system.  Thus, both maltreatment and attachment concerns are critically important factors in child placement decisions which have long-term consequences for a child’s overall life adjustment.” [p.1]</w:t>
      </w:r>
    </w:p>
    <w:p w14:paraId="74D97AC1" w14:textId="77777777" w:rsidR="00AC260C" w:rsidRPr="00AC260C" w:rsidRDefault="00AC260C" w:rsidP="00FB1EE3">
      <w:pPr>
        <w:numPr>
          <w:ilvl w:val="0"/>
          <w:numId w:val="36"/>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“Perhaps the most significant protective factor during the early years is a secure attachment to a stable, sensitive and supportive caregiver. (</w:t>
      </w:r>
      <w:proofErr w:type="spellStart"/>
      <w:r w:rsidRPr="00AC260C">
        <w:rPr>
          <w:rFonts w:ascii="Arial" w:hAnsi="Arial" w:cs="Arial"/>
          <w:sz w:val="20"/>
          <w:szCs w:val="20"/>
        </w:rPr>
        <w:t>Weinfield</w:t>
      </w:r>
      <w:proofErr w:type="spellEnd"/>
      <w:r w:rsidRPr="00AC260C">
        <w:rPr>
          <w:rFonts w:ascii="Arial" w:hAnsi="Arial" w:cs="Arial"/>
          <w:sz w:val="20"/>
          <w:szCs w:val="20"/>
        </w:rPr>
        <w:t xml:space="preserve"> </w:t>
      </w:r>
      <w:r w:rsidRPr="00AC260C">
        <w:rPr>
          <w:rFonts w:ascii="Arial" w:hAnsi="Arial" w:cs="Arial"/>
          <w:i/>
          <w:sz w:val="20"/>
          <w:szCs w:val="20"/>
        </w:rPr>
        <w:t>et al.</w:t>
      </w:r>
      <w:r w:rsidRPr="00AC260C">
        <w:rPr>
          <w:rFonts w:ascii="Arial" w:hAnsi="Arial" w:cs="Arial"/>
          <w:sz w:val="20"/>
          <w:szCs w:val="20"/>
        </w:rPr>
        <w:t>, 1999).” [p.8]</w:t>
      </w:r>
    </w:p>
    <w:p w14:paraId="56472357" w14:textId="77777777" w:rsidR="00AC260C" w:rsidRPr="00AC260C" w:rsidRDefault="00AC260C" w:rsidP="00FB1EE3">
      <w:pPr>
        <w:numPr>
          <w:ilvl w:val="0"/>
          <w:numId w:val="36"/>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“In our experience, expert witnesses frequently introduce the idea that very young children will not be able to recall trauma suffered in their early years.  This belief is often extended to suggest that early attachment relationships are forgotten and thus should not be taken into consideration when making permanency decisions.  Recent research suggests differently, however.  Infants are capable of recalling experiences from the first days of life (Siegel, 1999).  Early on, the recall is experienced through what is termed implicit memory.  The memories are largely perceptual and are encoded through touch and sound.  By the child’s second birthday, as language skills are developing, the memory is explicit and involves the ability to actually recall an event verbally (Siegel, 1999).  Although the child’s early memory skills are obviously not fully developed, research demonstrates that even years following an event, though inaccessible to consciousness, the memory may still influence the child’s behaviour and psychological responses.  For example, while children may not be capable of verbally recalling details of experience, physiological measures such as skin conducive tests demonstrate that memory is encoded nonverbally {Fox, N.A. &amp; Card, J.A., (1999</w:t>
      </w:r>
      <w:proofErr w:type="gramStart"/>
      <w:r w:rsidRPr="00AC260C">
        <w:rPr>
          <w:rFonts w:ascii="Arial" w:hAnsi="Arial" w:cs="Arial"/>
          <w:sz w:val="20"/>
          <w:szCs w:val="20"/>
        </w:rPr>
        <w:t>)  Psychophysiological</w:t>
      </w:r>
      <w:proofErr w:type="gramEnd"/>
      <w:r w:rsidRPr="00AC260C">
        <w:rPr>
          <w:rFonts w:ascii="Arial" w:hAnsi="Arial" w:cs="Arial"/>
          <w:sz w:val="20"/>
          <w:szCs w:val="20"/>
        </w:rPr>
        <w:t xml:space="preserve"> measures in the study of attachment.  In J. Cassidy and P. R. Shaver (Eds) </w:t>
      </w:r>
      <w:r w:rsidRPr="00AC260C">
        <w:rPr>
          <w:rFonts w:ascii="Arial" w:hAnsi="Arial" w:cs="Arial"/>
          <w:i/>
          <w:sz w:val="20"/>
          <w:szCs w:val="20"/>
        </w:rPr>
        <w:t>Handbook of Attachment Theory: Theory, research and clinical applications</w:t>
      </w:r>
      <w:r w:rsidRPr="00AC260C">
        <w:rPr>
          <w:rFonts w:ascii="Arial" w:hAnsi="Arial" w:cs="Arial"/>
          <w:sz w:val="20"/>
          <w:szCs w:val="20"/>
        </w:rPr>
        <w:t xml:space="preserve"> (pp.226-245).  </w:t>
      </w:r>
      <w:smartTag w:uri="urn:schemas-microsoft-com:office:smarttags" w:element="State">
        <w:r w:rsidRPr="00AC260C">
          <w:rPr>
            <w:rFonts w:ascii="Arial" w:hAnsi="Arial" w:cs="Arial"/>
            <w:sz w:val="20"/>
            <w:szCs w:val="20"/>
          </w:rPr>
          <w:t>New York</w:t>
        </w:r>
      </w:smartTag>
      <w:r w:rsidRPr="00AC260C">
        <w:rPr>
          <w:rFonts w:ascii="Arial" w:hAnsi="Arial" w:cs="Arial"/>
          <w:sz w:val="20"/>
          <w:szCs w:val="20"/>
        </w:rPr>
        <w:t xml:space="preserve">: </w:t>
      </w:r>
      <w:smartTag w:uri="urn:schemas-microsoft-com:office:smarttags" w:element="place">
        <w:smartTag w:uri="urn:schemas-microsoft-com:office:smarttags" w:element="City">
          <w:r w:rsidRPr="00AC260C">
            <w:rPr>
              <w:rFonts w:ascii="Arial" w:hAnsi="Arial" w:cs="Arial"/>
              <w:sz w:val="20"/>
              <w:szCs w:val="20"/>
            </w:rPr>
            <w:t>Guilford</w:t>
          </w:r>
        </w:smartTag>
      </w:smartTag>
      <w:r w:rsidRPr="00AC260C">
        <w:rPr>
          <w:rFonts w:ascii="Arial" w:hAnsi="Arial" w:cs="Arial"/>
          <w:sz w:val="20"/>
          <w:szCs w:val="20"/>
        </w:rPr>
        <w:t xml:space="preserve"> Press}.” [p.8]</w:t>
      </w:r>
    </w:p>
    <w:p w14:paraId="0223A9BC" w14:textId="77777777" w:rsidR="00AC260C" w:rsidRPr="00AC260C" w:rsidRDefault="00AC260C" w:rsidP="00FB1EE3">
      <w:pPr>
        <w:numPr>
          <w:ilvl w:val="0"/>
          <w:numId w:val="36"/>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“Because of its lasting impact on children’s abilities to form healthy relationships throughout life, the importance of a secure relationship with caregivers cannot be overestimated.  Thus, the decision to return a child to his or her biological parents should begin to look beyond whether or not the child is in physical danger and carefully consider the child’s history and attachment status.  To this end, it is critical that parents be given adequate support, treatment and respite to help them develop skills needed to provide security, nurturing, and psychological availability to their children.” [p.14]</w:t>
      </w:r>
    </w:p>
    <w:p w14:paraId="2D333EB4" w14:textId="77777777" w:rsidR="00AC260C" w:rsidRPr="00AC260C" w:rsidRDefault="00AC260C" w:rsidP="00AC260C">
      <w:pPr>
        <w:ind w:left="720" w:hanging="720"/>
        <w:jc w:val="both"/>
        <w:rPr>
          <w:rFonts w:ascii="Arial" w:hAnsi="Arial" w:cs="Arial"/>
          <w:sz w:val="20"/>
          <w:szCs w:val="20"/>
        </w:rPr>
      </w:pPr>
    </w:p>
    <w:p w14:paraId="21F95C15"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Haight, W.L., </w:t>
      </w:r>
      <w:proofErr w:type="spellStart"/>
      <w:r w:rsidRPr="00AC260C">
        <w:rPr>
          <w:rFonts w:ascii="Arial" w:hAnsi="Arial" w:cs="Arial"/>
          <w:sz w:val="20"/>
          <w:szCs w:val="20"/>
        </w:rPr>
        <w:t>Kagle</w:t>
      </w:r>
      <w:proofErr w:type="spellEnd"/>
      <w:r w:rsidRPr="00AC260C">
        <w:rPr>
          <w:rFonts w:ascii="Arial" w:hAnsi="Arial" w:cs="Arial"/>
          <w:sz w:val="20"/>
          <w:szCs w:val="20"/>
        </w:rPr>
        <w:t xml:space="preserve">, J.D., &amp; Black, J.E. (2003). Understanding and supporting parent-child relationships during foster care visits: Attachment theory and research. </w:t>
      </w:r>
      <w:r w:rsidRPr="00AC260C">
        <w:rPr>
          <w:rFonts w:ascii="Arial" w:hAnsi="Arial" w:cs="Arial"/>
          <w:i/>
          <w:sz w:val="20"/>
          <w:szCs w:val="20"/>
        </w:rPr>
        <w:t>Social Work, 48 (2), 195-207.</w:t>
      </w:r>
    </w:p>
    <w:p w14:paraId="764E5031" w14:textId="77777777" w:rsidR="00AC260C" w:rsidRPr="00AC260C" w:rsidRDefault="00AC260C" w:rsidP="00AC260C">
      <w:pPr>
        <w:ind w:left="720" w:hanging="720"/>
        <w:jc w:val="both"/>
        <w:rPr>
          <w:rFonts w:ascii="Arial" w:hAnsi="Arial" w:cs="Arial"/>
          <w:i/>
          <w:sz w:val="20"/>
          <w:szCs w:val="20"/>
        </w:rPr>
      </w:pPr>
    </w:p>
    <w:p w14:paraId="35675B57"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Haight, W.L., Mangelsdorf, S., Black, J., </w:t>
      </w:r>
      <w:proofErr w:type="spellStart"/>
      <w:r w:rsidRPr="00AC260C">
        <w:rPr>
          <w:rFonts w:ascii="Arial" w:hAnsi="Arial" w:cs="Arial"/>
          <w:sz w:val="20"/>
          <w:szCs w:val="20"/>
        </w:rPr>
        <w:t>Szewczyk</w:t>
      </w:r>
      <w:proofErr w:type="spellEnd"/>
      <w:r w:rsidRPr="00AC260C">
        <w:rPr>
          <w:rFonts w:ascii="Arial" w:hAnsi="Arial" w:cs="Arial"/>
          <w:sz w:val="20"/>
          <w:szCs w:val="20"/>
        </w:rPr>
        <w:t xml:space="preserve">, M., </w:t>
      </w:r>
      <w:proofErr w:type="spellStart"/>
      <w:r w:rsidRPr="00AC260C">
        <w:rPr>
          <w:rFonts w:ascii="Arial" w:hAnsi="Arial" w:cs="Arial"/>
          <w:sz w:val="20"/>
          <w:szCs w:val="20"/>
        </w:rPr>
        <w:t>Schoppe</w:t>
      </w:r>
      <w:proofErr w:type="spellEnd"/>
      <w:r w:rsidRPr="00AC260C">
        <w:rPr>
          <w:rFonts w:ascii="Arial" w:hAnsi="Arial" w:cs="Arial"/>
          <w:sz w:val="20"/>
          <w:szCs w:val="20"/>
        </w:rPr>
        <w:t xml:space="preserve">, S., Giorgio, G., Madrigal, K., &amp; Lakshmi, T. (2005). </w:t>
      </w:r>
      <w:r w:rsidRPr="00AC260C">
        <w:rPr>
          <w:rFonts w:ascii="Arial" w:hAnsi="Arial" w:cs="Arial"/>
          <w:i/>
          <w:sz w:val="20"/>
          <w:szCs w:val="20"/>
        </w:rPr>
        <w:t>Child Welfare, 84 (4), 459-481.</w:t>
      </w:r>
    </w:p>
    <w:p w14:paraId="5927F60A" w14:textId="77777777" w:rsidR="00EC539F" w:rsidRPr="00AC260C" w:rsidRDefault="00EC539F" w:rsidP="00EC539F">
      <w:pPr>
        <w:ind w:left="720" w:hanging="720"/>
        <w:jc w:val="both"/>
        <w:rPr>
          <w:rFonts w:ascii="Arial" w:hAnsi="Arial" w:cs="Arial"/>
          <w:sz w:val="20"/>
          <w:szCs w:val="20"/>
        </w:rPr>
      </w:pPr>
    </w:p>
    <w:p w14:paraId="6D16CAE0"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Holmes, J. (1993). </w:t>
      </w:r>
      <w:r w:rsidRPr="00AC260C">
        <w:rPr>
          <w:rFonts w:ascii="Arial" w:hAnsi="Arial" w:cs="Arial"/>
          <w:i/>
          <w:sz w:val="20"/>
          <w:szCs w:val="20"/>
        </w:rPr>
        <w:t xml:space="preserve">John Bowlby and Attachment Theory. </w:t>
      </w:r>
      <w:r w:rsidRPr="00AC260C">
        <w:rPr>
          <w:rFonts w:ascii="Arial" w:hAnsi="Arial" w:cs="Arial"/>
          <w:sz w:val="20"/>
          <w:szCs w:val="20"/>
        </w:rPr>
        <w:t>NY: Routledge.</w:t>
      </w:r>
      <w:r w:rsidRPr="00AC260C">
        <w:rPr>
          <w:rFonts w:ascii="Arial" w:hAnsi="Arial" w:cs="Arial"/>
          <w:i/>
          <w:sz w:val="20"/>
          <w:szCs w:val="20"/>
        </w:rPr>
        <w:t xml:space="preserve"> </w:t>
      </w:r>
    </w:p>
    <w:p w14:paraId="1E71ED23" w14:textId="77777777" w:rsidR="00AC260C" w:rsidRPr="00AC260C" w:rsidRDefault="00AC260C" w:rsidP="00AC260C">
      <w:pPr>
        <w:ind w:left="720" w:hanging="720"/>
        <w:jc w:val="both"/>
        <w:rPr>
          <w:rFonts w:ascii="Arial" w:hAnsi="Arial" w:cs="Arial"/>
          <w:sz w:val="20"/>
          <w:szCs w:val="20"/>
        </w:rPr>
      </w:pPr>
    </w:p>
    <w:p w14:paraId="13A311A3"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Levy, K.N. (2005) The implications of attachment theory and research for understanding borderline personality disorder.  </w:t>
      </w:r>
      <w:r w:rsidRPr="00AC260C">
        <w:rPr>
          <w:rFonts w:ascii="Arial" w:hAnsi="Arial" w:cs="Arial"/>
          <w:i/>
          <w:sz w:val="20"/>
          <w:szCs w:val="20"/>
        </w:rPr>
        <w:t>Development and Psychopathology, 17,</w:t>
      </w:r>
      <w:r w:rsidRPr="00AC260C">
        <w:rPr>
          <w:rFonts w:ascii="Arial" w:hAnsi="Arial" w:cs="Arial"/>
          <w:sz w:val="20"/>
          <w:szCs w:val="20"/>
        </w:rPr>
        <w:t xml:space="preserve"> 959-986.</w:t>
      </w:r>
    </w:p>
    <w:p w14:paraId="71E85D59" w14:textId="77777777" w:rsidR="00AC260C" w:rsidRPr="00AC260C" w:rsidRDefault="00AC260C" w:rsidP="00AC260C">
      <w:pPr>
        <w:jc w:val="both"/>
        <w:rPr>
          <w:rFonts w:ascii="Arial" w:hAnsi="Arial" w:cs="Arial"/>
          <w:sz w:val="20"/>
          <w:szCs w:val="20"/>
        </w:rPr>
      </w:pPr>
    </w:p>
    <w:p w14:paraId="7A5215F1" w14:textId="77777777" w:rsidR="00AC260C" w:rsidRPr="00AC260C" w:rsidRDefault="00AC260C" w:rsidP="00AC260C">
      <w:pPr>
        <w:ind w:left="720" w:hanging="720"/>
        <w:jc w:val="both"/>
        <w:rPr>
          <w:rFonts w:ascii="Arial" w:hAnsi="Arial" w:cs="Arial"/>
          <w:sz w:val="20"/>
          <w:szCs w:val="20"/>
        </w:rPr>
      </w:pPr>
      <w:proofErr w:type="spellStart"/>
      <w:r w:rsidRPr="00AC260C">
        <w:rPr>
          <w:rFonts w:ascii="Arial" w:hAnsi="Arial" w:cs="Arial"/>
          <w:sz w:val="20"/>
          <w:szCs w:val="20"/>
        </w:rPr>
        <w:t>McWey</w:t>
      </w:r>
      <w:proofErr w:type="spellEnd"/>
      <w:r w:rsidRPr="00AC260C">
        <w:rPr>
          <w:rFonts w:ascii="Arial" w:hAnsi="Arial" w:cs="Arial"/>
          <w:sz w:val="20"/>
          <w:szCs w:val="20"/>
        </w:rPr>
        <w:t xml:space="preserve">, L.M., &amp; Mullis, A.K. (2004). Improving the lives of children in foster care: The impact of supervised visitation. </w:t>
      </w:r>
      <w:r w:rsidRPr="00AC260C">
        <w:rPr>
          <w:rFonts w:ascii="Arial" w:hAnsi="Arial" w:cs="Arial"/>
          <w:i/>
          <w:sz w:val="20"/>
          <w:szCs w:val="20"/>
        </w:rPr>
        <w:t>Family Relations, 53</w:t>
      </w:r>
      <w:r w:rsidRPr="00AC260C">
        <w:rPr>
          <w:rFonts w:ascii="Arial" w:hAnsi="Arial" w:cs="Arial"/>
          <w:sz w:val="20"/>
          <w:szCs w:val="20"/>
        </w:rPr>
        <w:t xml:space="preserve"> (3), 293-300.</w:t>
      </w:r>
    </w:p>
    <w:p w14:paraId="3A20AD12" w14:textId="77777777" w:rsidR="00AC260C" w:rsidRPr="00AC260C" w:rsidRDefault="00AC260C" w:rsidP="00AC260C">
      <w:pPr>
        <w:ind w:left="720" w:hanging="720"/>
        <w:jc w:val="both"/>
        <w:rPr>
          <w:rFonts w:ascii="Arial" w:hAnsi="Arial" w:cs="Arial"/>
          <w:sz w:val="20"/>
          <w:szCs w:val="20"/>
        </w:rPr>
      </w:pPr>
    </w:p>
    <w:p w14:paraId="129C6262"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lang w:val="de-DE"/>
        </w:rPr>
        <w:lastRenderedPageBreak/>
        <w:t xml:space="preserve">Mennen, F.E., &amp; O’Keefe, M. (2005). </w:t>
      </w:r>
      <w:r w:rsidRPr="00AC260C">
        <w:rPr>
          <w:rFonts w:ascii="Arial" w:hAnsi="Arial" w:cs="Arial"/>
          <w:sz w:val="20"/>
          <w:szCs w:val="20"/>
        </w:rPr>
        <w:t xml:space="preserve">Informed decisions in child welfare: The use of attachment theory. </w:t>
      </w:r>
      <w:r w:rsidRPr="00AC260C">
        <w:rPr>
          <w:rFonts w:ascii="Arial" w:hAnsi="Arial" w:cs="Arial"/>
          <w:i/>
          <w:sz w:val="20"/>
          <w:szCs w:val="20"/>
        </w:rPr>
        <w:t>Children and Youth Services Review, 27</w:t>
      </w:r>
      <w:r w:rsidRPr="00AC260C">
        <w:rPr>
          <w:rFonts w:ascii="Arial" w:hAnsi="Arial" w:cs="Arial"/>
          <w:sz w:val="20"/>
          <w:szCs w:val="20"/>
        </w:rPr>
        <w:t>, 557-593.</w:t>
      </w:r>
    </w:p>
    <w:p w14:paraId="14771116" w14:textId="77777777" w:rsidR="00AC260C" w:rsidRPr="00AC260C" w:rsidRDefault="00AC260C" w:rsidP="00AC260C">
      <w:pPr>
        <w:ind w:left="720" w:hanging="720"/>
        <w:jc w:val="both"/>
        <w:rPr>
          <w:rFonts w:ascii="Arial" w:hAnsi="Arial" w:cs="Arial"/>
          <w:sz w:val="20"/>
          <w:szCs w:val="20"/>
        </w:rPr>
      </w:pPr>
    </w:p>
    <w:p w14:paraId="36D73769" w14:textId="77777777" w:rsidR="00AC260C" w:rsidRPr="00AC260C" w:rsidRDefault="00AC260C" w:rsidP="00AC260C">
      <w:pPr>
        <w:ind w:left="720" w:hanging="720"/>
        <w:jc w:val="both"/>
        <w:rPr>
          <w:rFonts w:ascii="Arial" w:hAnsi="Arial" w:cs="Arial"/>
          <w:sz w:val="20"/>
          <w:szCs w:val="20"/>
        </w:rPr>
      </w:pPr>
      <w:proofErr w:type="spellStart"/>
      <w:r w:rsidRPr="00AC260C">
        <w:rPr>
          <w:rFonts w:ascii="Arial" w:hAnsi="Arial" w:cs="Arial"/>
          <w:sz w:val="20"/>
          <w:szCs w:val="20"/>
        </w:rPr>
        <w:t>Milkulincer</w:t>
      </w:r>
      <w:proofErr w:type="spellEnd"/>
      <w:r w:rsidRPr="00AC260C">
        <w:rPr>
          <w:rFonts w:ascii="Arial" w:hAnsi="Arial" w:cs="Arial"/>
          <w:sz w:val="20"/>
          <w:szCs w:val="20"/>
        </w:rPr>
        <w:t xml:space="preserve">, M. &amp; Shaver, P.R. (2007). </w:t>
      </w:r>
      <w:r w:rsidRPr="00AC260C">
        <w:rPr>
          <w:rFonts w:ascii="Arial" w:hAnsi="Arial" w:cs="Arial"/>
          <w:i/>
          <w:sz w:val="20"/>
          <w:szCs w:val="20"/>
        </w:rPr>
        <w:t>Attachment in adulthood: Structure, dynamics and change.</w:t>
      </w:r>
      <w:r w:rsidRPr="00AC260C">
        <w:rPr>
          <w:rFonts w:ascii="Arial" w:hAnsi="Arial" w:cs="Arial"/>
          <w:sz w:val="20"/>
          <w:szCs w:val="20"/>
        </w:rPr>
        <w:t xml:space="preserve">  </w:t>
      </w:r>
      <w:smartTag w:uri="urn:schemas-microsoft-com:office:smarttags" w:element="State">
        <w:r w:rsidRPr="00AC260C">
          <w:rPr>
            <w:rFonts w:ascii="Arial" w:hAnsi="Arial" w:cs="Arial"/>
            <w:sz w:val="20"/>
            <w:szCs w:val="20"/>
          </w:rPr>
          <w:t>New York</w:t>
        </w:r>
      </w:smartTag>
      <w:r w:rsidRPr="00AC260C">
        <w:rPr>
          <w:rFonts w:ascii="Arial" w:hAnsi="Arial" w:cs="Arial"/>
          <w:sz w:val="20"/>
          <w:szCs w:val="20"/>
        </w:rPr>
        <w:t xml:space="preserve">: </w:t>
      </w:r>
      <w:smartTag w:uri="urn:schemas-microsoft-com:office:smarttags" w:element="place">
        <w:smartTag w:uri="urn:schemas-microsoft-com:office:smarttags" w:element="City">
          <w:r w:rsidRPr="00AC260C">
            <w:rPr>
              <w:rFonts w:ascii="Arial" w:hAnsi="Arial" w:cs="Arial"/>
              <w:sz w:val="20"/>
              <w:szCs w:val="20"/>
            </w:rPr>
            <w:t>Guilford</w:t>
          </w:r>
        </w:smartTag>
      </w:smartTag>
      <w:r w:rsidRPr="00AC260C">
        <w:rPr>
          <w:rFonts w:ascii="Arial" w:hAnsi="Arial" w:cs="Arial"/>
          <w:sz w:val="20"/>
          <w:szCs w:val="20"/>
        </w:rPr>
        <w:t xml:space="preserve"> Press.</w:t>
      </w:r>
    </w:p>
    <w:p w14:paraId="79757661" w14:textId="77777777" w:rsidR="00AC260C" w:rsidRPr="00AC260C" w:rsidRDefault="00AC260C" w:rsidP="00AC260C">
      <w:pPr>
        <w:ind w:left="720" w:hanging="720"/>
        <w:jc w:val="both"/>
        <w:rPr>
          <w:rFonts w:ascii="Arial" w:hAnsi="Arial" w:cs="Arial"/>
          <w:sz w:val="20"/>
          <w:szCs w:val="20"/>
        </w:rPr>
      </w:pPr>
    </w:p>
    <w:p w14:paraId="2A4B7322"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Moss, E., Cyr, C., Bureau, J.-F., </w:t>
      </w:r>
      <w:proofErr w:type="spellStart"/>
      <w:r w:rsidRPr="00AC260C">
        <w:rPr>
          <w:rFonts w:ascii="Arial" w:hAnsi="Arial" w:cs="Arial"/>
          <w:sz w:val="20"/>
          <w:szCs w:val="20"/>
        </w:rPr>
        <w:t>Tarabulsy</w:t>
      </w:r>
      <w:proofErr w:type="spellEnd"/>
      <w:r w:rsidRPr="00AC260C">
        <w:rPr>
          <w:rFonts w:ascii="Arial" w:hAnsi="Arial" w:cs="Arial"/>
          <w:sz w:val="20"/>
          <w:szCs w:val="20"/>
        </w:rPr>
        <w:t>, G.M., &amp; Dubois-</w:t>
      </w:r>
      <w:proofErr w:type="spellStart"/>
      <w:r w:rsidRPr="00AC260C">
        <w:rPr>
          <w:rFonts w:ascii="Arial" w:hAnsi="Arial" w:cs="Arial"/>
          <w:sz w:val="20"/>
          <w:szCs w:val="20"/>
        </w:rPr>
        <w:t>Comtois</w:t>
      </w:r>
      <w:proofErr w:type="spellEnd"/>
      <w:r w:rsidRPr="00AC260C">
        <w:rPr>
          <w:rFonts w:ascii="Arial" w:hAnsi="Arial" w:cs="Arial"/>
          <w:sz w:val="20"/>
          <w:szCs w:val="20"/>
        </w:rPr>
        <w:t xml:space="preserve">, K., (2005). Stability of attachment during the pre-school period.  </w:t>
      </w:r>
      <w:r w:rsidRPr="00AC260C">
        <w:rPr>
          <w:rFonts w:ascii="Arial" w:hAnsi="Arial" w:cs="Arial"/>
          <w:i/>
          <w:sz w:val="20"/>
          <w:szCs w:val="20"/>
        </w:rPr>
        <w:t>Developmental psychology, 41,</w:t>
      </w:r>
      <w:r w:rsidRPr="00AC260C">
        <w:rPr>
          <w:rFonts w:ascii="Arial" w:hAnsi="Arial" w:cs="Arial"/>
          <w:sz w:val="20"/>
          <w:szCs w:val="20"/>
        </w:rPr>
        <w:t>773-783.</w:t>
      </w:r>
    </w:p>
    <w:p w14:paraId="2B8C97A0" w14:textId="77777777" w:rsidR="00AC260C" w:rsidRPr="00AC260C" w:rsidRDefault="00AC260C" w:rsidP="00AC260C">
      <w:pPr>
        <w:ind w:left="720" w:hanging="720"/>
        <w:jc w:val="both"/>
        <w:rPr>
          <w:rFonts w:ascii="Arial" w:hAnsi="Arial" w:cs="Arial"/>
          <w:sz w:val="20"/>
          <w:szCs w:val="20"/>
        </w:rPr>
      </w:pPr>
    </w:p>
    <w:p w14:paraId="4BA19869"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Newman, L. (2008). Attachment theory and personality disorder: approaches to high-risk families. </w:t>
      </w:r>
      <w:r w:rsidRPr="00AC260C">
        <w:rPr>
          <w:rFonts w:ascii="Arial" w:hAnsi="Arial" w:cs="Arial"/>
          <w:i/>
          <w:sz w:val="20"/>
          <w:szCs w:val="20"/>
        </w:rPr>
        <w:t xml:space="preserve">Communities, Children and Families </w:t>
      </w:r>
      <w:smartTag w:uri="urn:schemas-microsoft-com:office:smarttags" w:element="place">
        <w:smartTag w:uri="urn:schemas-microsoft-com:office:smarttags" w:element="country-region">
          <w:r w:rsidRPr="00AC260C">
            <w:rPr>
              <w:rFonts w:ascii="Arial" w:hAnsi="Arial" w:cs="Arial"/>
              <w:i/>
              <w:sz w:val="20"/>
              <w:szCs w:val="20"/>
            </w:rPr>
            <w:t>Australia</w:t>
          </w:r>
        </w:smartTag>
      </w:smartTag>
      <w:r w:rsidRPr="00AC260C">
        <w:rPr>
          <w:rFonts w:ascii="Arial" w:hAnsi="Arial" w:cs="Arial"/>
          <w:i/>
          <w:sz w:val="20"/>
          <w:szCs w:val="20"/>
        </w:rPr>
        <w:t>, 3</w:t>
      </w:r>
      <w:r w:rsidRPr="00AC260C">
        <w:rPr>
          <w:rFonts w:ascii="Arial" w:hAnsi="Arial" w:cs="Arial"/>
          <w:sz w:val="20"/>
          <w:szCs w:val="20"/>
        </w:rPr>
        <w:t xml:space="preserve"> (2), 4-18.</w:t>
      </w:r>
    </w:p>
    <w:p w14:paraId="1160D255" w14:textId="77777777" w:rsidR="00AC260C" w:rsidRPr="00AC260C" w:rsidRDefault="00AC260C" w:rsidP="00FB1EE3">
      <w:pPr>
        <w:numPr>
          <w:ilvl w:val="0"/>
          <w:numId w:val="36"/>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“Infancy refers to the crucial developmental period from birth to three years.  Experiences in infancy, particularly the quality of care-giving relationships and socio-emotional interaction, are increasingly recognised as ‘foundational’ – that is, forming the basis of development in neurological, psychological and social domains (</w:t>
      </w:r>
      <w:proofErr w:type="spellStart"/>
      <w:r w:rsidRPr="00AC260C">
        <w:rPr>
          <w:rFonts w:ascii="Arial" w:hAnsi="Arial" w:cs="Arial"/>
          <w:sz w:val="20"/>
          <w:szCs w:val="20"/>
        </w:rPr>
        <w:t>Schore</w:t>
      </w:r>
      <w:proofErr w:type="spellEnd"/>
      <w:r w:rsidRPr="00AC260C">
        <w:rPr>
          <w:rFonts w:ascii="Arial" w:hAnsi="Arial" w:cs="Arial"/>
          <w:sz w:val="20"/>
          <w:szCs w:val="20"/>
        </w:rPr>
        <w:t xml:space="preserve">, 1994; Siegel, 1999, </w:t>
      </w:r>
      <w:proofErr w:type="spellStart"/>
      <w:r w:rsidRPr="00AC260C">
        <w:rPr>
          <w:rFonts w:ascii="Arial" w:hAnsi="Arial" w:cs="Arial"/>
          <w:sz w:val="20"/>
          <w:szCs w:val="20"/>
        </w:rPr>
        <w:t>Panksepp</w:t>
      </w:r>
      <w:proofErr w:type="spellEnd"/>
      <w:r w:rsidRPr="00AC260C">
        <w:rPr>
          <w:rFonts w:ascii="Arial" w:hAnsi="Arial" w:cs="Arial"/>
          <w:sz w:val="20"/>
          <w:szCs w:val="20"/>
        </w:rPr>
        <w:t>, 1998).  From a neurodevelopmental viewpoint, infancy (0-3 years) is significant as it represents the period of most rapid brain growth across the lifespan (Dobbing &amp; Sands, 1973), and the establishment of neural pathways and networks underlying basic neuropsychological functions such as learning, memory, attention and the processing and regulation of emotional states.  These capacities are central to later psychological and emotional health.” [p.4]</w:t>
      </w:r>
    </w:p>
    <w:p w14:paraId="4A71C6B8" w14:textId="77777777" w:rsidR="00AC260C" w:rsidRPr="00AC260C" w:rsidRDefault="00AC260C" w:rsidP="00FB1EE3">
      <w:pPr>
        <w:numPr>
          <w:ilvl w:val="0"/>
          <w:numId w:val="36"/>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“Neurodevelopmental and infant research over the last 20 years has been examining the interpersonal context of infant brain development – the way in which experience influences neurological functioning and brain architecture (Milner, Squire &amp; Kandel, 1998).  The quality of emotional interaction and input the infant brain receives from caretakers is held to directly affect brain growth, a process described as the ‘experience-dependent’ nature of brain development.  </w:t>
      </w:r>
      <w:r w:rsidRPr="00AC260C">
        <w:rPr>
          <w:rFonts w:ascii="Arial" w:hAnsi="Arial" w:cs="Arial"/>
          <w:b/>
          <w:sz w:val="20"/>
          <w:szCs w:val="20"/>
        </w:rPr>
        <w:t>Traumatic experiences and disturbances of emotional interaction in infancy have potential long-term effects on psychological and emotional functioning.</w:t>
      </w:r>
      <w:r w:rsidRPr="00AC260C">
        <w:rPr>
          <w:rFonts w:ascii="Arial" w:hAnsi="Arial" w:cs="Arial"/>
          <w:sz w:val="20"/>
          <w:szCs w:val="20"/>
        </w:rPr>
        <w:t>” [pp.4-5]</w:t>
      </w:r>
    </w:p>
    <w:p w14:paraId="09E15165" w14:textId="77777777" w:rsidR="002D166A" w:rsidRDefault="00AC260C" w:rsidP="00FB1EE3">
      <w:pPr>
        <w:numPr>
          <w:ilvl w:val="0"/>
          <w:numId w:val="36"/>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“Attachment Theory is arguably the most significant theoretical framework in developmental psychology.  With broad-ranging influences including psychoanalysis, systems theory, cognitive theories and ethology, Bowlby (1969) provided an integrative account of human development, stressing the role of the attachment behavioural system as a homeostatic system regulating infant proximity seeking and contact maintaining behaviour.  For Bowlby, the need for attachment is innate and life-long and is the equivalent in terms of a motivational system to other drive-behavioural systems such as feeding and exploration.   Human development is seen as requiring, and occurring in the context of, relationships which can provide feelings of security and comfort.  Early work in non-human primates, for example, demonstrated very clearly the significance of infants’ need for comfort, overriding even the need for food (</w:t>
      </w:r>
      <w:smartTag w:uri="urn:schemas-microsoft-com:office:smarttags" w:element="place">
        <w:r w:rsidRPr="00AC260C">
          <w:rPr>
            <w:rFonts w:ascii="Arial" w:hAnsi="Arial" w:cs="Arial"/>
            <w:sz w:val="20"/>
            <w:szCs w:val="20"/>
          </w:rPr>
          <w:t>Harlow</w:t>
        </w:r>
      </w:smartTag>
      <w:r w:rsidRPr="00AC260C">
        <w:rPr>
          <w:rFonts w:ascii="Arial" w:hAnsi="Arial" w:cs="Arial"/>
          <w:sz w:val="20"/>
          <w:szCs w:val="20"/>
        </w:rPr>
        <w:t xml:space="preserve">, 1966).  </w:t>
      </w:r>
      <w:r w:rsidRPr="00AC260C">
        <w:rPr>
          <w:rFonts w:ascii="Arial" w:hAnsi="Arial" w:cs="Arial"/>
          <w:b/>
          <w:sz w:val="20"/>
          <w:szCs w:val="20"/>
        </w:rPr>
        <w:t>Both Bowlby and Harlow noted the implications of early deprivation of care and separation from caregivers on adult functioning</w:t>
      </w:r>
      <w:r w:rsidRPr="00AC260C">
        <w:rPr>
          <w:rFonts w:ascii="Arial" w:hAnsi="Arial" w:cs="Arial"/>
          <w:sz w:val="20"/>
          <w:szCs w:val="20"/>
        </w:rPr>
        <w:t>, and subsequently on later parenting behaviour, challenging the notion that parenting behaviour is ‘instinctual’ and stressing the role of early experience in providing models for behaviour within relationships.” [p.5]</w:t>
      </w:r>
    </w:p>
    <w:p w14:paraId="23FC4D49" w14:textId="77777777" w:rsidR="00AC260C" w:rsidRPr="002D166A" w:rsidRDefault="002D166A" w:rsidP="00FB1EE3">
      <w:pPr>
        <w:numPr>
          <w:ilvl w:val="0"/>
          <w:numId w:val="36"/>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Pr>
          <w:rFonts w:ascii="Arial" w:hAnsi="Arial" w:cs="Arial"/>
          <w:sz w:val="20"/>
          <w:szCs w:val="20"/>
        </w:rPr>
        <w:t>Magistrate Power</w:t>
      </w:r>
      <w:r w:rsidRPr="002D166A">
        <w:rPr>
          <w:rFonts w:ascii="Arial" w:hAnsi="Arial" w:cs="Arial"/>
          <w:sz w:val="20"/>
          <w:szCs w:val="20"/>
        </w:rPr>
        <w:t xml:space="preserve"> notes that neurodevelopmental research in the last 20 years or so has substantially validated the Bowlby-based theory of attachment although that research seems to suggest that the development of attachment commences at a much earlier stage in an infant’s life than the 6 months or so postulated by Bowlby, </w:t>
      </w:r>
      <w:smartTag w:uri="urn:schemas-microsoft-com:office:smarttags" w:element="place">
        <w:r w:rsidRPr="002D166A">
          <w:rPr>
            <w:rFonts w:ascii="Arial" w:hAnsi="Arial" w:cs="Arial"/>
            <w:sz w:val="20"/>
            <w:szCs w:val="20"/>
          </w:rPr>
          <w:t>Main</w:t>
        </w:r>
      </w:smartTag>
      <w:r w:rsidRPr="002D166A">
        <w:rPr>
          <w:rFonts w:ascii="Arial" w:hAnsi="Arial" w:cs="Arial"/>
          <w:sz w:val="20"/>
          <w:szCs w:val="20"/>
        </w:rPr>
        <w:t xml:space="preserve"> and others.</w:t>
      </w:r>
    </w:p>
    <w:p w14:paraId="212DA8D6" w14:textId="77777777" w:rsidR="00AC260C" w:rsidRPr="00AC260C" w:rsidRDefault="00AC260C" w:rsidP="00AC260C">
      <w:pPr>
        <w:ind w:left="720" w:hanging="720"/>
        <w:jc w:val="both"/>
        <w:rPr>
          <w:rFonts w:ascii="Arial" w:hAnsi="Arial" w:cs="Arial"/>
          <w:sz w:val="20"/>
          <w:szCs w:val="20"/>
        </w:rPr>
      </w:pPr>
    </w:p>
    <w:p w14:paraId="6FB2DFDF"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Quinton, D., Selwyn. J., Rushton, A., &amp; Dance, C. (1999). Contact between children placed away form home and their birth parents: </w:t>
      </w:r>
      <w:proofErr w:type="spellStart"/>
      <w:r w:rsidRPr="00AC260C">
        <w:rPr>
          <w:rFonts w:ascii="Arial" w:hAnsi="Arial" w:cs="Arial"/>
          <w:sz w:val="20"/>
          <w:szCs w:val="20"/>
        </w:rPr>
        <w:t>Ryburn’s</w:t>
      </w:r>
      <w:proofErr w:type="spellEnd"/>
      <w:r w:rsidRPr="00AC260C">
        <w:rPr>
          <w:rFonts w:ascii="Arial" w:hAnsi="Arial" w:cs="Arial"/>
          <w:sz w:val="20"/>
          <w:szCs w:val="20"/>
        </w:rPr>
        <w:t xml:space="preserve"> ‘Reanalysis’ analysed. </w:t>
      </w:r>
      <w:r w:rsidRPr="00AC260C">
        <w:rPr>
          <w:rFonts w:ascii="Arial" w:hAnsi="Arial" w:cs="Arial"/>
          <w:i/>
          <w:sz w:val="20"/>
          <w:szCs w:val="20"/>
        </w:rPr>
        <w:t>Clinical Child Psychology and Psychiatry</w:t>
      </w:r>
      <w:r w:rsidRPr="00AC260C">
        <w:rPr>
          <w:rFonts w:ascii="Arial" w:hAnsi="Arial" w:cs="Arial"/>
          <w:sz w:val="20"/>
          <w:szCs w:val="20"/>
        </w:rPr>
        <w:t xml:space="preserve">, 4, 519-531. </w:t>
      </w:r>
    </w:p>
    <w:p w14:paraId="3C436ED0" w14:textId="77777777" w:rsidR="00AC260C" w:rsidRPr="00AC260C" w:rsidRDefault="00AC260C" w:rsidP="00AC260C">
      <w:pPr>
        <w:ind w:left="720" w:hanging="720"/>
        <w:jc w:val="both"/>
        <w:rPr>
          <w:rFonts w:ascii="Arial" w:hAnsi="Arial" w:cs="Arial"/>
          <w:sz w:val="20"/>
          <w:szCs w:val="20"/>
        </w:rPr>
      </w:pPr>
    </w:p>
    <w:p w14:paraId="01FF04B2" w14:textId="77777777" w:rsidR="00AC260C" w:rsidRPr="00AC260C" w:rsidRDefault="00AC260C" w:rsidP="00AC260C">
      <w:pPr>
        <w:ind w:left="720" w:hanging="720"/>
        <w:jc w:val="both"/>
        <w:rPr>
          <w:rFonts w:ascii="Arial" w:hAnsi="Arial" w:cs="Arial"/>
          <w:sz w:val="20"/>
          <w:szCs w:val="20"/>
        </w:rPr>
      </w:pPr>
      <w:proofErr w:type="spellStart"/>
      <w:r w:rsidRPr="00AC260C">
        <w:rPr>
          <w:rFonts w:ascii="Arial" w:hAnsi="Arial" w:cs="Arial"/>
          <w:sz w:val="20"/>
          <w:szCs w:val="20"/>
        </w:rPr>
        <w:t>Ryburn</w:t>
      </w:r>
      <w:proofErr w:type="spellEnd"/>
      <w:r w:rsidRPr="00AC260C">
        <w:rPr>
          <w:rFonts w:ascii="Arial" w:hAnsi="Arial" w:cs="Arial"/>
          <w:sz w:val="20"/>
          <w:szCs w:val="20"/>
        </w:rPr>
        <w:t xml:space="preserve">, M. (1999). Contact between children placed away from home and their birth parents: A reanalysis of the evidence in relation to permanent placements. </w:t>
      </w:r>
      <w:r w:rsidRPr="00AC260C">
        <w:rPr>
          <w:rFonts w:ascii="Arial" w:hAnsi="Arial" w:cs="Arial"/>
          <w:i/>
          <w:sz w:val="20"/>
          <w:szCs w:val="20"/>
        </w:rPr>
        <w:t xml:space="preserve">Clinical Child </w:t>
      </w:r>
      <w:proofErr w:type="gramStart"/>
      <w:r w:rsidRPr="00AC260C">
        <w:rPr>
          <w:rFonts w:ascii="Arial" w:hAnsi="Arial" w:cs="Arial"/>
          <w:i/>
          <w:sz w:val="20"/>
          <w:szCs w:val="20"/>
        </w:rPr>
        <w:t>Psychology  and</w:t>
      </w:r>
      <w:proofErr w:type="gramEnd"/>
      <w:r w:rsidRPr="00AC260C">
        <w:rPr>
          <w:rFonts w:ascii="Arial" w:hAnsi="Arial" w:cs="Arial"/>
          <w:i/>
          <w:sz w:val="20"/>
          <w:szCs w:val="20"/>
        </w:rPr>
        <w:t xml:space="preserve"> Psychiatry 4</w:t>
      </w:r>
      <w:r w:rsidRPr="00AC260C">
        <w:rPr>
          <w:rFonts w:ascii="Arial" w:hAnsi="Arial" w:cs="Arial"/>
          <w:sz w:val="20"/>
          <w:szCs w:val="20"/>
        </w:rPr>
        <w:t xml:space="preserve">, 505-518. </w:t>
      </w:r>
    </w:p>
    <w:p w14:paraId="2F63E00E" w14:textId="77777777" w:rsidR="00AC260C" w:rsidRPr="00AC260C" w:rsidRDefault="00AC260C" w:rsidP="00AC260C">
      <w:pPr>
        <w:ind w:left="720" w:hanging="720"/>
        <w:jc w:val="both"/>
        <w:rPr>
          <w:rFonts w:ascii="Arial" w:hAnsi="Arial" w:cs="Arial"/>
          <w:sz w:val="20"/>
          <w:szCs w:val="20"/>
        </w:rPr>
      </w:pPr>
    </w:p>
    <w:p w14:paraId="25974631"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lastRenderedPageBreak/>
        <w:t xml:space="preserve">Van der Horst, F.C., &amp; Van der Veer, R. (2008). Loneliness in infancy: Harry Harlow, John Bowlby and issues of separation. </w:t>
      </w:r>
      <w:proofErr w:type="spellStart"/>
      <w:r w:rsidRPr="00AC260C">
        <w:rPr>
          <w:rFonts w:ascii="Arial" w:hAnsi="Arial" w:cs="Arial"/>
          <w:i/>
          <w:sz w:val="20"/>
          <w:szCs w:val="20"/>
        </w:rPr>
        <w:t>Integr</w:t>
      </w:r>
      <w:proofErr w:type="spellEnd"/>
      <w:r w:rsidRPr="00AC260C">
        <w:rPr>
          <w:rFonts w:ascii="Arial" w:hAnsi="Arial" w:cs="Arial"/>
          <w:i/>
          <w:sz w:val="20"/>
          <w:szCs w:val="20"/>
        </w:rPr>
        <w:t xml:space="preserve"> Psych </w:t>
      </w:r>
      <w:proofErr w:type="spellStart"/>
      <w:r w:rsidRPr="00AC260C">
        <w:rPr>
          <w:rFonts w:ascii="Arial" w:hAnsi="Arial" w:cs="Arial"/>
          <w:i/>
          <w:sz w:val="20"/>
          <w:szCs w:val="20"/>
        </w:rPr>
        <w:t>Behav</w:t>
      </w:r>
      <w:proofErr w:type="spellEnd"/>
      <w:r w:rsidRPr="00AC260C">
        <w:rPr>
          <w:rFonts w:ascii="Arial" w:hAnsi="Arial" w:cs="Arial"/>
          <w:i/>
          <w:sz w:val="20"/>
          <w:szCs w:val="20"/>
        </w:rPr>
        <w:t xml:space="preserve"> 42</w:t>
      </w:r>
      <w:r w:rsidRPr="00AC260C">
        <w:rPr>
          <w:rFonts w:ascii="Arial" w:hAnsi="Arial" w:cs="Arial"/>
          <w:sz w:val="20"/>
          <w:szCs w:val="20"/>
        </w:rPr>
        <w:t xml:space="preserve">, 325-335. </w:t>
      </w:r>
    </w:p>
    <w:p w14:paraId="376C8CC2" w14:textId="77777777" w:rsidR="002D166A" w:rsidRDefault="00AC260C" w:rsidP="00FB1EE3">
      <w:pPr>
        <w:numPr>
          <w:ilvl w:val="0"/>
          <w:numId w:val="36"/>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After giving an overview of the different studies in the 1940s and 1950s on the effect of separation and deprivation on infants – including Spitz’s 1947 film </w:t>
      </w:r>
      <w:r w:rsidRPr="00AC260C">
        <w:rPr>
          <w:rFonts w:ascii="Arial" w:hAnsi="Arial" w:cs="Arial"/>
          <w:i/>
          <w:sz w:val="20"/>
          <w:szCs w:val="20"/>
        </w:rPr>
        <w:t>Grief: A Peril in Infancy</w:t>
      </w:r>
      <w:r w:rsidRPr="00AC260C">
        <w:rPr>
          <w:rFonts w:ascii="Arial" w:hAnsi="Arial" w:cs="Arial"/>
          <w:sz w:val="20"/>
          <w:szCs w:val="20"/>
        </w:rPr>
        <w:t xml:space="preserve"> where a baby placed in a foundling home developed within weeks from a happy and approachable child into a distant and withdrawn one and Robertson’s 1952 film </w:t>
      </w:r>
      <w:r w:rsidRPr="00AC260C">
        <w:rPr>
          <w:rFonts w:ascii="Arial" w:hAnsi="Arial" w:cs="Arial"/>
          <w:i/>
          <w:sz w:val="20"/>
          <w:szCs w:val="20"/>
        </w:rPr>
        <w:t>A Two-Year-Old Goes to Hospital</w:t>
      </w:r>
      <w:r w:rsidRPr="00AC260C">
        <w:rPr>
          <w:rFonts w:ascii="Arial" w:hAnsi="Arial" w:cs="Arial"/>
          <w:sz w:val="20"/>
          <w:szCs w:val="20"/>
        </w:rPr>
        <w:t xml:space="preserve"> where a child admitted to hospital for 9 days for an operation for an umbilical hernia changed from “a ravishing little girl” to a silent and unresponsive one – the authors concluded: “Slowly but surely people – in hospitals, foundling homes, nurseries – were beginning to see the effects of separation and deprivation on young children.  The evidence gathered in studies by Lowrey, </w:t>
      </w:r>
      <w:proofErr w:type="spellStart"/>
      <w:r w:rsidRPr="00AC260C">
        <w:rPr>
          <w:rFonts w:ascii="Arial" w:hAnsi="Arial" w:cs="Arial"/>
          <w:sz w:val="20"/>
          <w:szCs w:val="20"/>
        </w:rPr>
        <w:t>Bakwin</w:t>
      </w:r>
      <w:proofErr w:type="spellEnd"/>
      <w:r w:rsidRPr="00AC260C">
        <w:rPr>
          <w:rFonts w:ascii="Arial" w:hAnsi="Arial" w:cs="Arial"/>
          <w:sz w:val="20"/>
          <w:szCs w:val="20"/>
        </w:rPr>
        <w:t xml:space="preserve">, </w:t>
      </w:r>
      <w:proofErr w:type="spellStart"/>
      <w:r w:rsidRPr="00AC260C">
        <w:rPr>
          <w:rFonts w:ascii="Arial" w:hAnsi="Arial" w:cs="Arial"/>
          <w:sz w:val="20"/>
          <w:szCs w:val="20"/>
        </w:rPr>
        <w:t>Edelston</w:t>
      </w:r>
      <w:proofErr w:type="spellEnd"/>
      <w:r w:rsidRPr="00AC260C">
        <w:rPr>
          <w:rFonts w:ascii="Arial" w:hAnsi="Arial" w:cs="Arial"/>
          <w:sz w:val="20"/>
          <w:szCs w:val="20"/>
        </w:rPr>
        <w:t xml:space="preserve">, Goldfarb and Spitz on the effects of early hospitalization – both in </w:t>
      </w:r>
      <w:smartTag w:uri="urn:schemas-microsoft-com:office:smarttags" w:element="country-region">
        <w:r w:rsidRPr="00AC260C">
          <w:rPr>
            <w:rFonts w:ascii="Arial" w:hAnsi="Arial" w:cs="Arial"/>
            <w:sz w:val="20"/>
            <w:szCs w:val="20"/>
          </w:rPr>
          <w:t>Britain</w:t>
        </w:r>
      </w:smartTag>
      <w:r w:rsidRPr="00AC260C">
        <w:rPr>
          <w:rFonts w:ascii="Arial" w:hAnsi="Arial" w:cs="Arial"/>
          <w:sz w:val="20"/>
          <w:szCs w:val="20"/>
        </w:rPr>
        <w:t xml:space="preserve"> and </w:t>
      </w:r>
      <w:smartTag w:uri="urn:schemas-microsoft-com:office:smarttags" w:element="place">
        <w:smartTag w:uri="urn:schemas-microsoft-com:office:smarttags" w:element="country-region">
          <w:r w:rsidRPr="00AC260C">
            <w:rPr>
              <w:rFonts w:ascii="Arial" w:hAnsi="Arial" w:cs="Arial"/>
              <w:sz w:val="20"/>
              <w:szCs w:val="20"/>
            </w:rPr>
            <w:t>U.S.A.</w:t>
          </w:r>
        </w:smartTag>
      </w:smartTag>
      <w:r w:rsidRPr="00AC260C">
        <w:rPr>
          <w:rFonts w:ascii="Arial" w:hAnsi="Arial" w:cs="Arial"/>
          <w:sz w:val="20"/>
          <w:szCs w:val="20"/>
        </w:rPr>
        <w:t xml:space="preserve"> – led people to believe that the physical and emotional separation from a familiar environment was detrimental to the child’s well-being.” [pp.332-333]</w:t>
      </w:r>
    </w:p>
    <w:p w14:paraId="5A60C8D7" w14:textId="77777777" w:rsidR="00AC260C" w:rsidRPr="008A58C3" w:rsidRDefault="008A58C3" w:rsidP="00FB1EE3">
      <w:pPr>
        <w:numPr>
          <w:ilvl w:val="0"/>
          <w:numId w:val="36"/>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2"/>
          <w:szCs w:val="20"/>
        </w:rPr>
      </w:pPr>
      <w:r>
        <w:rPr>
          <w:rFonts w:ascii="Arial" w:hAnsi="Arial" w:cs="Arial"/>
          <w:sz w:val="20"/>
          <w:szCs w:val="18"/>
        </w:rPr>
        <w:t xml:space="preserve">Of course, </w:t>
      </w:r>
      <w:r w:rsidR="002D166A" w:rsidRPr="008A58C3">
        <w:rPr>
          <w:rFonts w:ascii="Arial" w:hAnsi="Arial" w:cs="Arial"/>
          <w:sz w:val="20"/>
          <w:szCs w:val="18"/>
        </w:rPr>
        <w:t xml:space="preserve">modern child hospital nursing practice is totally different from that which was the subject of such strong criticism by Bowlby, Spitz </w:t>
      </w:r>
      <w:r w:rsidR="002D166A" w:rsidRPr="008A58C3">
        <w:rPr>
          <w:rFonts w:ascii="Arial" w:hAnsi="Arial" w:cs="Arial"/>
          <w:i/>
          <w:sz w:val="20"/>
          <w:szCs w:val="18"/>
        </w:rPr>
        <w:t>et al</w:t>
      </w:r>
      <w:r w:rsidR="002D166A" w:rsidRPr="008A58C3">
        <w:rPr>
          <w:rFonts w:ascii="Arial" w:hAnsi="Arial" w:cs="Arial"/>
          <w:sz w:val="20"/>
          <w:szCs w:val="18"/>
        </w:rPr>
        <w:t xml:space="preserve"> in the 1940s &amp; 1950s.  Modern practice has very much taken into account the lessons drawn from the psychological studies of earlier times.</w:t>
      </w:r>
    </w:p>
    <w:p w14:paraId="4E05BC31" w14:textId="77777777" w:rsidR="00AC260C" w:rsidRPr="00AC260C" w:rsidRDefault="00AC260C" w:rsidP="00AC260C">
      <w:pPr>
        <w:jc w:val="both"/>
        <w:rPr>
          <w:rFonts w:ascii="Arial" w:hAnsi="Arial" w:cs="Arial"/>
          <w:sz w:val="20"/>
          <w:szCs w:val="20"/>
        </w:rPr>
      </w:pPr>
    </w:p>
    <w:p w14:paraId="4D1186B5"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Waters, E., Merrick, S., </w:t>
      </w:r>
      <w:proofErr w:type="spellStart"/>
      <w:r w:rsidRPr="00AC260C">
        <w:rPr>
          <w:rFonts w:ascii="Arial" w:hAnsi="Arial" w:cs="Arial"/>
          <w:sz w:val="20"/>
          <w:szCs w:val="20"/>
        </w:rPr>
        <w:t>Treboux</w:t>
      </w:r>
      <w:proofErr w:type="spellEnd"/>
      <w:r w:rsidRPr="00AC260C">
        <w:rPr>
          <w:rFonts w:ascii="Arial" w:hAnsi="Arial" w:cs="Arial"/>
          <w:sz w:val="20"/>
          <w:szCs w:val="20"/>
        </w:rPr>
        <w:t xml:space="preserve">, D., Cromwell J., &amp; </w:t>
      </w:r>
      <w:proofErr w:type="spellStart"/>
      <w:r w:rsidRPr="00AC260C">
        <w:rPr>
          <w:rFonts w:ascii="Arial" w:hAnsi="Arial" w:cs="Arial"/>
          <w:sz w:val="20"/>
          <w:szCs w:val="20"/>
        </w:rPr>
        <w:t>Albersheim</w:t>
      </w:r>
      <w:proofErr w:type="spellEnd"/>
      <w:r w:rsidRPr="00AC260C">
        <w:rPr>
          <w:rFonts w:ascii="Arial" w:hAnsi="Arial" w:cs="Arial"/>
          <w:sz w:val="20"/>
          <w:szCs w:val="20"/>
        </w:rPr>
        <w:t xml:space="preserve">, L. (2000) Attachment security in infancy and early adulthood: A twenty-year longitudinal study.  </w:t>
      </w:r>
      <w:r w:rsidRPr="00AC260C">
        <w:rPr>
          <w:rFonts w:ascii="Arial" w:hAnsi="Arial" w:cs="Arial"/>
          <w:i/>
          <w:sz w:val="20"/>
          <w:szCs w:val="20"/>
        </w:rPr>
        <w:t>Child Development, 71,</w:t>
      </w:r>
      <w:r w:rsidRPr="00AC260C">
        <w:rPr>
          <w:rFonts w:ascii="Arial" w:hAnsi="Arial" w:cs="Arial"/>
          <w:sz w:val="20"/>
          <w:szCs w:val="20"/>
        </w:rPr>
        <w:t xml:space="preserve"> 695-702.</w:t>
      </w:r>
    </w:p>
    <w:p w14:paraId="34699E9A" w14:textId="77777777" w:rsidR="00B47D65" w:rsidRPr="008329EB" w:rsidRDefault="00B47D65" w:rsidP="00B47D65">
      <w:pPr>
        <w:jc w:val="both"/>
        <w:rPr>
          <w:rFonts w:ascii="Arial" w:hAnsi="Arial" w:cs="Arial"/>
          <w:color w:val="000000"/>
          <w:sz w:val="20"/>
          <w:szCs w:val="20"/>
        </w:rPr>
      </w:pPr>
    </w:p>
    <w:p w14:paraId="52F65369" w14:textId="77777777" w:rsidR="00B47D65" w:rsidRPr="008329EB" w:rsidRDefault="00CC2566" w:rsidP="00CC2566">
      <w:pPr>
        <w:ind w:left="357" w:hanging="357"/>
        <w:jc w:val="both"/>
        <w:rPr>
          <w:rFonts w:ascii="Arial" w:hAnsi="Arial" w:cs="Arial"/>
          <w:color w:val="000000"/>
          <w:sz w:val="20"/>
          <w:szCs w:val="20"/>
        </w:rPr>
      </w:pPr>
      <w:r w:rsidRPr="008329EB">
        <w:rPr>
          <w:rFonts w:ascii="Arial" w:hAnsi="Arial" w:cs="Arial"/>
          <w:color w:val="000000"/>
          <w:sz w:val="20"/>
          <w:szCs w:val="20"/>
        </w:rPr>
        <w:t xml:space="preserve">For </w:t>
      </w:r>
      <w:r w:rsidR="00F84A93" w:rsidRPr="008329EB">
        <w:rPr>
          <w:rFonts w:ascii="Arial" w:hAnsi="Arial" w:cs="Arial"/>
          <w:color w:val="000000"/>
          <w:sz w:val="20"/>
          <w:szCs w:val="20"/>
        </w:rPr>
        <w:t>example</w:t>
      </w:r>
      <w:r w:rsidRPr="008329EB">
        <w:rPr>
          <w:rFonts w:ascii="Arial" w:hAnsi="Arial" w:cs="Arial"/>
          <w:color w:val="000000"/>
          <w:sz w:val="20"/>
          <w:szCs w:val="20"/>
        </w:rPr>
        <w:t xml:space="preserve">s </w:t>
      </w:r>
      <w:r w:rsidR="00B47D65" w:rsidRPr="008329EB">
        <w:rPr>
          <w:rFonts w:ascii="Arial" w:hAnsi="Arial" w:cs="Arial"/>
          <w:color w:val="000000"/>
          <w:sz w:val="20"/>
          <w:szCs w:val="20"/>
        </w:rPr>
        <w:t>in which the writer has applied the above learning, see</w:t>
      </w:r>
      <w:r w:rsidRPr="008329EB">
        <w:rPr>
          <w:rFonts w:ascii="Arial" w:hAnsi="Arial" w:cs="Arial"/>
          <w:color w:val="000000"/>
          <w:sz w:val="20"/>
          <w:szCs w:val="20"/>
        </w:rPr>
        <w:t xml:space="preserve"> his judgments in</w:t>
      </w:r>
      <w:r w:rsidR="00B47D65" w:rsidRPr="008329EB">
        <w:rPr>
          <w:rFonts w:ascii="Arial" w:hAnsi="Arial" w:cs="Arial"/>
          <w:color w:val="000000"/>
          <w:sz w:val="20"/>
          <w:szCs w:val="20"/>
        </w:rPr>
        <w:t>:</w:t>
      </w:r>
    </w:p>
    <w:p w14:paraId="4EEAB856" w14:textId="77777777" w:rsidR="00CC2566" w:rsidRPr="008329EB" w:rsidRDefault="00CC2566" w:rsidP="00CC2566">
      <w:pPr>
        <w:numPr>
          <w:ilvl w:val="0"/>
          <w:numId w:val="13"/>
        </w:numPr>
        <w:tabs>
          <w:tab w:val="clear" w:pos="420"/>
        </w:tabs>
        <w:ind w:left="357" w:hanging="357"/>
        <w:jc w:val="both"/>
        <w:rPr>
          <w:rFonts w:ascii="Arial" w:hAnsi="Arial" w:cs="Arial"/>
          <w:color w:val="000000"/>
          <w:sz w:val="20"/>
        </w:rPr>
      </w:pPr>
      <w:r w:rsidRPr="008329EB">
        <w:rPr>
          <w:rFonts w:ascii="Arial" w:hAnsi="Arial" w:cs="Arial"/>
          <w:i/>
          <w:iCs/>
          <w:color w:val="000000"/>
          <w:sz w:val="20"/>
        </w:rPr>
        <w:t>DOHS v M</w:t>
      </w:r>
      <w:r w:rsidR="00420BF2" w:rsidRPr="008329EB">
        <w:rPr>
          <w:rFonts w:ascii="Arial" w:hAnsi="Arial" w:cs="Arial"/>
          <w:i/>
          <w:iCs/>
          <w:color w:val="000000"/>
          <w:sz w:val="20"/>
        </w:rPr>
        <w:t xml:space="preserve">s </w:t>
      </w:r>
      <w:proofErr w:type="spellStart"/>
      <w:r w:rsidR="00420BF2" w:rsidRPr="008329EB">
        <w:rPr>
          <w:rFonts w:ascii="Arial" w:hAnsi="Arial" w:cs="Arial"/>
          <w:i/>
          <w:iCs/>
          <w:color w:val="000000"/>
          <w:sz w:val="20"/>
        </w:rPr>
        <w:t>McC</w:t>
      </w:r>
      <w:proofErr w:type="spellEnd"/>
      <w:r w:rsidR="00420BF2" w:rsidRPr="008329EB">
        <w:rPr>
          <w:rFonts w:ascii="Arial" w:hAnsi="Arial" w:cs="Arial"/>
          <w:i/>
          <w:iCs/>
          <w:color w:val="000000"/>
          <w:sz w:val="20"/>
        </w:rPr>
        <w:t xml:space="preserve"> [interim]</w:t>
      </w:r>
      <w:r w:rsidRPr="008329EB">
        <w:rPr>
          <w:rFonts w:ascii="Arial" w:hAnsi="Arial" w:cs="Arial"/>
          <w:i/>
          <w:iCs/>
          <w:color w:val="000000"/>
          <w:sz w:val="20"/>
        </w:rPr>
        <w:t xml:space="preserve"> </w:t>
      </w:r>
      <w:r w:rsidR="00420BF2" w:rsidRPr="008329EB">
        <w:rPr>
          <w:rFonts w:ascii="Arial" w:hAnsi="Arial" w:cs="Arial"/>
          <w:iCs/>
          <w:color w:val="000000"/>
          <w:sz w:val="20"/>
        </w:rPr>
        <w:t>[Children’s Court of Victoria-Power M, 05/04/2011] at pp.</w:t>
      </w:r>
      <w:r w:rsidR="00420BF2" w:rsidRPr="008329EB">
        <w:rPr>
          <w:rFonts w:ascii="Arial" w:hAnsi="Arial" w:cs="Arial"/>
          <w:color w:val="000000"/>
          <w:sz w:val="20"/>
        </w:rPr>
        <w:t>70-72.</w:t>
      </w:r>
    </w:p>
    <w:p w14:paraId="1DAEA93D" w14:textId="77777777" w:rsidR="00CC2566" w:rsidRPr="008329EB" w:rsidRDefault="00CC2566" w:rsidP="00CC2566">
      <w:pPr>
        <w:numPr>
          <w:ilvl w:val="0"/>
          <w:numId w:val="1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00420BF2" w:rsidRPr="008329EB">
        <w:rPr>
          <w:rFonts w:ascii="Arial" w:hAnsi="Arial" w:cs="Arial"/>
          <w:color w:val="000000"/>
          <w:sz w:val="20"/>
        </w:rPr>
        <w:t>130-1</w:t>
      </w:r>
      <w:r w:rsidRPr="008329EB">
        <w:rPr>
          <w:rFonts w:ascii="Arial" w:hAnsi="Arial" w:cs="Arial"/>
          <w:color w:val="000000"/>
          <w:sz w:val="20"/>
        </w:rPr>
        <w:t>.</w:t>
      </w:r>
    </w:p>
    <w:p w14:paraId="509F5583" w14:textId="77777777" w:rsidR="00B47D65" w:rsidRDefault="00B47D65">
      <w:pPr>
        <w:jc w:val="both"/>
        <w:rPr>
          <w:rFonts w:ascii="Arial" w:hAnsi="Arial" w:cs="Arial"/>
          <w:sz w:val="20"/>
        </w:rPr>
      </w:pPr>
    </w:p>
    <w:p w14:paraId="0BA05FF4" w14:textId="77777777" w:rsidR="00693223" w:rsidRDefault="00693223" w:rsidP="00CA2663">
      <w:pPr>
        <w:pStyle w:val="Heading2"/>
        <w:keepNext/>
        <w:keepLines/>
        <w:tabs>
          <w:tab w:val="left" w:pos="567"/>
        </w:tabs>
        <w:spacing w:line="240" w:lineRule="auto"/>
        <w:rPr>
          <w:rFonts w:ascii="Arial" w:hAnsi="Arial" w:cs="Arial"/>
          <w:b/>
          <w:bCs/>
        </w:rPr>
      </w:pPr>
      <w:bookmarkStart w:id="1695" w:name="_4.17_Family_Drug"/>
      <w:bookmarkStart w:id="1696" w:name="B417"/>
      <w:bookmarkStart w:id="1697" w:name="_Toc60736220"/>
      <w:bookmarkEnd w:id="1695"/>
      <w:bookmarkEnd w:id="1696"/>
      <w:r>
        <w:rPr>
          <w:rFonts w:ascii="Arial" w:hAnsi="Arial" w:cs="Arial"/>
          <w:b/>
          <w:bCs/>
        </w:rPr>
        <w:t>4.1</w:t>
      </w:r>
      <w:r w:rsidR="00F034D2" w:rsidRPr="00841D14">
        <w:rPr>
          <w:rFonts w:ascii="Arial" w:hAnsi="Arial" w:cs="Arial"/>
          <w:b/>
          <w:bCs/>
          <w:color w:val="000000"/>
        </w:rPr>
        <w:t>7</w:t>
      </w:r>
      <w:r>
        <w:rPr>
          <w:rFonts w:ascii="Arial" w:hAnsi="Arial" w:cs="Arial"/>
          <w:b/>
          <w:bCs/>
        </w:rPr>
        <w:tab/>
      </w:r>
      <w:bookmarkEnd w:id="1697"/>
      <w:r w:rsidR="00B22DF4">
        <w:rPr>
          <w:rFonts w:ascii="Arial" w:hAnsi="Arial" w:cs="Arial"/>
          <w:b/>
          <w:bCs/>
        </w:rPr>
        <w:t>Family Drug Treatment Court</w:t>
      </w:r>
    </w:p>
    <w:p w14:paraId="228DD38E" w14:textId="77777777" w:rsidR="00693223" w:rsidRDefault="00693223">
      <w:pPr>
        <w:rPr>
          <w:rFonts w:ascii="Arial" w:hAnsi="Arial" w:cs="Arial"/>
          <w:sz w:val="16"/>
        </w:rPr>
      </w:pPr>
    </w:p>
    <w:p w14:paraId="35F9C61A" w14:textId="77777777" w:rsidR="00B22DF4" w:rsidRDefault="00B22DF4" w:rsidP="00B22DF4">
      <w:pPr>
        <w:jc w:val="both"/>
        <w:rPr>
          <w:rFonts w:ascii="Arial" w:hAnsi="Arial" w:cs="Arial"/>
          <w:sz w:val="20"/>
        </w:rPr>
      </w:pPr>
      <w:r>
        <w:rPr>
          <w:rFonts w:ascii="Arial" w:hAnsi="Arial" w:cs="Arial"/>
          <w:sz w:val="20"/>
        </w:rPr>
        <w:t xml:space="preserve">The Family Drug Treatment Court [‘FDTC’] was launched by the Children’s Court of Victoria in May 2014.  It is based on a paper prepared by Magistrate Greg Levine </w:t>
      </w:r>
      <w:r w:rsidR="00EE0D10">
        <w:rPr>
          <w:rFonts w:ascii="Arial" w:hAnsi="Arial" w:cs="Arial"/>
          <w:sz w:val="20"/>
        </w:rPr>
        <w:t xml:space="preserve">OAM </w:t>
      </w:r>
      <w:r>
        <w:rPr>
          <w:rFonts w:ascii="Arial" w:hAnsi="Arial" w:cs="Arial"/>
          <w:sz w:val="20"/>
        </w:rPr>
        <w:t xml:space="preserve">for the purposes of his Churchill Fellowship which details observations made by His Honour of similar ‘problem-solving courts’ </w:t>
      </w:r>
      <w:r w:rsidR="00276528">
        <w:rPr>
          <w:rFonts w:ascii="Arial" w:hAnsi="Arial" w:cs="Arial"/>
          <w:sz w:val="20"/>
        </w:rPr>
        <w:t xml:space="preserve">operating </w:t>
      </w:r>
      <w:r>
        <w:rPr>
          <w:rFonts w:ascii="Arial" w:hAnsi="Arial" w:cs="Arial"/>
          <w:sz w:val="20"/>
        </w:rPr>
        <w:t>in U</w:t>
      </w:r>
      <w:r w:rsidR="008D1A09">
        <w:rPr>
          <w:rFonts w:ascii="Arial" w:hAnsi="Arial" w:cs="Arial"/>
          <w:sz w:val="20"/>
        </w:rPr>
        <w:t>.S.A. &amp; England.</w:t>
      </w:r>
    </w:p>
    <w:p w14:paraId="4A31B347" w14:textId="77777777" w:rsidR="008D1A09" w:rsidRDefault="008D1A09" w:rsidP="00B22DF4">
      <w:pPr>
        <w:jc w:val="both"/>
        <w:rPr>
          <w:rFonts w:ascii="Arial" w:hAnsi="Arial" w:cs="Arial"/>
          <w:sz w:val="20"/>
        </w:rPr>
      </w:pPr>
    </w:p>
    <w:p w14:paraId="6FB790D8" w14:textId="77777777" w:rsidR="008D1A09" w:rsidRDefault="00E81E1D" w:rsidP="00B22DF4">
      <w:pPr>
        <w:jc w:val="both"/>
        <w:rPr>
          <w:rFonts w:ascii="Arial" w:hAnsi="Arial" w:cs="Arial"/>
          <w:sz w:val="20"/>
        </w:rPr>
      </w:pPr>
      <w:r>
        <w:rPr>
          <w:rFonts w:ascii="Arial" w:hAnsi="Arial" w:cs="Arial"/>
          <w:sz w:val="20"/>
        </w:rPr>
        <w:t>The F</w:t>
      </w:r>
      <w:r w:rsidR="008D1A09">
        <w:rPr>
          <w:rFonts w:ascii="Arial" w:hAnsi="Arial" w:cs="Arial"/>
          <w:sz w:val="20"/>
        </w:rPr>
        <w:t>D</w:t>
      </w:r>
      <w:r>
        <w:rPr>
          <w:rFonts w:ascii="Arial" w:hAnsi="Arial" w:cs="Arial"/>
          <w:sz w:val="20"/>
        </w:rPr>
        <w:t>T</w:t>
      </w:r>
      <w:r w:rsidR="008D1A09">
        <w:rPr>
          <w:rFonts w:ascii="Arial" w:hAnsi="Arial" w:cs="Arial"/>
          <w:sz w:val="20"/>
        </w:rPr>
        <w:t xml:space="preserve">C </w:t>
      </w:r>
      <w:r w:rsidR="003D782E">
        <w:rPr>
          <w:rFonts w:ascii="Arial" w:hAnsi="Arial" w:cs="Arial"/>
          <w:sz w:val="20"/>
        </w:rPr>
        <w:t xml:space="preserve">is a </w:t>
      </w:r>
      <w:r w:rsidR="008D1A09">
        <w:rPr>
          <w:rFonts w:ascii="Arial" w:hAnsi="Arial" w:cs="Arial"/>
          <w:sz w:val="20"/>
        </w:rPr>
        <w:t xml:space="preserve">program operating within the Family Division of the Children’s Court.  It engages parents whose substance misuse/dependence has played a significant part in their removal of their child/children from their care.  </w:t>
      </w:r>
      <w:r>
        <w:rPr>
          <w:rFonts w:ascii="Arial" w:hAnsi="Arial" w:cs="Arial"/>
          <w:sz w:val="20"/>
        </w:rPr>
        <w:t>Utilising intensive case coordination and therapeutic intervention to address issues of substance misuse/dependence, mental health, housing and deficits in parenting and financial management, amongst other things, the FDTC aims to achieve permanent, sustainable family reunification of children with their parents.</w:t>
      </w:r>
    </w:p>
    <w:p w14:paraId="703C9771" w14:textId="77777777" w:rsidR="00E81E1D" w:rsidRDefault="00E81E1D" w:rsidP="00B22DF4">
      <w:pPr>
        <w:jc w:val="both"/>
        <w:rPr>
          <w:rFonts w:ascii="Arial" w:hAnsi="Arial" w:cs="Arial"/>
          <w:sz w:val="20"/>
        </w:rPr>
      </w:pPr>
    </w:p>
    <w:p w14:paraId="5F8AB652" w14:textId="77777777" w:rsidR="00E81E1D" w:rsidRDefault="00E81E1D" w:rsidP="00B22DF4">
      <w:pPr>
        <w:jc w:val="both"/>
        <w:rPr>
          <w:rFonts w:ascii="Arial" w:hAnsi="Arial" w:cs="Arial"/>
          <w:sz w:val="20"/>
        </w:rPr>
      </w:pPr>
      <w:r>
        <w:rPr>
          <w:rFonts w:ascii="Arial" w:hAnsi="Arial" w:cs="Arial"/>
          <w:sz w:val="20"/>
        </w:rPr>
        <w:t>The FDTC comprises a dedicated multi-disciplinary team of professionals across a variety of government agencies and non-government organisations, led by a dedicated Children’s Court judicial officer.  By combining such a diverse range of professionals, the underpinning philosophy of collaborative practice is maintained and positive outcomes are more likely to be achieved.</w:t>
      </w:r>
    </w:p>
    <w:p w14:paraId="678153C2" w14:textId="77777777" w:rsidR="00E81E1D" w:rsidRDefault="00E81E1D" w:rsidP="00B22DF4">
      <w:pPr>
        <w:jc w:val="both"/>
        <w:rPr>
          <w:rFonts w:ascii="Arial" w:hAnsi="Arial" w:cs="Arial"/>
          <w:sz w:val="20"/>
        </w:rPr>
      </w:pPr>
    </w:p>
    <w:p w14:paraId="67772FDC" w14:textId="77777777" w:rsidR="00E81E1D" w:rsidRDefault="00E81E1D" w:rsidP="00B22DF4">
      <w:pPr>
        <w:jc w:val="both"/>
        <w:rPr>
          <w:rFonts w:ascii="Arial" w:hAnsi="Arial" w:cs="Arial"/>
          <w:sz w:val="20"/>
        </w:rPr>
      </w:pPr>
      <w:r>
        <w:rPr>
          <w:rFonts w:ascii="Arial" w:hAnsi="Arial" w:cs="Arial"/>
          <w:sz w:val="20"/>
        </w:rPr>
        <w:t>Once a referral to the program has been made, the parent must undergo an eligibility screening conducted by the Court.  This is followed by a clinical assessment to determine the parent’s suitability and identify issues of substance misuse, mental and physical health and a variety of other factors that may have led to the removal of the parent’s child/children.  This assessment forms the basis for the parent’s individual treatment plan whilst on the program.</w:t>
      </w:r>
    </w:p>
    <w:p w14:paraId="62740AD3" w14:textId="77777777" w:rsidR="00E81E1D" w:rsidRDefault="00E81E1D" w:rsidP="00B22DF4">
      <w:pPr>
        <w:jc w:val="both"/>
        <w:rPr>
          <w:rFonts w:ascii="Arial" w:hAnsi="Arial" w:cs="Arial"/>
          <w:sz w:val="20"/>
        </w:rPr>
      </w:pPr>
    </w:p>
    <w:p w14:paraId="18D01CD1" w14:textId="77777777" w:rsidR="00276528" w:rsidRDefault="00E81E1D" w:rsidP="00B22DF4">
      <w:pPr>
        <w:jc w:val="both"/>
        <w:rPr>
          <w:rFonts w:ascii="Arial" w:hAnsi="Arial" w:cs="Arial"/>
          <w:sz w:val="20"/>
        </w:rPr>
      </w:pPr>
      <w:r>
        <w:rPr>
          <w:rFonts w:ascii="Arial" w:hAnsi="Arial" w:cs="Arial"/>
          <w:sz w:val="20"/>
        </w:rPr>
        <w:t xml:space="preserve">Once an individual treatment plan has been formulated and treatment begins the parent is required to participate fully in </w:t>
      </w:r>
      <w:r w:rsidR="00276528">
        <w:rPr>
          <w:rFonts w:ascii="Arial" w:hAnsi="Arial" w:cs="Arial"/>
          <w:sz w:val="20"/>
        </w:rPr>
        <w:t>the activities he/she has agreed to as part of his/her rehabilitation.  These may include-</w:t>
      </w:r>
    </w:p>
    <w:p w14:paraId="02EE4171" w14:textId="77777777" w:rsidR="00E81E1D" w:rsidRDefault="00276528" w:rsidP="00FB1EE3">
      <w:pPr>
        <w:numPr>
          <w:ilvl w:val="0"/>
          <w:numId w:val="55"/>
        </w:numPr>
        <w:ind w:left="357" w:hanging="357"/>
        <w:jc w:val="both"/>
        <w:rPr>
          <w:rFonts w:ascii="Arial" w:hAnsi="Arial" w:cs="Arial"/>
          <w:sz w:val="20"/>
        </w:rPr>
      </w:pPr>
      <w:r>
        <w:rPr>
          <w:rFonts w:ascii="Arial" w:hAnsi="Arial" w:cs="Arial"/>
          <w:sz w:val="20"/>
        </w:rPr>
        <w:t>regular court appearances to facilitate monitoring of progress by the FDTC judicial officer;</w:t>
      </w:r>
    </w:p>
    <w:p w14:paraId="0951326B" w14:textId="77777777" w:rsidR="00276528" w:rsidRDefault="00276528" w:rsidP="00FB1EE3">
      <w:pPr>
        <w:numPr>
          <w:ilvl w:val="0"/>
          <w:numId w:val="55"/>
        </w:numPr>
        <w:ind w:left="357" w:hanging="357"/>
        <w:jc w:val="both"/>
        <w:rPr>
          <w:rFonts w:ascii="Arial" w:hAnsi="Arial" w:cs="Arial"/>
          <w:sz w:val="20"/>
        </w:rPr>
      </w:pPr>
      <w:r>
        <w:rPr>
          <w:rFonts w:ascii="Arial" w:hAnsi="Arial" w:cs="Arial"/>
          <w:sz w:val="20"/>
        </w:rPr>
        <w:t>participating in regular tests for the use of non-prescribed substances; and</w:t>
      </w:r>
    </w:p>
    <w:p w14:paraId="0B07E65A" w14:textId="77777777" w:rsidR="00276528" w:rsidRDefault="00276528" w:rsidP="00FB1EE3">
      <w:pPr>
        <w:numPr>
          <w:ilvl w:val="0"/>
          <w:numId w:val="55"/>
        </w:numPr>
        <w:ind w:left="357" w:hanging="357"/>
        <w:jc w:val="both"/>
        <w:rPr>
          <w:rFonts w:ascii="Arial" w:hAnsi="Arial" w:cs="Arial"/>
          <w:sz w:val="20"/>
        </w:rPr>
      </w:pPr>
      <w:r>
        <w:rPr>
          <w:rFonts w:ascii="Arial" w:hAnsi="Arial" w:cs="Arial"/>
          <w:sz w:val="20"/>
        </w:rPr>
        <w:lastRenderedPageBreak/>
        <w:t>attending a range of treatment and case management services as well as parenting support programs.</w:t>
      </w:r>
    </w:p>
    <w:p w14:paraId="491CCCFF" w14:textId="77777777" w:rsidR="00276528" w:rsidRDefault="00276528" w:rsidP="00276528">
      <w:pPr>
        <w:jc w:val="both"/>
        <w:rPr>
          <w:rFonts w:ascii="Arial" w:hAnsi="Arial" w:cs="Arial"/>
          <w:sz w:val="20"/>
        </w:rPr>
      </w:pPr>
      <w:r>
        <w:rPr>
          <w:rFonts w:ascii="Arial" w:hAnsi="Arial" w:cs="Arial"/>
          <w:sz w:val="20"/>
        </w:rPr>
        <w:t>Upon advice from the team, the FDTC judicial officer may impose a range of rewards or consequences according to positive or negative behaviours of the parent in relation to the treatment plan.</w:t>
      </w:r>
    </w:p>
    <w:p w14:paraId="70F13A10" w14:textId="77777777" w:rsidR="00276528" w:rsidRDefault="00276528" w:rsidP="00276528">
      <w:pPr>
        <w:jc w:val="both"/>
        <w:rPr>
          <w:rFonts w:ascii="Arial" w:hAnsi="Arial" w:cs="Arial"/>
          <w:sz w:val="20"/>
        </w:rPr>
      </w:pPr>
    </w:p>
    <w:p w14:paraId="714D728B" w14:textId="77777777" w:rsidR="00276528" w:rsidRDefault="00276528" w:rsidP="00276528">
      <w:pPr>
        <w:jc w:val="both"/>
        <w:rPr>
          <w:rFonts w:ascii="Arial" w:hAnsi="Arial" w:cs="Arial"/>
          <w:sz w:val="20"/>
        </w:rPr>
      </w:pPr>
      <w:r>
        <w:rPr>
          <w:rFonts w:ascii="Arial" w:hAnsi="Arial" w:cs="Arial"/>
          <w:sz w:val="20"/>
        </w:rPr>
        <w:t>Once a parent has achieved significant progress in his/her recovery, the FDTC team will work with that parent to prepare for incremental reunification of the children with the parent.  Parents fully graduate from the program once unconditional reunification of the family has been achieved.  This process is generally expected to take approximately 12 months.</w:t>
      </w:r>
    </w:p>
    <w:p w14:paraId="43302CB7" w14:textId="77777777" w:rsidR="00276528" w:rsidRDefault="00276528" w:rsidP="00276528">
      <w:pPr>
        <w:jc w:val="both"/>
        <w:rPr>
          <w:rFonts w:ascii="Arial" w:hAnsi="Arial" w:cs="Arial"/>
          <w:sz w:val="20"/>
        </w:rPr>
      </w:pPr>
    </w:p>
    <w:p w14:paraId="2A3049D0" w14:textId="77777777" w:rsidR="00276528" w:rsidRDefault="00276528" w:rsidP="00276528">
      <w:pPr>
        <w:jc w:val="both"/>
        <w:rPr>
          <w:rFonts w:ascii="Arial" w:hAnsi="Arial" w:cs="Arial"/>
          <w:sz w:val="20"/>
        </w:rPr>
      </w:pPr>
      <w:r>
        <w:rPr>
          <w:rFonts w:ascii="Arial" w:hAnsi="Arial" w:cs="Arial"/>
          <w:sz w:val="20"/>
        </w:rPr>
        <w:t>Parents who are unable to achieve unconditional family reunification at the end of their involvement in the FDTC program may have their children placed permanently in out of home care and any further court involvement with the family’s case will be heard in the mainstream Family Division of the Children’s Court.</w:t>
      </w:r>
    </w:p>
    <w:p w14:paraId="198C8888" w14:textId="77777777" w:rsidR="00276528" w:rsidRDefault="00276528" w:rsidP="00276528">
      <w:pPr>
        <w:jc w:val="both"/>
        <w:rPr>
          <w:rFonts w:ascii="Arial" w:hAnsi="Arial" w:cs="Arial"/>
          <w:sz w:val="20"/>
        </w:rPr>
      </w:pPr>
    </w:p>
    <w:p w14:paraId="3F5E8653" w14:textId="77777777" w:rsidR="003D782E" w:rsidRDefault="003D782E" w:rsidP="00276528">
      <w:pPr>
        <w:jc w:val="both"/>
        <w:rPr>
          <w:rFonts w:ascii="Arial" w:hAnsi="Arial" w:cs="Arial"/>
          <w:sz w:val="20"/>
        </w:rPr>
      </w:pPr>
      <w:r>
        <w:rPr>
          <w:rFonts w:ascii="Arial" w:hAnsi="Arial" w:cs="Arial"/>
          <w:sz w:val="20"/>
        </w:rPr>
        <w:t>In 2019 the FDTC received the Robin Clark ‘Making a Difference’ award at the Victorian Protecting Children Awards ceremony.  The award recognises an individual, team or group within the child and family service sector that has made an exceptional contribution to directly improve the lives of children, young people and families in Victoria.  It is the first time this kind of award has been conferred on a court-based program.</w:t>
      </w:r>
    </w:p>
    <w:p w14:paraId="2853EB7B" w14:textId="77777777" w:rsidR="003D782E" w:rsidRDefault="003D782E" w:rsidP="00276528">
      <w:pPr>
        <w:jc w:val="both"/>
        <w:rPr>
          <w:rFonts w:ascii="Arial" w:hAnsi="Arial" w:cs="Arial"/>
          <w:sz w:val="20"/>
        </w:rPr>
      </w:pPr>
    </w:p>
    <w:p w14:paraId="367D928B" w14:textId="77777777" w:rsidR="00EE0D10" w:rsidRDefault="00EE0D10" w:rsidP="00EE0D10">
      <w:pPr>
        <w:jc w:val="both"/>
        <w:rPr>
          <w:rFonts w:ascii="Arial" w:hAnsi="Arial" w:cs="Arial"/>
          <w:sz w:val="20"/>
        </w:rPr>
      </w:pPr>
      <w:r>
        <w:rPr>
          <w:rFonts w:ascii="Arial" w:hAnsi="Arial" w:cs="Arial"/>
          <w:sz w:val="20"/>
        </w:rPr>
        <w:t xml:space="preserve">Magistrate Greg Levine OAM was the first head of the FDTC.  </w:t>
      </w:r>
      <w:r w:rsidR="00D21BA4">
        <w:rPr>
          <w:rFonts w:ascii="Arial" w:hAnsi="Arial" w:cs="Arial"/>
          <w:sz w:val="20"/>
        </w:rPr>
        <w:t>In April 2015 he</w:t>
      </w:r>
      <w:r>
        <w:rPr>
          <w:rFonts w:ascii="Arial" w:hAnsi="Arial" w:cs="Arial"/>
          <w:sz w:val="20"/>
        </w:rPr>
        <w:t xml:space="preserve"> reached mandatory retiring age – although he has been reappointed as a Reserve Magistrate – and Magistrate Kay Macpherson </w:t>
      </w:r>
      <w:r w:rsidR="009E418F">
        <w:rPr>
          <w:rFonts w:ascii="Arial" w:hAnsi="Arial" w:cs="Arial"/>
          <w:sz w:val="20"/>
        </w:rPr>
        <w:t>is now</w:t>
      </w:r>
      <w:r>
        <w:rPr>
          <w:rFonts w:ascii="Arial" w:hAnsi="Arial" w:cs="Arial"/>
          <w:sz w:val="20"/>
        </w:rPr>
        <w:t xml:space="preserve"> head of the FDTC in his place.  The FDTC operates only in respect of cases involving </w:t>
      </w:r>
      <w:r w:rsidR="00785D2D">
        <w:rPr>
          <w:rFonts w:ascii="Arial" w:hAnsi="Arial" w:cs="Arial"/>
          <w:sz w:val="20"/>
        </w:rPr>
        <w:t>DFFH</w:t>
      </w:r>
      <w:r>
        <w:rPr>
          <w:rFonts w:ascii="Arial" w:hAnsi="Arial" w:cs="Arial"/>
          <w:sz w:val="20"/>
        </w:rPr>
        <w:t>’</w:t>
      </w:r>
      <w:r w:rsidR="003D782E">
        <w:rPr>
          <w:rFonts w:ascii="Arial" w:hAnsi="Arial" w:cs="Arial"/>
          <w:sz w:val="20"/>
        </w:rPr>
        <w:t>s</w:t>
      </w:r>
      <w:r>
        <w:rPr>
          <w:rFonts w:ascii="Arial" w:hAnsi="Arial" w:cs="Arial"/>
          <w:sz w:val="20"/>
        </w:rPr>
        <w:t xml:space="preserve"> Preston </w:t>
      </w:r>
      <w:r w:rsidR="00D24154">
        <w:rPr>
          <w:rFonts w:ascii="Arial" w:hAnsi="Arial" w:cs="Arial"/>
          <w:sz w:val="20"/>
        </w:rPr>
        <w:t xml:space="preserve">&amp; Shepparton </w:t>
      </w:r>
      <w:r>
        <w:rPr>
          <w:rFonts w:ascii="Arial" w:hAnsi="Arial" w:cs="Arial"/>
          <w:sz w:val="20"/>
        </w:rPr>
        <w:t>office</w:t>
      </w:r>
      <w:r w:rsidR="00D24154">
        <w:rPr>
          <w:rFonts w:ascii="Arial" w:hAnsi="Arial" w:cs="Arial"/>
          <w:sz w:val="20"/>
        </w:rPr>
        <w:t>s</w:t>
      </w:r>
      <w:r>
        <w:rPr>
          <w:rFonts w:ascii="Arial" w:hAnsi="Arial" w:cs="Arial"/>
          <w:sz w:val="20"/>
        </w:rPr>
        <w:t>.</w:t>
      </w:r>
      <w:r w:rsidR="009E418F">
        <w:rPr>
          <w:rFonts w:ascii="Arial" w:hAnsi="Arial" w:cs="Arial"/>
          <w:sz w:val="20"/>
        </w:rPr>
        <w:t xml:space="preserve">  It originally sat in Melbourne but since November 2015 it has sat at the new Broadmeadows Children’s Court.</w:t>
      </w:r>
      <w:r w:rsidR="00D24154">
        <w:rPr>
          <w:rFonts w:ascii="Arial" w:hAnsi="Arial" w:cs="Arial"/>
          <w:sz w:val="20"/>
        </w:rPr>
        <w:t xml:space="preserve">  </w:t>
      </w:r>
      <w:r w:rsidR="003D782E">
        <w:rPr>
          <w:rFonts w:ascii="Arial" w:hAnsi="Arial" w:cs="Arial"/>
          <w:sz w:val="20"/>
        </w:rPr>
        <w:t xml:space="preserve">It now also sits </w:t>
      </w:r>
      <w:r w:rsidR="00D24154">
        <w:rPr>
          <w:rFonts w:ascii="Arial" w:hAnsi="Arial" w:cs="Arial"/>
          <w:sz w:val="20"/>
        </w:rPr>
        <w:t>at Shepparton Children’s Court.</w:t>
      </w:r>
    </w:p>
    <w:p w14:paraId="0A6BB591" w14:textId="77777777" w:rsidR="00B22DF4" w:rsidRDefault="00B22DF4" w:rsidP="00B22DF4">
      <w:pPr>
        <w:rPr>
          <w:rFonts w:ascii="Arial" w:hAnsi="Arial" w:cs="Arial"/>
          <w:sz w:val="16"/>
        </w:rPr>
      </w:pPr>
    </w:p>
    <w:p w14:paraId="612131B3" w14:textId="77777777" w:rsidR="00D24154" w:rsidRDefault="00D24154" w:rsidP="00B22DF4">
      <w:pPr>
        <w:rPr>
          <w:rFonts w:ascii="Arial" w:hAnsi="Arial" w:cs="Arial"/>
          <w:sz w:val="20"/>
          <w:szCs w:val="32"/>
        </w:rPr>
      </w:pPr>
      <w:r w:rsidRPr="00D24154">
        <w:rPr>
          <w:rFonts w:ascii="Arial" w:hAnsi="Arial" w:cs="Arial"/>
          <w:sz w:val="20"/>
          <w:szCs w:val="32"/>
        </w:rPr>
        <w:t xml:space="preserve">In the Children’s Court of Victoria 2018/19 Annual Report the </w:t>
      </w:r>
      <w:r>
        <w:rPr>
          <w:rFonts w:ascii="Arial" w:hAnsi="Arial" w:cs="Arial"/>
          <w:sz w:val="20"/>
          <w:szCs w:val="32"/>
        </w:rPr>
        <w:t>following information is provided about the FDTC:</w:t>
      </w:r>
    </w:p>
    <w:p w14:paraId="517C7871" w14:textId="77777777" w:rsidR="00D24154" w:rsidRPr="00D24154" w:rsidRDefault="00D24154" w:rsidP="00D24154">
      <w:pPr>
        <w:spacing w:before="60"/>
        <w:ind w:left="567" w:right="567"/>
        <w:jc w:val="both"/>
        <w:rPr>
          <w:rFonts w:ascii="Arial" w:hAnsi="Arial" w:cs="Arial"/>
          <w:sz w:val="20"/>
          <w:szCs w:val="32"/>
        </w:rPr>
      </w:pPr>
      <w:r>
        <w:rPr>
          <w:rFonts w:ascii="Arial" w:hAnsi="Arial" w:cs="Arial"/>
          <w:sz w:val="20"/>
          <w:szCs w:val="32"/>
        </w:rPr>
        <w:t>“Throughout 2018-19, the FDTC program received 65 referrals and worked with 56 parents of 85 children across Broadmeadows and Shepparton.  It is too early into the program for meaningful outcome data from Shepparton but in the 2018-19 period 52% of the parents on the program achieved reunification with their children.  A total of 80% of program participants who maintained engagement for at least 9 months of the 12 month program have achieved reunification with their children.”</w:t>
      </w:r>
    </w:p>
    <w:p w14:paraId="2F256DC7" w14:textId="77777777" w:rsidR="003D782E" w:rsidRDefault="003D782E" w:rsidP="003D782E">
      <w:pPr>
        <w:rPr>
          <w:rFonts w:ascii="Arial" w:hAnsi="Arial" w:cs="Arial"/>
          <w:sz w:val="16"/>
        </w:rPr>
      </w:pPr>
    </w:p>
    <w:p w14:paraId="49F14641" w14:textId="77777777" w:rsidR="003D782E" w:rsidRDefault="003D782E" w:rsidP="003D782E">
      <w:pPr>
        <w:rPr>
          <w:rFonts w:ascii="Arial" w:hAnsi="Arial" w:cs="Arial"/>
          <w:sz w:val="20"/>
          <w:szCs w:val="32"/>
        </w:rPr>
      </w:pPr>
      <w:r w:rsidRPr="00D24154">
        <w:rPr>
          <w:rFonts w:ascii="Arial" w:hAnsi="Arial" w:cs="Arial"/>
          <w:sz w:val="20"/>
          <w:szCs w:val="32"/>
        </w:rPr>
        <w:t>In the Children’s Court of Victoria 201</w:t>
      </w:r>
      <w:r>
        <w:rPr>
          <w:rFonts w:ascii="Arial" w:hAnsi="Arial" w:cs="Arial"/>
          <w:sz w:val="20"/>
          <w:szCs w:val="32"/>
        </w:rPr>
        <w:t>9</w:t>
      </w:r>
      <w:r w:rsidRPr="00D24154">
        <w:rPr>
          <w:rFonts w:ascii="Arial" w:hAnsi="Arial" w:cs="Arial"/>
          <w:sz w:val="20"/>
          <w:szCs w:val="32"/>
        </w:rPr>
        <w:t>/</w:t>
      </w:r>
      <w:r>
        <w:rPr>
          <w:rFonts w:ascii="Arial" w:hAnsi="Arial" w:cs="Arial"/>
          <w:sz w:val="20"/>
          <w:szCs w:val="32"/>
        </w:rPr>
        <w:t>20</w:t>
      </w:r>
      <w:r w:rsidRPr="00D24154">
        <w:rPr>
          <w:rFonts w:ascii="Arial" w:hAnsi="Arial" w:cs="Arial"/>
          <w:sz w:val="20"/>
          <w:szCs w:val="32"/>
        </w:rPr>
        <w:t xml:space="preserve"> Annual Report the </w:t>
      </w:r>
      <w:r>
        <w:rPr>
          <w:rFonts w:ascii="Arial" w:hAnsi="Arial" w:cs="Arial"/>
          <w:sz w:val="20"/>
          <w:szCs w:val="32"/>
        </w:rPr>
        <w:t>following information is provided about the FDTC:</w:t>
      </w:r>
    </w:p>
    <w:p w14:paraId="48211915" w14:textId="77777777" w:rsidR="003D782E" w:rsidRDefault="003D782E" w:rsidP="003D782E">
      <w:pPr>
        <w:spacing w:before="60"/>
        <w:ind w:left="567" w:right="567"/>
        <w:jc w:val="both"/>
        <w:rPr>
          <w:rFonts w:ascii="Arial" w:hAnsi="Arial" w:cs="Arial"/>
          <w:sz w:val="20"/>
          <w:szCs w:val="32"/>
        </w:rPr>
      </w:pPr>
      <w:r>
        <w:rPr>
          <w:rFonts w:ascii="Arial" w:hAnsi="Arial" w:cs="Arial"/>
          <w:sz w:val="20"/>
          <w:szCs w:val="32"/>
        </w:rPr>
        <w:t>“</w:t>
      </w:r>
      <w:r w:rsidR="00026072">
        <w:rPr>
          <w:rFonts w:ascii="Arial" w:hAnsi="Arial" w:cs="Arial"/>
          <w:sz w:val="20"/>
          <w:szCs w:val="32"/>
        </w:rPr>
        <w:t xml:space="preserve">During the reporting period, the </w:t>
      </w:r>
      <w:r>
        <w:rPr>
          <w:rFonts w:ascii="Arial" w:hAnsi="Arial" w:cs="Arial"/>
          <w:sz w:val="20"/>
          <w:szCs w:val="32"/>
        </w:rPr>
        <w:t xml:space="preserve">FDTC </w:t>
      </w:r>
      <w:r w:rsidR="00026072">
        <w:rPr>
          <w:rFonts w:ascii="Arial" w:hAnsi="Arial" w:cs="Arial"/>
          <w:sz w:val="20"/>
          <w:szCs w:val="32"/>
        </w:rPr>
        <w:t>program received referrals for 62 parents of 118 children across both the Broadmeadows and Shepparton program locations, leading to the induction into the program of 30 parents of 59 children.  Of the total number of FDTC participants (inclusive of those inducted prior to the commencement of the 2019-20 year) 57% achieved reunification with their children.  There is a notable difference in the reunification rate between participants in Broadmeadows (71% reunification rate) and Shepparton (36%).  The reunification gap can be attributed to the Broadmeadows FDTC program being delivered within a specialist Children’s Court context, whereas the Shepparton FDTC program operates with more limited capacity.</w:t>
      </w:r>
    </w:p>
    <w:p w14:paraId="38CC22EE" w14:textId="77777777" w:rsidR="00026072" w:rsidRPr="00D24154" w:rsidRDefault="00026072" w:rsidP="003D782E">
      <w:pPr>
        <w:spacing w:before="60"/>
        <w:ind w:left="567" w:right="567"/>
        <w:jc w:val="both"/>
        <w:rPr>
          <w:rFonts w:ascii="Arial" w:hAnsi="Arial" w:cs="Arial"/>
          <w:sz w:val="20"/>
          <w:szCs w:val="32"/>
        </w:rPr>
      </w:pPr>
      <w:r>
        <w:rPr>
          <w:rFonts w:ascii="Arial" w:hAnsi="Arial" w:cs="Arial"/>
          <w:sz w:val="20"/>
          <w:szCs w:val="32"/>
        </w:rPr>
        <w:t>Since the FDTC program moved online from March 2020, limited access to technology, and generally poorer internet connectivity compared with metropolitan Melbourne may also have reduced program efficacy in Shepparton.”</w:t>
      </w:r>
    </w:p>
    <w:p w14:paraId="0A64D84F" w14:textId="77777777" w:rsidR="002520EE" w:rsidRDefault="002520EE" w:rsidP="002520EE">
      <w:pPr>
        <w:rPr>
          <w:rFonts w:ascii="Arial" w:hAnsi="Arial" w:cs="Arial"/>
          <w:sz w:val="16"/>
        </w:rPr>
      </w:pPr>
    </w:p>
    <w:p w14:paraId="59CB0BFD" w14:textId="77777777" w:rsidR="002520EE" w:rsidRDefault="002520EE" w:rsidP="002520EE">
      <w:pPr>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20</w:t>
      </w:r>
      <w:r w:rsidRPr="00D24154">
        <w:rPr>
          <w:rFonts w:ascii="Arial" w:hAnsi="Arial" w:cs="Arial"/>
          <w:sz w:val="20"/>
          <w:szCs w:val="32"/>
        </w:rPr>
        <w:t>/</w:t>
      </w:r>
      <w:r>
        <w:rPr>
          <w:rFonts w:ascii="Arial" w:hAnsi="Arial" w:cs="Arial"/>
          <w:sz w:val="20"/>
          <w:szCs w:val="32"/>
        </w:rPr>
        <w:t>21</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5D97D914" w14:textId="77777777" w:rsidR="002520EE" w:rsidRDefault="002520EE" w:rsidP="002520EE">
      <w:pPr>
        <w:spacing w:before="60"/>
        <w:ind w:left="567" w:right="567"/>
        <w:jc w:val="both"/>
        <w:rPr>
          <w:rFonts w:ascii="Arial" w:hAnsi="Arial" w:cs="Arial"/>
          <w:sz w:val="20"/>
          <w:szCs w:val="32"/>
        </w:rPr>
      </w:pPr>
      <w:r>
        <w:rPr>
          <w:rFonts w:ascii="Arial" w:hAnsi="Arial" w:cs="Arial"/>
          <w:sz w:val="20"/>
          <w:szCs w:val="32"/>
        </w:rPr>
        <w:t xml:space="preserve">“Despite the challenges of online operations in response to COVID-19, the FDTC has continued to achieve great success in assisting participants to achieve a level of recovery that has enhanced rates of sustainable reunification of parents to children.  Inductions into the FDTC grew over the reporting period with 19 parents </w:t>
      </w:r>
      <w:r>
        <w:rPr>
          <w:rFonts w:ascii="Arial" w:hAnsi="Arial" w:cs="Arial"/>
          <w:sz w:val="20"/>
          <w:szCs w:val="32"/>
        </w:rPr>
        <w:lastRenderedPageBreak/>
        <w:t>of 38 children inducted at Broadmeadows and 17 parents of 34 children inducted at Shepparton.</w:t>
      </w:r>
    </w:p>
    <w:p w14:paraId="256FAAE2" w14:textId="77777777" w:rsidR="002520EE" w:rsidRDefault="001E0C00" w:rsidP="002520EE">
      <w:pPr>
        <w:spacing w:before="60"/>
        <w:ind w:left="567" w:right="567"/>
        <w:jc w:val="both"/>
        <w:rPr>
          <w:rFonts w:ascii="Arial" w:hAnsi="Arial" w:cs="Arial"/>
          <w:sz w:val="20"/>
          <w:szCs w:val="32"/>
        </w:rPr>
      </w:pPr>
      <w:r>
        <w:rPr>
          <w:rFonts w:ascii="Arial" w:hAnsi="Arial" w:cs="Arial"/>
          <w:sz w:val="20"/>
          <w:szCs w:val="32"/>
        </w:rPr>
        <w:t>Reunification rates amongst FDTC participants continue to exceed the rate of reunification for children removed from parental care due to drug and alcohol use whose cases are heard in mainstream courts (estimated at 43% through a matched sample).  Reunification rates increase significantly the longer parents engage with the FDTC program, with 59% of participants who engaged for over 6 months achieving reunification in the reporting period.”</w:t>
      </w:r>
    </w:p>
    <w:p w14:paraId="47FB790B" w14:textId="77777777" w:rsidR="00D74C22" w:rsidRDefault="00D74C22" w:rsidP="00D74C22">
      <w:pPr>
        <w:jc w:val="both"/>
        <w:rPr>
          <w:rFonts w:ascii="Arial" w:hAnsi="Arial" w:cs="Arial"/>
          <w:b/>
          <w:bCs/>
          <w:sz w:val="20"/>
        </w:rPr>
      </w:pPr>
    </w:p>
    <w:p w14:paraId="155F65C7" w14:textId="77777777" w:rsidR="00D74C22" w:rsidRDefault="00D74C22" w:rsidP="00D74C22">
      <w:pPr>
        <w:jc w:val="center"/>
        <w:rPr>
          <w:rFonts w:ascii="Arial" w:hAnsi="Arial" w:cs="Arial"/>
          <w:b/>
          <w:bCs/>
          <w:sz w:val="20"/>
        </w:rPr>
      </w:pPr>
      <w:r w:rsidRPr="00C04B2D">
        <w:rPr>
          <w:rFonts w:ascii="Arial" w:hAnsi="Arial" w:cs="Arial"/>
          <w:b/>
          <w:bCs/>
          <w:sz w:val="20"/>
        </w:rPr>
        <w:t>THE REST OF THIS PAGE IS BLANK</w:t>
      </w:r>
    </w:p>
    <w:p w14:paraId="07D0416A" w14:textId="77777777" w:rsidR="00D74C22" w:rsidRPr="00C04B2D" w:rsidRDefault="00D74C22" w:rsidP="00D74C22">
      <w:pPr>
        <w:jc w:val="both"/>
        <w:rPr>
          <w:rFonts w:ascii="Arial" w:hAnsi="Arial" w:cs="Arial"/>
          <w:b/>
          <w:bCs/>
          <w:sz w:val="20"/>
        </w:rPr>
      </w:pPr>
    </w:p>
    <w:p w14:paraId="5B6A22DF" w14:textId="77777777" w:rsidR="003D782E" w:rsidRDefault="00D74C22" w:rsidP="00D74C22">
      <w:pPr>
        <w:rPr>
          <w:rFonts w:ascii="Arial" w:hAnsi="Arial" w:cs="Arial"/>
          <w:sz w:val="16"/>
        </w:rPr>
      </w:pPr>
      <w:r>
        <w:rPr>
          <w:rFonts w:ascii="Arial" w:hAnsi="Arial" w:cs="Arial"/>
          <w:b/>
          <w:bCs/>
          <w:color w:val="000000"/>
        </w:rPr>
        <w:br w:type="page"/>
      </w:r>
    </w:p>
    <w:p w14:paraId="11C8BB07" w14:textId="77777777" w:rsidR="00B22DF4" w:rsidRDefault="00B22DF4" w:rsidP="00B22DF4">
      <w:pPr>
        <w:pStyle w:val="Heading2"/>
        <w:keepNext/>
        <w:keepLines/>
        <w:tabs>
          <w:tab w:val="left" w:pos="567"/>
        </w:tabs>
        <w:spacing w:line="240" w:lineRule="auto"/>
        <w:rPr>
          <w:rFonts w:ascii="Arial" w:hAnsi="Arial" w:cs="Arial"/>
          <w:b/>
          <w:bCs/>
        </w:rPr>
      </w:pPr>
      <w:bookmarkStart w:id="1698" w:name="_4.18_Some_other"/>
      <w:bookmarkStart w:id="1699" w:name="B418"/>
      <w:bookmarkEnd w:id="1698"/>
      <w:bookmarkEnd w:id="1699"/>
      <w:r>
        <w:rPr>
          <w:rFonts w:ascii="Arial" w:hAnsi="Arial" w:cs="Arial"/>
          <w:b/>
          <w:bCs/>
        </w:rPr>
        <w:lastRenderedPageBreak/>
        <w:t>4.1</w:t>
      </w:r>
      <w:r>
        <w:rPr>
          <w:rFonts w:ascii="Arial" w:hAnsi="Arial" w:cs="Arial"/>
          <w:b/>
          <w:bCs/>
          <w:color w:val="000000"/>
        </w:rPr>
        <w:t>8</w:t>
      </w:r>
      <w:r>
        <w:rPr>
          <w:rFonts w:ascii="Arial" w:hAnsi="Arial" w:cs="Arial"/>
          <w:b/>
          <w:bCs/>
        </w:rPr>
        <w:tab/>
        <w:t>Some other relevant papers</w:t>
      </w:r>
    </w:p>
    <w:p w14:paraId="5CBBB23D" w14:textId="77777777" w:rsidR="00B22DF4" w:rsidRDefault="00B22DF4" w:rsidP="00D24154">
      <w:pPr>
        <w:keepNext/>
        <w:keepLines/>
        <w:rPr>
          <w:rFonts w:ascii="Arial" w:hAnsi="Arial" w:cs="Arial"/>
          <w:sz w:val="16"/>
        </w:rPr>
      </w:pPr>
    </w:p>
    <w:p w14:paraId="27B1BEEE" w14:textId="626C51CE" w:rsidR="0048723F" w:rsidRPr="0048723F" w:rsidRDefault="0048723F" w:rsidP="00D74C22">
      <w:pPr>
        <w:pStyle w:val="Heading2"/>
        <w:widowControl/>
        <w:shd w:val="clear" w:color="auto" w:fill="000000"/>
        <w:tabs>
          <w:tab w:val="left" w:pos="567"/>
        </w:tabs>
        <w:spacing w:line="240" w:lineRule="auto"/>
        <w:rPr>
          <w:rFonts w:ascii="Arial" w:hAnsi="Arial" w:cs="Arial"/>
          <w:b/>
          <w:bCs/>
          <w:color w:val="FFFFFF"/>
          <w:sz w:val="22"/>
          <w:szCs w:val="18"/>
        </w:rPr>
      </w:pPr>
      <w:r w:rsidRPr="0048723F">
        <w:rPr>
          <w:rFonts w:ascii="Arial" w:hAnsi="Arial" w:cs="Arial"/>
          <w:b/>
          <w:bCs/>
          <w:color w:val="FFFFFF"/>
          <w:sz w:val="22"/>
          <w:szCs w:val="18"/>
        </w:rPr>
        <w:t xml:space="preserve">THE AUTHOR OF THESE RESEARCH MATERIALS HAS CONSIDERED DELETING THIS </w:t>
      </w:r>
      <w:r w:rsidR="00855531">
        <w:rPr>
          <w:rFonts w:ascii="Arial" w:hAnsi="Arial" w:cs="Arial"/>
          <w:b/>
          <w:bCs/>
          <w:color w:val="FFFFFF"/>
          <w:sz w:val="22"/>
          <w:szCs w:val="18"/>
        </w:rPr>
        <w:t>PART</w:t>
      </w:r>
      <w:r w:rsidRPr="0048723F">
        <w:rPr>
          <w:rFonts w:ascii="Arial" w:hAnsi="Arial" w:cs="Arial"/>
          <w:b/>
          <w:bCs/>
          <w:color w:val="FFFFFF"/>
          <w:sz w:val="22"/>
          <w:szCs w:val="18"/>
        </w:rPr>
        <w:t xml:space="preserve"> FROM CHAPTER </w:t>
      </w:r>
      <w:r>
        <w:rPr>
          <w:rFonts w:ascii="Arial" w:hAnsi="Arial" w:cs="Arial"/>
          <w:b/>
          <w:bCs/>
          <w:color w:val="FFFFFF"/>
          <w:sz w:val="22"/>
          <w:szCs w:val="18"/>
        </w:rPr>
        <w:t>4</w:t>
      </w:r>
      <w:r w:rsidRPr="0048723F">
        <w:rPr>
          <w:rFonts w:ascii="Arial" w:hAnsi="Arial" w:cs="Arial"/>
          <w:b/>
          <w:bCs/>
          <w:color w:val="FFFFFF"/>
          <w:sz w:val="22"/>
          <w:szCs w:val="18"/>
        </w:rPr>
        <w:t xml:space="preserve"> BECAUSE THE PAPERS REFERRED TO ARE NOW QUITE OLD AND MAY NO LONGER BE AVAILABLE FOR PERUSAL.  HOWEVER, THE AUTHOR HAS DECIDED TO LEAVE THE </w:t>
      </w:r>
      <w:r w:rsidR="00855531">
        <w:rPr>
          <w:rFonts w:ascii="Arial" w:hAnsi="Arial" w:cs="Arial"/>
          <w:b/>
          <w:bCs/>
          <w:color w:val="FFFFFF"/>
          <w:sz w:val="22"/>
          <w:szCs w:val="18"/>
        </w:rPr>
        <w:t>PART</w:t>
      </w:r>
      <w:r w:rsidRPr="0048723F">
        <w:rPr>
          <w:rFonts w:ascii="Arial" w:hAnsi="Arial" w:cs="Arial"/>
          <w:b/>
          <w:bCs/>
          <w:color w:val="FFFFFF"/>
          <w:sz w:val="22"/>
          <w:szCs w:val="18"/>
        </w:rPr>
        <w:t xml:space="preserve"> FOR THE TIME BEING IN CASE IT REMAINS A USEFUL RESOURCE FOR ANY READER.</w:t>
      </w:r>
    </w:p>
    <w:p w14:paraId="68F67219" w14:textId="77777777" w:rsidR="00693223" w:rsidRDefault="00693223">
      <w:pPr>
        <w:rPr>
          <w:rFonts w:ascii="Arial" w:hAnsi="Arial" w:cs="Arial"/>
          <w:sz w:val="20"/>
        </w:rPr>
      </w:pPr>
    </w:p>
    <w:p w14:paraId="5184076A" w14:textId="77777777" w:rsidR="00693223" w:rsidRDefault="00693223" w:rsidP="00E75912">
      <w:pPr>
        <w:keepNext/>
        <w:keepLines/>
        <w:ind w:left="720" w:hanging="720"/>
        <w:jc w:val="both"/>
        <w:rPr>
          <w:rFonts w:ascii="Arial" w:hAnsi="Arial" w:cs="Arial"/>
          <w:b/>
          <w:bCs/>
          <w:sz w:val="28"/>
          <w:bdr w:val="single" w:sz="4" w:space="0" w:color="auto"/>
        </w:rPr>
      </w:pPr>
      <w:r>
        <w:rPr>
          <w:rFonts w:ascii="Arial" w:hAnsi="Arial" w:cs="Arial"/>
          <w:b/>
          <w:bCs/>
          <w:sz w:val="28"/>
        </w:rPr>
        <w:t>F1</w:t>
      </w:r>
    </w:p>
    <w:p w14:paraId="511D61A5" w14:textId="77777777" w:rsidR="00693223" w:rsidRDefault="00693223" w:rsidP="002C17CA">
      <w:pPr>
        <w:jc w:val="both"/>
        <w:rPr>
          <w:rFonts w:ascii="Arial" w:hAnsi="Arial" w:cs="Arial"/>
          <w:b/>
          <w:bCs/>
          <w:sz w:val="32"/>
        </w:rPr>
      </w:pPr>
      <w:r>
        <w:rPr>
          <w:rFonts w:ascii="Arial" w:hAnsi="Arial" w:cs="Arial"/>
          <w:b/>
          <w:bCs/>
        </w:rPr>
        <w:t>Are Children of Young Mothers Disadvantaged Because of Their Mother's Age or Family Background?</w:t>
      </w:r>
    </w:p>
    <w:p w14:paraId="6F37E59C" w14:textId="77777777" w:rsidR="00693223" w:rsidRDefault="00693223" w:rsidP="002C17CA">
      <w:pPr>
        <w:jc w:val="both"/>
        <w:rPr>
          <w:rFonts w:ascii="Arial" w:hAnsi="Arial" w:cs="Arial"/>
          <w:sz w:val="20"/>
        </w:rPr>
      </w:pPr>
      <w:r>
        <w:rPr>
          <w:rFonts w:ascii="Arial" w:hAnsi="Arial" w:cs="Arial"/>
          <w:sz w:val="20"/>
        </w:rPr>
        <w:t>Ruth N. López Turley</w:t>
      </w:r>
    </w:p>
    <w:p w14:paraId="4E707660" w14:textId="77777777" w:rsidR="00693223" w:rsidRDefault="00693223" w:rsidP="002C17CA">
      <w:pPr>
        <w:jc w:val="both"/>
        <w:rPr>
          <w:rFonts w:ascii="Arial" w:hAnsi="Arial" w:cs="Arial"/>
          <w:sz w:val="20"/>
        </w:rPr>
      </w:pPr>
      <w:r>
        <w:rPr>
          <w:rFonts w:ascii="Arial" w:hAnsi="Arial" w:cs="Arial"/>
          <w:i/>
          <w:iCs/>
          <w:sz w:val="20"/>
        </w:rPr>
        <w:t>Child Development, March/April 2003, Volume 74, Number 2,</w:t>
      </w:r>
      <w:r>
        <w:rPr>
          <w:rFonts w:ascii="Arial" w:hAnsi="Arial" w:cs="Arial"/>
          <w:sz w:val="20"/>
        </w:rPr>
        <w:t xml:space="preserve"> Pages 465-474</w:t>
      </w:r>
    </w:p>
    <w:p w14:paraId="4B7A1F82" w14:textId="77777777" w:rsidR="00693223" w:rsidRDefault="00693223" w:rsidP="002C17CA">
      <w:pPr>
        <w:spacing w:before="120"/>
        <w:jc w:val="both"/>
        <w:rPr>
          <w:rFonts w:ascii="Arial" w:hAnsi="Arial" w:cs="Arial"/>
          <w:sz w:val="20"/>
        </w:rPr>
      </w:pPr>
      <w:r>
        <w:rPr>
          <w:rFonts w:ascii="Arial" w:hAnsi="Arial" w:cs="Arial"/>
          <w:sz w:val="20"/>
        </w:rPr>
        <w:t xml:space="preserve">Using a national sample of children 3 to 16 years old, this study found that the lower test scores and increased behaviour problems of children born to younger mothers are not due to her age but to her family background.  First, for non-firstborn children, maternal age at first birth has a significant effect on test scores, whereas maternal age at the child's birth does not.  Second, this study replicated a controversial study by </w:t>
      </w:r>
      <w:proofErr w:type="spellStart"/>
      <w:r>
        <w:rPr>
          <w:rFonts w:ascii="Arial" w:hAnsi="Arial" w:cs="Arial"/>
          <w:sz w:val="20"/>
        </w:rPr>
        <w:t>Geronimus</w:t>
      </w:r>
      <w:proofErr w:type="spellEnd"/>
      <w:r>
        <w:rPr>
          <w:rFonts w:ascii="Arial" w:hAnsi="Arial" w:cs="Arial"/>
          <w:sz w:val="20"/>
        </w:rPr>
        <w:t xml:space="preserve">, </w:t>
      </w:r>
      <w:proofErr w:type="spellStart"/>
      <w:r>
        <w:rPr>
          <w:rFonts w:ascii="Arial" w:hAnsi="Arial" w:cs="Arial"/>
          <w:sz w:val="20"/>
        </w:rPr>
        <w:t>Korenmann</w:t>
      </w:r>
      <w:proofErr w:type="spellEnd"/>
      <w:r>
        <w:rPr>
          <w:rFonts w:ascii="Arial" w:hAnsi="Arial" w:cs="Arial"/>
          <w:sz w:val="20"/>
        </w:rPr>
        <w:t xml:space="preserve"> and </w:t>
      </w:r>
      <w:proofErr w:type="spellStart"/>
      <w:r>
        <w:rPr>
          <w:rFonts w:ascii="Arial" w:hAnsi="Arial" w:cs="Arial"/>
          <w:sz w:val="20"/>
        </w:rPr>
        <w:t>Hillemeier</w:t>
      </w:r>
      <w:proofErr w:type="spellEnd"/>
      <w:r>
        <w:rPr>
          <w:rFonts w:ascii="Arial" w:hAnsi="Arial" w:cs="Arial"/>
          <w:sz w:val="20"/>
        </w:rPr>
        <w:t xml:space="preserve"> (1994) and found that the disadvantage of children born to younger mothers is greatly reduced when maternal family background is controlled through a comparison of children born to sisters.  Third, maternal age is not an important predictor of children's test score rates of improvement over time.  This evidence suggests that maternal age is not causal.</w:t>
      </w:r>
    </w:p>
    <w:p w14:paraId="2717A7E1" w14:textId="77777777" w:rsidR="00693223" w:rsidRDefault="00693223">
      <w:pPr>
        <w:rPr>
          <w:rFonts w:ascii="Arial" w:hAnsi="Arial" w:cs="Arial"/>
          <w:sz w:val="20"/>
        </w:rPr>
      </w:pPr>
    </w:p>
    <w:p w14:paraId="51901A8F" w14:textId="77777777" w:rsidR="00693223" w:rsidRDefault="00693223" w:rsidP="001C645E">
      <w:pPr>
        <w:keepNext/>
        <w:keepLines/>
        <w:ind w:left="720" w:hanging="720"/>
        <w:jc w:val="both"/>
        <w:rPr>
          <w:rFonts w:ascii="Arial" w:hAnsi="Arial" w:cs="Arial"/>
          <w:b/>
          <w:bCs/>
          <w:sz w:val="28"/>
          <w:bdr w:val="single" w:sz="4" w:space="0" w:color="auto"/>
        </w:rPr>
      </w:pPr>
      <w:r>
        <w:rPr>
          <w:rFonts w:ascii="Arial" w:hAnsi="Arial" w:cs="Arial"/>
          <w:b/>
          <w:bCs/>
          <w:sz w:val="28"/>
        </w:rPr>
        <w:t>F2</w:t>
      </w:r>
    </w:p>
    <w:p w14:paraId="2057C627" w14:textId="77777777" w:rsidR="00693223" w:rsidRDefault="00693223" w:rsidP="00F927EC">
      <w:pPr>
        <w:keepNext/>
        <w:keepLines/>
        <w:jc w:val="both"/>
        <w:rPr>
          <w:rFonts w:ascii="Arial" w:hAnsi="Arial" w:cs="Arial"/>
          <w:b/>
          <w:bCs/>
          <w:sz w:val="32"/>
        </w:rPr>
      </w:pPr>
      <w:r>
        <w:rPr>
          <w:rFonts w:ascii="Arial" w:hAnsi="Arial" w:cs="Arial"/>
          <w:b/>
          <w:bCs/>
        </w:rPr>
        <w:t>Motherhood, intellectual disability and child protection: characteristics of a court sample</w:t>
      </w:r>
    </w:p>
    <w:p w14:paraId="625996B7" w14:textId="77777777" w:rsidR="00693223" w:rsidRDefault="00693223" w:rsidP="008A58C3">
      <w:pPr>
        <w:keepNext/>
        <w:keepLines/>
        <w:jc w:val="both"/>
        <w:rPr>
          <w:rFonts w:ascii="Arial" w:hAnsi="Arial" w:cs="Arial"/>
          <w:sz w:val="20"/>
        </w:rPr>
      </w:pPr>
      <w:r>
        <w:rPr>
          <w:rFonts w:ascii="Arial" w:hAnsi="Arial" w:cs="Arial"/>
          <w:sz w:val="20"/>
        </w:rPr>
        <w:t xml:space="preserve">Daphne </w:t>
      </w:r>
      <w:smartTag w:uri="urn:schemas-microsoft-com:office:smarttags" w:element="place">
        <w:r>
          <w:rPr>
            <w:rFonts w:ascii="Arial" w:hAnsi="Arial" w:cs="Arial"/>
            <w:sz w:val="20"/>
          </w:rPr>
          <w:t xml:space="preserve">E. </w:t>
        </w:r>
        <w:proofErr w:type="spellStart"/>
        <w:r>
          <w:rPr>
            <w:rFonts w:ascii="Arial" w:hAnsi="Arial" w:cs="Arial"/>
            <w:sz w:val="20"/>
          </w:rPr>
          <w:t>Glaun</w:t>
        </w:r>
      </w:smartTag>
      <w:proofErr w:type="spellEnd"/>
      <w:r>
        <w:rPr>
          <w:rFonts w:ascii="Arial" w:hAnsi="Arial" w:cs="Arial"/>
          <w:sz w:val="20"/>
        </w:rPr>
        <w:t xml:space="preserve"> (Royal Children's Hospital) &amp; Patricia F. Brown (Director, Children's Court Clinic)</w:t>
      </w:r>
    </w:p>
    <w:p w14:paraId="21F7CE70" w14:textId="77777777" w:rsidR="00693223" w:rsidRDefault="00693223">
      <w:pPr>
        <w:jc w:val="both"/>
        <w:rPr>
          <w:rFonts w:ascii="Arial" w:hAnsi="Arial" w:cs="Arial"/>
          <w:sz w:val="20"/>
        </w:rPr>
      </w:pPr>
      <w:r>
        <w:rPr>
          <w:rFonts w:ascii="Arial" w:hAnsi="Arial" w:cs="Arial"/>
          <w:i/>
          <w:iCs/>
          <w:sz w:val="20"/>
        </w:rPr>
        <w:t>Journal of Intellectual &amp; Developmental Disability, Vol.24, No.1,</w:t>
      </w:r>
      <w:r>
        <w:rPr>
          <w:rFonts w:ascii="Arial" w:hAnsi="Arial" w:cs="Arial"/>
          <w:sz w:val="20"/>
        </w:rPr>
        <w:t xml:space="preserve"> pp.95-105, 1999</w:t>
      </w:r>
    </w:p>
    <w:p w14:paraId="3AB75E01" w14:textId="77777777" w:rsidR="00693223" w:rsidRDefault="00693223">
      <w:pPr>
        <w:spacing w:before="120"/>
        <w:jc w:val="both"/>
        <w:rPr>
          <w:rFonts w:ascii="Arial" w:hAnsi="Arial" w:cs="Arial"/>
          <w:sz w:val="20"/>
        </w:rPr>
      </w:pPr>
      <w:r>
        <w:rPr>
          <w:rFonts w:ascii="Arial" w:hAnsi="Arial" w:cs="Arial"/>
          <w:sz w:val="20"/>
        </w:rPr>
        <w:t xml:space="preserve">Attitudes still prevail in society that children of mothers who have an intellectual disability may be at increased risk of abuse or neglect.  This small exploratory study retrospectively examined Children's Court Clinic case notes and records of 12 families before the Court on child protection grounds in which the mother had a documented intellectual disability.  Predominantly neglect rather than abuse was alleged.  These mothers did not typically show a pattern of deliberate physical harm to the child but rather demonstrated serious omissions in care.  This may have influenced decision making by the magistrates, since half of the mothers were granted care under a supervision order. Mothers in this sample presented with multiple problems and had needs which went beyond the acquisition of parenting skills.  They frequently had a history of deprivation, neglect or sexual abuse in their own childhoods.  A high prevalence of co-morbidity, such as drug abuse, psychiatric or medical disorder, was also a significant finding.  Fathers were often absent, but when involved many were ill equipped to help because of intellectual or health problems.  Possible risk factors within the child were high levels of developmental delay and multiple </w:t>
      </w:r>
      <w:proofErr w:type="gramStart"/>
      <w:r>
        <w:rPr>
          <w:rFonts w:ascii="Arial" w:hAnsi="Arial" w:cs="Arial"/>
          <w:sz w:val="20"/>
        </w:rPr>
        <w:t>handicap</w:t>
      </w:r>
      <w:proofErr w:type="gramEnd"/>
      <w:r>
        <w:rPr>
          <w:rFonts w:ascii="Arial" w:hAnsi="Arial" w:cs="Arial"/>
          <w:sz w:val="20"/>
        </w:rPr>
        <w:t>.  Findings suggest that the cumulative weight of stressful emotional, physical and social factors, in combination with limited intellectual resources, had precipitated a crisis in the mother's child care.  The mothers require social supports, particularly informal ones, together with specialist health care for themselves and their children and intensive but sensitively delivered professional support.</w:t>
      </w:r>
    </w:p>
    <w:p w14:paraId="279E127F" w14:textId="77777777" w:rsidR="00693223" w:rsidRDefault="00693223">
      <w:pPr>
        <w:rPr>
          <w:rFonts w:ascii="Arial" w:hAnsi="Arial" w:cs="Arial"/>
          <w:sz w:val="20"/>
        </w:rPr>
      </w:pPr>
    </w:p>
    <w:p w14:paraId="76386C92" w14:textId="77777777" w:rsidR="00693223" w:rsidRDefault="00693223" w:rsidP="00C32207">
      <w:pPr>
        <w:keepNext/>
        <w:keepLines/>
        <w:ind w:left="720" w:hanging="720"/>
        <w:jc w:val="both"/>
        <w:rPr>
          <w:rFonts w:ascii="Arial" w:hAnsi="Arial" w:cs="Arial"/>
          <w:b/>
          <w:bCs/>
          <w:sz w:val="28"/>
          <w:bdr w:val="single" w:sz="4" w:space="0" w:color="auto"/>
        </w:rPr>
      </w:pPr>
      <w:r>
        <w:rPr>
          <w:rFonts w:ascii="Arial" w:hAnsi="Arial" w:cs="Arial"/>
          <w:b/>
          <w:bCs/>
          <w:sz w:val="28"/>
        </w:rPr>
        <w:t>F3</w:t>
      </w:r>
    </w:p>
    <w:p w14:paraId="6DAA2675" w14:textId="77777777" w:rsidR="00693223" w:rsidRDefault="00693223" w:rsidP="00031B60">
      <w:pPr>
        <w:keepNext/>
        <w:keepLines/>
        <w:jc w:val="both"/>
        <w:rPr>
          <w:rFonts w:ascii="Arial" w:hAnsi="Arial" w:cs="Arial"/>
          <w:b/>
          <w:bCs/>
          <w:sz w:val="32"/>
        </w:rPr>
      </w:pPr>
      <w:r>
        <w:rPr>
          <w:rFonts w:ascii="Arial" w:hAnsi="Arial" w:cs="Arial"/>
          <w:b/>
          <w:bCs/>
        </w:rPr>
        <w:t>Does Father Absence Place Daughters at Special Risk for Early Sexual Activity and Teenage Pregnancy?</w:t>
      </w:r>
    </w:p>
    <w:p w14:paraId="33923570" w14:textId="77777777" w:rsidR="00693223" w:rsidRDefault="00693223">
      <w:pPr>
        <w:jc w:val="both"/>
        <w:rPr>
          <w:rFonts w:ascii="Arial" w:hAnsi="Arial" w:cs="Arial"/>
          <w:sz w:val="20"/>
        </w:rPr>
      </w:pPr>
      <w:r>
        <w:rPr>
          <w:rFonts w:ascii="Arial" w:hAnsi="Arial" w:cs="Arial"/>
          <w:sz w:val="20"/>
        </w:rPr>
        <w:t>Bruce J. Ellis, John E. Bates, Kenneth A. Dodge, David M. Fergusson, L. John Horwood, Gregory S. Pettit and Lianne Woodward</w:t>
      </w:r>
    </w:p>
    <w:p w14:paraId="0B18E8ED" w14:textId="77777777" w:rsidR="00693223" w:rsidRDefault="00693223">
      <w:pPr>
        <w:jc w:val="both"/>
        <w:rPr>
          <w:rFonts w:ascii="Arial" w:hAnsi="Arial" w:cs="Arial"/>
          <w:sz w:val="20"/>
        </w:rPr>
      </w:pPr>
      <w:r>
        <w:rPr>
          <w:rFonts w:ascii="Arial" w:hAnsi="Arial" w:cs="Arial"/>
          <w:i/>
          <w:iCs/>
          <w:sz w:val="20"/>
        </w:rPr>
        <w:t>Child Development, May/June 2003, Volume 74, Number 3,</w:t>
      </w:r>
      <w:r>
        <w:rPr>
          <w:rFonts w:ascii="Arial" w:hAnsi="Arial" w:cs="Arial"/>
          <w:sz w:val="20"/>
        </w:rPr>
        <w:t xml:space="preserve"> Pages 801-821</w:t>
      </w:r>
    </w:p>
    <w:p w14:paraId="55AC7A67" w14:textId="77777777" w:rsidR="00693223" w:rsidRDefault="00693223">
      <w:pPr>
        <w:spacing w:before="120"/>
        <w:jc w:val="both"/>
        <w:rPr>
          <w:rFonts w:ascii="Arial" w:hAnsi="Arial" w:cs="Arial"/>
          <w:sz w:val="20"/>
        </w:rPr>
      </w:pPr>
      <w:r>
        <w:rPr>
          <w:rFonts w:ascii="Arial" w:hAnsi="Arial" w:cs="Arial"/>
          <w:sz w:val="20"/>
        </w:rPr>
        <w:t xml:space="preserve">The impact of father absence on early sexual activity and teenage pregnancy was investigated in longitudinal studies in the </w:t>
      </w:r>
      <w:smartTag w:uri="urn:schemas-microsoft-com:office:smarttags" w:element="country-region">
        <w:r>
          <w:rPr>
            <w:rFonts w:ascii="Arial" w:hAnsi="Arial" w:cs="Arial"/>
            <w:sz w:val="20"/>
          </w:rPr>
          <w:t>United States</w:t>
        </w:r>
      </w:smartTag>
      <w:r>
        <w:rPr>
          <w:rFonts w:ascii="Arial" w:hAnsi="Arial" w:cs="Arial"/>
          <w:sz w:val="20"/>
        </w:rPr>
        <w:t xml:space="preserve"> (N=242) and </w:t>
      </w:r>
      <w:smartTag w:uri="urn:schemas-microsoft-com:office:smarttags" w:element="country-region">
        <w:smartTag w:uri="urn:schemas-microsoft-com:office:smarttags" w:element="place">
          <w:r>
            <w:rPr>
              <w:rFonts w:ascii="Arial" w:hAnsi="Arial" w:cs="Arial"/>
              <w:sz w:val="20"/>
            </w:rPr>
            <w:t>New Zealand</w:t>
          </w:r>
        </w:smartTag>
      </w:smartTag>
      <w:r>
        <w:rPr>
          <w:rFonts w:ascii="Arial" w:hAnsi="Arial" w:cs="Arial"/>
          <w:sz w:val="20"/>
        </w:rPr>
        <w:t xml:space="preserve"> (N=520), in which </w:t>
      </w:r>
      <w:r>
        <w:rPr>
          <w:rFonts w:ascii="Arial" w:hAnsi="Arial" w:cs="Arial"/>
          <w:sz w:val="20"/>
        </w:rPr>
        <w:lastRenderedPageBreak/>
        <w:t xml:space="preserve">community samples of girls were followed prospectively from early in life (5 years) to approximately age 18.  Greater exposure to father absence was strongly associated with elevated risk for early sexual activity and adolescent pregnancy.  This elevated risk was either not explained (in the </w:t>
      </w:r>
      <w:smartTag w:uri="urn:schemas-microsoft-com:office:smarttags" w:element="country-region">
        <w:r>
          <w:rPr>
            <w:rFonts w:ascii="Arial" w:hAnsi="Arial" w:cs="Arial"/>
            <w:sz w:val="20"/>
          </w:rPr>
          <w:t>U.S.</w:t>
        </w:r>
      </w:smartTag>
      <w:r>
        <w:rPr>
          <w:rFonts w:ascii="Arial" w:hAnsi="Arial" w:cs="Arial"/>
          <w:sz w:val="20"/>
        </w:rPr>
        <w:t xml:space="preserve"> study) or only partly explained (in the </w:t>
      </w:r>
      <w:smartTag w:uri="urn:schemas-microsoft-com:office:smarttags" w:element="country-region">
        <w:smartTag w:uri="urn:schemas-microsoft-com:office:smarttags" w:element="place">
          <w:r>
            <w:rPr>
              <w:rFonts w:ascii="Arial" w:hAnsi="Arial" w:cs="Arial"/>
              <w:sz w:val="20"/>
            </w:rPr>
            <w:t>New Zealand</w:t>
          </w:r>
        </w:smartTag>
      </w:smartTag>
      <w:r>
        <w:rPr>
          <w:rFonts w:ascii="Arial" w:hAnsi="Arial" w:cs="Arial"/>
          <w:sz w:val="20"/>
        </w:rPr>
        <w:t xml:space="preserve"> study) by familial, ecological, and personal disadvantages associated with father absence.  After controlling for covariates, there was stronger and more consistent evidence of effects of father absence on early sexual activity and early teenage pregnancy than on other behavioural or mental health problems or academic achievement.  Effects of father absence are discussed in terms of life-course adversity, evolutionary psychology, social learning and behaviour genetic models.</w:t>
      </w:r>
    </w:p>
    <w:p w14:paraId="54E0A4FF" w14:textId="77777777" w:rsidR="00693223" w:rsidRDefault="00693223">
      <w:pPr>
        <w:rPr>
          <w:rFonts w:ascii="Arial" w:hAnsi="Arial" w:cs="Arial"/>
          <w:sz w:val="20"/>
        </w:rPr>
      </w:pPr>
    </w:p>
    <w:p w14:paraId="4926B3D6"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F4</w:t>
      </w:r>
    </w:p>
    <w:p w14:paraId="6CCDF37A" w14:textId="77777777" w:rsidR="00693223" w:rsidRDefault="00693223">
      <w:pPr>
        <w:jc w:val="both"/>
        <w:rPr>
          <w:rFonts w:ascii="Arial" w:hAnsi="Arial" w:cs="Arial"/>
          <w:b/>
          <w:bCs/>
          <w:sz w:val="32"/>
        </w:rPr>
      </w:pPr>
      <w:r>
        <w:rPr>
          <w:rFonts w:ascii="Arial" w:hAnsi="Arial" w:cs="Arial"/>
          <w:b/>
          <w:bCs/>
        </w:rPr>
        <w:t>Suggestibility of the Child Witness: A Historical Review and Synthesis</w:t>
      </w:r>
    </w:p>
    <w:p w14:paraId="34028E40" w14:textId="77777777" w:rsidR="00693223" w:rsidRDefault="00693223">
      <w:pPr>
        <w:jc w:val="both"/>
        <w:rPr>
          <w:rFonts w:ascii="Arial" w:hAnsi="Arial" w:cs="Arial"/>
          <w:sz w:val="20"/>
        </w:rPr>
      </w:pPr>
      <w:r>
        <w:rPr>
          <w:rFonts w:ascii="Arial" w:hAnsi="Arial" w:cs="Arial"/>
          <w:sz w:val="20"/>
        </w:rPr>
        <w:t xml:space="preserve">Stephen J. Cerci (Department of Human Development, </w:t>
      </w:r>
      <w:smartTag w:uri="urn:schemas-microsoft-com:office:smarttags" w:element="PlaceName">
        <w:r>
          <w:rPr>
            <w:rFonts w:ascii="Arial" w:hAnsi="Arial" w:cs="Arial"/>
            <w:sz w:val="20"/>
          </w:rPr>
          <w:t>Cornell</w:t>
        </w:r>
      </w:smartTag>
      <w:r>
        <w:rPr>
          <w:rFonts w:ascii="Arial" w:hAnsi="Arial" w:cs="Arial"/>
          <w:sz w:val="20"/>
        </w:rPr>
        <w:t xml:space="preserve"> </w:t>
      </w:r>
      <w:smartTag w:uri="urn:schemas-microsoft-com:office:smarttags" w:element="PlaceType">
        <w:r>
          <w:rPr>
            <w:rFonts w:ascii="Arial" w:hAnsi="Arial" w:cs="Arial"/>
            <w:sz w:val="20"/>
          </w:rPr>
          <w:t>University</w:t>
        </w:r>
      </w:smartTag>
      <w:r>
        <w:rPr>
          <w:rFonts w:ascii="Arial" w:hAnsi="Arial" w:cs="Arial"/>
          <w:sz w:val="20"/>
        </w:rPr>
        <w:t xml:space="preserve">) &amp; Maggie Bruck (Department of Psychology, </w:t>
      </w:r>
      <w:smartTag w:uri="urn:schemas-microsoft-com:office:smarttags" w:element="place">
        <w:smartTag w:uri="urn:schemas-microsoft-com:office:smarttags" w:element="PlaceName">
          <w:r>
            <w:rPr>
              <w:rFonts w:ascii="Arial" w:hAnsi="Arial" w:cs="Arial"/>
              <w:sz w:val="20"/>
            </w:rPr>
            <w:t>McGill</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r>
        <w:rPr>
          <w:rFonts w:ascii="Arial" w:hAnsi="Arial" w:cs="Arial"/>
          <w:sz w:val="20"/>
        </w:rPr>
        <w:t>)</w:t>
      </w:r>
    </w:p>
    <w:p w14:paraId="6117FBB3" w14:textId="77777777" w:rsidR="00693223" w:rsidRDefault="00693223">
      <w:pPr>
        <w:spacing w:before="120"/>
        <w:jc w:val="both"/>
        <w:rPr>
          <w:rFonts w:ascii="Arial" w:hAnsi="Arial" w:cs="Arial"/>
          <w:sz w:val="20"/>
        </w:rPr>
      </w:pPr>
      <w:r>
        <w:rPr>
          <w:rFonts w:ascii="Arial" w:hAnsi="Arial" w:cs="Arial"/>
          <w:sz w:val="20"/>
        </w:rPr>
        <w:t>The field of children's testimony is in turmoil, but a resolution to seemingly intractable debates now appears attainable.  In this review the authors place the current disagreement in historical context and describe psychological and legal views of child witnesses held by scholars since the turn of the 20</w:t>
      </w:r>
      <w:r>
        <w:rPr>
          <w:rFonts w:ascii="Arial" w:hAnsi="Arial" w:cs="Arial"/>
          <w:sz w:val="20"/>
          <w:vertAlign w:val="superscript"/>
        </w:rPr>
        <w:t>th</w:t>
      </w:r>
      <w:r>
        <w:rPr>
          <w:rFonts w:ascii="Arial" w:hAnsi="Arial" w:cs="Arial"/>
          <w:sz w:val="20"/>
        </w:rPr>
        <w:t xml:space="preserve"> century.  Although there has been consistent interest in children's suggestibility over the past century, the past 15 years have been the most active in terms of the number of published studies and novel theorizing about the causal mechanisms that underpin the observed findings.  A synthesis of this research posits three 'families' of factors - cognitive, social and biological - that must be considered if one is to understand seemingly contradictory interpretations of the findings.  The authors conclude that there are reliable age differences in suggestibility but that even very young children are capable of recalling much that is forensically relevant.  Findings are discussed in terms of the role of expert witnesses.</w:t>
      </w:r>
    </w:p>
    <w:p w14:paraId="701FE2AF" w14:textId="77777777" w:rsidR="00693223" w:rsidRDefault="00693223">
      <w:pPr>
        <w:rPr>
          <w:rFonts w:ascii="Arial" w:hAnsi="Arial" w:cs="Arial"/>
          <w:sz w:val="20"/>
        </w:rPr>
      </w:pPr>
    </w:p>
    <w:p w14:paraId="1248398E"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F5</w:t>
      </w:r>
    </w:p>
    <w:p w14:paraId="77D4B84D" w14:textId="77777777" w:rsidR="00693223" w:rsidRDefault="00693223">
      <w:pPr>
        <w:jc w:val="both"/>
        <w:rPr>
          <w:rFonts w:ascii="Arial" w:hAnsi="Arial" w:cs="Arial"/>
          <w:b/>
          <w:bCs/>
          <w:sz w:val="32"/>
        </w:rPr>
      </w:pPr>
      <w:r>
        <w:rPr>
          <w:rFonts w:ascii="Arial" w:hAnsi="Arial" w:cs="Arial"/>
          <w:b/>
          <w:bCs/>
        </w:rPr>
        <w:t>Psychosocial Adversities in Childhood and Adult Psychopathology</w:t>
      </w:r>
    </w:p>
    <w:p w14:paraId="36AF5942" w14:textId="77777777" w:rsidR="00693223" w:rsidRDefault="00693223">
      <w:pPr>
        <w:jc w:val="both"/>
        <w:rPr>
          <w:rFonts w:ascii="Arial" w:hAnsi="Arial" w:cs="Arial"/>
          <w:sz w:val="20"/>
        </w:rPr>
      </w:pPr>
      <w:r>
        <w:rPr>
          <w:rFonts w:ascii="Arial" w:hAnsi="Arial" w:cs="Arial"/>
          <w:sz w:val="20"/>
        </w:rPr>
        <w:t xml:space="preserve">Michael Rutter, MD, FRS and Barbara Maughan, PhD (MRC Child Psychiatry Unit and Social, Genetic and Developmental Psychiatry Research Centre, </w:t>
      </w:r>
      <w:smartTag w:uri="urn:schemas-microsoft-com:office:smarttags" w:element="PlaceType">
        <w:r>
          <w:rPr>
            <w:rFonts w:ascii="Arial" w:hAnsi="Arial" w:cs="Arial"/>
            <w:sz w:val="20"/>
          </w:rPr>
          <w:t>Institute</w:t>
        </w:r>
      </w:smartTag>
      <w:r>
        <w:rPr>
          <w:rFonts w:ascii="Arial" w:hAnsi="Arial" w:cs="Arial"/>
          <w:sz w:val="20"/>
        </w:rPr>
        <w:t xml:space="preserve"> of </w:t>
      </w:r>
      <w:smartTag w:uri="urn:schemas-microsoft-com:office:smarttags" w:element="PlaceName">
        <w:r>
          <w:rPr>
            <w:rFonts w:ascii="Arial" w:hAnsi="Arial" w:cs="Arial"/>
            <w:sz w:val="20"/>
          </w:rPr>
          <w:t>Psychiatry</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0000196A" w14:textId="77777777" w:rsidR="00693223" w:rsidRDefault="00693223">
      <w:pPr>
        <w:jc w:val="both"/>
        <w:rPr>
          <w:rFonts w:ascii="Arial" w:hAnsi="Arial" w:cs="Arial"/>
          <w:sz w:val="20"/>
        </w:rPr>
      </w:pPr>
      <w:r>
        <w:rPr>
          <w:rFonts w:ascii="Arial" w:hAnsi="Arial" w:cs="Arial"/>
          <w:i/>
          <w:iCs/>
          <w:sz w:val="20"/>
        </w:rPr>
        <w:t>Journal of Personality Disorders, 11(1),</w:t>
      </w:r>
      <w:r>
        <w:rPr>
          <w:rFonts w:ascii="Arial" w:hAnsi="Arial" w:cs="Arial"/>
          <w:sz w:val="20"/>
        </w:rPr>
        <w:t xml:space="preserve"> 4-18 (1997) © The </w:t>
      </w:r>
      <w:smartTag w:uri="urn:schemas-microsoft-com:office:smarttags" w:element="City">
        <w:smartTag w:uri="urn:schemas-microsoft-com:office:smarttags" w:element="place">
          <w:r>
            <w:rPr>
              <w:rFonts w:ascii="Arial" w:hAnsi="Arial" w:cs="Arial"/>
              <w:sz w:val="20"/>
            </w:rPr>
            <w:t>Guilford</w:t>
          </w:r>
        </w:smartTag>
      </w:smartTag>
      <w:r>
        <w:rPr>
          <w:rFonts w:ascii="Arial" w:hAnsi="Arial" w:cs="Arial"/>
          <w:sz w:val="20"/>
        </w:rPr>
        <w:t xml:space="preserve"> Press</w:t>
      </w:r>
    </w:p>
    <w:p w14:paraId="1EDBA238" w14:textId="77777777" w:rsidR="00693223" w:rsidRDefault="00693223">
      <w:pPr>
        <w:spacing w:before="120"/>
        <w:jc w:val="both"/>
        <w:rPr>
          <w:rFonts w:ascii="Arial" w:hAnsi="Arial" w:cs="Arial"/>
          <w:sz w:val="20"/>
        </w:rPr>
      </w:pPr>
      <w:r>
        <w:rPr>
          <w:rFonts w:ascii="Arial" w:hAnsi="Arial" w:cs="Arial"/>
          <w:sz w:val="20"/>
        </w:rPr>
        <w:t>Numerous studies have reported statistical associations between adverse childhood experiences and psychopathology in adult life.  A range of conceptual and methodological issues needs to be borne in mind in interpreting these findings.  Methodological issues include implications of base rates of postulated risk and outcome measures, and the possibility of third variable effects.  Conceptually, further evidence is needed on the aspects of early experience most likely to contribute to risk (acute vs chronic stressors: actively negative vs lack of positive experiences; and the implications of cognitive processing of events); the specificity of effects; possible mechanisms involved in mediating effects in childhood, and approaches to testing them; and factors involved in persistence into adult life.  There are good reasons to assume that adverse early experience plays a contributory role in the genesis of personality disorder.  However, at this stage, evidence is still limited on how this comes about.</w:t>
      </w:r>
    </w:p>
    <w:p w14:paraId="6AEB0659" w14:textId="77777777" w:rsidR="00693223" w:rsidRDefault="00693223">
      <w:pPr>
        <w:rPr>
          <w:rFonts w:ascii="Arial" w:hAnsi="Arial" w:cs="Arial"/>
          <w:sz w:val="20"/>
        </w:rPr>
      </w:pPr>
    </w:p>
    <w:p w14:paraId="555F8150" w14:textId="77777777" w:rsidR="00693223" w:rsidRDefault="00693223" w:rsidP="00031B60">
      <w:pPr>
        <w:keepNext/>
        <w:keepLines/>
        <w:ind w:left="720" w:hanging="720"/>
        <w:jc w:val="both"/>
        <w:rPr>
          <w:rFonts w:ascii="Arial" w:hAnsi="Arial" w:cs="Arial"/>
          <w:b/>
          <w:bCs/>
          <w:sz w:val="28"/>
          <w:bdr w:val="single" w:sz="4" w:space="0" w:color="auto"/>
        </w:rPr>
      </w:pPr>
      <w:r>
        <w:rPr>
          <w:rFonts w:ascii="Arial" w:hAnsi="Arial" w:cs="Arial"/>
          <w:b/>
          <w:bCs/>
          <w:sz w:val="28"/>
        </w:rPr>
        <w:t>F6</w:t>
      </w:r>
    </w:p>
    <w:p w14:paraId="4BF0B301" w14:textId="77777777" w:rsidR="00693223" w:rsidRDefault="00693223" w:rsidP="00031B60">
      <w:pPr>
        <w:keepNext/>
        <w:keepLines/>
        <w:jc w:val="both"/>
        <w:rPr>
          <w:rFonts w:ascii="Arial" w:hAnsi="Arial" w:cs="Arial"/>
          <w:b/>
          <w:bCs/>
          <w:sz w:val="32"/>
        </w:rPr>
      </w:pPr>
      <w:r>
        <w:rPr>
          <w:rFonts w:ascii="Arial" w:hAnsi="Arial" w:cs="Arial"/>
          <w:b/>
          <w:bCs/>
        </w:rPr>
        <w:t>Retrospective Reporting of Childhood Adversity: Issues in Addressing Long-term Recall</w:t>
      </w:r>
    </w:p>
    <w:p w14:paraId="6C0FF824" w14:textId="77777777" w:rsidR="00693223" w:rsidRDefault="00693223">
      <w:pPr>
        <w:jc w:val="both"/>
        <w:rPr>
          <w:rFonts w:ascii="Arial" w:hAnsi="Arial" w:cs="Arial"/>
          <w:sz w:val="20"/>
        </w:rPr>
      </w:pPr>
      <w:r>
        <w:rPr>
          <w:rFonts w:ascii="Arial" w:hAnsi="Arial" w:cs="Arial"/>
          <w:sz w:val="20"/>
        </w:rPr>
        <w:t xml:space="preserve">Barbara Maughan, PhD and Michael Rutter, MD, FRS (MRC Child Psychiatry Unit and Social, Genetic and Developmental Psychiatry Research Centre, </w:t>
      </w:r>
      <w:smartTag w:uri="urn:schemas-microsoft-com:office:smarttags" w:element="PlaceType">
        <w:r>
          <w:rPr>
            <w:rFonts w:ascii="Arial" w:hAnsi="Arial" w:cs="Arial"/>
            <w:sz w:val="20"/>
          </w:rPr>
          <w:t>Institute</w:t>
        </w:r>
      </w:smartTag>
      <w:r>
        <w:rPr>
          <w:rFonts w:ascii="Arial" w:hAnsi="Arial" w:cs="Arial"/>
          <w:sz w:val="20"/>
        </w:rPr>
        <w:t xml:space="preserve"> of </w:t>
      </w:r>
      <w:smartTag w:uri="urn:schemas-microsoft-com:office:smarttags" w:element="PlaceName">
        <w:r>
          <w:rPr>
            <w:rFonts w:ascii="Arial" w:hAnsi="Arial" w:cs="Arial"/>
            <w:sz w:val="20"/>
          </w:rPr>
          <w:t>Psychiatry</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3BAF618F" w14:textId="77777777" w:rsidR="00693223" w:rsidRDefault="00693223">
      <w:pPr>
        <w:jc w:val="both"/>
        <w:rPr>
          <w:rFonts w:ascii="Arial" w:hAnsi="Arial" w:cs="Arial"/>
          <w:sz w:val="20"/>
        </w:rPr>
      </w:pPr>
      <w:r>
        <w:rPr>
          <w:rFonts w:ascii="Arial" w:hAnsi="Arial" w:cs="Arial"/>
          <w:i/>
          <w:iCs/>
          <w:sz w:val="20"/>
        </w:rPr>
        <w:t>Journal of Personality Disorders, 11(1),</w:t>
      </w:r>
      <w:r>
        <w:rPr>
          <w:rFonts w:ascii="Arial" w:hAnsi="Arial" w:cs="Arial"/>
          <w:sz w:val="20"/>
        </w:rPr>
        <w:t xml:space="preserve"> 19-33 (1997) © The </w:t>
      </w:r>
      <w:smartTag w:uri="urn:schemas-microsoft-com:office:smarttags" w:element="City">
        <w:smartTag w:uri="urn:schemas-microsoft-com:office:smarttags" w:element="place">
          <w:r>
            <w:rPr>
              <w:rFonts w:ascii="Arial" w:hAnsi="Arial" w:cs="Arial"/>
              <w:sz w:val="20"/>
            </w:rPr>
            <w:t>Guilford</w:t>
          </w:r>
        </w:smartTag>
      </w:smartTag>
      <w:r>
        <w:rPr>
          <w:rFonts w:ascii="Arial" w:hAnsi="Arial" w:cs="Arial"/>
          <w:sz w:val="20"/>
        </w:rPr>
        <w:t xml:space="preserve"> Press</w:t>
      </w:r>
    </w:p>
    <w:p w14:paraId="523E74C1" w14:textId="77777777" w:rsidR="00693223" w:rsidRDefault="00693223">
      <w:pPr>
        <w:spacing w:before="120"/>
        <w:jc w:val="both"/>
        <w:rPr>
          <w:rFonts w:ascii="Arial" w:hAnsi="Arial" w:cs="Arial"/>
          <w:sz w:val="20"/>
        </w:rPr>
      </w:pPr>
      <w:r>
        <w:rPr>
          <w:rFonts w:ascii="Arial" w:hAnsi="Arial" w:cs="Arial"/>
          <w:sz w:val="20"/>
        </w:rPr>
        <w:t xml:space="preserve">Much evidence for associations between adverse experiences in childhood and personality disorder in adult life comes from retrospective accounts.  This raises important questions over the reliability and validity of long-term recall.  The strengths and limitations of different methods for assessing the accuracy and stability of retrospective reports are discussed.  Evidence from cognitive psychology on memory and memory processes, and on the phenomenon of infantile amnesia, provides important background for assessing issues more specific to recall in studies of risk for psychopathology. Here, topics of particular concern include: memory for traumatic early experience; the effects of false mood state and symptomatology on recall; recovered or false memories; and the implications of mental representations of early experience for </w:t>
      </w:r>
      <w:r>
        <w:rPr>
          <w:rFonts w:ascii="Arial" w:hAnsi="Arial" w:cs="Arial"/>
          <w:sz w:val="20"/>
        </w:rPr>
        <w:lastRenderedPageBreak/>
        <w:t>understanding psychopathology.  Current evidence suggests that while adequately reliable accounts of many early experiences can be gained using appropriate techniques, further methodological studies are needed and investigations using retrospective methods would be wise to include corroborative evidence whenever feasible.</w:t>
      </w:r>
    </w:p>
    <w:p w14:paraId="4111E6BB" w14:textId="77777777" w:rsidR="00693223" w:rsidRDefault="00693223">
      <w:pPr>
        <w:rPr>
          <w:rFonts w:ascii="Arial" w:hAnsi="Arial" w:cs="Arial"/>
          <w:sz w:val="20"/>
        </w:rPr>
      </w:pPr>
    </w:p>
    <w:p w14:paraId="66CD6CDF"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F7</w:t>
      </w:r>
    </w:p>
    <w:p w14:paraId="71D69827" w14:textId="77777777" w:rsidR="00693223" w:rsidRDefault="00693223">
      <w:pPr>
        <w:jc w:val="both"/>
        <w:rPr>
          <w:rFonts w:ascii="Arial" w:hAnsi="Arial" w:cs="Arial"/>
          <w:b/>
          <w:bCs/>
          <w:sz w:val="32"/>
        </w:rPr>
      </w:pPr>
      <w:r>
        <w:rPr>
          <w:rFonts w:ascii="Arial" w:hAnsi="Arial" w:cs="Arial"/>
          <w:b/>
          <w:bCs/>
        </w:rPr>
        <w:t>Risk, Resilience and Recovery: A Life-Span Perspective</w:t>
      </w:r>
    </w:p>
    <w:p w14:paraId="5097F4A5" w14:textId="77777777" w:rsidR="00693223" w:rsidRDefault="00693223">
      <w:pPr>
        <w:jc w:val="both"/>
        <w:rPr>
          <w:rFonts w:ascii="Arial" w:hAnsi="Arial" w:cs="Arial"/>
          <w:sz w:val="20"/>
        </w:rPr>
      </w:pPr>
      <w:r>
        <w:rPr>
          <w:rFonts w:ascii="Arial" w:hAnsi="Arial" w:cs="Arial"/>
          <w:sz w:val="20"/>
        </w:rPr>
        <w:t xml:space="preserve">Emmy E. Werner,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California</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Davis</w:t>
          </w:r>
        </w:smartTag>
        <w:r>
          <w:rPr>
            <w:rFonts w:ascii="Arial" w:hAnsi="Arial" w:cs="Arial"/>
            <w:sz w:val="20"/>
          </w:rPr>
          <w:t xml:space="preserve">, </w:t>
        </w:r>
        <w:smartTag w:uri="urn:schemas-microsoft-com:office:smarttags" w:element="country-region">
          <w:r>
            <w:rPr>
              <w:rFonts w:ascii="Arial" w:hAnsi="Arial" w:cs="Arial"/>
              <w:sz w:val="20"/>
            </w:rPr>
            <w:t>U.S.A.</w:t>
          </w:r>
        </w:smartTag>
      </w:smartTag>
    </w:p>
    <w:p w14:paraId="70914E1B" w14:textId="77777777" w:rsidR="00693223" w:rsidRDefault="00693223">
      <w:pPr>
        <w:jc w:val="both"/>
        <w:rPr>
          <w:rFonts w:ascii="Arial" w:hAnsi="Arial" w:cs="Arial"/>
          <w:sz w:val="20"/>
        </w:rPr>
      </w:pPr>
      <w:r>
        <w:rPr>
          <w:rFonts w:ascii="Arial" w:hAnsi="Arial" w:cs="Arial"/>
          <w:sz w:val="20"/>
        </w:rPr>
        <w:t xml:space="preserve">Paper presented at a Symposium on Resilience, Risk &amp; </w:t>
      </w:r>
      <w:proofErr w:type="spellStart"/>
      <w:r>
        <w:rPr>
          <w:rFonts w:ascii="Arial" w:hAnsi="Arial" w:cs="Arial"/>
          <w:sz w:val="20"/>
        </w:rPr>
        <w:t>Salutogenesis</w:t>
      </w:r>
      <w:proofErr w:type="spellEnd"/>
      <w:r>
        <w:rPr>
          <w:rFonts w:ascii="Arial" w:hAnsi="Arial" w:cs="Arial"/>
          <w:sz w:val="20"/>
        </w:rPr>
        <w:t>, 14</w:t>
      </w:r>
      <w:r>
        <w:rPr>
          <w:rFonts w:ascii="Arial" w:hAnsi="Arial" w:cs="Arial"/>
          <w:sz w:val="20"/>
          <w:vertAlign w:val="superscript"/>
        </w:rPr>
        <w:t>th</w:t>
      </w:r>
      <w:r>
        <w:rPr>
          <w:rFonts w:ascii="Arial" w:hAnsi="Arial" w:cs="Arial"/>
          <w:sz w:val="20"/>
        </w:rPr>
        <w:t xml:space="preserve"> IACAPAP Congress,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Stockholm</w:t>
          </w:r>
        </w:smartTag>
        <w:r>
          <w:rPr>
            <w:rFonts w:ascii="Arial" w:hAnsi="Arial" w:cs="Arial"/>
            <w:sz w:val="20"/>
          </w:rPr>
          <w:t xml:space="preserve">, </w:t>
        </w:r>
        <w:smartTag w:uri="urn:schemas-microsoft-com:office:smarttags" w:element="country-region">
          <w:r>
            <w:rPr>
              <w:rFonts w:ascii="Arial" w:hAnsi="Arial" w:cs="Arial"/>
              <w:sz w:val="20"/>
            </w:rPr>
            <w:t>Sweden</w:t>
          </w:r>
        </w:smartTag>
      </w:smartTag>
    </w:p>
    <w:p w14:paraId="116E5ECB" w14:textId="77777777" w:rsidR="00693223" w:rsidRDefault="00693223">
      <w:pPr>
        <w:spacing w:before="120"/>
        <w:jc w:val="both"/>
        <w:rPr>
          <w:rFonts w:ascii="Arial" w:hAnsi="Arial" w:cs="Arial"/>
          <w:sz w:val="20"/>
        </w:rPr>
      </w:pPr>
      <w:r>
        <w:rPr>
          <w:rFonts w:ascii="Arial" w:hAnsi="Arial" w:cs="Arial"/>
          <w:sz w:val="20"/>
        </w:rPr>
        <w:t xml:space="preserve">The Kauai Longitudinal Study is one of the few long-term studies in </w:t>
      </w:r>
      <w:smartTag w:uri="urn:schemas-microsoft-com:office:smarttags" w:element="place">
        <w:r>
          <w:rPr>
            <w:rFonts w:ascii="Arial" w:hAnsi="Arial" w:cs="Arial"/>
            <w:sz w:val="20"/>
          </w:rPr>
          <w:t>North America</w:t>
        </w:r>
      </w:smartTag>
      <w:r>
        <w:rPr>
          <w:rFonts w:ascii="Arial" w:hAnsi="Arial" w:cs="Arial"/>
          <w:sz w:val="20"/>
        </w:rPr>
        <w:t xml:space="preserve"> that has looked at the interplay between risk and protective factors on 'high risk' youngsters from birth to mid-life.  Over four decades, a multi-disciplinary team of paediatricians, psychiatrists, psychologists and public health and social workers has monitored the impact of a variety of biological and psycho-social risk factors on the development of a multi-ethnic cohort of 698 individuals, born on the Hawaiian </w:t>
      </w:r>
      <w:smartTag w:uri="urn:schemas-microsoft-com:office:smarttags" w:element="place">
        <w:smartTag w:uri="urn:schemas-microsoft-com:office:smarttags" w:element="PlaceType">
          <w:r>
            <w:rPr>
              <w:rFonts w:ascii="Arial" w:hAnsi="Arial" w:cs="Arial"/>
              <w:sz w:val="20"/>
            </w:rPr>
            <w:t>island</w:t>
          </w:r>
        </w:smartTag>
        <w:r>
          <w:rPr>
            <w:rFonts w:ascii="Arial" w:hAnsi="Arial" w:cs="Arial"/>
            <w:sz w:val="20"/>
          </w:rPr>
          <w:t xml:space="preserve"> of </w:t>
        </w:r>
        <w:smartTag w:uri="urn:schemas-microsoft-com:office:smarttags" w:element="PlaceName">
          <w:r>
            <w:rPr>
              <w:rFonts w:ascii="Arial" w:hAnsi="Arial" w:cs="Arial"/>
              <w:sz w:val="20"/>
            </w:rPr>
            <w:t>Kauai</w:t>
          </w:r>
        </w:smartTag>
      </w:smartTag>
      <w:r>
        <w:rPr>
          <w:rFonts w:ascii="Arial" w:hAnsi="Arial" w:cs="Arial"/>
          <w:sz w:val="20"/>
        </w:rPr>
        <w:t xml:space="preserve"> in 1955.  The study population is predominantly of Japanese, Pilipino and Part-Hawaiian descent and has been followed, with relatively little attrition, from birth to ages 1,2,10,18,32, and most recently to age 40.  About one-third of the group were designated as 'high risk' children because they were born into poverty, had experienced moderate-severe degrees of perinatal stress, and were reared in a family environment troubled by chronic discord and parental psychopathology.  Two out of every three of the group who encountered 4 or more such risk factors by the age of 2 (N:173) had delinquency records and/or serious mental health problems by the time they were 18.  Yet one out of 3 of the high risk group (N:72) grew into competent adults who loved well, worked well and expected well.  Three clusters of protective factors differentiated this resilient group from the other high risk youths who had become troubled teenagers: (1) at least average intelligence and temperamental attributes that elicited positive responses from both family members and strangers; (2) affectional ties with parent substitutes such as grandparents and older siblings; (3) an external support system (school, youth groups and/or church).  Further, at mid-life the overwhelming majority of the "troubled" teenagers were also in stable marriages and jobs, were satisfied with their relationships with their spouses and teenage children, and were responsible citizens in their community.</w:t>
      </w:r>
    </w:p>
    <w:p w14:paraId="52374452" w14:textId="77777777" w:rsidR="00693223" w:rsidRDefault="00693223">
      <w:pPr>
        <w:rPr>
          <w:rFonts w:ascii="Arial" w:hAnsi="Arial" w:cs="Arial"/>
          <w:sz w:val="20"/>
        </w:rPr>
      </w:pPr>
    </w:p>
    <w:p w14:paraId="2D44EEEF" w14:textId="77777777" w:rsidR="00693223" w:rsidRDefault="00693223" w:rsidP="009E418F">
      <w:pPr>
        <w:keepNext/>
        <w:keepLines/>
        <w:ind w:left="720" w:hanging="720"/>
        <w:jc w:val="both"/>
        <w:rPr>
          <w:rFonts w:ascii="Arial" w:hAnsi="Arial" w:cs="Arial"/>
          <w:b/>
          <w:bCs/>
          <w:sz w:val="28"/>
          <w:bdr w:val="single" w:sz="4" w:space="0" w:color="auto"/>
        </w:rPr>
      </w:pPr>
      <w:r>
        <w:rPr>
          <w:rFonts w:ascii="Arial" w:hAnsi="Arial" w:cs="Arial"/>
          <w:b/>
          <w:bCs/>
          <w:sz w:val="28"/>
        </w:rPr>
        <w:t>F8</w:t>
      </w:r>
    </w:p>
    <w:p w14:paraId="488F04F1" w14:textId="77777777" w:rsidR="00693223" w:rsidRDefault="00693223" w:rsidP="009E418F">
      <w:pPr>
        <w:keepNext/>
        <w:keepLines/>
        <w:jc w:val="both"/>
        <w:rPr>
          <w:rFonts w:ascii="Arial" w:hAnsi="Arial" w:cs="Arial"/>
          <w:b/>
          <w:bCs/>
          <w:sz w:val="32"/>
        </w:rPr>
      </w:pPr>
      <w:r>
        <w:rPr>
          <w:rFonts w:ascii="Arial" w:hAnsi="Arial" w:cs="Arial"/>
          <w:b/>
          <w:bCs/>
        </w:rPr>
        <w:t>What the Literature Tells Us About Resilience as Well as Risk</w:t>
      </w:r>
    </w:p>
    <w:p w14:paraId="31BD5B48" w14:textId="77777777" w:rsidR="00693223" w:rsidRDefault="00693223" w:rsidP="00031B60">
      <w:pPr>
        <w:jc w:val="both"/>
        <w:rPr>
          <w:rFonts w:ascii="Arial" w:hAnsi="Arial" w:cs="Arial"/>
          <w:sz w:val="20"/>
        </w:rPr>
      </w:pPr>
      <w:r>
        <w:rPr>
          <w:rFonts w:ascii="Arial" w:hAnsi="Arial" w:cs="Arial"/>
          <w:sz w:val="20"/>
        </w:rPr>
        <w:t>Dr Patricia F Brown (Director, Children's Court Clinic)</w:t>
      </w:r>
    </w:p>
    <w:p w14:paraId="4863A8CE" w14:textId="77777777" w:rsidR="00693223" w:rsidRDefault="00693223" w:rsidP="00031B60">
      <w:pPr>
        <w:jc w:val="both"/>
        <w:rPr>
          <w:rFonts w:ascii="Arial" w:hAnsi="Arial" w:cs="Arial"/>
          <w:sz w:val="20"/>
        </w:rPr>
      </w:pPr>
      <w:r>
        <w:rPr>
          <w:rFonts w:ascii="Arial" w:hAnsi="Arial" w:cs="Arial"/>
          <w:sz w:val="20"/>
        </w:rPr>
        <w:t>Notes of a seminar for magistrates about the relevant literature</w:t>
      </w:r>
    </w:p>
    <w:p w14:paraId="324FC3E6" w14:textId="77777777" w:rsidR="00693223" w:rsidRDefault="00693223" w:rsidP="00031B60">
      <w:pPr>
        <w:spacing w:before="120"/>
        <w:jc w:val="both"/>
        <w:rPr>
          <w:rFonts w:ascii="Arial" w:hAnsi="Arial" w:cs="Arial"/>
          <w:sz w:val="20"/>
        </w:rPr>
      </w:pPr>
      <w:r>
        <w:rPr>
          <w:rFonts w:ascii="Arial" w:hAnsi="Arial" w:cs="Arial"/>
          <w:sz w:val="20"/>
        </w:rPr>
        <w:t xml:space="preserve">Theoretical discussions and studies of risk and insulating factors against harm have been growing over the past 15 years.  There is a general assumption by psychologists that ongoing negative events or acute traumatic incidents in early life may be linked to later psychopathology.  Though the logic is reasonable, the process by which later negative effects are produced remains largely unknown.  Over the period the emphasis in risk research has seemed to shift from vulnerability to resilience, the latter a reference to successful adaptation despite the odds against good development.  Results from longitudinal studies (especially the </w:t>
      </w:r>
      <w:smartTag w:uri="urn:schemas-microsoft-com:office:smarttags" w:element="place">
        <w:r>
          <w:rPr>
            <w:rFonts w:ascii="Arial" w:hAnsi="Arial" w:cs="Arial"/>
            <w:sz w:val="20"/>
          </w:rPr>
          <w:t>Kauai</w:t>
        </w:r>
      </w:smartTag>
      <w:r>
        <w:rPr>
          <w:rFonts w:ascii="Arial" w:hAnsi="Arial" w:cs="Arial"/>
          <w:sz w:val="20"/>
        </w:rPr>
        <w:t>) have been instructive although the process or mechanism underlying resilience still remains largely unresearched.  Dr Brown concluded that for a clinician assessing children who are most often from backgrounds of risk, the major message would seem to be to become equally thoughtful about notions of risk and notions of resilience and to accept a hypothesis of there being fluid interplay and changes over time.</w:t>
      </w:r>
    </w:p>
    <w:p w14:paraId="391B18F6" w14:textId="77777777" w:rsidR="00693223" w:rsidRDefault="00693223">
      <w:pPr>
        <w:rPr>
          <w:rFonts w:ascii="Arial" w:hAnsi="Arial" w:cs="Arial"/>
          <w:sz w:val="20"/>
        </w:rPr>
      </w:pPr>
    </w:p>
    <w:p w14:paraId="5F995701" w14:textId="77777777" w:rsidR="00693223" w:rsidRDefault="00693223" w:rsidP="0028439F">
      <w:pPr>
        <w:keepNext/>
        <w:keepLines/>
        <w:ind w:left="720" w:hanging="720"/>
        <w:jc w:val="both"/>
        <w:rPr>
          <w:rFonts w:ascii="Arial" w:hAnsi="Arial" w:cs="Arial"/>
          <w:b/>
          <w:bCs/>
          <w:sz w:val="28"/>
          <w:bdr w:val="single" w:sz="4" w:space="0" w:color="auto"/>
        </w:rPr>
      </w:pPr>
      <w:r>
        <w:rPr>
          <w:rFonts w:ascii="Arial" w:hAnsi="Arial" w:cs="Arial"/>
          <w:b/>
          <w:bCs/>
          <w:sz w:val="28"/>
        </w:rPr>
        <w:t>F9</w:t>
      </w:r>
    </w:p>
    <w:p w14:paraId="18AB9FB3" w14:textId="77777777" w:rsidR="00693223" w:rsidRDefault="00693223" w:rsidP="0028439F">
      <w:pPr>
        <w:keepNext/>
        <w:keepLines/>
        <w:jc w:val="both"/>
        <w:rPr>
          <w:rFonts w:ascii="Arial" w:hAnsi="Arial" w:cs="Arial"/>
          <w:b/>
          <w:bCs/>
          <w:sz w:val="32"/>
        </w:rPr>
      </w:pPr>
      <w:r>
        <w:rPr>
          <w:rFonts w:ascii="Arial" w:hAnsi="Arial" w:cs="Arial"/>
          <w:b/>
          <w:bCs/>
        </w:rPr>
        <w:t>Developmental Catch-up, and Deficit, Following Adoption after Severe Global Early Privation</w:t>
      </w:r>
    </w:p>
    <w:p w14:paraId="0B1A63CE" w14:textId="77777777" w:rsidR="00693223" w:rsidRDefault="00693223">
      <w:pPr>
        <w:jc w:val="both"/>
        <w:rPr>
          <w:rFonts w:ascii="Arial" w:hAnsi="Arial" w:cs="Arial"/>
          <w:sz w:val="20"/>
        </w:rPr>
      </w:pPr>
      <w:r>
        <w:rPr>
          <w:rFonts w:ascii="Arial" w:hAnsi="Arial" w:cs="Arial"/>
          <w:sz w:val="20"/>
        </w:rPr>
        <w:t xml:space="preserve">Michael Rutter and the English and Romanian Adoptees (ERA) study team (MRC Child Psychiatry Unit and Social, Genetic and Developmental Psychiatry Research Centre, </w:t>
      </w:r>
      <w:smartTag w:uri="urn:schemas-microsoft-com:office:smarttags" w:element="PlaceType">
        <w:r>
          <w:rPr>
            <w:rFonts w:ascii="Arial" w:hAnsi="Arial" w:cs="Arial"/>
            <w:sz w:val="20"/>
          </w:rPr>
          <w:t>Institute</w:t>
        </w:r>
      </w:smartTag>
      <w:r>
        <w:rPr>
          <w:rFonts w:ascii="Arial" w:hAnsi="Arial" w:cs="Arial"/>
          <w:sz w:val="20"/>
        </w:rPr>
        <w:t xml:space="preserve"> of </w:t>
      </w:r>
      <w:smartTag w:uri="urn:schemas-microsoft-com:office:smarttags" w:element="PlaceName">
        <w:r>
          <w:rPr>
            <w:rFonts w:ascii="Arial" w:hAnsi="Arial" w:cs="Arial"/>
            <w:sz w:val="20"/>
          </w:rPr>
          <w:t>Psychiatry</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0E739E25" w14:textId="77777777" w:rsidR="00693223" w:rsidRDefault="00693223">
      <w:pPr>
        <w:jc w:val="both"/>
        <w:rPr>
          <w:rFonts w:ascii="Arial" w:hAnsi="Arial" w:cs="Arial"/>
          <w:sz w:val="20"/>
        </w:rPr>
      </w:pPr>
      <w:r>
        <w:rPr>
          <w:rFonts w:ascii="Arial" w:hAnsi="Arial" w:cs="Arial"/>
          <w:i/>
          <w:iCs/>
          <w:sz w:val="20"/>
        </w:rPr>
        <w:t>J. Child Psychiatry, Vol.39, No.4,</w:t>
      </w:r>
      <w:r>
        <w:rPr>
          <w:rFonts w:ascii="Arial" w:hAnsi="Arial" w:cs="Arial"/>
          <w:sz w:val="20"/>
        </w:rPr>
        <w:t xml:space="preserve"> pp.465-476 (1998) Cambridge University Press</w:t>
      </w:r>
    </w:p>
    <w:p w14:paraId="0486AFC9" w14:textId="77777777" w:rsidR="00693223" w:rsidRDefault="00693223">
      <w:pPr>
        <w:spacing w:before="120"/>
        <w:jc w:val="both"/>
        <w:rPr>
          <w:rFonts w:ascii="Arial" w:hAnsi="Arial" w:cs="Arial"/>
          <w:sz w:val="20"/>
        </w:rPr>
      </w:pPr>
      <w:r>
        <w:rPr>
          <w:rFonts w:ascii="Arial" w:hAnsi="Arial" w:cs="Arial"/>
          <w:sz w:val="20"/>
        </w:rPr>
        <w:lastRenderedPageBreak/>
        <w:t xml:space="preserve">The extent of developmental deficit and catch-up following adoption after severe global early privation was examined at 4 years in a sample of 111 Romanian children who came to the U.K. before the age of 2 years, and compared with respect to their functioning at the same age to a sample of 52 U.K. adopted children placed before the age of 6 months.  The measures at 4 years included height, head circumference, and general cognitive level (assessed on both the </w:t>
      </w:r>
      <w:proofErr w:type="spellStart"/>
      <w:r>
        <w:rPr>
          <w:rFonts w:ascii="Arial" w:hAnsi="Arial" w:cs="Arial"/>
          <w:sz w:val="20"/>
        </w:rPr>
        <w:t>McCathy</w:t>
      </w:r>
      <w:proofErr w:type="spellEnd"/>
      <w:r>
        <w:rPr>
          <w:rFonts w:ascii="Arial" w:hAnsi="Arial" w:cs="Arial"/>
          <w:sz w:val="20"/>
        </w:rPr>
        <w:t xml:space="preserve"> and Denver Scales).  The children from </w:t>
      </w:r>
      <w:smartTag w:uri="urn:schemas-microsoft-com:office:smarttags" w:element="country-region">
        <w:r>
          <w:rPr>
            <w:rFonts w:ascii="Arial" w:hAnsi="Arial" w:cs="Arial"/>
            <w:sz w:val="20"/>
          </w:rPr>
          <w:t>Romania</w:t>
        </w:r>
      </w:smartTag>
      <w:r>
        <w:rPr>
          <w:rFonts w:ascii="Arial" w:hAnsi="Arial" w:cs="Arial"/>
          <w:sz w:val="20"/>
        </w:rPr>
        <w:t xml:space="preserve"> were severely developmentally impaired at the time of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 xml:space="preserve"> entry, with about half below the third percentile on height, on weight, on head circumference, and on developmental quotient.  Many were also in a poor physical state with recurrent intestinal and respiratory infections.  The catch-up in both physical growth and cognitive level appeared nearly complete at age 4 years for those children who came to the </w:t>
      </w:r>
      <w:smartTag w:uri="urn:schemas-microsoft-com:office:smarttags" w:element="country-region">
        <w:r>
          <w:rPr>
            <w:rFonts w:ascii="Arial" w:hAnsi="Arial" w:cs="Arial"/>
            <w:sz w:val="20"/>
          </w:rPr>
          <w:t>U.K.</w:t>
        </w:r>
      </w:smartTag>
      <w:r>
        <w:rPr>
          <w:rFonts w:ascii="Arial" w:hAnsi="Arial" w:cs="Arial"/>
          <w:sz w:val="20"/>
        </w:rPr>
        <w:t xml:space="preserve"> before the age of 6 months, despite the fact that their background prior to </w:t>
      </w:r>
      <w:smartTag w:uri="urn:schemas-microsoft-com:office:smarttags" w:element="country-region">
        <w:r>
          <w:rPr>
            <w:rFonts w:ascii="Arial" w:hAnsi="Arial" w:cs="Arial"/>
            <w:sz w:val="20"/>
          </w:rPr>
          <w:t>U.K.</w:t>
        </w:r>
      </w:smartTag>
      <w:r>
        <w:rPr>
          <w:rFonts w:ascii="Arial" w:hAnsi="Arial" w:cs="Arial"/>
          <w:sz w:val="20"/>
        </w:rPr>
        <w:t xml:space="preserve"> entry was similar to the children who came to the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 xml:space="preserve"> when older.  The developmental catch-up was also impressive, but not complete, in those placed after 6 months of age.  The mean McCarthy General Cognitive Index was 92 </w:t>
      </w:r>
      <w:r w:rsidR="0073125B">
        <w:rPr>
          <w:rFonts w:ascii="Arial" w:hAnsi="Arial" w:cs="Arial"/>
          <w:sz w:val="20"/>
        </w:rPr>
        <w:t>co</w:t>
      </w:r>
      <w:r>
        <w:rPr>
          <w:rFonts w:ascii="Arial" w:hAnsi="Arial" w:cs="Arial"/>
          <w:sz w:val="20"/>
        </w:rPr>
        <w:t xml:space="preserve">mpared with 109 for the within-U.K. adoptees.  The strongest predictor of level of cognitive functioning at 4 years was the children's age at entry to the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 xml:space="preserve">  It was concluded that the remaining cognitive deficit was likely to be a consequence of gross early privation, with psychological privation probably more important that nutritional privation.  A further follow-up at age 6 years will determine whether there is continuing recovery after 4 years.</w:t>
      </w:r>
    </w:p>
    <w:p w14:paraId="3E126A4B" w14:textId="77777777" w:rsidR="00693223" w:rsidRDefault="00693223">
      <w:pPr>
        <w:rPr>
          <w:rFonts w:ascii="Arial" w:hAnsi="Arial" w:cs="Arial"/>
          <w:sz w:val="20"/>
        </w:rPr>
      </w:pPr>
    </w:p>
    <w:p w14:paraId="63848288"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F10</w:t>
      </w:r>
    </w:p>
    <w:p w14:paraId="6D907997" w14:textId="77777777" w:rsidR="00693223" w:rsidRDefault="00693223">
      <w:pPr>
        <w:jc w:val="both"/>
        <w:rPr>
          <w:rFonts w:ascii="Arial" w:hAnsi="Arial" w:cs="Arial"/>
          <w:b/>
          <w:bCs/>
          <w:sz w:val="32"/>
        </w:rPr>
      </w:pPr>
      <w:r>
        <w:rPr>
          <w:rFonts w:ascii="Arial" w:hAnsi="Arial" w:cs="Arial"/>
          <w:b/>
          <w:bCs/>
        </w:rPr>
        <w:t>Attention Deficit Hyperactivity Disorder in Children: A Guide to Best Practice for Psychologists</w:t>
      </w:r>
    </w:p>
    <w:p w14:paraId="5A957C0E" w14:textId="77777777" w:rsidR="00693223" w:rsidRDefault="00693223">
      <w:pPr>
        <w:jc w:val="both"/>
        <w:rPr>
          <w:rFonts w:ascii="Arial" w:hAnsi="Arial" w:cs="Arial"/>
          <w:sz w:val="20"/>
        </w:rPr>
      </w:pPr>
      <w:r>
        <w:rPr>
          <w:rFonts w:ascii="Arial" w:hAnsi="Arial" w:cs="Arial"/>
          <w:sz w:val="20"/>
        </w:rPr>
        <w:t xml:space="preserve">Dr Alison Garton, Dr Vicki Anderson, Ms Janine </w:t>
      </w:r>
      <w:proofErr w:type="spellStart"/>
      <w:r>
        <w:rPr>
          <w:rFonts w:ascii="Arial" w:hAnsi="Arial" w:cs="Arial"/>
          <w:sz w:val="20"/>
        </w:rPr>
        <w:t>Farrelly</w:t>
      </w:r>
      <w:proofErr w:type="spellEnd"/>
      <w:r>
        <w:rPr>
          <w:rFonts w:ascii="Arial" w:hAnsi="Arial" w:cs="Arial"/>
          <w:sz w:val="20"/>
        </w:rPr>
        <w:t xml:space="preserve">, Mr Ric </w:t>
      </w:r>
      <w:proofErr w:type="spellStart"/>
      <w:r>
        <w:rPr>
          <w:rFonts w:ascii="Arial" w:hAnsi="Arial" w:cs="Arial"/>
          <w:sz w:val="20"/>
        </w:rPr>
        <w:t>Pawsley</w:t>
      </w:r>
      <w:proofErr w:type="spellEnd"/>
      <w:r>
        <w:rPr>
          <w:rFonts w:ascii="Arial" w:hAnsi="Arial" w:cs="Arial"/>
          <w:sz w:val="20"/>
        </w:rPr>
        <w:t xml:space="preserve"> and Ms Jennifer Standish with additional expertise provided by Assoc Prof Ann </w:t>
      </w:r>
      <w:proofErr w:type="spellStart"/>
      <w:r>
        <w:rPr>
          <w:rFonts w:ascii="Arial" w:hAnsi="Arial" w:cs="Arial"/>
          <w:sz w:val="20"/>
        </w:rPr>
        <w:t>Sanson</w:t>
      </w:r>
      <w:proofErr w:type="spellEnd"/>
    </w:p>
    <w:p w14:paraId="33C51C00" w14:textId="77777777" w:rsidR="00693223" w:rsidRDefault="00693223">
      <w:pPr>
        <w:jc w:val="both"/>
        <w:rPr>
          <w:rFonts w:ascii="Arial" w:hAnsi="Arial" w:cs="Arial"/>
          <w:sz w:val="20"/>
        </w:rPr>
      </w:pPr>
      <w:r>
        <w:rPr>
          <w:rFonts w:ascii="Arial" w:hAnsi="Arial" w:cs="Arial"/>
          <w:sz w:val="20"/>
        </w:rPr>
        <w:t>A Position Paper prepared for the Australian Psychological Society Ltd, June 1997</w:t>
      </w:r>
    </w:p>
    <w:p w14:paraId="2BCFE998" w14:textId="77777777" w:rsidR="00693223" w:rsidRDefault="00693223">
      <w:pPr>
        <w:spacing w:before="120"/>
        <w:jc w:val="both"/>
        <w:rPr>
          <w:rFonts w:ascii="Arial" w:hAnsi="Arial" w:cs="Arial"/>
          <w:sz w:val="20"/>
        </w:rPr>
      </w:pPr>
      <w:r>
        <w:rPr>
          <w:rFonts w:ascii="Arial" w:hAnsi="Arial" w:cs="Arial"/>
          <w:sz w:val="20"/>
        </w:rPr>
        <w:t xml:space="preserve">This Position Paper summarises evidence on the aetiology, prevalence, diagnosis and treatment of Attention deficit Hyperactivity Disorder (ADHD) and provides recommended practice advice to psychologists on the management and coordination of treatment and intervention for children, based on the differential diagnosis of ADHD.  It is recommended that diagnosis should be based on multiple informants (parents/caregivers, teachers, medical and psychological professionals), in multiple contexts (home, school, playground) and on multiple methods (psychological test batteries, observation, completion of checklists by multiple </w:t>
      </w:r>
      <w:proofErr w:type="spellStart"/>
      <w:r>
        <w:rPr>
          <w:rFonts w:ascii="Arial" w:hAnsi="Arial" w:cs="Arial"/>
          <w:sz w:val="20"/>
        </w:rPr>
        <w:t>raters</w:t>
      </w:r>
      <w:proofErr w:type="spellEnd"/>
      <w:r>
        <w:rPr>
          <w:rFonts w:ascii="Arial" w:hAnsi="Arial" w:cs="Arial"/>
          <w:sz w:val="20"/>
        </w:rPr>
        <w:t>).  Assessment should also include daily functioning and the effect the behavioural difficulties are having on the child and other around him or her.  Early identification permits early intervention, itself proven to enhance longer term outcomes.  Management of ADHD includes sharing of information between relevant professionals and an understanding of how best to help each child.  Educational, developmental, clinical and clinic neuro-psychologists all have roles to play in the assessment, diagnosis, treatment and intervention with ADHD children as well as in the evaluation of the effectiveness of any treatment or intervention.  This Position Paper describes best practice for any psychologist working with, or advising on, children with ADHD.</w:t>
      </w:r>
    </w:p>
    <w:p w14:paraId="62412B88" w14:textId="77777777" w:rsidR="00693223" w:rsidRDefault="00693223">
      <w:pPr>
        <w:rPr>
          <w:rFonts w:ascii="Arial" w:hAnsi="Arial" w:cs="Arial"/>
          <w:sz w:val="20"/>
        </w:rPr>
      </w:pPr>
    </w:p>
    <w:p w14:paraId="792FECE6"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F11</w:t>
      </w:r>
    </w:p>
    <w:p w14:paraId="3EA0345B" w14:textId="77777777" w:rsidR="00693223" w:rsidRDefault="00693223">
      <w:pPr>
        <w:jc w:val="both"/>
        <w:rPr>
          <w:rFonts w:ascii="Arial" w:hAnsi="Arial" w:cs="Arial"/>
          <w:b/>
          <w:bCs/>
          <w:sz w:val="32"/>
        </w:rPr>
      </w:pPr>
      <w:r>
        <w:rPr>
          <w:rFonts w:ascii="Arial" w:hAnsi="Arial" w:cs="Arial"/>
          <w:b/>
          <w:bCs/>
        </w:rPr>
        <w:t>Neurofeedback and the Courts</w:t>
      </w:r>
    </w:p>
    <w:p w14:paraId="23056A31" w14:textId="77777777" w:rsidR="00693223" w:rsidRDefault="00693223">
      <w:pPr>
        <w:jc w:val="both"/>
        <w:rPr>
          <w:rFonts w:ascii="Arial" w:hAnsi="Arial" w:cs="Arial"/>
          <w:sz w:val="20"/>
        </w:rPr>
      </w:pPr>
      <w:r>
        <w:rPr>
          <w:rFonts w:ascii="Arial" w:hAnsi="Arial" w:cs="Arial"/>
          <w:sz w:val="20"/>
        </w:rPr>
        <w:t>Dr Moshe Perl (psychologist)</w:t>
      </w:r>
    </w:p>
    <w:p w14:paraId="21C79931" w14:textId="77777777" w:rsidR="00693223" w:rsidRDefault="00693223">
      <w:pPr>
        <w:jc w:val="both"/>
        <w:rPr>
          <w:rFonts w:ascii="Arial" w:hAnsi="Arial" w:cs="Arial"/>
          <w:sz w:val="20"/>
        </w:rPr>
      </w:pPr>
      <w:r>
        <w:rPr>
          <w:rFonts w:ascii="Arial" w:hAnsi="Arial" w:cs="Arial"/>
          <w:sz w:val="20"/>
        </w:rPr>
        <w:t xml:space="preserve">Notes of a seminar for magistrates held on </w:t>
      </w:r>
      <w:smartTag w:uri="urn:schemas-microsoft-com:office:smarttags" w:element="date">
        <w:smartTagPr>
          <w:attr w:name="Year" w:val="2002"/>
          <w:attr w:name="Day" w:val="14"/>
          <w:attr w:name="Month" w:val="2"/>
        </w:smartTagPr>
        <w:r>
          <w:rPr>
            <w:rFonts w:ascii="Arial" w:hAnsi="Arial" w:cs="Arial"/>
            <w:sz w:val="20"/>
          </w:rPr>
          <w:t>14/02/2002</w:t>
        </w:r>
      </w:smartTag>
      <w:r>
        <w:rPr>
          <w:rFonts w:ascii="Arial" w:hAnsi="Arial" w:cs="Arial"/>
          <w:sz w:val="20"/>
        </w:rPr>
        <w:t>.</w:t>
      </w:r>
    </w:p>
    <w:p w14:paraId="014CB9E8" w14:textId="77777777" w:rsidR="00693223" w:rsidRDefault="00693223">
      <w:pPr>
        <w:spacing w:before="120"/>
        <w:jc w:val="both"/>
        <w:rPr>
          <w:rFonts w:ascii="Arial" w:hAnsi="Arial" w:cs="Arial"/>
          <w:sz w:val="20"/>
        </w:rPr>
      </w:pPr>
      <w:r>
        <w:rPr>
          <w:rFonts w:ascii="Arial" w:hAnsi="Arial" w:cs="Arial"/>
          <w:sz w:val="20"/>
        </w:rPr>
        <w:t xml:space="preserve">ADHD, a disorder characterised by impulsiveness, over-activity, short attention span and distractibility, is pervasive in the population served by the Children's Court.  It is a significant risk factor for developing antisocial behaviour, with research suggesting that upwards of 75% of prison inmates may suffer from the disorder.  Brainwave activity has been found to be useful in both the diagnosis and treatment of ADHD.  EEG </w:t>
      </w:r>
      <w:proofErr w:type="spellStart"/>
      <w:r>
        <w:rPr>
          <w:rFonts w:ascii="Arial" w:hAnsi="Arial" w:cs="Arial"/>
          <w:sz w:val="20"/>
        </w:rPr>
        <w:t>Birofeedback</w:t>
      </w:r>
      <w:proofErr w:type="spellEnd"/>
      <w:r>
        <w:rPr>
          <w:rFonts w:ascii="Arial" w:hAnsi="Arial" w:cs="Arial"/>
          <w:sz w:val="20"/>
        </w:rPr>
        <w:t xml:space="preserve"> or Neurofeedback training often significantly reduces the symptoms of ADHD on a long term basis. EEG Biofeedback provides moment to moment information about the rhythmic electrical activity from various places in the brain (EEG) and challenges the brain to modify certain components of it.  The treater is soon able to induce changes in brain wave patterns which lead to improved flexibility and stability of the brain waves in general which leads to improved flexibility and stability of behaviour in response to external demands on the person in the course of day to day activity.  </w:t>
      </w:r>
      <w:proofErr w:type="spellStart"/>
      <w:r>
        <w:rPr>
          <w:rFonts w:ascii="Arial" w:hAnsi="Arial" w:cs="Arial"/>
          <w:sz w:val="20"/>
        </w:rPr>
        <w:t>Neirofeedback</w:t>
      </w:r>
      <w:proofErr w:type="spellEnd"/>
      <w:r>
        <w:rPr>
          <w:rFonts w:ascii="Arial" w:hAnsi="Arial" w:cs="Arial"/>
          <w:sz w:val="20"/>
        </w:rPr>
        <w:t xml:space="preserve"> is able to produce significant improvement </w:t>
      </w:r>
      <w:proofErr w:type="gramStart"/>
      <w:r>
        <w:rPr>
          <w:rFonts w:ascii="Arial" w:hAnsi="Arial" w:cs="Arial"/>
          <w:sz w:val="20"/>
        </w:rPr>
        <w:t>in  symptoms</w:t>
      </w:r>
      <w:proofErr w:type="gramEnd"/>
      <w:r>
        <w:rPr>
          <w:rFonts w:ascii="Arial" w:hAnsi="Arial" w:cs="Arial"/>
          <w:sz w:val="20"/>
        </w:rPr>
        <w:t xml:space="preserve"> of epilepsy, ADHD and </w:t>
      </w:r>
      <w:r>
        <w:rPr>
          <w:rFonts w:ascii="Arial" w:hAnsi="Arial" w:cs="Arial"/>
          <w:sz w:val="20"/>
        </w:rPr>
        <w:lastRenderedPageBreak/>
        <w:t>drug addictions.  There is considerable evidence in clinical practice that it can improve a large variety of disorders, including anxiety and panic reactions, depression and sleep disorders.</w:t>
      </w:r>
    </w:p>
    <w:p w14:paraId="7784A93B" w14:textId="77777777" w:rsidR="00693223" w:rsidRDefault="00693223">
      <w:pPr>
        <w:rPr>
          <w:rFonts w:ascii="Arial" w:hAnsi="Arial" w:cs="Arial"/>
          <w:sz w:val="20"/>
        </w:rPr>
      </w:pPr>
    </w:p>
    <w:p w14:paraId="375D463B"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F12</w:t>
      </w:r>
    </w:p>
    <w:p w14:paraId="105C05F3" w14:textId="77777777" w:rsidR="00693223" w:rsidRDefault="00693223">
      <w:pPr>
        <w:keepNext/>
        <w:keepLines/>
        <w:jc w:val="both"/>
        <w:rPr>
          <w:rFonts w:ascii="Arial" w:hAnsi="Arial" w:cs="Arial"/>
          <w:b/>
          <w:bCs/>
          <w:sz w:val="32"/>
        </w:rPr>
      </w:pPr>
      <w:r>
        <w:rPr>
          <w:rFonts w:ascii="Arial" w:hAnsi="Arial" w:cs="Arial"/>
          <w:b/>
          <w:bCs/>
        </w:rPr>
        <w:t>Caring for Child Victims of Domestic Violence</w:t>
      </w:r>
    </w:p>
    <w:p w14:paraId="355CFDD1" w14:textId="77777777" w:rsidR="00693223" w:rsidRDefault="00693223">
      <w:pPr>
        <w:keepNext/>
        <w:keepLines/>
        <w:jc w:val="both"/>
        <w:rPr>
          <w:rFonts w:ascii="Arial" w:hAnsi="Arial" w:cs="Arial"/>
          <w:sz w:val="20"/>
        </w:rPr>
      </w:pPr>
      <w:r>
        <w:rPr>
          <w:rFonts w:ascii="Arial" w:hAnsi="Arial" w:cs="Arial"/>
          <w:sz w:val="20"/>
        </w:rPr>
        <w:t>Anne Blanchard</w:t>
      </w:r>
    </w:p>
    <w:p w14:paraId="4B81F9CA" w14:textId="77777777" w:rsidR="00693223" w:rsidRDefault="00693223">
      <w:pPr>
        <w:keepNext/>
        <w:keepLines/>
        <w:jc w:val="both"/>
        <w:rPr>
          <w:rFonts w:ascii="Arial" w:hAnsi="Arial" w:cs="Arial"/>
          <w:sz w:val="20"/>
        </w:rPr>
      </w:pPr>
      <w:proofErr w:type="spellStart"/>
      <w:r>
        <w:rPr>
          <w:rFonts w:ascii="Arial" w:hAnsi="Arial" w:cs="Arial"/>
          <w:sz w:val="20"/>
        </w:rPr>
        <w:t>Nandine</w:t>
      </w:r>
      <w:proofErr w:type="spellEnd"/>
      <w:r>
        <w:rPr>
          <w:rFonts w:ascii="Arial" w:hAnsi="Arial" w:cs="Arial"/>
          <w:sz w:val="20"/>
        </w:rPr>
        <w:t xml:space="preserve"> Press 1999</w:t>
      </w:r>
    </w:p>
    <w:p w14:paraId="5458A36E" w14:textId="77777777" w:rsidR="00693223" w:rsidRDefault="00693223">
      <w:pPr>
        <w:keepNext/>
        <w:keepLines/>
        <w:spacing w:before="120"/>
        <w:jc w:val="both"/>
        <w:rPr>
          <w:rFonts w:ascii="Arial" w:hAnsi="Arial" w:cs="Arial"/>
          <w:b/>
          <w:bCs/>
          <w:sz w:val="20"/>
        </w:rPr>
      </w:pPr>
      <w:r>
        <w:rPr>
          <w:rFonts w:ascii="Arial" w:hAnsi="Arial" w:cs="Arial"/>
          <w:b/>
          <w:bCs/>
          <w:sz w:val="20"/>
        </w:rPr>
        <w:t>Chapter 1: Introduction - The Effects of Domestic Violence on Children</w:t>
      </w:r>
    </w:p>
    <w:p w14:paraId="6782A620" w14:textId="77777777" w:rsidR="00693223" w:rsidRDefault="00693223">
      <w:pPr>
        <w:numPr>
          <w:ilvl w:val="0"/>
          <w:numId w:val="20"/>
        </w:numPr>
        <w:jc w:val="both"/>
        <w:rPr>
          <w:rFonts w:ascii="Arial" w:hAnsi="Arial" w:cs="Arial"/>
          <w:sz w:val="20"/>
        </w:rPr>
      </w:pPr>
      <w:r>
        <w:rPr>
          <w:rFonts w:ascii="Arial" w:hAnsi="Arial" w:cs="Arial"/>
          <w:sz w:val="20"/>
        </w:rPr>
        <w:t>How Witnessing Domestic Violence Affects Children</w:t>
      </w:r>
    </w:p>
    <w:p w14:paraId="1A2BFA6F" w14:textId="77777777" w:rsidR="00693223" w:rsidRDefault="00693223">
      <w:pPr>
        <w:numPr>
          <w:ilvl w:val="0"/>
          <w:numId w:val="20"/>
        </w:numPr>
        <w:jc w:val="both"/>
        <w:rPr>
          <w:rFonts w:ascii="Arial" w:hAnsi="Arial" w:cs="Arial"/>
          <w:sz w:val="20"/>
        </w:rPr>
      </w:pPr>
      <w:r>
        <w:rPr>
          <w:rFonts w:ascii="Arial" w:hAnsi="Arial" w:cs="Arial"/>
          <w:sz w:val="20"/>
        </w:rPr>
        <w:t>Post Traumatic Stress Disorder (PTSD)</w:t>
      </w:r>
    </w:p>
    <w:p w14:paraId="243341E1" w14:textId="77777777" w:rsidR="00693223" w:rsidRDefault="00693223">
      <w:pPr>
        <w:numPr>
          <w:ilvl w:val="0"/>
          <w:numId w:val="20"/>
        </w:numPr>
        <w:jc w:val="both"/>
        <w:rPr>
          <w:rFonts w:ascii="Arial" w:hAnsi="Arial" w:cs="Arial"/>
          <w:sz w:val="20"/>
        </w:rPr>
      </w:pPr>
      <w:r>
        <w:rPr>
          <w:rFonts w:ascii="Arial" w:hAnsi="Arial" w:cs="Arial"/>
          <w:sz w:val="20"/>
        </w:rPr>
        <w:t>Child Abuse and Domestic Violence</w:t>
      </w:r>
    </w:p>
    <w:p w14:paraId="5D730823" w14:textId="77777777" w:rsidR="00693223" w:rsidRDefault="00693223">
      <w:pPr>
        <w:numPr>
          <w:ilvl w:val="0"/>
          <w:numId w:val="20"/>
        </w:numPr>
        <w:jc w:val="both"/>
        <w:rPr>
          <w:rFonts w:ascii="Arial" w:hAnsi="Arial" w:cs="Arial"/>
          <w:sz w:val="20"/>
        </w:rPr>
      </w:pPr>
      <w:r>
        <w:rPr>
          <w:rFonts w:ascii="Arial" w:hAnsi="Arial" w:cs="Arial"/>
          <w:sz w:val="20"/>
        </w:rPr>
        <w:t>Long Term Effects</w:t>
      </w:r>
    </w:p>
    <w:p w14:paraId="210C17C9" w14:textId="77777777" w:rsidR="00693223" w:rsidRDefault="00693223">
      <w:pPr>
        <w:numPr>
          <w:ilvl w:val="0"/>
          <w:numId w:val="20"/>
        </w:numPr>
        <w:jc w:val="both"/>
        <w:rPr>
          <w:rFonts w:ascii="Arial" w:hAnsi="Arial" w:cs="Arial"/>
          <w:sz w:val="20"/>
        </w:rPr>
      </w:pPr>
      <w:r>
        <w:rPr>
          <w:rFonts w:ascii="Arial" w:hAnsi="Arial" w:cs="Arial"/>
          <w:sz w:val="20"/>
        </w:rPr>
        <w:t>Working with Traumatised Children</w:t>
      </w:r>
    </w:p>
    <w:p w14:paraId="67F9312A" w14:textId="77777777" w:rsidR="00693223" w:rsidRDefault="00693223">
      <w:pPr>
        <w:numPr>
          <w:ilvl w:val="0"/>
          <w:numId w:val="20"/>
        </w:numPr>
        <w:jc w:val="both"/>
        <w:rPr>
          <w:rFonts w:ascii="Arial" w:hAnsi="Arial" w:cs="Arial"/>
          <w:sz w:val="20"/>
        </w:rPr>
      </w:pPr>
      <w:r>
        <w:rPr>
          <w:rFonts w:ascii="Arial" w:hAnsi="Arial" w:cs="Arial"/>
          <w:sz w:val="20"/>
        </w:rPr>
        <w:t>The Focus on Children as Well as Women</w:t>
      </w:r>
    </w:p>
    <w:p w14:paraId="5DE00C78" w14:textId="77777777" w:rsidR="00693223" w:rsidRDefault="00693223">
      <w:pPr>
        <w:jc w:val="both"/>
        <w:rPr>
          <w:rFonts w:ascii="Arial" w:hAnsi="Arial" w:cs="Arial"/>
          <w:b/>
          <w:bCs/>
          <w:sz w:val="20"/>
        </w:rPr>
      </w:pPr>
      <w:r>
        <w:rPr>
          <w:rFonts w:ascii="Arial" w:hAnsi="Arial" w:cs="Arial"/>
          <w:b/>
          <w:bCs/>
          <w:sz w:val="20"/>
        </w:rPr>
        <w:t>Chapter 2: Children's Experience of Domestic Violence</w:t>
      </w:r>
    </w:p>
    <w:p w14:paraId="774B4D3A" w14:textId="77777777" w:rsidR="00693223" w:rsidRDefault="00693223">
      <w:pPr>
        <w:numPr>
          <w:ilvl w:val="0"/>
          <w:numId w:val="20"/>
        </w:numPr>
        <w:jc w:val="both"/>
        <w:rPr>
          <w:rFonts w:ascii="Arial" w:hAnsi="Arial" w:cs="Arial"/>
          <w:sz w:val="20"/>
        </w:rPr>
      </w:pPr>
      <w:r>
        <w:rPr>
          <w:rFonts w:ascii="Arial" w:hAnsi="Arial" w:cs="Arial"/>
          <w:sz w:val="20"/>
        </w:rPr>
        <w:t>Children's Experience of Domestic Violence</w:t>
      </w:r>
    </w:p>
    <w:p w14:paraId="1EDEB105" w14:textId="77777777" w:rsidR="00693223" w:rsidRDefault="00693223">
      <w:pPr>
        <w:numPr>
          <w:ilvl w:val="0"/>
          <w:numId w:val="20"/>
        </w:numPr>
        <w:jc w:val="both"/>
        <w:rPr>
          <w:rFonts w:ascii="Arial" w:hAnsi="Arial" w:cs="Arial"/>
          <w:sz w:val="20"/>
        </w:rPr>
      </w:pPr>
      <w:r>
        <w:rPr>
          <w:rFonts w:ascii="Arial" w:hAnsi="Arial" w:cs="Arial"/>
          <w:sz w:val="20"/>
        </w:rPr>
        <w:t xml:space="preserve">The </w:t>
      </w:r>
      <w:smartTag w:uri="urn:schemas-microsoft-com:office:smarttags" w:element="place">
        <w:smartTag w:uri="urn:schemas-microsoft-com:office:smarttags" w:element="PlaceType">
          <w:r>
            <w:rPr>
              <w:rFonts w:ascii="Arial" w:hAnsi="Arial" w:cs="Arial"/>
              <w:sz w:val="20"/>
            </w:rPr>
            <w:t>Range</w:t>
          </w:r>
        </w:smartTag>
        <w:r>
          <w:rPr>
            <w:rFonts w:ascii="Arial" w:hAnsi="Arial" w:cs="Arial"/>
            <w:sz w:val="20"/>
          </w:rPr>
          <w:t xml:space="preserve"> of </w:t>
        </w:r>
        <w:smartTag w:uri="urn:schemas-microsoft-com:office:smarttags" w:element="PlaceName">
          <w:r>
            <w:rPr>
              <w:rFonts w:ascii="Arial" w:hAnsi="Arial" w:cs="Arial"/>
              <w:sz w:val="20"/>
            </w:rPr>
            <w:t>Violence</w:t>
          </w:r>
        </w:smartTag>
      </w:smartTag>
    </w:p>
    <w:p w14:paraId="6039C589" w14:textId="77777777" w:rsidR="00693223" w:rsidRDefault="00693223">
      <w:pPr>
        <w:numPr>
          <w:ilvl w:val="0"/>
          <w:numId w:val="20"/>
        </w:numPr>
        <w:jc w:val="both"/>
        <w:rPr>
          <w:rFonts w:ascii="Arial" w:hAnsi="Arial" w:cs="Arial"/>
          <w:sz w:val="20"/>
        </w:rPr>
      </w:pPr>
      <w:r>
        <w:rPr>
          <w:rFonts w:ascii="Arial" w:hAnsi="Arial" w:cs="Arial"/>
          <w:sz w:val="20"/>
        </w:rPr>
        <w:t>What do Children Feel About the Violence?</w:t>
      </w:r>
    </w:p>
    <w:p w14:paraId="235C05DE" w14:textId="77777777" w:rsidR="00693223" w:rsidRDefault="00693223">
      <w:pPr>
        <w:numPr>
          <w:ilvl w:val="0"/>
          <w:numId w:val="20"/>
        </w:numPr>
        <w:jc w:val="both"/>
        <w:rPr>
          <w:rFonts w:ascii="Arial" w:hAnsi="Arial" w:cs="Arial"/>
          <w:sz w:val="20"/>
        </w:rPr>
      </w:pPr>
      <w:r>
        <w:rPr>
          <w:rFonts w:ascii="Arial" w:hAnsi="Arial" w:cs="Arial"/>
          <w:sz w:val="20"/>
        </w:rPr>
        <w:t>How Children Feel About Their Mothers and Fathers</w:t>
      </w:r>
    </w:p>
    <w:p w14:paraId="1C59DB1C" w14:textId="77777777" w:rsidR="00693223" w:rsidRDefault="00693223">
      <w:pPr>
        <w:numPr>
          <w:ilvl w:val="0"/>
          <w:numId w:val="20"/>
        </w:numPr>
        <w:jc w:val="both"/>
        <w:rPr>
          <w:rFonts w:ascii="Arial" w:hAnsi="Arial" w:cs="Arial"/>
          <w:sz w:val="20"/>
        </w:rPr>
      </w:pPr>
      <w:r>
        <w:rPr>
          <w:rFonts w:ascii="Arial" w:hAnsi="Arial" w:cs="Arial"/>
          <w:sz w:val="20"/>
        </w:rPr>
        <w:t>How Children Survive</w:t>
      </w:r>
    </w:p>
    <w:p w14:paraId="3E378342" w14:textId="77777777" w:rsidR="00693223" w:rsidRDefault="00693223">
      <w:pPr>
        <w:numPr>
          <w:ilvl w:val="0"/>
          <w:numId w:val="20"/>
        </w:numPr>
        <w:jc w:val="both"/>
        <w:rPr>
          <w:rFonts w:ascii="Arial" w:hAnsi="Arial" w:cs="Arial"/>
          <w:sz w:val="20"/>
        </w:rPr>
      </w:pPr>
      <w:r>
        <w:rPr>
          <w:rFonts w:ascii="Arial" w:hAnsi="Arial" w:cs="Arial"/>
          <w:sz w:val="20"/>
        </w:rPr>
        <w:t>A Message for People Working with Traumatised Children</w:t>
      </w:r>
    </w:p>
    <w:p w14:paraId="72B35CC1" w14:textId="77777777" w:rsidR="00693223" w:rsidRDefault="00693223">
      <w:pPr>
        <w:rPr>
          <w:rFonts w:ascii="Arial" w:hAnsi="Arial" w:cs="Arial"/>
          <w:sz w:val="20"/>
        </w:rPr>
      </w:pPr>
    </w:p>
    <w:p w14:paraId="65FA59E3" w14:textId="77777777" w:rsidR="00693223" w:rsidRDefault="00693223">
      <w:pPr>
        <w:keepLines/>
        <w:ind w:left="720" w:hanging="720"/>
        <w:jc w:val="both"/>
        <w:rPr>
          <w:rFonts w:ascii="Arial" w:hAnsi="Arial" w:cs="Arial"/>
          <w:b/>
          <w:bCs/>
          <w:sz w:val="28"/>
          <w:bdr w:val="single" w:sz="4" w:space="0" w:color="auto"/>
        </w:rPr>
      </w:pPr>
      <w:r>
        <w:rPr>
          <w:rFonts w:ascii="Arial" w:hAnsi="Arial" w:cs="Arial"/>
          <w:b/>
          <w:bCs/>
          <w:sz w:val="28"/>
        </w:rPr>
        <w:t>F13</w:t>
      </w:r>
    </w:p>
    <w:p w14:paraId="50574A62" w14:textId="77777777" w:rsidR="00693223" w:rsidRDefault="00693223">
      <w:pPr>
        <w:keepLines/>
        <w:jc w:val="both"/>
        <w:rPr>
          <w:rFonts w:ascii="Arial" w:hAnsi="Arial" w:cs="Arial"/>
          <w:b/>
          <w:bCs/>
          <w:sz w:val="32"/>
        </w:rPr>
      </w:pPr>
      <w:r>
        <w:rPr>
          <w:rFonts w:ascii="Arial" w:hAnsi="Arial" w:cs="Arial"/>
          <w:b/>
          <w:bCs/>
        </w:rPr>
        <w:t>Findings: Pre and Post Separation Abuse of Women &amp; Children</w:t>
      </w:r>
    </w:p>
    <w:p w14:paraId="3FCD612D" w14:textId="77777777" w:rsidR="00693223" w:rsidRDefault="00693223">
      <w:pPr>
        <w:keepLines/>
        <w:jc w:val="both"/>
        <w:rPr>
          <w:rFonts w:ascii="Arial" w:hAnsi="Arial" w:cs="Arial"/>
          <w:sz w:val="20"/>
        </w:rPr>
      </w:pPr>
      <w:r>
        <w:rPr>
          <w:rFonts w:ascii="Arial" w:hAnsi="Arial" w:cs="Arial"/>
          <w:sz w:val="20"/>
        </w:rPr>
        <w:t xml:space="preserve">Rendell, K, </w:t>
      </w:r>
      <w:proofErr w:type="spellStart"/>
      <w:r>
        <w:rPr>
          <w:rFonts w:ascii="Arial" w:hAnsi="Arial" w:cs="Arial"/>
          <w:sz w:val="20"/>
        </w:rPr>
        <w:t>Rathus</w:t>
      </w:r>
      <w:proofErr w:type="spellEnd"/>
      <w:r>
        <w:rPr>
          <w:rFonts w:ascii="Arial" w:hAnsi="Arial" w:cs="Arial"/>
          <w:sz w:val="20"/>
        </w:rPr>
        <w:t>, Z &amp; Lynch A. (2000)</w:t>
      </w:r>
    </w:p>
    <w:p w14:paraId="4515D171" w14:textId="77777777" w:rsidR="00693223" w:rsidRDefault="00693223">
      <w:pPr>
        <w:keepLines/>
        <w:jc w:val="both"/>
        <w:rPr>
          <w:rFonts w:ascii="Arial" w:hAnsi="Arial" w:cs="Arial"/>
          <w:sz w:val="20"/>
        </w:rPr>
      </w:pPr>
      <w:r>
        <w:rPr>
          <w:rFonts w:ascii="Arial" w:hAnsi="Arial" w:cs="Arial"/>
          <w:i/>
          <w:iCs/>
          <w:sz w:val="20"/>
        </w:rPr>
        <w:t>An Unacceptable Risk: A Report on Child Contact arrangements where there is Violence in the Family.</w:t>
      </w:r>
    </w:p>
    <w:p w14:paraId="7110AA93" w14:textId="77777777" w:rsidR="00693223" w:rsidRDefault="00693223">
      <w:pPr>
        <w:spacing w:before="120"/>
        <w:jc w:val="both"/>
        <w:rPr>
          <w:rFonts w:ascii="Arial" w:hAnsi="Arial" w:cs="Arial"/>
          <w:sz w:val="20"/>
        </w:rPr>
      </w:pPr>
      <w:r>
        <w:rPr>
          <w:rFonts w:ascii="Arial" w:hAnsi="Arial" w:cs="Arial"/>
          <w:sz w:val="20"/>
        </w:rPr>
        <w:t>This chapter presents research results about pre- &amp; post- separation abuse of women &amp; children</w:t>
      </w:r>
    </w:p>
    <w:p w14:paraId="276CB108" w14:textId="77777777" w:rsidR="00693223" w:rsidRDefault="00693223">
      <w:pPr>
        <w:rPr>
          <w:rFonts w:ascii="Arial" w:hAnsi="Arial" w:cs="Arial"/>
          <w:sz w:val="20"/>
        </w:rPr>
      </w:pPr>
    </w:p>
    <w:p w14:paraId="0FD03B7A"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F14</w:t>
      </w:r>
    </w:p>
    <w:p w14:paraId="42867A4E" w14:textId="77777777" w:rsidR="00693223" w:rsidRDefault="00693223">
      <w:pPr>
        <w:keepNext/>
        <w:keepLines/>
        <w:jc w:val="both"/>
        <w:rPr>
          <w:rFonts w:ascii="Arial" w:hAnsi="Arial" w:cs="Arial"/>
          <w:b/>
          <w:bCs/>
          <w:sz w:val="32"/>
        </w:rPr>
      </w:pPr>
      <w:r>
        <w:rPr>
          <w:rFonts w:ascii="Arial" w:hAnsi="Arial" w:cs="Arial"/>
          <w:b/>
          <w:bCs/>
        </w:rPr>
        <w:t>Domestic Violence and Child Protection</w:t>
      </w:r>
    </w:p>
    <w:p w14:paraId="3C0EEB03" w14:textId="77777777" w:rsidR="00693223" w:rsidRDefault="00693223">
      <w:pPr>
        <w:keepNext/>
        <w:keepLines/>
        <w:jc w:val="both"/>
        <w:rPr>
          <w:rFonts w:ascii="Arial" w:hAnsi="Arial" w:cs="Arial"/>
          <w:sz w:val="20"/>
        </w:rPr>
      </w:pPr>
      <w:r>
        <w:rPr>
          <w:rFonts w:ascii="Arial" w:hAnsi="Arial" w:cs="Arial"/>
          <w:sz w:val="20"/>
        </w:rPr>
        <w:t xml:space="preserve">Domestic Violence Resource Centre, </w:t>
      </w:r>
      <w:smartTag w:uri="urn:schemas-microsoft-com:office:smarttags" w:element="State">
        <w:smartTag w:uri="urn:schemas-microsoft-com:office:smarttags" w:element="place">
          <w:r>
            <w:rPr>
              <w:rFonts w:ascii="Arial" w:hAnsi="Arial" w:cs="Arial"/>
              <w:sz w:val="20"/>
            </w:rPr>
            <w:t>Queensland</w:t>
          </w:r>
        </w:smartTag>
      </w:smartTag>
    </w:p>
    <w:p w14:paraId="235AA26A" w14:textId="77777777" w:rsidR="00693223" w:rsidRDefault="00693223">
      <w:pPr>
        <w:keepNext/>
        <w:keepLines/>
        <w:jc w:val="both"/>
        <w:rPr>
          <w:rFonts w:ascii="Arial" w:hAnsi="Arial" w:cs="Arial"/>
          <w:sz w:val="20"/>
        </w:rPr>
      </w:pPr>
      <w:r>
        <w:rPr>
          <w:rFonts w:ascii="Arial" w:hAnsi="Arial" w:cs="Arial"/>
          <w:sz w:val="20"/>
        </w:rPr>
        <w:t>Critical Directions Monograph Series Vol.1, No.1 June 2001</w:t>
      </w:r>
    </w:p>
    <w:p w14:paraId="67158B8E" w14:textId="77777777" w:rsidR="00693223" w:rsidRDefault="00693223">
      <w:pPr>
        <w:spacing w:before="120"/>
        <w:jc w:val="both"/>
        <w:rPr>
          <w:rFonts w:ascii="Arial" w:hAnsi="Arial" w:cs="Arial"/>
          <w:sz w:val="20"/>
        </w:rPr>
      </w:pPr>
      <w:r>
        <w:rPr>
          <w:rFonts w:ascii="Arial" w:hAnsi="Arial" w:cs="Arial"/>
          <w:sz w:val="20"/>
        </w:rPr>
        <w:t>This paper provides an overview of research into the interface between domestic violence and child protection and adopts a critical view of current intervention strategies.  The paper asserts that the effective protection of children in violent families will be better achieved through appropriate intervention that both acknowledges and addresses the domestic violence.  Finally the paper looks at a collaborative, coordinated response from both domestic violence and child protection workers.  The paper is divided into the following sections:</w:t>
      </w:r>
    </w:p>
    <w:p w14:paraId="4097B8A1" w14:textId="77777777" w:rsidR="00693223" w:rsidRDefault="00693223">
      <w:pPr>
        <w:numPr>
          <w:ilvl w:val="0"/>
          <w:numId w:val="20"/>
        </w:numPr>
        <w:jc w:val="both"/>
        <w:rPr>
          <w:rFonts w:ascii="Arial" w:hAnsi="Arial" w:cs="Arial"/>
          <w:sz w:val="20"/>
        </w:rPr>
      </w:pPr>
      <w:r>
        <w:rPr>
          <w:rFonts w:ascii="Arial" w:hAnsi="Arial" w:cs="Arial"/>
          <w:sz w:val="20"/>
        </w:rPr>
        <w:t>Direct Abuse of Children</w:t>
      </w:r>
    </w:p>
    <w:p w14:paraId="1792BD80" w14:textId="77777777" w:rsidR="00693223" w:rsidRDefault="00693223">
      <w:pPr>
        <w:numPr>
          <w:ilvl w:val="0"/>
          <w:numId w:val="20"/>
        </w:numPr>
        <w:jc w:val="both"/>
        <w:rPr>
          <w:rFonts w:ascii="Arial" w:hAnsi="Arial" w:cs="Arial"/>
          <w:sz w:val="20"/>
        </w:rPr>
      </w:pPr>
      <w:r>
        <w:rPr>
          <w:rFonts w:ascii="Arial" w:hAnsi="Arial" w:cs="Arial"/>
          <w:sz w:val="20"/>
        </w:rPr>
        <w:t>Who is the Perpetrator?  Who should be held Accountable?  Who pays the price under the current system of intervention?</w:t>
      </w:r>
    </w:p>
    <w:p w14:paraId="737C9623" w14:textId="77777777" w:rsidR="00693223" w:rsidRDefault="00693223">
      <w:pPr>
        <w:numPr>
          <w:ilvl w:val="0"/>
          <w:numId w:val="20"/>
        </w:numPr>
        <w:jc w:val="both"/>
        <w:rPr>
          <w:rFonts w:ascii="Arial" w:hAnsi="Arial" w:cs="Arial"/>
          <w:sz w:val="20"/>
        </w:rPr>
      </w:pPr>
      <w:r>
        <w:rPr>
          <w:rFonts w:ascii="Arial" w:hAnsi="Arial" w:cs="Arial"/>
          <w:sz w:val="20"/>
        </w:rPr>
        <w:t>Effects of Domestic Violence on Women</w:t>
      </w:r>
    </w:p>
    <w:p w14:paraId="0D98B73A" w14:textId="77777777" w:rsidR="00693223" w:rsidRDefault="00693223">
      <w:pPr>
        <w:numPr>
          <w:ilvl w:val="0"/>
          <w:numId w:val="20"/>
        </w:numPr>
        <w:jc w:val="both"/>
        <w:rPr>
          <w:rFonts w:ascii="Arial" w:hAnsi="Arial" w:cs="Arial"/>
          <w:sz w:val="20"/>
        </w:rPr>
      </w:pPr>
      <w:r>
        <w:rPr>
          <w:rFonts w:ascii="Arial" w:hAnsi="Arial" w:cs="Arial"/>
          <w:sz w:val="20"/>
        </w:rPr>
        <w:t>Effects of Domestic Violence on Children</w:t>
      </w:r>
    </w:p>
    <w:p w14:paraId="36B9DEF3" w14:textId="77777777" w:rsidR="00693223" w:rsidRDefault="00693223">
      <w:pPr>
        <w:numPr>
          <w:ilvl w:val="0"/>
          <w:numId w:val="20"/>
        </w:numPr>
        <w:jc w:val="both"/>
        <w:rPr>
          <w:rFonts w:ascii="Arial" w:hAnsi="Arial" w:cs="Arial"/>
          <w:sz w:val="20"/>
        </w:rPr>
      </w:pPr>
      <w:r>
        <w:rPr>
          <w:rFonts w:ascii="Arial" w:hAnsi="Arial" w:cs="Arial"/>
          <w:sz w:val="20"/>
        </w:rPr>
        <w:t>Mothers' Protective Behaviours for their Children</w:t>
      </w:r>
    </w:p>
    <w:p w14:paraId="13AAD092" w14:textId="77777777" w:rsidR="00693223" w:rsidRDefault="00693223">
      <w:pPr>
        <w:numPr>
          <w:ilvl w:val="0"/>
          <w:numId w:val="20"/>
        </w:numPr>
        <w:jc w:val="both"/>
        <w:rPr>
          <w:rFonts w:ascii="Arial" w:hAnsi="Arial" w:cs="Arial"/>
          <w:sz w:val="20"/>
        </w:rPr>
      </w:pPr>
      <w:r>
        <w:rPr>
          <w:rFonts w:ascii="Arial" w:hAnsi="Arial" w:cs="Arial"/>
          <w:sz w:val="20"/>
        </w:rPr>
        <w:t>When Women Separate from their Violent Partners</w:t>
      </w:r>
    </w:p>
    <w:p w14:paraId="1B101EAC" w14:textId="77777777" w:rsidR="00693223" w:rsidRDefault="00693223">
      <w:pPr>
        <w:numPr>
          <w:ilvl w:val="0"/>
          <w:numId w:val="20"/>
        </w:numPr>
        <w:jc w:val="both"/>
        <w:rPr>
          <w:rFonts w:ascii="Arial" w:hAnsi="Arial" w:cs="Arial"/>
          <w:sz w:val="20"/>
        </w:rPr>
      </w:pPr>
      <w:r>
        <w:rPr>
          <w:rFonts w:ascii="Arial" w:hAnsi="Arial" w:cs="Arial"/>
          <w:sz w:val="20"/>
        </w:rPr>
        <w:t>What has been done to protect children?  How can the response be improved?</w:t>
      </w:r>
    </w:p>
    <w:p w14:paraId="547577B6" w14:textId="77777777" w:rsidR="00693223" w:rsidRDefault="00693223">
      <w:pPr>
        <w:rPr>
          <w:rFonts w:ascii="Arial" w:hAnsi="Arial" w:cs="Arial"/>
          <w:sz w:val="20"/>
        </w:rPr>
      </w:pPr>
    </w:p>
    <w:p w14:paraId="397E690B" w14:textId="77777777" w:rsidR="00693223" w:rsidRDefault="00693223" w:rsidP="002F5929">
      <w:pPr>
        <w:ind w:left="720" w:hanging="720"/>
        <w:jc w:val="both"/>
        <w:rPr>
          <w:rFonts w:ascii="Arial" w:hAnsi="Arial" w:cs="Arial"/>
          <w:b/>
          <w:bCs/>
        </w:rPr>
      </w:pPr>
      <w:r>
        <w:rPr>
          <w:rFonts w:ascii="Arial" w:hAnsi="Arial" w:cs="Arial"/>
          <w:b/>
          <w:bCs/>
          <w:sz w:val="28"/>
        </w:rPr>
        <w:t>F15</w:t>
      </w:r>
    </w:p>
    <w:p w14:paraId="4190A25D" w14:textId="77777777" w:rsidR="00693223" w:rsidRDefault="00693223" w:rsidP="002F5929">
      <w:pPr>
        <w:jc w:val="both"/>
        <w:rPr>
          <w:rFonts w:ascii="Arial" w:hAnsi="Arial" w:cs="Arial"/>
          <w:b/>
          <w:bCs/>
          <w:sz w:val="32"/>
        </w:rPr>
      </w:pPr>
      <w:r>
        <w:rPr>
          <w:rFonts w:ascii="Arial" w:hAnsi="Arial" w:cs="Arial"/>
          <w:b/>
          <w:bCs/>
        </w:rPr>
        <w:t>Potential Impacts of Domestic Violence at Different Developmental Stages</w:t>
      </w:r>
    </w:p>
    <w:p w14:paraId="64B19BAE" w14:textId="77777777" w:rsidR="00693223" w:rsidRDefault="00693223" w:rsidP="002F5929">
      <w:pPr>
        <w:jc w:val="both"/>
        <w:rPr>
          <w:rFonts w:ascii="Arial" w:hAnsi="Arial" w:cs="Arial"/>
          <w:sz w:val="20"/>
        </w:rPr>
      </w:pPr>
      <w:r>
        <w:rPr>
          <w:rFonts w:ascii="Arial" w:hAnsi="Arial" w:cs="Arial"/>
          <w:sz w:val="20"/>
        </w:rPr>
        <w:t>Linda L Baker &amp; Peter G Jaffe (Centre for Children and Families in the Justice System); Steven J Berkowitz &amp; Miriam Berkman (</w:t>
      </w:r>
      <w:smartTag w:uri="urn:schemas-microsoft-com:office:smarttags" w:element="PlaceName">
        <w:r>
          <w:rPr>
            <w:rFonts w:ascii="Arial" w:hAnsi="Arial" w:cs="Arial"/>
            <w:sz w:val="20"/>
          </w:rPr>
          <w:t>National</w:t>
        </w:r>
      </w:smartTag>
      <w:r>
        <w:rPr>
          <w:rFonts w:ascii="Arial" w:hAnsi="Arial" w:cs="Arial"/>
          <w:sz w:val="20"/>
        </w:rPr>
        <w:t xml:space="preserve"> </w:t>
      </w:r>
      <w:proofErr w:type="spellStart"/>
      <w:smartTag w:uri="urn:schemas-microsoft-com:office:smarttags" w:element="PlaceType">
        <w:r>
          <w:rPr>
            <w:rFonts w:ascii="Arial" w:hAnsi="Arial" w:cs="Arial"/>
            <w:sz w:val="20"/>
          </w:rPr>
          <w:t>Center</w:t>
        </w:r>
      </w:smartTag>
      <w:proofErr w:type="spellEnd"/>
      <w:r>
        <w:rPr>
          <w:rFonts w:ascii="Arial" w:hAnsi="Arial" w:cs="Arial"/>
          <w:sz w:val="20"/>
        </w:rPr>
        <w:t xml:space="preserve"> for Children Exposed to Violence, Child Study Centre, </w:t>
      </w:r>
      <w:smartTag w:uri="urn:schemas-microsoft-com:office:smarttags" w:element="place">
        <w:smartTag w:uri="urn:schemas-microsoft-com:office:smarttags" w:element="PlaceName">
          <w:r>
            <w:rPr>
              <w:rFonts w:ascii="Arial" w:hAnsi="Arial" w:cs="Arial"/>
              <w:sz w:val="20"/>
            </w:rPr>
            <w:t>Yale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r>
        <w:rPr>
          <w:rFonts w:ascii="Arial" w:hAnsi="Arial" w:cs="Arial"/>
          <w:sz w:val="20"/>
        </w:rPr>
        <w:t>)</w:t>
      </w:r>
    </w:p>
    <w:p w14:paraId="0CAE5082" w14:textId="77777777" w:rsidR="00693223" w:rsidRDefault="00693223" w:rsidP="002F5929">
      <w:pPr>
        <w:jc w:val="both"/>
        <w:rPr>
          <w:rFonts w:ascii="Arial" w:hAnsi="Arial" w:cs="Arial"/>
          <w:sz w:val="20"/>
        </w:rPr>
      </w:pPr>
      <w:r>
        <w:rPr>
          <w:rFonts w:ascii="Arial" w:hAnsi="Arial" w:cs="Arial"/>
          <w:sz w:val="20"/>
        </w:rPr>
        <w:t xml:space="preserve">Excerpts from: </w:t>
      </w:r>
      <w:r>
        <w:rPr>
          <w:rFonts w:ascii="Arial" w:hAnsi="Arial" w:cs="Arial"/>
          <w:i/>
          <w:iCs/>
          <w:sz w:val="20"/>
        </w:rPr>
        <w:t>Children Exposed to Domestic Violence: A Handbook for Police Trainers to Increase Understanding and Improve Community Responses</w:t>
      </w:r>
    </w:p>
    <w:p w14:paraId="16534D17" w14:textId="77777777" w:rsidR="00693223" w:rsidRDefault="00693223" w:rsidP="002F5929">
      <w:pPr>
        <w:spacing w:before="120"/>
        <w:jc w:val="both"/>
        <w:rPr>
          <w:rFonts w:ascii="Arial" w:hAnsi="Arial" w:cs="Arial"/>
          <w:sz w:val="20"/>
        </w:rPr>
      </w:pPr>
      <w:r>
        <w:rPr>
          <w:rFonts w:ascii="Arial" w:hAnsi="Arial" w:cs="Arial"/>
          <w:sz w:val="20"/>
        </w:rPr>
        <w:lastRenderedPageBreak/>
        <w:t>How young people relate and think about their experiences changes dramatically as they mature.  We can better understand how they may interpret and be affected by exposure to violence when we consider their stage of development.</w:t>
      </w:r>
    </w:p>
    <w:p w14:paraId="14C1383C" w14:textId="77777777" w:rsidR="00693223" w:rsidRDefault="00693223">
      <w:pPr>
        <w:rPr>
          <w:rFonts w:ascii="Arial" w:hAnsi="Arial" w:cs="Arial"/>
          <w:sz w:val="20"/>
        </w:rPr>
      </w:pPr>
    </w:p>
    <w:p w14:paraId="53971735" w14:textId="77777777" w:rsidR="00693223" w:rsidRDefault="00693223" w:rsidP="002F5929">
      <w:pPr>
        <w:ind w:left="720" w:hanging="720"/>
        <w:jc w:val="both"/>
        <w:rPr>
          <w:rFonts w:ascii="Arial" w:hAnsi="Arial" w:cs="Arial"/>
          <w:b/>
          <w:bCs/>
          <w:sz w:val="28"/>
          <w:bdr w:val="single" w:sz="4" w:space="0" w:color="auto"/>
        </w:rPr>
      </w:pPr>
      <w:r>
        <w:rPr>
          <w:rFonts w:ascii="Arial" w:hAnsi="Arial" w:cs="Arial"/>
          <w:b/>
          <w:bCs/>
          <w:sz w:val="28"/>
        </w:rPr>
        <w:t>F16</w:t>
      </w:r>
    </w:p>
    <w:p w14:paraId="66623C0B" w14:textId="77777777" w:rsidR="00693223" w:rsidRDefault="00693223" w:rsidP="002F5929">
      <w:pPr>
        <w:jc w:val="both"/>
        <w:rPr>
          <w:rFonts w:ascii="Arial" w:hAnsi="Arial" w:cs="Arial"/>
          <w:b/>
          <w:bCs/>
          <w:sz w:val="32"/>
        </w:rPr>
      </w:pPr>
      <w:r>
        <w:rPr>
          <w:rFonts w:ascii="Arial" w:hAnsi="Arial" w:cs="Arial"/>
          <w:b/>
          <w:bCs/>
        </w:rPr>
        <w:t>Why is Domestic Violence Relevant to Child Custody?</w:t>
      </w:r>
    </w:p>
    <w:p w14:paraId="61A6727F" w14:textId="77777777" w:rsidR="00693223" w:rsidRDefault="00693223" w:rsidP="002F5929">
      <w:pPr>
        <w:jc w:val="both"/>
        <w:rPr>
          <w:rFonts w:ascii="Arial" w:hAnsi="Arial" w:cs="Arial"/>
          <w:sz w:val="20"/>
        </w:rPr>
      </w:pPr>
      <w:r>
        <w:rPr>
          <w:rFonts w:ascii="Arial" w:hAnsi="Arial" w:cs="Arial"/>
          <w:sz w:val="20"/>
        </w:rPr>
        <w:t>Peter G Jaffe, Ph D, Nancy K D Lemon, JD &amp; Samantha E Poisson M Ed.</w:t>
      </w:r>
    </w:p>
    <w:p w14:paraId="49835FAE" w14:textId="77777777" w:rsidR="00693223" w:rsidRDefault="00693223" w:rsidP="002F5929">
      <w:pPr>
        <w:jc w:val="both"/>
        <w:rPr>
          <w:rFonts w:ascii="Arial" w:hAnsi="Arial" w:cs="Arial"/>
          <w:sz w:val="20"/>
        </w:rPr>
      </w:pPr>
      <w:r>
        <w:rPr>
          <w:rFonts w:ascii="Arial" w:hAnsi="Arial" w:cs="Arial"/>
          <w:sz w:val="20"/>
        </w:rPr>
        <w:t xml:space="preserve">Excerpts from: </w:t>
      </w:r>
      <w:r>
        <w:rPr>
          <w:rFonts w:ascii="Arial" w:hAnsi="Arial" w:cs="Arial"/>
          <w:i/>
          <w:iCs/>
          <w:sz w:val="20"/>
        </w:rPr>
        <w:t>Child Custody and Domestic Violence: A Call for Safety and Accountability</w:t>
      </w:r>
    </w:p>
    <w:p w14:paraId="4FFA857B" w14:textId="77777777" w:rsidR="00693223" w:rsidRDefault="00693223" w:rsidP="002F5929">
      <w:pPr>
        <w:spacing w:before="120"/>
        <w:jc w:val="both"/>
        <w:rPr>
          <w:rFonts w:ascii="Arial" w:hAnsi="Arial" w:cs="Arial"/>
          <w:sz w:val="20"/>
        </w:rPr>
      </w:pPr>
      <w:r>
        <w:rPr>
          <w:rFonts w:ascii="Arial" w:hAnsi="Arial" w:cs="Arial"/>
          <w:sz w:val="20"/>
        </w:rPr>
        <w:t xml:space="preserve">The authors' motivation to write this book grew out of their frustration that well-educated professionals working daily with families in crisis do not seem to understand the relevance of exposure to domestic violence on child adjustment.  </w:t>
      </w:r>
    </w:p>
    <w:p w14:paraId="58DF8F68" w14:textId="77777777" w:rsidR="00693223" w:rsidRDefault="00693223" w:rsidP="002F5929">
      <w:pPr>
        <w:rPr>
          <w:rFonts w:ascii="Arial" w:hAnsi="Arial" w:cs="Arial"/>
          <w:sz w:val="20"/>
        </w:rPr>
      </w:pPr>
    </w:p>
    <w:p w14:paraId="138D6CD0" w14:textId="77777777" w:rsidR="00693223" w:rsidRDefault="00693223" w:rsidP="002C17CA">
      <w:pPr>
        <w:keepNext/>
        <w:keepLines/>
        <w:ind w:left="720" w:hanging="720"/>
        <w:jc w:val="both"/>
        <w:rPr>
          <w:rFonts w:ascii="Arial" w:hAnsi="Arial" w:cs="Arial"/>
          <w:b/>
          <w:bCs/>
          <w:sz w:val="28"/>
          <w:bdr w:val="single" w:sz="4" w:space="0" w:color="auto"/>
        </w:rPr>
      </w:pPr>
      <w:r>
        <w:rPr>
          <w:rFonts w:ascii="Arial" w:hAnsi="Arial" w:cs="Arial"/>
          <w:b/>
          <w:bCs/>
          <w:sz w:val="28"/>
        </w:rPr>
        <w:t>F17</w:t>
      </w:r>
    </w:p>
    <w:p w14:paraId="33942DD9" w14:textId="77777777" w:rsidR="00693223" w:rsidRDefault="00693223" w:rsidP="002F5929">
      <w:pPr>
        <w:jc w:val="both"/>
        <w:rPr>
          <w:rFonts w:ascii="Arial" w:hAnsi="Arial" w:cs="Arial"/>
          <w:b/>
          <w:bCs/>
          <w:sz w:val="32"/>
        </w:rPr>
      </w:pPr>
      <w:r>
        <w:rPr>
          <w:rFonts w:ascii="Arial" w:hAnsi="Arial" w:cs="Arial"/>
          <w:b/>
          <w:bCs/>
        </w:rPr>
        <w:t>Family Violence and Homelessness - Removing the Perpetrator from the Home</w:t>
      </w:r>
    </w:p>
    <w:p w14:paraId="56AF9FD8" w14:textId="77777777" w:rsidR="00693223" w:rsidRDefault="00693223" w:rsidP="002F5929">
      <w:pPr>
        <w:jc w:val="both"/>
        <w:rPr>
          <w:rFonts w:ascii="Arial" w:hAnsi="Arial" w:cs="Arial"/>
          <w:sz w:val="20"/>
        </w:rPr>
      </w:pPr>
      <w:r>
        <w:rPr>
          <w:rFonts w:ascii="Arial" w:hAnsi="Arial" w:cs="Arial"/>
          <w:sz w:val="20"/>
        </w:rPr>
        <w:t>Domestic Violence and Incest Resource Centre Discussion Paper No.3 2002</w:t>
      </w:r>
    </w:p>
    <w:p w14:paraId="2A93FC49" w14:textId="77777777" w:rsidR="00693223" w:rsidRDefault="00693223">
      <w:pPr>
        <w:spacing w:before="120"/>
        <w:jc w:val="both"/>
        <w:rPr>
          <w:rFonts w:ascii="Arial" w:hAnsi="Arial" w:cs="Arial"/>
          <w:sz w:val="20"/>
        </w:rPr>
      </w:pPr>
      <w:r>
        <w:rPr>
          <w:rFonts w:ascii="Arial" w:hAnsi="Arial" w:cs="Arial"/>
          <w:sz w:val="20"/>
        </w:rPr>
        <w:t>Women and children who are subjected to family violence are vulnerable to homelessness.  The violence disrupts and violates their sense of safety and belonging in the home; and when they make the decision to leave, this usually requires that they literally flee their homes.  A protracted experience of insecure and inappropriate housing often follows, with ongoing disruption to employment and the schooling of children.  Women can face isolation, emotional trauma and acute economic disadvantage as a result of their decision to leave.  Fear of such devastating loss and social disadvantage may imprison them in violent relationships.</w:t>
      </w:r>
    </w:p>
    <w:p w14:paraId="0A4235B2" w14:textId="77777777" w:rsidR="00693223" w:rsidRDefault="00693223">
      <w:pPr>
        <w:spacing w:before="120"/>
        <w:jc w:val="both"/>
        <w:rPr>
          <w:rFonts w:ascii="Arial" w:hAnsi="Arial" w:cs="Arial"/>
          <w:sz w:val="20"/>
        </w:rPr>
      </w:pPr>
      <w:r>
        <w:rPr>
          <w:rFonts w:ascii="Arial" w:hAnsi="Arial" w:cs="Arial"/>
          <w:sz w:val="20"/>
        </w:rPr>
        <w:t>The traditional focus of social policy responses to family violence has been on supporting women and children to leave situations of family violence, through funding a network of emergency and transitional accommodation.  More recently, there is increased policy interest in identifying strategies to assist victims of family violence to remain safely in their homes, while the perpetrator of the violence is removed.  However despite the availability of legal mechanisms to remove perpetrators, women and children face significant obstacles in engaging legal protection and subsequently sustaining their housing.</w:t>
      </w:r>
    </w:p>
    <w:p w14:paraId="2912917B" w14:textId="77777777" w:rsidR="00693223" w:rsidRDefault="00693223">
      <w:pPr>
        <w:spacing w:before="120"/>
        <w:jc w:val="both"/>
        <w:rPr>
          <w:rFonts w:ascii="Arial" w:hAnsi="Arial" w:cs="Arial"/>
          <w:sz w:val="20"/>
        </w:rPr>
      </w:pPr>
      <w:r>
        <w:rPr>
          <w:rFonts w:ascii="Arial" w:hAnsi="Arial" w:cs="Arial"/>
          <w:sz w:val="20"/>
        </w:rPr>
        <w:t>This paper contributes to a better understanding of these issues.  It presents suggestions as to how policy can be directed to removing violent men from the family home, evaluates the two main legal interventions that exist in Victoria to enable this to happen, and discusses obstacles typically faced by those who pursue these legal interventions.  The Paper also explores some of the strategies and initiatives that have emerged elsewhere to address the problems identified, and recommends ways of making positive change.</w:t>
      </w:r>
    </w:p>
    <w:p w14:paraId="4863EEC7" w14:textId="77777777" w:rsidR="00693223" w:rsidRDefault="00693223">
      <w:pPr>
        <w:rPr>
          <w:rFonts w:ascii="Arial" w:hAnsi="Arial" w:cs="Arial"/>
          <w:sz w:val="20"/>
        </w:rPr>
      </w:pPr>
    </w:p>
    <w:p w14:paraId="3CCC32FE"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F18</w:t>
      </w:r>
    </w:p>
    <w:p w14:paraId="00CD06EE" w14:textId="77777777" w:rsidR="00693223" w:rsidRDefault="00693223">
      <w:pPr>
        <w:keepNext/>
        <w:keepLines/>
        <w:jc w:val="both"/>
        <w:rPr>
          <w:rFonts w:ascii="Arial" w:hAnsi="Arial" w:cs="Arial"/>
          <w:b/>
          <w:bCs/>
          <w:sz w:val="32"/>
        </w:rPr>
      </w:pPr>
      <w:r>
        <w:rPr>
          <w:rFonts w:ascii="Arial" w:hAnsi="Arial" w:cs="Arial"/>
          <w:b/>
          <w:bCs/>
        </w:rPr>
        <w:t>Battering and Couples Therapy: Universal Screening and Selection of Treatment Modality</w:t>
      </w:r>
    </w:p>
    <w:p w14:paraId="548F84F8" w14:textId="77777777" w:rsidR="00693223" w:rsidRDefault="00693223">
      <w:pPr>
        <w:keepNext/>
        <w:keepLines/>
        <w:jc w:val="both"/>
        <w:rPr>
          <w:rFonts w:ascii="Arial" w:hAnsi="Arial" w:cs="Arial"/>
          <w:sz w:val="20"/>
        </w:rPr>
      </w:pPr>
      <w:r>
        <w:rPr>
          <w:rFonts w:ascii="Arial" w:hAnsi="Arial" w:cs="Arial"/>
          <w:sz w:val="20"/>
        </w:rPr>
        <w:t xml:space="preserve">Michele </w:t>
      </w:r>
      <w:proofErr w:type="spellStart"/>
      <w:r>
        <w:rPr>
          <w:rFonts w:ascii="Arial" w:hAnsi="Arial" w:cs="Arial"/>
          <w:sz w:val="20"/>
        </w:rPr>
        <w:t>Bograd</w:t>
      </w:r>
      <w:proofErr w:type="spellEnd"/>
      <w:r>
        <w:rPr>
          <w:rFonts w:ascii="Arial" w:hAnsi="Arial" w:cs="Arial"/>
          <w:sz w:val="20"/>
        </w:rPr>
        <w:t xml:space="preserve"> (</w:t>
      </w:r>
      <w:smartTag w:uri="urn:schemas-microsoft-com:office:smarttags" w:element="City">
        <w:r>
          <w:rPr>
            <w:rFonts w:ascii="Arial" w:hAnsi="Arial" w:cs="Arial"/>
            <w:sz w:val="20"/>
          </w:rPr>
          <w:t>Bedford</w:t>
        </w:r>
      </w:smartTag>
      <w:r>
        <w:rPr>
          <w:rFonts w:ascii="Arial" w:hAnsi="Arial" w:cs="Arial"/>
          <w:sz w:val="20"/>
        </w:rPr>
        <w:t xml:space="preserve">, </w:t>
      </w:r>
      <w:smartTag w:uri="urn:schemas-microsoft-com:office:smarttags" w:element="State">
        <w:r>
          <w:rPr>
            <w:rFonts w:ascii="Arial" w:hAnsi="Arial" w:cs="Arial"/>
            <w:sz w:val="20"/>
          </w:rPr>
          <w:t>Mass.</w:t>
        </w:r>
      </w:smartTag>
      <w:r>
        <w:rPr>
          <w:rFonts w:ascii="Arial" w:hAnsi="Arial" w:cs="Arial"/>
          <w:sz w:val="20"/>
        </w:rPr>
        <w:t xml:space="preserve">) &amp; Fernando </w:t>
      </w:r>
      <w:proofErr w:type="spellStart"/>
      <w:r>
        <w:rPr>
          <w:rFonts w:ascii="Arial" w:hAnsi="Arial" w:cs="Arial"/>
          <w:sz w:val="20"/>
        </w:rPr>
        <w:t>Mederos</w:t>
      </w:r>
      <w:proofErr w:type="spellEnd"/>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Jamaica Plain</w:t>
          </w:r>
        </w:smartTag>
        <w:r>
          <w:rPr>
            <w:rFonts w:ascii="Arial" w:hAnsi="Arial" w:cs="Arial"/>
            <w:sz w:val="20"/>
          </w:rPr>
          <w:t xml:space="preserve">, </w:t>
        </w:r>
        <w:smartTag w:uri="urn:schemas-microsoft-com:office:smarttags" w:element="State">
          <w:r>
            <w:rPr>
              <w:rFonts w:ascii="Arial" w:hAnsi="Arial" w:cs="Arial"/>
              <w:sz w:val="20"/>
            </w:rPr>
            <w:t>Mass.</w:t>
          </w:r>
        </w:smartTag>
      </w:smartTag>
      <w:r>
        <w:rPr>
          <w:rFonts w:ascii="Arial" w:hAnsi="Arial" w:cs="Arial"/>
          <w:sz w:val="20"/>
        </w:rPr>
        <w:t>)</w:t>
      </w:r>
    </w:p>
    <w:p w14:paraId="20ECF3E4" w14:textId="77777777" w:rsidR="00693223" w:rsidRDefault="00693223">
      <w:pPr>
        <w:keepNext/>
        <w:keepLines/>
        <w:jc w:val="both"/>
        <w:rPr>
          <w:rFonts w:ascii="Arial" w:hAnsi="Arial" w:cs="Arial"/>
          <w:sz w:val="20"/>
        </w:rPr>
      </w:pPr>
      <w:r>
        <w:rPr>
          <w:rFonts w:ascii="Arial" w:hAnsi="Arial" w:cs="Arial"/>
          <w:i/>
          <w:iCs/>
          <w:sz w:val="20"/>
        </w:rPr>
        <w:t>Journal of Marital and Family Therapy July 1999</w:t>
      </w:r>
      <w:r>
        <w:rPr>
          <w:rFonts w:ascii="Arial" w:hAnsi="Arial" w:cs="Arial"/>
          <w:sz w:val="20"/>
        </w:rPr>
        <w:t xml:space="preserve"> Vol.25, No.3, 291-312</w:t>
      </w:r>
    </w:p>
    <w:p w14:paraId="3D552FF2" w14:textId="77777777" w:rsidR="00693223" w:rsidRDefault="00693223">
      <w:pPr>
        <w:spacing w:before="120"/>
        <w:jc w:val="both"/>
        <w:rPr>
          <w:rFonts w:ascii="Arial" w:hAnsi="Arial" w:cs="Arial"/>
          <w:sz w:val="20"/>
        </w:rPr>
      </w:pPr>
      <w:r>
        <w:rPr>
          <w:rFonts w:ascii="Arial" w:hAnsi="Arial" w:cs="Arial"/>
          <w:sz w:val="20"/>
        </w:rPr>
        <w:t xml:space="preserve">As family therapists begin to experiment with </w:t>
      </w:r>
      <w:proofErr w:type="gramStart"/>
      <w:r>
        <w:rPr>
          <w:rFonts w:ascii="Arial" w:hAnsi="Arial" w:cs="Arial"/>
          <w:sz w:val="20"/>
        </w:rPr>
        <w:t>couples</w:t>
      </w:r>
      <w:proofErr w:type="gramEnd"/>
      <w:r>
        <w:rPr>
          <w:rFonts w:ascii="Arial" w:hAnsi="Arial" w:cs="Arial"/>
          <w:sz w:val="20"/>
        </w:rPr>
        <w:t xml:space="preserve"> treatment models for batterers and their partners, a basic question is: Which couples can be safely treated with conjoint therapy?  Following a definition of battering and a review of rationales for considering couples therapy in cases of domestic violence, a framework for assessment of domestic violence is outlined, including sample questions, criteria for excluding couples from conjoint therapy, how to conduct a lethality assessment, and how to conceptualise post-assessment treatment recommendations.  This article also introduces </w:t>
      </w:r>
      <w:proofErr w:type="spellStart"/>
      <w:r>
        <w:rPr>
          <w:rFonts w:ascii="Arial" w:hAnsi="Arial" w:cs="Arial"/>
          <w:sz w:val="20"/>
        </w:rPr>
        <w:t>familes</w:t>
      </w:r>
      <w:proofErr w:type="spellEnd"/>
      <w:r>
        <w:rPr>
          <w:rFonts w:ascii="Arial" w:hAnsi="Arial" w:cs="Arial"/>
          <w:sz w:val="20"/>
        </w:rPr>
        <w:t xml:space="preserve"> and </w:t>
      </w:r>
      <w:proofErr w:type="gramStart"/>
      <w:r>
        <w:rPr>
          <w:rFonts w:ascii="Arial" w:hAnsi="Arial" w:cs="Arial"/>
          <w:sz w:val="20"/>
        </w:rPr>
        <w:t>couples</w:t>
      </w:r>
      <w:proofErr w:type="gramEnd"/>
      <w:r>
        <w:rPr>
          <w:rFonts w:ascii="Arial" w:hAnsi="Arial" w:cs="Arial"/>
          <w:sz w:val="20"/>
        </w:rPr>
        <w:t xml:space="preserve"> therapists to domestic violence literature that is often not well integrated in family therapy theory and practice.</w:t>
      </w:r>
    </w:p>
    <w:p w14:paraId="081D20A6" w14:textId="77777777" w:rsidR="00693223" w:rsidRDefault="00693223">
      <w:pPr>
        <w:jc w:val="both"/>
        <w:rPr>
          <w:rFonts w:ascii="Arial" w:hAnsi="Arial" w:cs="Arial"/>
          <w:sz w:val="20"/>
        </w:rPr>
      </w:pPr>
    </w:p>
    <w:p w14:paraId="607A2997"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lastRenderedPageBreak/>
        <w:t>F19</w:t>
      </w:r>
    </w:p>
    <w:p w14:paraId="499A62EB" w14:textId="77777777" w:rsidR="00693223" w:rsidRDefault="00693223">
      <w:pPr>
        <w:keepNext/>
        <w:keepLines/>
        <w:jc w:val="both"/>
        <w:rPr>
          <w:rFonts w:ascii="Arial" w:hAnsi="Arial" w:cs="Arial"/>
          <w:b/>
          <w:bCs/>
          <w:sz w:val="32"/>
        </w:rPr>
      </w:pPr>
      <w:r>
        <w:rPr>
          <w:rFonts w:ascii="Arial" w:hAnsi="Arial" w:cs="Arial"/>
          <w:b/>
          <w:bCs/>
        </w:rPr>
        <w:t xml:space="preserve">Embracing the Controversy - A </w:t>
      </w:r>
      <w:proofErr w:type="spellStart"/>
      <w:r>
        <w:rPr>
          <w:rFonts w:ascii="Arial" w:hAnsi="Arial" w:cs="Arial"/>
          <w:b/>
          <w:bCs/>
        </w:rPr>
        <w:t>Metasystemic</w:t>
      </w:r>
      <w:proofErr w:type="spellEnd"/>
      <w:r>
        <w:rPr>
          <w:rFonts w:ascii="Arial" w:hAnsi="Arial" w:cs="Arial"/>
          <w:b/>
          <w:bCs/>
        </w:rPr>
        <w:t xml:space="preserve"> Approach to the Treatment of Domestic Violence</w:t>
      </w:r>
    </w:p>
    <w:p w14:paraId="42D19BC6" w14:textId="77777777" w:rsidR="00693223" w:rsidRDefault="00693223">
      <w:pPr>
        <w:keepNext/>
        <w:keepLines/>
        <w:jc w:val="both"/>
        <w:rPr>
          <w:rFonts w:ascii="Arial" w:hAnsi="Arial" w:cs="Arial"/>
          <w:sz w:val="20"/>
        </w:rPr>
      </w:pPr>
      <w:r>
        <w:rPr>
          <w:rFonts w:ascii="Arial" w:hAnsi="Arial" w:cs="Arial"/>
          <w:sz w:val="20"/>
        </w:rPr>
        <w:t xml:space="preserve">Wendy </w:t>
      </w:r>
      <w:proofErr w:type="spellStart"/>
      <w:r>
        <w:rPr>
          <w:rFonts w:ascii="Arial" w:hAnsi="Arial" w:cs="Arial"/>
          <w:sz w:val="20"/>
        </w:rPr>
        <w:t>Greenspun</w:t>
      </w:r>
      <w:proofErr w:type="spellEnd"/>
    </w:p>
    <w:p w14:paraId="7E51E2ED" w14:textId="77777777" w:rsidR="00693223" w:rsidRDefault="00693223">
      <w:pPr>
        <w:spacing w:before="120"/>
        <w:jc w:val="both"/>
        <w:rPr>
          <w:rFonts w:ascii="Arial" w:hAnsi="Arial" w:cs="Arial"/>
          <w:sz w:val="20"/>
        </w:rPr>
      </w:pPr>
      <w:r>
        <w:rPr>
          <w:rFonts w:ascii="Arial" w:hAnsi="Arial" w:cs="Arial"/>
          <w:sz w:val="20"/>
        </w:rPr>
        <w:t>This work attempts to give an overview of the historical context of treatment within the domestic violence field, then outlines the current controversy about how best to intervene (the 'systemic' versus the 'feminist').  Finally, a comprehensive treatment approach is described, one that takes into account the various complexities inherent in the work.</w:t>
      </w:r>
    </w:p>
    <w:p w14:paraId="267BA2CC" w14:textId="77777777" w:rsidR="00693223" w:rsidRDefault="00693223">
      <w:pPr>
        <w:jc w:val="both"/>
        <w:rPr>
          <w:rFonts w:ascii="Arial" w:hAnsi="Arial" w:cs="Arial"/>
          <w:sz w:val="20"/>
        </w:rPr>
      </w:pPr>
    </w:p>
    <w:p w14:paraId="702139F5"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F20</w:t>
      </w:r>
    </w:p>
    <w:p w14:paraId="45B961A4" w14:textId="77777777" w:rsidR="00693223" w:rsidRDefault="00693223">
      <w:pPr>
        <w:keepNext/>
        <w:keepLines/>
        <w:jc w:val="both"/>
        <w:rPr>
          <w:rFonts w:ascii="Arial" w:hAnsi="Arial" w:cs="Arial"/>
          <w:b/>
          <w:bCs/>
        </w:rPr>
      </w:pPr>
      <w:r>
        <w:rPr>
          <w:rFonts w:ascii="Arial" w:hAnsi="Arial" w:cs="Arial"/>
          <w:b/>
          <w:bCs/>
        </w:rPr>
        <w:t>Commentary on the Child Protection Outcomes Project: Thoughts on the Issue of 'Fast Tracking'</w:t>
      </w:r>
    </w:p>
    <w:p w14:paraId="73E3B14F" w14:textId="77777777" w:rsidR="00693223" w:rsidRDefault="00693223">
      <w:pPr>
        <w:keepNext/>
        <w:keepLines/>
        <w:jc w:val="both"/>
        <w:rPr>
          <w:rFonts w:ascii="Arial" w:hAnsi="Arial" w:cs="Arial"/>
          <w:sz w:val="20"/>
        </w:rPr>
      </w:pPr>
      <w:r>
        <w:rPr>
          <w:rFonts w:ascii="Arial" w:hAnsi="Arial" w:cs="Arial"/>
          <w:sz w:val="20"/>
        </w:rPr>
        <w:t>Dr Patricia F. Brown (Director, Children's Court Clinic)</w:t>
      </w:r>
    </w:p>
    <w:p w14:paraId="011610A6" w14:textId="77777777" w:rsidR="00693223" w:rsidRDefault="00693223">
      <w:pPr>
        <w:spacing w:before="120"/>
        <w:jc w:val="both"/>
        <w:rPr>
          <w:rFonts w:ascii="Arial" w:hAnsi="Arial" w:cs="Arial"/>
          <w:sz w:val="20"/>
        </w:rPr>
      </w:pPr>
      <w:r>
        <w:rPr>
          <w:rFonts w:ascii="Arial" w:hAnsi="Arial" w:cs="Arial"/>
          <w:sz w:val="20"/>
        </w:rPr>
        <w:t>In this commentary the author unequivocally endorses a decided shift towards a family service model which is largely voluntary, where families in distress are treated with respect, nurtured early and in ongoing fashion, and with legal involvement becoming a last resort, a shift which in her view can only enrich a sense of community generally.  Further, the emphasis in the Project on well trained persons offering family intervention is crucial.</w:t>
      </w:r>
    </w:p>
    <w:p w14:paraId="468967FA" w14:textId="77777777" w:rsidR="00693223" w:rsidRDefault="00693223">
      <w:pPr>
        <w:spacing w:before="120"/>
        <w:jc w:val="both"/>
        <w:rPr>
          <w:rFonts w:ascii="Arial" w:hAnsi="Arial" w:cs="Arial"/>
          <w:sz w:val="20"/>
        </w:rPr>
      </w:pPr>
      <w:r>
        <w:rPr>
          <w:rFonts w:ascii="Arial" w:hAnsi="Arial" w:cs="Arial"/>
          <w:sz w:val="20"/>
        </w:rPr>
        <w:t xml:space="preserve">This commentary focuses on the suggestion in the Project for the need to "provide permanence for children, with a clear intention to reduce time apart in out-of-home care".  As the author says: "One would be hard pressed to find a person in the field who would not agree </w:t>
      </w:r>
      <w:r w:rsidR="008978DB">
        <w:rPr>
          <w:rFonts w:ascii="Arial" w:hAnsi="Arial" w:cs="Arial"/>
          <w:sz w:val="20"/>
        </w:rPr>
        <w:t xml:space="preserve">with </w:t>
      </w:r>
      <w:r>
        <w:rPr>
          <w:rFonts w:ascii="Arial" w:hAnsi="Arial" w:cs="Arial"/>
          <w:sz w:val="20"/>
        </w:rPr>
        <w:t>the principle of this recommendation."  But it is her strong view that while there is unequivocally a need to ensure that children are not in extended out-of-home care with numbers of carers, the fact that impermanence of care has proliferated is a system's problem which the system needs to address.  That problem has not been created by children and families but by those who have attempted to better the lot of children in dysfunctional families.</w:t>
      </w:r>
    </w:p>
    <w:p w14:paraId="2066BA17" w14:textId="77777777" w:rsidR="00693223" w:rsidRDefault="00693223">
      <w:pPr>
        <w:spacing w:before="120"/>
        <w:jc w:val="both"/>
        <w:rPr>
          <w:rFonts w:ascii="Arial" w:hAnsi="Arial" w:cs="Arial"/>
          <w:sz w:val="20"/>
        </w:rPr>
      </w:pPr>
      <w:r>
        <w:rPr>
          <w:rFonts w:ascii="Arial" w:hAnsi="Arial" w:cs="Arial"/>
          <w:sz w:val="20"/>
        </w:rPr>
        <w:t xml:space="preserve">The author suggests that the State ensure the following: First, establish that very skilled remediation is currently generally available and, to that end, inquire into and regulate the industry.  Second, before permanent care can be invoked, there be insistence through legislation on a package of very skilled family remediation first being attempted </w:t>
      </w:r>
      <w:r>
        <w:rPr>
          <w:rFonts w:ascii="Arial" w:hAnsi="Arial" w:cs="Arial"/>
          <w:i/>
          <w:iCs/>
          <w:sz w:val="20"/>
        </w:rPr>
        <w:t>where at all feasible</w:t>
      </w:r>
      <w:r>
        <w:rPr>
          <w:rFonts w:ascii="Arial" w:hAnsi="Arial" w:cs="Arial"/>
          <w:sz w:val="20"/>
        </w:rPr>
        <w:t>.  Third, there be a creative re-thinking on possibilities for placing a child initially removed from home, with there also being carers engaged more numerously, who had already indicated that they had the flexibility for permanent care to retain children, if there were a failure by parents to implement needed change when skilled remediation has been offered.</w:t>
      </w:r>
    </w:p>
    <w:p w14:paraId="1FFDC240" w14:textId="77777777" w:rsidR="00693223" w:rsidRDefault="00693223">
      <w:pPr>
        <w:spacing w:before="120"/>
        <w:jc w:val="both"/>
        <w:rPr>
          <w:rFonts w:ascii="Arial" w:hAnsi="Arial" w:cs="Arial"/>
          <w:sz w:val="20"/>
        </w:rPr>
      </w:pPr>
      <w:r>
        <w:rPr>
          <w:rFonts w:ascii="Arial" w:hAnsi="Arial" w:cs="Arial"/>
          <w:sz w:val="20"/>
        </w:rPr>
        <w:t xml:space="preserve">Finally the author emphasises that the issue of </w:t>
      </w:r>
      <w:r w:rsidR="00502296" w:rsidRPr="00502296">
        <w:rPr>
          <w:rFonts w:ascii="Arial" w:hAnsi="Arial" w:cs="Arial"/>
          <w:color w:val="FF0000"/>
          <w:sz w:val="20"/>
        </w:rPr>
        <w:t>contact with</w:t>
      </w:r>
      <w:r>
        <w:rPr>
          <w:rFonts w:ascii="Arial" w:hAnsi="Arial" w:cs="Arial"/>
          <w:sz w:val="20"/>
        </w:rPr>
        <w:t xml:space="preserve"> remains important and is endorsed by current psychological literature.  The one area of change to law suggested by the author to be urgently required is that magistrates be given the power to order </w:t>
      </w:r>
      <w:r w:rsidR="00502296" w:rsidRPr="00502296">
        <w:rPr>
          <w:rFonts w:ascii="Arial" w:hAnsi="Arial" w:cs="Arial"/>
          <w:color w:val="FF0000"/>
          <w:sz w:val="20"/>
        </w:rPr>
        <w:t>contact</w:t>
      </w:r>
      <w:r>
        <w:rPr>
          <w:rFonts w:ascii="Arial" w:hAnsi="Arial" w:cs="Arial"/>
          <w:sz w:val="20"/>
        </w:rPr>
        <w:t xml:space="preserve"> when a guardianship order is made so that attachment bonds are built upon, not broken.</w:t>
      </w:r>
    </w:p>
    <w:p w14:paraId="6511C613" w14:textId="77777777" w:rsidR="00693223" w:rsidRDefault="00693223">
      <w:pPr>
        <w:rPr>
          <w:rFonts w:ascii="Arial" w:hAnsi="Arial" w:cs="Arial"/>
          <w:sz w:val="20"/>
        </w:rPr>
      </w:pPr>
    </w:p>
    <w:p w14:paraId="75E8A2E9"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F21</w:t>
      </w:r>
    </w:p>
    <w:p w14:paraId="78BEC6F1" w14:textId="77777777" w:rsidR="00693223" w:rsidRDefault="00693223">
      <w:pPr>
        <w:keepNext/>
        <w:keepLines/>
        <w:jc w:val="both"/>
        <w:rPr>
          <w:rFonts w:ascii="Arial" w:hAnsi="Arial" w:cs="Arial"/>
          <w:b/>
          <w:bCs/>
        </w:rPr>
      </w:pPr>
      <w:r>
        <w:rPr>
          <w:rFonts w:ascii="Arial" w:hAnsi="Arial" w:cs="Arial"/>
          <w:b/>
          <w:bCs/>
        </w:rPr>
        <w:t>The Impact of Violence on Children</w:t>
      </w:r>
    </w:p>
    <w:p w14:paraId="49E306F5" w14:textId="77777777" w:rsidR="00693223" w:rsidRDefault="00693223">
      <w:pPr>
        <w:keepNext/>
        <w:keepLines/>
        <w:jc w:val="both"/>
        <w:rPr>
          <w:rFonts w:ascii="Arial" w:hAnsi="Arial" w:cs="Arial"/>
          <w:sz w:val="20"/>
        </w:rPr>
      </w:pPr>
      <w:r>
        <w:rPr>
          <w:rFonts w:ascii="Arial" w:hAnsi="Arial" w:cs="Arial"/>
          <w:sz w:val="20"/>
        </w:rPr>
        <w:t xml:space="preserve">Dr Joy D. Osofsky (Professor of Public Health, Psychiatry &amp; Paediatrics at </w:t>
      </w:r>
      <w:smartTag w:uri="urn:schemas-microsoft-com:office:smarttags" w:element="place">
        <w:smartTag w:uri="urn:schemas-microsoft-com:office:smarttags" w:element="PlaceName">
          <w:r>
            <w:rPr>
              <w:rFonts w:ascii="Arial" w:hAnsi="Arial" w:cs="Arial"/>
              <w:sz w:val="20"/>
            </w:rPr>
            <w:t>Louisiana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r>
          <w:rPr>
            <w:rFonts w:ascii="Arial" w:hAnsi="Arial" w:cs="Arial"/>
            <w:sz w:val="20"/>
          </w:rPr>
          <w:t xml:space="preserve"> </w:t>
        </w:r>
        <w:smartTag w:uri="urn:schemas-microsoft-com:office:smarttags" w:element="PlaceName">
          <w:r>
            <w:rPr>
              <w:rFonts w:ascii="Arial" w:hAnsi="Arial" w:cs="Arial"/>
              <w:sz w:val="20"/>
            </w:rPr>
            <w:t>Health</w:t>
          </w:r>
        </w:smartTag>
        <w:r>
          <w:rPr>
            <w:rFonts w:ascii="Arial" w:hAnsi="Arial" w:cs="Arial"/>
            <w:sz w:val="20"/>
          </w:rPr>
          <w:t xml:space="preserve"> </w:t>
        </w:r>
        <w:smartTag w:uri="urn:schemas-microsoft-com:office:smarttags" w:element="PlaceName">
          <w:r>
            <w:rPr>
              <w:rFonts w:ascii="Arial" w:hAnsi="Arial" w:cs="Arial"/>
              <w:sz w:val="20"/>
            </w:rPr>
            <w:t>Sciences</w:t>
          </w:r>
        </w:smartTag>
        <w:r>
          <w:rPr>
            <w:rFonts w:ascii="Arial" w:hAnsi="Arial" w:cs="Arial"/>
            <w:sz w:val="20"/>
          </w:rPr>
          <w:t xml:space="preserve"> </w:t>
        </w:r>
        <w:proofErr w:type="spellStart"/>
        <w:smartTag w:uri="urn:schemas-microsoft-com:office:smarttags" w:element="PlaceType">
          <w:r>
            <w:rPr>
              <w:rFonts w:ascii="Arial" w:hAnsi="Arial" w:cs="Arial"/>
              <w:sz w:val="20"/>
            </w:rPr>
            <w:t>Center</w:t>
          </w:r>
        </w:smartTag>
      </w:smartTag>
      <w:proofErr w:type="spellEnd"/>
      <w:r>
        <w:rPr>
          <w:rFonts w:ascii="Arial" w:hAnsi="Arial" w:cs="Arial"/>
          <w:sz w:val="20"/>
        </w:rPr>
        <w:t>)</w:t>
      </w:r>
    </w:p>
    <w:p w14:paraId="258EC524" w14:textId="77777777" w:rsidR="00693223" w:rsidRDefault="00693223">
      <w:pPr>
        <w:keepNext/>
        <w:keepLines/>
        <w:jc w:val="both"/>
        <w:rPr>
          <w:rFonts w:ascii="Arial" w:hAnsi="Arial" w:cs="Arial"/>
          <w:sz w:val="20"/>
        </w:rPr>
      </w:pPr>
      <w:r>
        <w:rPr>
          <w:rFonts w:ascii="Arial" w:hAnsi="Arial" w:cs="Arial"/>
          <w:i/>
          <w:iCs/>
          <w:sz w:val="20"/>
        </w:rPr>
        <w:t xml:space="preserve">The Future of Children - DOMESTIC VIOLENCE AND CHILDREN - </w:t>
      </w:r>
      <w:r>
        <w:rPr>
          <w:rFonts w:ascii="Arial" w:hAnsi="Arial" w:cs="Arial"/>
          <w:sz w:val="20"/>
        </w:rPr>
        <w:t>Vol.9, No.3 - Winter 1999, 33-49</w:t>
      </w:r>
    </w:p>
    <w:p w14:paraId="712DAB46" w14:textId="77777777" w:rsidR="00693223" w:rsidRDefault="00693223">
      <w:pPr>
        <w:spacing w:before="120"/>
        <w:jc w:val="both"/>
        <w:rPr>
          <w:rFonts w:ascii="Arial" w:hAnsi="Arial" w:cs="Arial"/>
          <w:sz w:val="20"/>
        </w:rPr>
      </w:pPr>
      <w:r>
        <w:rPr>
          <w:rFonts w:ascii="Arial" w:hAnsi="Arial" w:cs="Arial"/>
          <w:sz w:val="20"/>
        </w:rPr>
        <w:t>Existing research on the effects of children's exposure to violence covers a broad range of community, family and media violence.  This research is relevant and useful to an examination of domestic violence in two key ways.  First, understanding how exposure to various types of violence affects children and what best enables them to cope can point to important considerations when trying to help children cope with exposure to domestic violence in particular.  And second, many families experiencing domestic violence are exposed to other types of violence as well.  Exposure to violence on multiple levels can affect the parents' behaviour and can compound the effects on children.</w:t>
      </w:r>
    </w:p>
    <w:p w14:paraId="00109B4A" w14:textId="77777777" w:rsidR="00693223" w:rsidRDefault="00693223">
      <w:pPr>
        <w:spacing w:before="120"/>
        <w:jc w:val="both"/>
        <w:rPr>
          <w:rFonts w:ascii="Arial" w:hAnsi="Arial" w:cs="Arial"/>
          <w:sz w:val="20"/>
        </w:rPr>
      </w:pPr>
      <w:r>
        <w:rPr>
          <w:rFonts w:ascii="Arial" w:hAnsi="Arial" w:cs="Arial"/>
          <w:sz w:val="20"/>
        </w:rPr>
        <w:t xml:space="preserve">This article begins with an overview of the extent of children's exposure to various types of violence, and then examines what is known about the effects of this exposure across the developmental continuum.  Key protective factors for children exposed to violence are </w:t>
      </w:r>
      <w:r>
        <w:rPr>
          <w:rFonts w:ascii="Arial" w:hAnsi="Arial" w:cs="Arial"/>
          <w:sz w:val="20"/>
        </w:rPr>
        <w:lastRenderedPageBreak/>
        <w:t>examined.  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  In the final section, directions for future research are discussed.</w:t>
      </w:r>
    </w:p>
    <w:p w14:paraId="182206EE" w14:textId="77777777" w:rsidR="00693223" w:rsidRDefault="00693223">
      <w:pPr>
        <w:rPr>
          <w:rFonts w:ascii="Arial" w:hAnsi="Arial" w:cs="Arial"/>
          <w:sz w:val="20"/>
        </w:rPr>
      </w:pPr>
    </w:p>
    <w:p w14:paraId="6C708FE8"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F22</w:t>
      </w:r>
    </w:p>
    <w:p w14:paraId="354DAEA9" w14:textId="77777777" w:rsidR="00693223" w:rsidRDefault="00693223">
      <w:pPr>
        <w:keepNext/>
        <w:keepLines/>
        <w:jc w:val="both"/>
        <w:rPr>
          <w:rFonts w:ascii="Arial" w:hAnsi="Arial" w:cs="Arial"/>
          <w:b/>
          <w:bCs/>
        </w:rPr>
      </w:pPr>
      <w:r>
        <w:rPr>
          <w:rFonts w:ascii="Arial" w:hAnsi="Arial" w:cs="Arial"/>
          <w:b/>
          <w:bCs/>
        </w:rPr>
        <w:t>Prevalence of Children's Exposure to Domestic Violence and Child maltreatment: Implications for Prevention and Intervention</w:t>
      </w:r>
    </w:p>
    <w:p w14:paraId="00326915" w14:textId="77777777" w:rsidR="00693223" w:rsidRDefault="00693223">
      <w:pPr>
        <w:keepNext/>
        <w:keepLines/>
        <w:jc w:val="both"/>
        <w:rPr>
          <w:rFonts w:ascii="Arial" w:hAnsi="Arial" w:cs="Arial"/>
          <w:sz w:val="20"/>
        </w:rPr>
      </w:pPr>
      <w:r>
        <w:rPr>
          <w:rFonts w:ascii="Arial" w:hAnsi="Arial" w:cs="Arial"/>
          <w:sz w:val="20"/>
        </w:rPr>
        <w:t xml:space="preserve">Dr Joy D. Osofsky (Professor of Public Health, Psychiatry &amp; Paediatrics at </w:t>
      </w:r>
      <w:smartTag w:uri="urn:schemas-microsoft-com:office:smarttags" w:element="place">
        <w:smartTag w:uri="urn:schemas-microsoft-com:office:smarttags" w:element="PlaceName">
          <w:r>
            <w:rPr>
              <w:rFonts w:ascii="Arial" w:hAnsi="Arial" w:cs="Arial"/>
              <w:sz w:val="20"/>
            </w:rPr>
            <w:t>Louisiana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r>
          <w:rPr>
            <w:rFonts w:ascii="Arial" w:hAnsi="Arial" w:cs="Arial"/>
            <w:sz w:val="20"/>
          </w:rPr>
          <w:t xml:space="preserve"> </w:t>
        </w:r>
        <w:smartTag w:uri="urn:schemas-microsoft-com:office:smarttags" w:element="PlaceName">
          <w:r>
            <w:rPr>
              <w:rFonts w:ascii="Arial" w:hAnsi="Arial" w:cs="Arial"/>
              <w:sz w:val="20"/>
            </w:rPr>
            <w:t>Health</w:t>
          </w:r>
        </w:smartTag>
        <w:r>
          <w:rPr>
            <w:rFonts w:ascii="Arial" w:hAnsi="Arial" w:cs="Arial"/>
            <w:sz w:val="20"/>
          </w:rPr>
          <w:t xml:space="preserve"> </w:t>
        </w:r>
        <w:smartTag w:uri="urn:schemas-microsoft-com:office:smarttags" w:element="PlaceName">
          <w:r>
            <w:rPr>
              <w:rFonts w:ascii="Arial" w:hAnsi="Arial" w:cs="Arial"/>
              <w:sz w:val="20"/>
            </w:rPr>
            <w:t>Sciences</w:t>
          </w:r>
        </w:smartTag>
        <w:r>
          <w:rPr>
            <w:rFonts w:ascii="Arial" w:hAnsi="Arial" w:cs="Arial"/>
            <w:sz w:val="20"/>
          </w:rPr>
          <w:t xml:space="preserve"> </w:t>
        </w:r>
        <w:proofErr w:type="spellStart"/>
        <w:smartTag w:uri="urn:schemas-microsoft-com:office:smarttags" w:element="PlaceType">
          <w:r>
            <w:rPr>
              <w:rFonts w:ascii="Arial" w:hAnsi="Arial" w:cs="Arial"/>
              <w:sz w:val="20"/>
            </w:rPr>
            <w:t>Center</w:t>
          </w:r>
        </w:smartTag>
      </w:smartTag>
      <w:proofErr w:type="spellEnd"/>
      <w:r>
        <w:rPr>
          <w:rFonts w:ascii="Arial" w:hAnsi="Arial" w:cs="Arial"/>
          <w:sz w:val="20"/>
        </w:rPr>
        <w:t>)</w:t>
      </w:r>
    </w:p>
    <w:p w14:paraId="28F5FC62" w14:textId="77777777" w:rsidR="00693223" w:rsidRDefault="00693223">
      <w:pPr>
        <w:keepNext/>
        <w:keepLines/>
        <w:jc w:val="both"/>
        <w:rPr>
          <w:rFonts w:ascii="Arial" w:hAnsi="Arial" w:cs="Arial"/>
          <w:sz w:val="20"/>
        </w:rPr>
      </w:pPr>
      <w:r>
        <w:rPr>
          <w:rFonts w:ascii="Arial" w:hAnsi="Arial" w:cs="Arial"/>
          <w:i/>
          <w:iCs/>
          <w:sz w:val="20"/>
        </w:rPr>
        <w:t>Clinical Child and Family Psychology Review,</w:t>
      </w:r>
      <w:r>
        <w:rPr>
          <w:rFonts w:ascii="Arial" w:hAnsi="Arial" w:cs="Arial"/>
          <w:sz w:val="20"/>
        </w:rPr>
        <w:t xml:space="preserve"> Vol.6, No.3, September 2003, 161-171</w:t>
      </w:r>
    </w:p>
    <w:p w14:paraId="7FE00674" w14:textId="77777777" w:rsidR="00693223" w:rsidRDefault="00693223">
      <w:pPr>
        <w:spacing w:before="120"/>
        <w:jc w:val="both"/>
        <w:rPr>
          <w:rFonts w:ascii="Arial" w:hAnsi="Arial" w:cs="Arial"/>
          <w:sz w:val="20"/>
        </w:rPr>
      </w:pPr>
      <w:r>
        <w:rPr>
          <w:rFonts w:ascii="Arial" w:hAnsi="Arial" w:cs="Arial"/>
          <w:sz w:val="20"/>
        </w:rPr>
        <w:t>The purpose of this paper is to review research on the prevalence of children's exposure to domestic violence, to consider the available literature on the co-occurrence of domestic violence and child maltreatment, and to gain more understanding about the impact of exposure on children.  There is clear evidence indicating that both severe and moderate violence occurs frequently in homes among family members and that children are exposed to this violence.  However, because of differing definitions of what constitutes domestic violence and variability in research methodologies for collecting the data, there are significance discrepancies in prevalence reports across studies.  Of great concern is the immediate impact on the children and the long-term consequences for their later relationships.  Fewer studies have been done on the co-occurrence of domestic violence and child maltreatment.  However, it is likely that children who live in homes where domestic violence occurs are more likely to be abused and neglected.  On the basis of the available research, there is little doubt that vast numbers of children are exposed to domestic violence and that children's responses vary widely depending on their risk and vulnerability, as well as the structure of their environments.  A developmental risk and protective factors framework will be used to integrate the information on children's exposure to violence.</w:t>
      </w:r>
    </w:p>
    <w:p w14:paraId="506489F9" w14:textId="77777777" w:rsidR="00436275" w:rsidRDefault="00436275" w:rsidP="00436275">
      <w:pPr>
        <w:rPr>
          <w:rFonts w:ascii="Arial" w:hAnsi="Arial" w:cs="Arial"/>
          <w:sz w:val="20"/>
        </w:rPr>
      </w:pPr>
    </w:p>
    <w:p w14:paraId="3C0DFCC9" w14:textId="77777777" w:rsidR="00436275" w:rsidRDefault="00436275" w:rsidP="00436275">
      <w:pPr>
        <w:keepNext/>
        <w:keepLines/>
        <w:ind w:left="720" w:hanging="720"/>
        <w:jc w:val="both"/>
        <w:rPr>
          <w:rFonts w:ascii="Arial" w:hAnsi="Arial" w:cs="Arial"/>
          <w:b/>
          <w:bCs/>
          <w:sz w:val="28"/>
          <w:bdr w:val="single" w:sz="4" w:space="0" w:color="auto"/>
        </w:rPr>
      </w:pPr>
      <w:r>
        <w:rPr>
          <w:rFonts w:ascii="Arial" w:hAnsi="Arial" w:cs="Arial"/>
          <w:b/>
          <w:bCs/>
          <w:sz w:val="28"/>
        </w:rPr>
        <w:t>F23</w:t>
      </w:r>
    </w:p>
    <w:p w14:paraId="7FA77100" w14:textId="77777777" w:rsidR="00436275" w:rsidRDefault="00436275" w:rsidP="00436275">
      <w:pPr>
        <w:keepNext/>
        <w:keepLines/>
        <w:jc w:val="both"/>
        <w:rPr>
          <w:rFonts w:ascii="Arial" w:hAnsi="Arial" w:cs="Arial"/>
          <w:b/>
          <w:bCs/>
        </w:rPr>
      </w:pPr>
      <w:r>
        <w:rPr>
          <w:rFonts w:ascii="Arial" w:hAnsi="Arial" w:cs="Arial"/>
          <w:b/>
          <w:bCs/>
        </w:rPr>
        <w:t>National comparison of child protection systems</w:t>
      </w:r>
    </w:p>
    <w:p w14:paraId="55A6FFDD" w14:textId="77777777" w:rsidR="00436275" w:rsidRDefault="00436275" w:rsidP="00436275">
      <w:pPr>
        <w:keepNext/>
        <w:keepLines/>
        <w:jc w:val="both"/>
        <w:rPr>
          <w:rFonts w:ascii="Arial" w:hAnsi="Arial" w:cs="Arial"/>
          <w:sz w:val="20"/>
        </w:rPr>
      </w:pPr>
      <w:r>
        <w:rPr>
          <w:rFonts w:ascii="Arial" w:hAnsi="Arial" w:cs="Arial"/>
          <w:sz w:val="20"/>
        </w:rPr>
        <w:t>Leah Broomfield (Senior Research Officer) &amp; Daryl Higgins (Senior Research Fellow)</w:t>
      </w:r>
    </w:p>
    <w:p w14:paraId="02B2ACA9" w14:textId="77777777" w:rsidR="00436275" w:rsidRDefault="00CC0325" w:rsidP="00436275">
      <w:pPr>
        <w:keepNext/>
        <w:keepLines/>
        <w:jc w:val="both"/>
        <w:rPr>
          <w:rFonts w:ascii="Arial" w:hAnsi="Arial" w:cs="Arial"/>
          <w:sz w:val="20"/>
        </w:rPr>
      </w:pPr>
      <w:r>
        <w:rPr>
          <w:rFonts w:ascii="Arial" w:hAnsi="Arial" w:cs="Arial"/>
          <w:i/>
          <w:iCs/>
          <w:sz w:val="20"/>
        </w:rPr>
        <w:t xml:space="preserve">Australian Institute of Family Studies – National Child Protection Clearinghouse </w:t>
      </w:r>
      <w:r w:rsidRPr="00CC0325">
        <w:rPr>
          <w:rFonts w:ascii="Arial" w:hAnsi="Arial" w:cs="Arial"/>
          <w:iCs/>
          <w:sz w:val="20"/>
        </w:rPr>
        <w:t>– Paper No.22 Autumn 2005</w:t>
      </w:r>
    </w:p>
    <w:p w14:paraId="1B968E0A" w14:textId="77777777" w:rsidR="00CC0325" w:rsidRDefault="00CC0325" w:rsidP="00CC0325">
      <w:pPr>
        <w:spacing w:before="120"/>
        <w:jc w:val="both"/>
        <w:rPr>
          <w:rFonts w:ascii="Arial" w:hAnsi="Arial" w:cs="Arial"/>
          <w:sz w:val="20"/>
        </w:rPr>
      </w:pPr>
      <w:r>
        <w:rPr>
          <w:rFonts w:ascii="Arial" w:hAnsi="Arial" w:cs="Arial"/>
          <w:sz w:val="20"/>
        </w:rPr>
        <w:t>This paper is a national snapshot of Australian statutory child protection services.  Data were collected in each state and territory via policy documents, procedure manuals and telephone interviews with relevant child protection personnel.  Topics covered are: who is responsible for child protection; intake procedures; who notifies concerns to child protection services; and the process of providing child protection services in Australian states and territories (intake, risk assessment, investigation and case management).  Similarities and differences across states and territories in each of these areas are highlighted.  Despite different legislative frameworks and some operational differences, Australian state and territory statutory child protection services are providing very similar models of intervention.  Implications are explored with regard to: competency standards, training and professional development, and cross-jurisdictional issues.</w:t>
      </w:r>
    </w:p>
    <w:p w14:paraId="79D3C36A" w14:textId="77777777" w:rsidR="00693223" w:rsidRDefault="00693223">
      <w:pPr>
        <w:rPr>
          <w:rFonts w:ascii="Arial" w:hAnsi="Arial" w:cs="Arial"/>
          <w:sz w:val="20"/>
        </w:rPr>
      </w:pPr>
    </w:p>
    <w:p w14:paraId="4BFCA9AD" w14:textId="77777777" w:rsidR="00AF6272" w:rsidRDefault="00AF6272" w:rsidP="00C478CF">
      <w:pPr>
        <w:ind w:left="720" w:hanging="720"/>
        <w:jc w:val="both"/>
        <w:rPr>
          <w:rFonts w:ascii="Arial" w:hAnsi="Arial" w:cs="Arial"/>
          <w:b/>
          <w:bCs/>
          <w:sz w:val="28"/>
          <w:bdr w:val="single" w:sz="4" w:space="0" w:color="auto"/>
        </w:rPr>
      </w:pPr>
      <w:r>
        <w:rPr>
          <w:rFonts w:ascii="Arial" w:hAnsi="Arial" w:cs="Arial"/>
          <w:b/>
          <w:bCs/>
          <w:sz w:val="28"/>
        </w:rPr>
        <w:t>F24</w:t>
      </w:r>
    </w:p>
    <w:p w14:paraId="3706288A" w14:textId="77777777" w:rsidR="00C478CF" w:rsidRPr="00862712" w:rsidRDefault="00862712" w:rsidP="00C478CF">
      <w:pPr>
        <w:jc w:val="both"/>
        <w:rPr>
          <w:rFonts w:ascii="Arial" w:hAnsi="Arial" w:cs="Arial"/>
          <w:b/>
          <w:bCs/>
          <w:sz w:val="28"/>
        </w:rPr>
      </w:pPr>
      <w:r w:rsidRPr="00862712">
        <w:rPr>
          <w:rFonts w:ascii="Arial" w:hAnsi="Arial" w:cs="Arial"/>
          <w:b/>
          <w:bCs/>
        </w:rPr>
        <w:t>Child protection Australia 2005-06</w:t>
      </w:r>
    </w:p>
    <w:p w14:paraId="024E160C" w14:textId="77777777" w:rsidR="00C478CF" w:rsidRPr="00862712" w:rsidRDefault="00862712" w:rsidP="00C478CF">
      <w:pPr>
        <w:jc w:val="both"/>
        <w:rPr>
          <w:rFonts w:ascii="Arial" w:hAnsi="Arial" w:cs="Arial"/>
          <w:bCs/>
          <w:sz w:val="20"/>
        </w:rPr>
      </w:pPr>
      <w:r w:rsidRPr="00862712">
        <w:rPr>
          <w:rFonts w:ascii="Arial" w:hAnsi="Arial" w:cs="Arial"/>
          <w:bCs/>
          <w:sz w:val="20"/>
        </w:rPr>
        <w:t xml:space="preserve">Paper </w:t>
      </w:r>
      <w:r>
        <w:rPr>
          <w:rFonts w:ascii="Arial" w:hAnsi="Arial" w:cs="Arial"/>
          <w:bCs/>
          <w:sz w:val="20"/>
        </w:rPr>
        <w:t xml:space="preserve">Number 40 in the Child Welfare Series published by the Australian Institute of Health and Welfare, </w:t>
      </w:r>
      <w:smartTag w:uri="urn:schemas-microsoft-com:office:smarttags" w:element="City">
        <w:smartTag w:uri="urn:schemas-microsoft-com:office:smarttags" w:element="place">
          <w:r>
            <w:rPr>
              <w:rFonts w:ascii="Arial" w:hAnsi="Arial" w:cs="Arial"/>
              <w:bCs/>
              <w:sz w:val="20"/>
            </w:rPr>
            <w:t>Canberra</w:t>
          </w:r>
        </w:smartTag>
      </w:smartTag>
      <w:r>
        <w:rPr>
          <w:rFonts w:ascii="Arial" w:hAnsi="Arial" w:cs="Arial"/>
          <w:bCs/>
          <w:sz w:val="20"/>
        </w:rPr>
        <w:t>.</w:t>
      </w:r>
    </w:p>
    <w:p w14:paraId="08B06AA8" w14:textId="77777777" w:rsidR="00862712" w:rsidRDefault="00862712" w:rsidP="00862712">
      <w:pPr>
        <w:spacing w:before="120"/>
        <w:jc w:val="both"/>
        <w:rPr>
          <w:rFonts w:ascii="Arial" w:hAnsi="Arial" w:cs="Arial"/>
          <w:sz w:val="20"/>
        </w:rPr>
      </w:pPr>
      <w:r>
        <w:rPr>
          <w:rFonts w:ascii="Arial" w:hAnsi="Arial" w:cs="Arial"/>
          <w:sz w:val="20"/>
        </w:rPr>
        <w:t>This excellent paper is based on three national children protection data collections:</w:t>
      </w:r>
    </w:p>
    <w:p w14:paraId="72F86D85" w14:textId="77777777" w:rsidR="00862712" w:rsidRDefault="00862712" w:rsidP="00FB1EE3">
      <w:pPr>
        <w:numPr>
          <w:ilvl w:val="0"/>
          <w:numId w:val="27"/>
        </w:numPr>
        <w:jc w:val="both"/>
        <w:rPr>
          <w:rFonts w:ascii="Arial" w:hAnsi="Arial" w:cs="Arial"/>
          <w:sz w:val="20"/>
        </w:rPr>
      </w:pPr>
      <w:r>
        <w:rPr>
          <w:rFonts w:ascii="Arial" w:hAnsi="Arial" w:cs="Arial"/>
          <w:sz w:val="20"/>
        </w:rPr>
        <w:t>child protection notifications, investigations and substantiations;</w:t>
      </w:r>
    </w:p>
    <w:p w14:paraId="3F8E8AE2" w14:textId="77777777" w:rsidR="00862712" w:rsidRDefault="00862712" w:rsidP="00FB1EE3">
      <w:pPr>
        <w:numPr>
          <w:ilvl w:val="0"/>
          <w:numId w:val="27"/>
        </w:numPr>
        <w:jc w:val="both"/>
        <w:rPr>
          <w:rFonts w:ascii="Arial" w:hAnsi="Arial" w:cs="Arial"/>
          <w:sz w:val="20"/>
        </w:rPr>
      </w:pPr>
      <w:r>
        <w:rPr>
          <w:rFonts w:ascii="Arial" w:hAnsi="Arial" w:cs="Arial"/>
          <w:sz w:val="20"/>
        </w:rPr>
        <w:t>children on care and protection orders;</w:t>
      </w:r>
    </w:p>
    <w:p w14:paraId="5A72C94E" w14:textId="77777777" w:rsidR="00862712" w:rsidRDefault="00862712" w:rsidP="00FB1EE3">
      <w:pPr>
        <w:numPr>
          <w:ilvl w:val="0"/>
          <w:numId w:val="27"/>
        </w:numPr>
        <w:jc w:val="both"/>
        <w:rPr>
          <w:rFonts w:ascii="Arial" w:hAnsi="Arial" w:cs="Arial"/>
          <w:sz w:val="20"/>
        </w:rPr>
      </w:pPr>
      <w:r>
        <w:rPr>
          <w:rFonts w:ascii="Arial" w:hAnsi="Arial" w:cs="Arial"/>
          <w:sz w:val="20"/>
        </w:rPr>
        <w:t>children in out of home care.</w:t>
      </w:r>
    </w:p>
    <w:p w14:paraId="00A1A0F0" w14:textId="77777777" w:rsidR="00862712" w:rsidRPr="00862712" w:rsidRDefault="00862712" w:rsidP="00862712">
      <w:pPr>
        <w:jc w:val="both"/>
        <w:rPr>
          <w:rFonts w:ascii="Arial" w:hAnsi="Arial" w:cs="Arial"/>
          <w:bCs/>
          <w:sz w:val="20"/>
        </w:rPr>
      </w:pPr>
      <w:r>
        <w:rPr>
          <w:rFonts w:ascii="Arial" w:hAnsi="Arial" w:cs="Arial"/>
          <w:bCs/>
          <w:sz w:val="20"/>
        </w:rPr>
        <w:t>These data are collected each year by the Australian Institute of Health and Welfare from the relevant departments in each Australian state and territory.  Most of the data in the report cover the 2005-2006 financial year, although data trends in child protection are also included.</w:t>
      </w:r>
    </w:p>
    <w:p w14:paraId="53A7C45E" w14:textId="77777777" w:rsidR="00862712" w:rsidRPr="00772BBD" w:rsidRDefault="00862712" w:rsidP="00C478CF">
      <w:pPr>
        <w:jc w:val="both"/>
        <w:rPr>
          <w:rFonts w:ascii="Arial" w:hAnsi="Arial" w:cs="Arial"/>
          <w:b/>
          <w:bCs/>
          <w:sz w:val="20"/>
        </w:rPr>
      </w:pPr>
    </w:p>
    <w:p w14:paraId="6625384B" w14:textId="77777777" w:rsidR="00862712" w:rsidRDefault="00862712" w:rsidP="00862712">
      <w:pPr>
        <w:ind w:left="720" w:hanging="720"/>
        <w:jc w:val="both"/>
        <w:rPr>
          <w:rFonts w:ascii="Arial" w:hAnsi="Arial" w:cs="Arial"/>
          <w:b/>
          <w:bCs/>
          <w:sz w:val="28"/>
          <w:bdr w:val="single" w:sz="4" w:space="0" w:color="auto"/>
        </w:rPr>
      </w:pPr>
      <w:r>
        <w:rPr>
          <w:rFonts w:ascii="Arial" w:hAnsi="Arial" w:cs="Arial"/>
          <w:b/>
          <w:bCs/>
          <w:sz w:val="28"/>
        </w:rPr>
        <w:lastRenderedPageBreak/>
        <w:t>F25</w:t>
      </w:r>
    </w:p>
    <w:p w14:paraId="3CED7B00" w14:textId="77777777" w:rsidR="00862712" w:rsidRPr="00862712" w:rsidRDefault="009A491E" w:rsidP="00862712">
      <w:pPr>
        <w:jc w:val="both"/>
        <w:rPr>
          <w:rFonts w:ascii="Arial" w:hAnsi="Arial" w:cs="Arial"/>
          <w:b/>
          <w:bCs/>
          <w:sz w:val="28"/>
        </w:rPr>
      </w:pPr>
      <w:r>
        <w:rPr>
          <w:rFonts w:ascii="Arial" w:hAnsi="Arial" w:cs="Arial"/>
          <w:b/>
          <w:bCs/>
        </w:rPr>
        <w:t xml:space="preserve">The </w:t>
      </w:r>
      <w:r w:rsidR="00862712" w:rsidRPr="00862712">
        <w:rPr>
          <w:rFonts w:ascii="Arial" w:hAnsi="Arial" w:cs="Arial"/>
          <w:b/>
          <w:bCs/>
        </w:rPr>
        <w:t xml:space="preserve">Child </w:t>
      </w:r>
      <w:r>
        <w:rPr>
          <w:rFonts w:ascii="Arial" w:hAnsi="Arial" w:cs="Arial"/>
          <w:b/>
          <w:bCs/>
        </w:rPr>
        <w:t>P</w:t>
      </w:r>
      <w:r w:rsidR="00862712" w:rsidRPr="00862712">
        <w:rPr>
          <w:rFonts w:ascii="Arial" w:hAnsi="Arial" w:cs="Arial"/>
          <w:b/>
          <w:bCs/>
        </w:rPr>
        <w:t xml:space="preserve">rotection </w:t>
      </w:r>
      <w:r>
        <w:rPr>
          <w:rFonts w:ascii="Arial" w:hAnsi="Arial" w:cs="Arial"/>
          <w:b/>
          <w:bCs/>
        </w:rPr>
        <w:t xml:space="preserve">Crisis in </w:t>
      </w:r>
      <w:smartTag w:uri="urn:schemas-microsoft-com:office:smarttags" w:element="country-region">
        <w:smartTag w:uri="urn:schemas-microsoft-com:office:smarttags" w:element="place">
          <w:r w:rsidR="00862712" w:rsidRPr="00862712">
            <w:rPr>
              <w:rFonts w:ascii="Arial" w:hAnsi="Arial" w:cs="Arial"/>
              <w:b/>
              <w:bCs/>
            </w:rPr>
            <w:t>Australia</w:t>
          </w:r>
        </w:smartTag>
      </w:smartTag>
      <w:r w:rsidR="00862712" w:rsidRPr="00862712">
        <w:rPr>
          <w:rFonts w:ascii="Arial" w:hAnsi="Arial" w:cs="Arial"/>
          <w:b/>
          <w:bCs/>
        </w:rPr>
        <w:t xml:space="preserve"> </w:t>
      </w:r>
      <w:r>
        <w:rPr>
          <w:rFonts w:ascii="Arial" w:hAnsi="Arial" w:cs="Arial"/>
          <w:b/>
          <w:bCs/>
        </w:rPr>
        <w:t>– a Way Forward</w:t>
      </w:r>
    </w:p>
    <w:p w14:paraId="7D947C19" w14:textId="77777777" w:rsidR="00862712" w:rsidRPr="00862712" w:rsidRDefault="00862712" w:rsidP="00862712">
      <w:pPr>
        <w:jc w:val="both"/>
        <w:rPr>
          <w:rFonts w:ascii="Arial" w:hAnsi="Arial" w:cs="Arial"/>
          <w:bCs/>
          <w:sz w:val="20"/>
        </w:rPr>
      </w:pPr>
      <w:r w:rsidRPr="00862712">
        <w:rPr>
          <w:rFonts w:ascii="Arial" w:hAnsi="Arial" w:cs="Arial"/>
          <w:bCs/>
          <w:sz w:val="20"/>
        </w:rPr>
        <w:t xml:space="preserve">Paper </w:t>
      </w:r>
      <w:r>
        <w:rPr>
          <w:rFonts w:ascii="Arial" w:hAnsi="Arial" w:cs="Arial"/>
          <w:bCs/>
          <w:sz w:val="20"/>
        </w:rPr>
        <w:t xml:space="preserve">Number 40 in the Child Welfare Series published by the Australian Institute of Health and Welfare, </w:t>
      </w:r>
      <w:smartTag w:uri="urn:schemas-microsoft-com:office:smarttags" w:element="City">
        <w:smartTag w:uri="urn:schemas-microsoft-com:office:smarttags" w:element="place">
          <w:r>
            <w:rPr>
              <w:rFonts w:ascii="Arial" w:hAnsi="Arial" w:cs="Arial"/>
              <w:bCs/>
              <w:sz w:val="20"/>
            </w:rPr>
            <w:t>Canberra</w:t>
          </w:r>
        </w:smartTag>
      </w:smartTag>
      <w:r>
        <w:rPr>
          <w:rFonts w:ascii="Arial" w:hAnsi="Arial" w:cs="Arial"/>
          <w:bCs/>
          <w:sz w:val="20"/>
        </w:rPr>
        <w:t>.</w:t>
      </w:r>
    </w:p>
    <w:p w14:paraId="4469C7C3" w14:textId="77777777" w:rsidR="00867E75" w:rsidRDefault="00867E75" w:rsidP="00867E75">
      <w:pPr>
        <w:spacing w:before="120"/>
        <w:jc w:val="both"/>
        <w:rPr>
          <w:rFonts w:ascii="Arial" w:hAnsi="Arial" w:cs="Arial"/>
          <w:sz w:val="20"/>
        </w:rPr>
      </w:pPr>
      <w:r>
        <w:rPr>
          <w:rFonts w:ascii="Arial" w:hAnsi="Arial" w:cs="Arial"/>
          <w:sz w:val="20"/>
        </w:rPr>
        <w:t xml:space="preserve">This paper postulates that most of the statutory child protection systems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are in crisis and that an overloaded child protection service, like an overloaded casualty department in a hospital</w:t>
      </w:r>
      <w:r w:rsidR="00AB79CB">
        <w:rPr>
          <w:rFonts w:ascii="Arial" w:hAnsi="Arial" w:cs="Arial"/>
          <w:sz w:val="20"/>
        </w:rPr>
        <w:t>,</w:t>
      </w:r>
      <w:r>
        <w:rPr>
          <w:rFonts w:ascii="Arial" w:hAnsi="Arial" w:cs="Arial"/>
          <w:sz w:val="20"/>
        </w:rPr>
        <w:t xml:space="preserve"> is very dangerous.  It then puts forward suggest</w:t>
      </w:r>
      <w:r w:rsidR="00AB79CB">
        <w:rPr>
          <w:rFonts w:ascii="Arial" w:hAnsi="Arial" w:cs="Arial"/>
          <w:sz w:val="20"/>
        </w:rPr>
        <w:t>ions</w:t>
      </w:r>
      <w:r>
        <w:rPr>
          <w:rFonts w:ascii="Arial" w:hAnsi="Arial" w:cs="Arial"/>
          <w:sz w:val="20"/>
        </w:rPr>
        <w:t xml:space="preserve"> as to how a Public H</w:t>
      </w:r>
      <w:r w:rsidR="00772BBD">
        <w:rPr>
          <w:rFonts w:ascii="Arial" w:hAnsi="Arial" w:cs="Arial"/>
          <w:sz w:val="20"/>
        </w:rPr>
        <w:t>ealth Model of Child Protection, providing for prevention at three levels, is necessary to reform the current dangerous and unsustainable systems.</w:t>
      </w:r>
    </w:p>
    <w:p w14:paraId="29216745" w14:textId="77777777" w:rsidR="00862712" w:rsidRPr="00772BBD" w:rsidRDefault="00862712" w:rsidP="00862712">
      <w:pPr>
        <w:ind w:left="720" w:hanging="720"/>
        <w:jc w:val="both"/>
        <w:rPr>
          <w:rFonts w:ascii="Arial" w:hAnsi="Arial" w:cs="Arial"/>
          <w:bCs/>
          <w:sz w:val="20"/>
        </w:rPr>
      </w:pPr>
    </w:p>
    <w:p w14:paraId="01839D55" w14:textId="77777777" w:rsidR="00862712" w:rsidRDefault="00862712" w:rsidP="00862712">
      <w:pPr>
        <w:ind w:left="720" w:hanging="720"/>
        <w:jc w:val="both"/>
        <w:rPr>
          <w:rFonts w:ascii="Arial" w:hAnsi="Arial" w:cs="Arial"/>
          <w:b/>
          <w:bCs/>
          <w:sz w:val="28"/>
          <w:bdr w:val="single" w:sz="4" w:space="0" w:color="auto"/>
        </w:rPr>
      </w:pPr>
      <w:r>
        <w:rPr>
          <w:rFonts w:ascii="Arial" w:hAnsi="Arial" w:cs="Arial"/>
          <w:b/>
          <w:bCs/>
          <w:sz w:val="28"/>
        </w:rPr>
        <w:t>F26</w:t>
      </w:r>
    </w:p>
    <w:p w14:paraId="3137827F" w14:textId="77777777" w:rsidR="00AF6272" w:rsidRDefault="00AF6272" w:rsidP="00C478CF">
      <w:pPr>
        <w:jc w:val="both"/>
        <w:rPr>
          <w:rFonts w:ascii="Arial" w:hAnsi="Arial" w:cs="Arial"/>
          <w:b/>
          <w:bCs/>
        </w:rPr>
      </w:pPr>
      <w:r>
        <w:rPr>
          <w:rFonts w:ascii="Arial" w:hAnsi="Arial" w:cs="Arial"/>
          <w:b/>
          <w:bCs/>
        </w:rPr>
        <w:t>Child Abuse and Neglect and the Brain – A Review</w:t>
      </w:r>
    </w:p>
    <w:p w14:paraId="399619F4" w14:textId="77777777" w:rsidR="00032E6E" w:rsidRDefault="00032E6E" w:rsidP="00032E6E">
      <w:pPr>
        <w:jc w:val="both"/>
        <w:rPr>
          <w:rFonts w:ascii="Arial" w:hAnsi="Arial" w:cs="Arial"/>
          <w:sz w:val="20"/>
        </w:rPr>
      </w:pPr>
      <w:r>
        <w:rPr>
          <w:rFonts w:ascii="Arial" w:hAnsi="Arial" w:cs="Arial"/>
          <w:sz w:val="20"/>
        </w:rPr>
        <w:t xml:space="preserve">Dr </w:t>
      </w:r>
      <w:proofErr w:type="spellStart"/>
      <w:r>
        <w:rPr>
          <w:rFonts w:ascii="Arial" w:hAnsi="Arial" w:cs="Arial"/>
          <w:sz w:val="20"/>
        </w:rPr>
        <w:t>Danya</w:t>
      </w:r>
      <w:proofErr w:type="spellEnd"/>
      <w:r>
        <w:rPr>
          <w:rFonts w:ascii="Arial" w:hAnsi="Arial" w:cs="Arial"/>
          <w:sz w:val="20"/>
        </w:rPr>
        <w:t xml:space="preserve"> Glaser (Department of Psychological Medicine, </w:t>
      </w:r>
      <w:smartTag w:uri="urn:schemas-microsoft-com:office:smarttags" w:element="PlaceName">
        <w:r>
          <w:rPr>
            <w:rFonts w:ascii="Arial" w:hAnsi="Arial" w:cs="Arial"/>
            <w:sz w:val="20"/>
          </w:rPr>
          <w:t>Great</w:t>
        </w:r>
      </w:smartTag>
      <w:r>
        <w:rPr>
          <w:rFonts w:ascii="Arial" w:hAnsi="Arial" w:cs="Arial"/>
          <w:sz w:val="20"/>
        </w:rPr>
        <w:t xml:space="preserve"> </w:t>
      </w:r>
      <w:smartTag w:uri="urn:schemas-microsoft-com:office:smarttags" w:element="PlaceName">
        <w:r>
          <w:rPr>
            <w:rFonts w:ascii="Arial" w:hAnsi="Arial" w:cs="Arial"/>
            <w:sz w:val="20"/>
          </w:rPr>
          <w:t>Ormond</w:t>
        </w:r>
      </w:smartTag>
      <w:r>
        <w:rPr>
          <w:rFonts w:ascii="Arial" w:hAnsi="Arial" w:cs="Arial"/>
          <w:sz w:val="20"/>
        </w:rPr>
        <w:t xml:space="preserve"> </w:t>
      </w:r>
      <w:smartTag w:uri="urn:schemas-microsoft-com:office:smarttags" w:element="PlaceName">
        <w:r>
          <w:rPr>
            <w:rFonts w:ascii="Arial" w:hAnsi="Arial" w:cs="Arial"/>
            <w:sz w:val="20"/>
          </w:rPr>
          <w:t>Street</w:t>
        </w:r>
      </w:smartTag>
      <w:r>
        <w:rPr>
          <w:rFonts w:ascii="Arial" w:hAnsi="Arial" w:cs="Arial"/>
          <w:sz w:val="20"/>
        </w:rPr>
        <w:t xml:space="preserve"> </w:t>
      </w:r>
      <w:smartTag w:uri="urn:schemas-microsoft-com:office:smarttags" w:element="PlaceType">
        <w:r>
          <w:rPr>
            <w:rFonts w:ascii="Arial" w:hAnsi="Arial" w:cs="Arial"/>
            <w:sz w:val="20"/>
          </w:rPr>
          <w:t>Hospital</w:t>
        </w:r>
      </w:smartTag>
      <w:r>
        <w:rPr>
          <w:rFonts w:ascii="Arial" w:hAnsi="Arial" w:cs="Arial"/>
          <w:sz w:val="20"/>
        </w:rPr>
        <w:t xml:space="preserve"> for Children,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4E6E867C" w14:textId="77777777" w:rsidR="00032E6E" w:rsidRPr="00032E6E" w:rsidRDefault="00032E6E" w:rsidP="00032E6E">
      <w:pPr>
        <w:jc w:val="both"/>
        <w:rPr>
          <w:rFonts w:ascii="Arial" w:hAnsi="Arial" w:cs="Arial"/>
          <w:i/>
          <w:iCs/>
          <w:sz w:val="20"/>
        </w:rPr>
      </w:pPr>
      <w:r w:rsidRPr="00032E6E">
        <w:rPr>
          <w:rFonts w:ascii="Arial" w:hAnsi="Arial" w:cs="Arial"/>
          <w:i/>
          <w:iCs/>
          <w:sz w:val="20"/>
        </w:rPr>
        <w:t>(2000) J Ch</w:t>
      </w:r>
      <w:r w:rsidR="00700B0B">
        <w:rPr>
          <w:rFonts w:ascii="Arial" w:hAnsi="Arial" w:cs="Arial"/>
          <w:i/>
          <w:iCs/>
          <w:sz w:val="20"/>
        </w:rPr>
        <w:t xml:space="preserve">ild Psychology Vol.41, No.1, </w:t>
      </w:r>
      <w:r w:rsidRPr="00032E6E">
        <w:rPr>
          <w:rFonts w:ascii="Arial" w:hAnsi="Arial" w:cs="Arial"/>
          <w:i/>
          <w:iCs/>
          <w:sz w:val="20"/>
        </w:rPr>
        <w:t xml:space="preserve">97-116 </w:t>
      </w:r>
    </w:p>
    <w:p w14:paraId="012A274E" w14:textId="77777777" w:rsidR="00AF6272" w:rsidRDefault="00032E6E" w:rsidP="00032E6E">
      <w:pPr>
        <w:spacing w:before="120"/>
        <w:jc w:val="both"/>
        <w:rPr>
          <w:rFonts w:ascii="Arial" w:hAnsi="Arial" w:cs="Arial"/>
          <w:sz w:val="20"/>
        </w:rPr>
      </w:pPr>
      <w:r>
        <w:rPr>
          <w:rFonts w:ascii="Arial" w:hAnsi="Arial" w:cs="Arial"/>
          <w:sz w:val="20"/>
        </w:rPr>
        <w:t xml:space="preserve">Developmental psychology and the study of behaviour and emotion have tended to be considered in parallel to the study of neurobiological processes.  </w:t>
      </w:r>
      <w:r w:rsidR="00A92378">
        <w:rPr>
          <w:rFonts w:ascii="Arial" w:hAnsi="Arial" w:cs="Arial"/>
          <w:sz w:val="20"/>
        </w:rPr>
        <w:t xml:space="preserve">The review explores the effects of child abuse and neglect on the brain, excluding non-accidental injury that causes gross physical trauma to the brain.  It commences with a background summary of the nature, context, and some deleterious effects of omission and commission within child maltreatment.  There is no post-maltreatment syndrome, outcomes varying with many factors including nature, duration, and interpersonal context of the maltreatment as well as the nature of later intervention.  </w:t>
      </w:r>
      <w:r w:rsidR="00867E75">
        <w:rPr>
          <w:rFonts w:ascii="Arial" w:hAnsi="Arial" w:cs="Arial"/>
          <w:sz w:val="20"/>
        </w:rPr>
        <w:t>There then follows a section on environmental influences on brain development, demonstrating the dependence of the orderly process of neurodevelopment on the child’s environment.  Ontogenesis, or the development of the self through self-determination, proceeds in the context of the nature-nurture interaction.  As a prelude to reviewing the neurobiology of child abuse and neglect, the next section is concerned with bridging the mind and the brain.  Here, neurobiological processes, including cellular, biochemical, and neuropsychological processes, are examined alongside their behavioural, cognitive, and emotional equivalents and vice versa.  Child maltreatment is a potent source of stress and the stress response is therefore discussed in some detail.  Evidence is outlined for the buffering effects of a secure attachment on the stress response.  The section dealing with actual effects on the brain of child abuse and neglect discusses manifestations of the stress response including dysregulation of the hypothalamic-pituitary-adrenal axis, and parasympathetic and catecholamine responses.  Recent evidence about reduction in brain volume following child abuse and neglect is also outlined.  Some biochemical, functional, and structural changes in the brain that are not reflections of the stress response are observed following child maltreatment.  The mechanisms bringing about these changes are less clearly understood and may well be related to early and more chronic abuse and neglect affecting the process of brain development.  The behavioural and emotional concomitants of their neurobiological manifestations are discussed.  The importance of early intervention and attention to the chronicity of environmental adversity may indicate the need for permanent alternative caregivers, in order to preserve the development of the most vulnerable children.</w:t>
      </w:r>
    </w:p>
    <w:p w14:paraId="49329029" w14:textId="77777777" w:rsidR="00ED3628" w:rsidRDefault="00ED3628" w:rsidP="00C478CF">
      <w:pPr>
        <w:rPr>
          <w:rFonts w:ascii="Arial" w:hAnsi="Arial" w:cs="Arial"/>
          <w:sz w:val="20"/>
        </w:rPr>
      </w:pPr>
    </w:p>
    <w:p w14:paraId="33D150E9" w14:textId="77777777" w:rsidR="00ED3628" w:rsidRDefault="00ED3628" w:rsidP="00ED3628">
      <w:pPr>
        <w:ind w:left="720" w:hanging="720"/>
        <w:jc w:val="both"/>
        <w:rPr>
          <w:rFonts w:ascii="Arial" w:hAnsi="Arial" w:cs="Arial"/>
          <w:b/>
          <w:bCs/>
          <w:sz w:val="28"/>
          <w:bdr w:val="single" w:sz="4" w:space="0" w:color="auto"/>
        </w:rPr>
      </w:pPr>
      <w:r>
        <w:rPr>
          <w:rFonts w:ascii="Arial" w:hAnsi="Arial" w:cs="Arial"/>
          <w:b/>
          <w:bCs/>
          <w:sz w:val="28"/>
        </w:rPr>
        <w:t>F27</w:t>
      </w:r>
    </w:p>
    <w:p w14:paraId="0019BBB0" w14:textId="77777777" w:rsidR="00ED3628" w:rsidRDefault="00ED3628" w:rsidP="00ED3628">
      <w:pPr>
        <w:jc w:val="both"/>
        <w:rPr>
          <w:rFonts w:ascii="Arial" w:hAnsi="Arial" w:cs="Arial"/>
          <w:b/>
          <w:bCs/>
        </w:rPr>
      </w:pPr>
      <w:r>
        <w:rPr>
          <w:rFonts w:ascii="Arial" w:hAnsi="Arial" w:cs="Arial"/>
          <w:b/>
          <w:bCs/>
        </w:rPr>
        <w:t xml:space="preserve">Emotional </w:t>
      </w:r>
      <w:r w:rsidR="00032E6E">
        <w:rPr>
          <w:rFonts w:ascii="Arial" w:hAnsi="Arial" w:cs="Arial"/>
          <w:b/>
          <w:bCs/>
        </w:rPr>
        <w:t>a</w:t>
      </w:r>
      <w:r>
        <w:rPr>
          <w:rFonts w:ascii="Arial" w:hAnsi="Arial" w:cs="Arial"/>
          <w:b/>
          <w:bCs/>
        </w:rPr>
        <w:t xml:space="preserve">buse </w:t>
      </w:r>
      <w:r w:rsidR="00032E6E">
        <w:rPr>
          <w:rFonts w:ascii="Arial" w:hAnsi="Arial" w:cs="Arial"/>
          <w:b/>
          <w:bCs/>
        </w:rPr>
        <w:t>and neglect (psychological maltreatment): a conceptual framework</w:t>
      </w:r>
    </w:p>
    <w:p w14:paraId="7641F586" w14:textId="77777777" w:rsidR="00ED3628" w:rsidRDefault="00ED3628" w:rsidP="00ED3628">
      <w:pPr>
        <w:jc w:val="both"/>
        <w:rPr>
          <w:rFonts w:ascii="Arial" w:hAnsi="Arial" w:cs="Arial"/>
          <w:sz w:val="20"/>
        </w:rPr>
      </w:pPr>
      <w:r>
        <w:rPr>
          <w:rFonts w:ascii="Arial" w:hAnsi="Arial" w:cs="Arial"/>
          <w:sz w:val="20"/>
        </w:rPr>
        <w:t xml:space="preserve">Dr </w:t>
      </w:r>
      <w:proofErr w:type="spellStart"/>
      <w:r>
        <w:rPr>
          <w:rFonts w:ascii="Arial" w:hAnsi="Arial" w:cs="Arial"/>
          <w:sz w:val="20"/>
        </w:rPr>
        <w:t>Danya</w:t>
      </w:r>
      <w:proofErr w:type="spellEnd"/>
      <w:r>
        <w:rPr>
          <w:rFonts w:ascii="Arial" w:hAnsi="Arial" w:cs="Arial"/>
          <w:sz w:val="20"/>
        </w:rPr>
        <w:t xml:space="preserve"> Glaser (</w:t>
      </w:r>
      <w:r w:rsidR="00032E6E">
        <w:rPr>
          <w:rFonts w:ascii="Arial" w:hAnsi="Arial" w:cs="Arial"/>
          <w:sz w:val="20"/>
        </w:rPr>
        <w:t xml:space="preserve">Department of Psychological Medicine, </w:t>
      </w:r>
      <w:smartTag w:uri="urn:schemas-microsoft-com:office:smarttags" w:element="PlaceName">
        <w:r>
          <w:rPr>
            <w:rFonts w:ascii="Arial" w:hAnsi="Arial" w:cs="Arial"/>
            <w:sz w:val="20"/>
          </w:rPr>
          <w:t>Great</w:t>
        </w:r>
      </w:smartTag>
      <w:r>
        <w:rPr>
          <w:rFonts w:ascii="Arial" w:hAnsi="Arial" w:cs="Arial"/>
          <w:sz w:val="20"/>
        </w:rPr>
        <w:t xml:space="preserve"> </w:t>
      </w:r>
      <w:smartTag w:uri="urn:schemas-microsoft-com:office:smarttags" w:element="PlaceName">
        <w:r>
          <w:rPr>
            <w:rFonts w:ascii="Arial" w:hAnsi="Arial" w:cs="Arial"/>
            <w:sz w:val="20"/>
          </w:rPr>
          <w:t>Ormond</w:t>
        </w:r>
      </w:smartTag>
      <w:r>
        <w:rPr>
          <w:rFonts w:ascii="Arial" w:hAnsi="Arial" w:cs="Arial"/>
          <w:sz w:val="20"/>
        </w:rPr>
        <w:t xml:space="preserve"> </w:t>
      </w:r>
      <w:smartTag w:uri="urn:schemas-microsoft-com:office:smarttags" w:element="PlaceName">
        <w:r w:rsidR="00032E6E">
          <w:rPr>
            <w:rFonts w:ascii="Arial" w:hAnsi="Arial" w:cs="Arial"/>
            <w:sz w:val="20"/>
          </w:rPr>
          <w:t>Street</w:t>
        </w:r>
      </w:smartTag>
      <w:r w:rsidR="00032E6E">
        <w:rPr>
          <w:rFonts w:ascii="Arial" w:hAnsi="Arial" w:cs="Arial"/>
          <w:sz w:val="20"/>
        </w:rPr>
        <w:t xml:space="preserve"> </w:t>
      </w:r>
      <w:smartTag w:uri="urn:schemas-microsoft-com:office:smarttags" w:element="PlaceType">
        <w:r w:rsidR="00032E6E">
          <w:rPr>
            <w:rFonts w:ascii="Arial" w:hAnsi="Arial" w:cs="Arial"/>
            <w:sz w:val="20"/>
          </w:rPr>
          <w:t>Hospital</w:t>
        </w:r>
      </w:smartTag>
      <w:r w:rsidR="00032E6E">
        <w:rPr>
          <w:rFonts w:ascii="Arial" w:hAnsi="Arial" w:cs="Arial"/>
          <w:sz w:val="20"/>
        </w:rPr>
        <w:t xml:space="preserve"> for Children,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5B75046C" w14:textId="77777777" w:rsidR="00ED3628" w:rsidRPr="00032E6E" w:rsidRDefault="00ED3628" w:rsidP="00ED3628">
      <w:pPr>
        <w:rPr>
          <w:rFonts w:ascii="Arial" w:hAnsi="Arial" w:cs="Arial"/>
          <w:i/>
          <w:sz w:val="20"/>
        </w:rPr>
      </w:pPr>
      <w:r w:rsidRPr="00032E6E">
        <w:rPr>
          <w:rFonts w:ascii="Arial" w:hAnsi="Arial" w:cs="Arial"/>
          <w:i/>
          <w:sz w:val="20"/>
        </w:rPr>
        <w:t xml:space="preserve">(2002), </w:t>
      </w:r>
      <w:r w:rsidR="00032E6E" w:rsidRPr="00032E6E">
        <w:rPr>
          <w:rFonts w:ascii="Arial" w:hAnsi="Arial" w:cs="Arial"/>
          <w:i/>
          <w:sz w:val="20"/>
        </w:rPr>
        <w:t xml:space="preserve">Child Abuse </w:t>
      </w:r>
      <w:r w:rsidR="00700B0B">
        <w:rPr>
          <w:rFonts w:ascii="Arial" w:hAnsi="Arial" w:cs="Arial"/>
          <w:i/>
          <w:sz w:val="20"/>
        </w:rPr>
        <w:t>&amp; Neglect 26, 697-714</w:t>
      </w:r>
    </w:p>
    <w:p w14:paraId="33379CB2" w14:textId="77777777" w:rsidR="00ED3628" w:rsidRDefault="00032E6E" w:rsidP="00032E6E">
      <w:pPr>
        <w:spacing w:before="120"/>
        <w:jc w:val="both"/>
        <w:rPr>
          <w:rFonts w:ascii="Arial" w:hAnsi="Arial" w:cs="Arial"/>
          <w:sz w:val="20"/>
        </w:rPr>
      </w:pPr>
      <w:r>
        <w:rPr>
          <w:rFonts w:ascii="Arial" w:hAnsi="Arial" w:cs="Arial"/>
          <w:sz w:val="20"/>
        </w:rPr>
        <w:t xml:space="preserve">Emotional abuse and neglect is an under-recognized, but actually common, form of child abuse.  Professionals in the field continue to find difficulty in recognizing and operationally defining it, and experience uncertainty about proving it legally.  There are also questions about intervention and therapy to protect the child in the least detrimental manner.  These difficulties have led to delays in recognition and protective intervention.  Emotional abuse and neglect are defined as a carer-child relationship that is characterised by patterns of harmful interactions but requiring no physical contact with the child.  Motivation to harm the child is not necessary for the definition.  Unlike sexual abuse that is a secret activity, these forms of ill treatment are easily </w:t>
      </w:r>
      <w:r>
        <w:rPr>
          <w:rFonts w:ascii="Arial" w:hAnsi="Arial" w:cs="Arial"/>
          <w:sz w:val="20"/>
        </w:rPr>
        <w:lastRenderedPageBreak/>
        <w:t>observable.  The child’s development is impaired in all domains of functioning but, not being specific to emotional abuse and neglect, cannot be regarded as diagnostic.</w:t>
      </w:r>
    </w:p>
    <w:p w14:paraId="77831CFF" w14:textId="77777777" w:rsidR="00700B0B" w:rsidRDefault="00700B0B" w:rsidP="00700B0B">
      <w:pPr>
        <w:rPr>
          <w:rFonts w:ascii="Arial" w:hAnsi="Arial" w:cs="Arial"/>
          <w:sz w:val="20"/>
        </w:rPr>
      </w:pPr>
    </w:p>
    <w:p w14:paraId="7BFC55A6" w14:textId="77777777" w:rsidR="00700B0B" w:rsidRDefault="00700B0B" w:rsidP="002F5929">
      <w:pPr>
        <w:keepNext/>
        <w:keepLines/>
        <w:ind w:left="720" w:hanging="720"/>
        <w:jc w:val="both"/>
        <w:rPr>
          <w:rFonts w:ascii="Arial" w:hAnsi="Arial" w:cs="Arial"/>
          <w:b/>
          <w:bCs/>
          <w:sz w:val="28"/>
          <w:bdr w:val="single" w:sz="4" w:space="0" w:color="auto"/>
        </w:rPr>
      </w:pPr>
      <w:r>
        <w:rPr>
          <w:rFonts w:ascii="Arial" w:hAnsi="Arial" w:cs="Arial"/>
          <w:b/>
          <w:bCs/>
          <w:sz w:val="28"/>
        </w:rPr>
        <w:t>F28</w:t>
      </w:r>
    </w:p>
    <w:p w14:paraId="1A6EBA9E" w14:textId="77777777" w:rsidR="00700B0B" w:rsidRDefault="00700B0B" w:rsidP="00700B0B">
      <w:pPr>
        <w:jc w:val="both"/>
        <w:rPr>
          <w:rFonts w:ascii="Arial" w:hAnsi="Arial" w:cs="Arial"/>
          <w:b/>
          <w:bCs/>
        </w:rPr>
      </w:pPr>
      <w:r>
        <w:rPr>
          <w:rFonts w:ascii="Arial" w:hAnsi="Arial" w:cs="Arial"/>
          <w:b/>
          <w:bCs/>
        </w:rPr>
        <w:t>Childhood Experience and the Expression of Genetic Potential: What Childhood neglect Tells Us about Nature and Nurture</w:t>
      </w:r>
    </w:p>
    <w:p w14:paraId="24F9F5E0" w14:textId="77777777" w:rsidR="00700B0B" w:rsidRDefault="00700B0B" w:rsidP="00700B0B">
      <w:pPr>
        <w:jc w:val="both"/>
        <w:rPr>
          <w:rFonts w:ascii="Arial" w:hAnsi="Arial" w:cs="Arial"/>
          <w:sz w:val="20"/>
        </w:rPr>
      </w:pPr>
      <w:r>
        <w:rPr>
          <w:rFonts w:ascii="Arial" w:hAnsi="Arial" w:cs="Arial"/>
          <w:sz w:val="20"/>
        </w:rPr>
        <w:t xml:space="preserve">Bruce D. Perry (The </w:t>
      </w:r>
      <w:proofErr w:type="spellStart"/>
      <w:smartTag w:uri="urn:schemas-microsoft-com:office:smarttags" w:element="PlaceName">
        <w:r>
          <w:rPr>
            <w:rFonts w:ascii="Arial" w:hAnsi="Arial" w:cs="Arial"/>
            <w:sz w:val="20"/>
          </w:rPr>
          <w:t>ChildTrauma</w:t>
        </w:r>
      </w:smartTag>
      <w:proofErr w:type="spellEnd"/>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smartTag>
      <w:r>
        <w:rPr>
          <w:rFonts w:ascii="Arial" w:hAnsi="Arial" w:cs="Arial"/>
          <w:sz w:val="20"/>
        </w:rPr>
        <w:t>)</w:t>
      </w:r>
    </w:p>
    <w:p w14:paraId="245A47E0" w14:textId="77777777" w:rsidR="00700B0B" w:rsidRPr="00700B0B" w:rsidRDefault="00700B0B" w:rsidP="00700B0B">
      <w:pPr>
        <w:jc w:val="both"/>
        <w:rPr>
          <w:rFonts w:ascii="Arial" w:hAnsi="Arial" w:cs="Arial"/>
          <w:i/>
          <w:sz w:val="20"/>
        </w:rPr>
      </w:pPr>
      <w:r w:rsidRPr="00700B0B">
        <w:rPr>
          <w:rFonts w:ascii="Arial" w:hAnsi="Arial" w:cs="Arial"/>
          <w:i/>
          <w:sz w:val="20"/>
        </w:rPr>
        <w:t>(2002) Brain and Mind 3: 79-100</w:t>
      </w:r>
    </w:p>
    <w:p w14:paraId="36842A60" w14:textId="77777777" w:rsidR="00A92378" w:rsidRDefault="00056D8F" w:rsidP="00A92378">
      <w:pPr>
        <w:spacing w:before="120"/>
        <w:jc w:val="both"/>
        <w:rPr>
          <w:rFonts w:ascii="Arial" w:hAnsi="Arial" w:cs="Arial"/>
          <w:sz w:val="20"/>
        </w:rPr>
      </w:pPr>
      <w:r>
        <w:rPr>
          <w:rFonts w:ascii="Arial" w:hAnsi="Arial" w:cs="Arial"/>
          <w:sz w:val="20"/>
        </w:rPr>
        <w:t>Studies of childhood abuse and neglect have important lessons for considerations of nature and nurture.  While each child has unique genetic potential, both human and animal studies point to important needs that every child has, and severe long-term consequences for brain function if those needs are not met.  The effects of the childhood environment, favourable or unfavourable, interact with all the processes of neurodevelopment (neurogenesis, migration, differentiation, apoptosis, arborization, synaptogenesis, synaptic sculpting</w:t>
      </w:r>
      <w:r w:rsidR="008245B1">
        <w:rPr>
          <w:rFonts w:ascii="Arial" w:hAnsi="Arial" w:cs="Arial"/>
          <w:sz w:val="20"/>
        </w:rPr>
        <w:t>, and myelination).  The time courses of all these neural processes are reviewed here along with statements of core principles for both genetic and environmental influences on all of these processes.  Evidence is presented that development of synaptic pathways tends to be a “use it or lose it” proposition.  Abuse studies from the author’s laboratory, studies of children in orphanages who lacked emotional contact, and a large number of animal deprivation and enrichment studies point to the need for children and young nonhuman mammals to have both stable emotional attachments with and touch from primary adult caregivers, and spontaneous interaction with peers.  If these connections are lacking, brain development both of caring behaviour and cognitive capacities is damaged in a lasting fashion.  These effects of experience on the brain imply that effects of modern technology can be positive but need to be monitored.  While technology has raised opportunities for children to become emotionally secure and literate, more recent inadvertent impacts of technology have spawned declines in extended families, family meals, and spontaneous peer interactions.  The latter changes have deprived many children of experiences that promote positive growth of the cognitive and caring potentials of their developing brains.</w:t>
      </w:r>
    </w:p>
    <w:p w14:paraId="075A8217" w14:textId="77777777" w:rsidR="00700B0B" w:rsidRDefault="00700B0B" w:rsidP="00700B0B">
      <w:pPr>
        <w:jc w:val="both"/>
        <w:rPr>
          <w:rFonts w:ascii="Arial" w:hAnsi="Arial" w:cs="Arial"/>
          <w:sz w:val="20"/>
        </w:rPr>
      </w:pPr>
    </w:p>
    <w:p w14:paraId="363D5E55" w14:textId="77777777" w:rsidR="00A92378" w:rsidRDefault="00A92378" w:rsidP="00A92378">
      <w:pPr>
        <w:ind w:left="720" w:hanging="720"/>
        <w:jc w:val="both"/>
        <w:rPr>
          <w:rFonts w:ascii="Arial" w:hAnsi="Arial" w:cs="Arial"/>
          <w:b/>
          <w:bCs/>
          <w:sz w:val="28"/>
          <w:bdr w:val="single" w:sz="4" w:space="0" w:color="auto"/>
        </w:rPr>
      </w:pPr>
      <w:r>
        <w:rPr>
          <w:rFonts w:ascii="Arial" w:hAnsi="Arial" w:cs="Arial"/>
          <w:b/>
          <w:bCs/>
          <w:sz w:val="28"/>
        </w:rPr>
        <w:t>F29</w:t>
      </w:r>
    </w:p>
    <w:p w14:paraId="6B58C2A3" w14:textId="77777777" w:rsidR="005B2534" w:rsidRDefault="005B2534" w:rsidP="005B2534">
      <w:pPr>
        <w:keepNext/>
        <w:keepLines/>
        <w:jc w:val="both"/>
        <w:rPr>
          <w:rFonts w:ascii="Arial" w:hAnsi="Arial" w:cs="Arial"/>
          <w:b/>
          <w:bCs/>
        </w:rPr>
      </w:pPr>
      <w:r>
        <w:rPr>
          <w:rFonts w:ascii="Arial" w:hAnsi="Arial" w:cs="Arial"/>
          <w:b/>
          <w:bCs/>
        </w:rPr>
        <w:t xml:space="preserve">Applying Principles of Neurodevelopment to Clinical Work with Maltreated and Traumatized Children: The </w:t>
      </w:r>
      <w:proofErr w:type="spellStart"/>
      <w:r>
        <w:rPr>
          <w:rFonts w:ascii="Arial" w:hAnsi="Arial" w:cs="Arial"/>
          <w:b/>
          <w:bCs/>
        </w:rPr>
        <w:t>Neurosequential</w:t>
      </w:r>
      <w:proofErr w:type="spellEnd"/>
      <w:r>
        <w:rPr>
          <w:rFonts w:ascii="Arial" w:hAnsi="Arial" w:cs="Arial"/>
          <w:b/>
          <w:bCs/>
        </w:rPr>
        <w:t xml:space="preserve"> Model of Therapeutics</w:t>
      </w:r>
    </w:p>
    <w:p w14:paraId="472FC64C" w14:textId="77777777" w:rsidR="00A92378" w:rsidRDefault="00A92378" w:rsidP="00A92378">
      <w:pPr>
        <w:jc w:val="both"/>
        <w:rPr>
          <w:rFonts w:ascii="Arial" w:hAnsi="Arial" w:cs="Arial"/>
          <w:sz w:val="20"/>
        </w:rPr>
      </w:pPr>
      <w:r>
        <w:rPr>
          <w:rFonts w:ascii="Arial" w:hAnsi="Arial" w:cs="Arial"/>
          <w:sz w:val="20"/>
        </w:rPr>
        <w:t xml:space="preserve">Bruce D. Perry (The </w:t>
      </w:r>
      <w:proofErr w:type="spellStart"/>
      <w:smartTag w:uri="urn:schemas-microsoft-com:office:smarttags" w:element="PlaceName">
        <w:r>
          <w:rPr>
            <w:rFonts w:ascii="Arial" w:hAnsi="Arial" w:cs="Arial"/>
            <w:sz w:val="20"/>
          </w:rPr>
          <w:t>ChildTrauma</w:t>
        </w:r>
      </w:smartTag>
      <w:proofErr w:type="spellEnd"/>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smartTag>
      <w:r>
        <w:rPr>
          <w:rFonts w:ascii="Arial" w:hAnsi="Arial" w:cs="Arial"/>
          <w:sz w:val="20"/>
        </w:rPr>
        <w:t>)</w:t>
      </w:r>
    </w:p>
    <w:p w14:paraId="0ED73EC9" w14:textId="77777777" w:rsidR="00A92378" w:rsidRPr="0075380A" w:rsidRDefault="00A92378" w:rsidP="00A92378">
      <w:pPr>
        <w:jc w:val="both"/>
        <w:rPr>
          <w:rFonts w:ascii="Arial" w:hAnsi="Arial" w:cs="Arial"/>
          <w:i/>
          <w:sz w:val="20"/>
        </w:rPr>
      </w:pPr>
      <w:r w:rsidRPr="0075380A">
        <w:rPr>
          <w:rFonts w:ascii="Arial" w:hAnsi="Arial" w:cs="Arial"/>
          <w:i/>
          <w:sz w:val="20"/>
        </w:rPr>
        <w:t xml:space="preserve">Working with Traumatized Youth in Child Welfare (Ed. Nancy Boyd), </w:t>
      </w:r>
      <w:smartTag w:uri="urn:schemas-microsoft-com:office:smarttags" w:element="City">
        <w:r w:rsidRPr="0075380A">
          <w:rPr>
            <w:rFonts w:ascii="Arial" w:hAnsi="Arial" w:cs="Arial"/>
            <w:i/>
            <w:sz w:val="20"/>
          </w:rPr>
          <w:t>Guilford</w:t>
        </w:r>
      </w:smartTag>
      <w:r w:rsidRPr="0075380A">
        <w:rPr>
          <w:rFonts w:ascii="Arial" w:hAnsi="Arial" w:cs="Arial"/>
          <w:i/>
          <w:sz w:val="20"/>
        </w:rPr>
        <w:t xml:space="preserve"> Publications Inc., </w:t>
      </w:r>
      <w:smartTag w:uri="urn:schemas-microsoft-com:office:smarttags" w:element="State">
        <w:smartTag w:uri="urn:schemas-microsoft-com:office:smarttags" w:element="place">
          <w:r w:rsidRPr="0075380A">
            <w:rPr>
              <w:rFonts w:ascii="Arial" w:hAnsi="Arial" w:cs="Arial"/>
              <w:i/>
              <w:sz w:val="20"/>
            </w:rPr>
            <w:t>New York</w:t>
          </w:r>
        </w:smartTag>
      </w:smartTag>
      <w:r w:rsidR="005B2534">
        <w:rPr>
          <w:rFonts w:ascii="Arial" w:hAnsi="Arial" w:cs="Arial"/>
          <w:i/>
          <w:sz w:val="20"/>
        </w:rPr>
        <w:t xml:space="preserve"> (2006)</w:t>
      </w:r>
    </w:p>
    <w:p w14:paraId="72904B15" w14:textId="77777777" w:rsidR="00A92378" w:rsidRDefault="008245B1" w:rsidP="00A92378">
      <w:pPr>
        <w:spacing w:before="120"/>
        <w:jc w:val="both"/>
        <w:rPr>
          <w:rFonts w:ascii="Arial" w:hAnsi="Arial" w:cs="Arial"/>
          <w:sz w:val="20"/>
        </w:rPr>
      </w:pPr>
      <w:r>
        <w:rPr>
          <w:rFonts w:ascii="Arial" w:hAnsi="Arial" w:cs="Arial"/>
          <w:sz w:val="20"/>
        </w:rPr>
        <w:t>This chapter examines therapeutic work with maltreated children from a neurodevelopmental perspective.  The overarching premise of this perspective is that an awareness of human brain development and functioning provides practical insights to the origins of abnormal functioning seen following adverse developmental experiences (e.g. abuse, neglect and trauma), and further, that an understanding of how neural systems changes suggests specific therapeutic interventions.</w:t>
      </w:r>
    </w:p>
    <w:p w14:paraId="249D48F6" w14:textId="77777777" w:rsidR="008245B1" w:rsidRDefault="008245B1" w:rsidP="00C478CF">
      <w:pPr>
        <w:rPr>
          <w:rFonts w:ascii="Arial" w:hAnsi="Arial" w:cs="Arial"/>
          <w:sz w:val="20"/>
        </w:rPr>
      </w:pPr>
    </w:p>
    <w:p w14:paraId="4104C13C" w14:textId="77777777" w:rsidR="00700B0B" w:rsidRDefault="00700B0B" w:rsidP="00700B0B">
      <w:pPr>
        <w:ind w:left="720" w:hanging="720"/>
        <w:jc w:val="both"/>
        <w:rPr>
          <w:rFonts w:ascii="Arial" w:hAnsi="Arial" w:cs="Arial"/>
          <w:b/>
          <w:bCs/>
          <w:sz w:val="28"/>
          <w:bdr w:val="single" w:sz="4" w:space="0" w:color="auto"/>
        </w:rPr>
      </w:pPr>
      <w:r>
        <w:rPr>
          <w:rFonts w:ascii="Arial" w:hAnsi="Arial" w:cs="Arial"/>
          <w:b/>
          <w:bCs/>
          <w:sz w:val="28"/>
        </w:rPr>
        <w:t>F3</w:t>
      </w:r>
      <w:r w:rsidR="008245B1">
        <w:rPr>
          <w:rFonts w:ascii="Arial" w:hAnsi="Arial" w:cs="Arial"/>
          <w:b/>
          <w:bCs/>
          <w:sz w:val="28"/>
        </w:rPr>
        <w:t>0</w:t>
      </w:r>
    </w:p>
    <w:p w14:paraId="6E75F9A7" w14:textId="77777777" w:rsidR="00700B0B" w:rsidRDefault="0075380A" w:rsidP="00700B0B">
      <w:pPr>
        <w:jc w:val="both"/>
        <w:rPr>
          <w:rFonts w:ascii="Arial" w:hAnsi="Arial" w:cs="Arial"/>
          <w:b/>
          <w:bCs/>
        </w:rPr>
      </w:pPr>
      <w:r>
        <w:rPr>
          <w:rFonts w:ascii="Arial" w:hAnsi="Arial" w:cs="Arial"/>
          <w:b/>
          <w:bCs/>
        </w:rPr>
        <w:t>Mind, Body and Heart: Psychotherapy and the Relationship between Mental and Physical Health</w:t>
      </w:r>
    </w:p>
    <w:p w14:paraId="3EF77A39" w14:textId="77777777" w:rsidR="00700B0B" w:rsidRDefault="0075380A" w:rsidP="00700B0B">
      <w:pPr>
        <w:jc w:val="both"/>
        <w:rPr>
          <w:rFonts w:ascii="Arial" w:hAnsi="Arial" w:cs="Arial"/>
          <w:sz w:val="20"/>
        </w:rPr>
      </w:pPr>
      <w:r>
        <w:rPr>
          <w:rFonts w:ascii="Arial" w:hAnsi="Arial" w:cs="Arial"/>
          <w:sz w:val="20"/>
        </w:rPr>
        <w:t xml:space="preserve">Dr Matthew </w:t>
      </w:r>
      <w:proofErr w:type="spellStart"/>
      <w:r>
        <w:rPr>
          <w:rFonts w:ascii="Arial" w:hAnsi="Arial" w:cs="Arial"/>
          <w:sz w:val="20"/>
        </w:rPr>
        <w:t>Bambling</w:t>
      </w:r>
      <w:proofErr w:type="spellEnd"/>
      <w:r>
        <w:rPr>
          <w:rFonts w:ascii="Arial" w:hAnsi="Arial" w:cs="Arial"/>
          <w:sz w:val="20"/>
        </w:rPr>
        <w:t xml:space="preserve"> (Lecturer and Researcher at the </w:t>
      </w:r>
      <w:smartTag w:uri="urn:schemas-microsoft-com:office:smarttags" w:element="PlaceType">
        <w:r>
          <w:rPr>
            <w:rFonts w:ascii="Arial" w:hAnsi="Arial" w:cs="Arial"/>
            <w:sz w:val="20"/>
          </w:rPr>
          <w:t>School</w:t>
        </w:r>
      </w:smartTag>
      <w:r>
        <w:rPr>
          <w:rFonts w:ascii="Arial" w:hAnsi="Arial" w:cs="Arial"/>
          <w:sz w:val="20"/>
        </w:rPr>
        <w:t xml:space="preserve"> of </w:t>
      </w:r>
      <w:smartTag w:uri="urn:schemas-microsoft-com:office:smarttags" w:element="PlaceName">
        <w:r>
          <w:rPr>
            <w:rFonts w:ascii="Arial" w:hAnsi="Arial" w:cs="Arial"/>
            <w:sz w:val="20"/>
          </w:rPr>
          <w:t>Medicine</w:t>
        </w:r>
      </w:smartTag>
      <w:r>
        <w:rPr>
          <w:rFonts w:ascii="Arial" w:hAnsi="Arial" w:cs="Arial"/>
          <w:sz w:val="20"/>
        </w:rPr>
        <w:t xml:space="preserve">, University of </w:t>
      </w:r>
      <w:smartTag w:uri="urn:schemas-microsoft-com:office:smarttags" w:element="State">
        <w:smartTag w:uri="urn:schemas-microsoft-com:office:smarttags" w:element="place">
          <w:r>
            <w:rPr>
              <w:rFonts w:ascii="Arial" w:hAnsi="Arial" w:cs="Arial"/>
              <w:sz w:val="20"/>
            </w:rPr>
            <w:t>Queensland</w:t>
          </w:r>
        </w:smartTag>
      </w:smartTag>
      <w:r>
        <w:rPr>
          <w:rFonts w:ascii="Arial" w:hAnsi="Arial" w:cs="Arial"/>
          <w:sz w:val="20"/>
        </w:rPr>
        <w:t>)</w:t>
      </w:r>
    </w:p>
    <w:p w14:paraId="3718AE9B" w14:textId="77777777" w:rsidR="0075380A" w:rsidRPr="0075380A" w:rsidRDefault="0075380A" w:rsidP="0075380A">
      <w:pPr>
        <w:jc w:val="both"/>
        <w:rPr>
          <w:rFonts w:ascii="Arial" w:hAnsi="Arial" w:cs="Arial"/>
          <w:i/>
          <w:sz w:val="20"/>
        </w:rPr>
      </w:pPr>
      <w:r w:rsidRPr="0075380A">
        <w:rPr>
          <w:rFonts w:ascii="Arial" w:hAnsi="Arial" w:cs="Arial"/>
          <w:i/>
          <w:sz w:val="20"/>
        </w:rPr>
        <w:t xml:space="preserve">Psychotherapy in </w:t>
      </w:r>
      <w:smartTag w:uri="urn:schemas-microsoft-com:office:smarttags" w:element="country-region">
        <w:smartTag w:uri="urn:schemas-microsoft-com:office:smarttags" w:element="place">
          <w:r w:rsidRPr="0075380A">
            <w:rPr>
              <w:rFonts w:ascii="Arial" w:hAnsi="Arial" w:cs="Arial"/>
              <w:i/>
              <w:sz w:val="20"/>
            </w:rPr>
            <w:t>Australia</w:t>
          </w:r>
        </w:smartTag>
      </w:smartTag>
      <w:r w:rsidRPr="0075380A">
        <w:rPr>
          <w:rFonts w:ascii="Arial" w:hAnsi="Arial" w:cs="Arial"/>
          <w:i/>
          <w:sz w:val="20"/>
        </w:rPr>
        <w:t>, Vol.12, No.2 February 2006, 52-59</w:t>
      </w:r>
    </w:p>
    <w:p w14:paraId="48EF383D" w14:textId="77777777" w:rsidR="0075380A" w:rsidRDefault="00E11DDB" w:rsidP="0075380A">
      <w:pPr>
        <w:spacing w:before="120"/>
        <w:jc w:val="both"/>
        <w:rPr>
          <w:rFonts w:ascii="Arial" w:hAnsi="Arial" w:cs="Arial"/>
          <w:sz w:val="20"/>
        </w:rPr>
      </w:pPr>
      <w:r>
        <w:rPr>
          <w:rFonts w:ascii="Arial" w:hAnsi="Arial" w:cs="Arial"/>
          <w:sz w:val="20"/>
        </w:rPr>
        <w:t xml:space="preserve">A mounting body of research confirms the clinical wisdom that mental health affects physical health.  Recent psychophysiological research has unravelled some of the mechanisms by which mental health problems and general life stress may cause physical diseases such as coronary heart disease, cancer, diabetes and autoimmune disorders.  Encouraging news for the mental health practitioner is that the sum of research findings suggests that psychological treatment not only improves psychological symptoms, but can have an independent effect on physical health and disease.  The mind-body connection appears so significant that the use of </w:t>
      </w:r>
      <w:r>
        <w:rPr>
          <w:rFonts w:ascii="Arial" w:hAnsi="Arial" w:cs="Arial"/>
          <w:sz w:val="20"/>
        </w:rPr>
        <w:lastRenderedPageBreak/>
        <w:t xml:space="preserve">psychological techniques can even reduce the risk of most major diseases.  The author draws on recent research and behavioural medicine to illustrate how depression and anxiety influence physiological processes </w:t>
      </w:r>
      <w:r w:rsidR="00583A9A">
        <w:rPr>
          <w:rFonts w:ascii="Arial" w:hAnsi="Arial" w:cs="Arial"/>
          <w:sz w:val="20"/>
        </w:rPr>
        <w:t>with particular reference to coronary heart disease.  An evaluation is undertaken of how psychotherapy and psychological interventions can influence not only mental health, but also physical health through reduction of the stress response and associated endocrine function.  The implications of these findings for clinical practice are explored.</w:t>
      </w:r>
    </w:p>
    <w:p w14:paraId="1C4D6463" w14:textId="77777777" w:rsidR="00E11DDB" w:rsidRDefault="00E11DDB" w:rsidP="00E11DDB">
      <w:pPr>
        <w:rPr>
          <w:rFonts w:ascii="Arial" w:hAnsi="Arial" w:cs="Arial"/>
          <w:sz w:val="20"/>
        </w:rPr>
      </w:pPr>
    </w:p>
    <w:p w14:paraId="6010F6D7" w14:textId="77777777" w:rsidR="00700B0B" w:rsidRDefault="00700B0B" w:rsidP="00700B0B">
      <w:pPr>
        <w:ind w:left="720" w:hanging="720"/>
        <w:jc w:val="both"/>
        <w:rPr>
          <w:rFonts w:ascii="Arial" w:hAnsi="Arial" w:cs="Arial"/>
          <w:b/>
          <w:bCs/>
          <w:sz w:val="28"/>
          <w:bdr w:val="single" w:sz="4" w:space="0" w:color="auto"/>
        </w:rPr>
      </w:pPr>
      <w:r>
        <w:rPr>
          <w:rFonts w:ascii="Arial" w:hAnsi="Arial" w:cs="Arial"/>
          <w:b/>
          <w:bCs/>
          <w:sz w:val="28"/>
        </w:rPr>
        <w:t>F3</w:t>
      </w:r>
      <w:r w:rsidR="008245B1">
        <w:rPr>
          <w:rFonts w:ascii="Arial" w:hAnsi="Arial" w:cs="Arial"/>
          <w:b/>
          <w:bCs/>
          <w:sz w:val="28"/>
        </w:rPr>
        <w:t>1</w:t>
      </w:r>
    </w:p>
    <w:p w14:paraId="05DA7DE3" w14:textId="77777777" w:rsidR="00700B0B" w:rsidRDefault="00583A9A" w:rsidP="00700B0B">
      <w:pPr>
        <w:jc w:val="both"/>
        <w:rPr>
          <w:rFonts w:ascii="Arial" w:hAnsi="Arial" w:cs="Arial"/>
          <w:b/>
          <w:bCs/>
        </w:rPr>
      </w:pPr>
      <w:r>
        <w:rPr>
          <w:rFonts w:ascii="Arial" w:hAnsi="Arial" w:cs="Arial"/>
          <w:b/>
          <w:bCs/>
        </w:rPr>
        <w:t>Coming Out of the Dark Age: Recognising Difference, Making a Difference</w:t>
      </w:r>
    </w:p>
    <w:p w14:paraId="2A1C1088" w14:textId="77777777" w:rsidR="00583A9A" w:rsidRDefault="00583A9A" w:rsidP="00583A9A">
      <w:pPr>
        <w:jc w:val="both"/>
        <w:rPr>
          <w:rFonts w:ascii="Arial" w:hAnsi="Arial" w:cs="Arial"/>
          <w:sz w:val="20"/>
        </w:rPr>
      </w:pPr>
      <w:r>
        <w:rPr>
          <w:rFonts w:ascii="Arial" w:hAnsi="Arial" w:cs="Arial"/>
          <w:sz w:val="20"/>
        </w:rPr>
        <w:t xml:space="preserve">Dr Anthony Korner (Coordinator of the Master of Medicine (Psychotherapy) program of the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Sydney</w:t>
        </w:r>
      </w:smartTag>
      <w:r>
        <w:rPr>
          <w:rFonts w:ascii="Arial" w:hAnsi="Arial" w:cs="Arial"/>
          <w:sz w:val="20"/>
        </w:rPr>
        <w:t xml:space="preserve"> at </w:t>
      </w:r>
      <w:smartTag w:uri="urn:schemas-microsoft-com:office:smarttags" w:element="place">
        <w:smartTag w:uri="urn:schemas-microsoft-com:office:smarttags" w:element="PlaceName">
          <w:r>
            <w:rPr>
              <w:rFonts w:ascii="Arial" w:hAnsi="Arial" w:cs="Arial"/>
              <w:sz w:val="20"/>
            </w:rPr>
            <w:t>Westmead</w:t>
          </w:r>
        </w:smartTag>
        <w:r>
          <w:rPr>
            <w:rFonts w:ascii="Arial" w:hAnsi="Arial" w:cs="Arial"/>
            <w:sz w:val="20"/>
          </w:rPr>
          <w:t xml:space="preserve"> </w:t>
        </w:r>
        <w:smartTag w:uri="urn:schemas-microsoft-com:office:smarttags" w:element="PlaceType">
          <w:r>
            <w:rPr>
              <w:rFonts w:ascii="Arial" w:hAnsi="Arial" w:cs="Arial"/>
              <w:sz w:val="20"/>
            </w:rPr>
            <w:t>Hospital</w:t>
          </w:r>
        </w:smartTag>
      </w:smartTag>
      <w:r>
        <w:rPr>
          <w:rFonts w:ascii="Arial" w:hAnsi="Arial" w:cs="Arial"/>
          <w:sz w:val="20"/>
        </w:rPr>
        <w:t>)</w:t>
      </w:r>
    </w:p>
    <w:p w14:paraId="11B30B8C" w14:textId="77777777" w:rsidR="00583A9A" w:rsidRPr="0075380A" w:rsidRDefault="00583A9A" w:rsidP="00583A9A">
      <w:pPr>
        <w:jc w:val="both"/>
        <w:rPr>
          <w:rFonts w:ascii="Arial" w:hAnsi="Arial" w:cs="Arial"/>
          <w:i/>
          <w:sz w:val="20"/>
        </w:rPr>
      </w:pPr>
      <w:r w:rsidRPr="0075380A">
        <w:rPr>
          <w:rFonts w:ascii="Arial" w:hAnsi="Arial" w:cs="Arial"/>
          <w:i/>
          <w:sz w:val="20"/>
        </w:rPr>
        <w:t xml:space="preserve">Psychotherapy in </w:t>
      </w:r>
      <w:smartTag w:uri="urn:schemas-microsoft-com:office:smarttags" w:element="country-region">
        <w:smartTag w:uri="urn:schemas-microsoft-com:office:smarttags" w:element="place">
          <w:r w:rsidRPr="0075380A">
            <w:rPr>
              <w:rFonts w:ascii="Arial" w:hAnsi="Arial" w:cs="Arial"/>
              <w:i/>
              <w:sz w:val="20"/>
            </w:rPr>
            <w:t>Australia</w:t>
          </w:r>
        </w:smartTag>
      </w:smartTag>
      <w:r w:rsidRPr="0075380A">
        <w:rPr>
          <w:rFonts w:ascii="Arial" w:hAnsi="Arial" w:cs="Arial"/>
          <w:i/>
          <w:sz w:val="20"/>
        </w:rPr>
        <w:t>, Vol.1</w:t>
      </w:r>
      <w:r>
        <w:rPr>
          <w:rFonts w:ascii="Arial" w:hAnsi="Arial" w:cs="Arial"/>
          <w:i/>
          <w:sz w:val="20"/>
        </w:rPr>
        <w:t>1</w:t>
      </w:r>
      <w:r w:rsidRPr="0075380A">
        <w:rPr>
          <w:rFonts w:ascii="Arial" w:hAnsi="Arial" w:cs="Arial"/>
          <w:i/>
          <w:sz w:val="20"/>
        </w:rPr>
        <w:t>, No.</w:t>
      </w:r>
      <w:r>
        <w:rPr>
          <w:rFonts w:ascii="Arial" w:hAnsi="Arial" w:cs="Arial"/>
          <w:i/>
          <w:sz w:val="20"/>
        </w:rPr>
        <w:t>4</w:t>
      </w:r>
      <w:r w:rsidRPr="0075380A">
        <w:rPr>
          <w:rFonts w:ascii="Arial" w:hAnsi="Arial" w:cs="Arial"/>
          <w:i/>
          <w:sz w:val="20"/>
        </w:rPr>
        <w:t xml:space="preserve"> </w:t>
      </w:r>
      <w:r>
        <w:rPr>
          <w:rFonts w:ascii="Arial" w:hAnsi="Arial" w:cs="Arial"/>
          <w:i/>
          <w:sz w:val="20"/>
        </w:rPr>
        <w:t>August</w:t>
      </w:r>
      <w:r w:rsidRPr="0075380A">
        <w:rPr>
          <w:rFonts w:ascii="Arial" w:hAnsi="Arial" w:cs="Arial"/>
          <w:i/>
          <w:sz w:val="20"/>
        </w:rPr>
        <w:t xml:space="preserve"> 200</w:t>
      </w:r>
      <w:r>
        <w:rPr>
          <w:rFonts w:ascii="Arial" w:hAnsi="Arial" w:cs="Arial"/>
          <w:i/>
          <w:sz w:val="20"/>
        </w:rPr>
        <w:t xml:space="preserve">5, </w:t>
      </w:r>
      <w:r w:rsidRPr="0075380A">
        <w:rPr>
          <w:rFonts w:ascii="Arial" w:hAnsi="Arial" w:cs="Arial"/>
          <w:i/>
          <w:sz w:val="20"/>
        </w:rPr>
        <w:t>2-</w:t>
      </w:r>
      <w:r>
        <w:rPr>
          <w:rFonts w:ascii="Arial" w:hAnsi="Arial" w:cs="Arial"/>
          <w:i/>
          <w:sz w:val="20"/>
        </w:rPr>
        <w:t>8</w:t>
      </w:r>
    </w:p>
    <w:p w14:paraId="1CCEC10B" w14:textId="77777777" w:rsidR="00E11DDB" w:rsidRDefault="00583A9A" w:rsidP="00583A9A">
      <w:pPr>
        <w:spacing w:before="120"/>
        <w:jc w:val="both"/>
        <w:rPr>
          <w:rFonts w:ascii="Arial" w:hAnsi="Arial" w:cs="Arial"/>
          <w:sz w:val="20"/>
        </w:rPr>
      </w:pPr>
      <w:r>
        <w:rPr>
          <w:rFonts w:ascii="Arial" w:hAnsi="Arial" w:cs="Arial"/>
          <w:sz w:val="20"/>
        </w:rPr>
        <w:t xml:space="preserve">What do we do when confronted by patients who act in self-destructive ways or impinge upon us as therapists?  There is a tendency to blame the patient and often the term ‘personality disorder’ is used in that way.  This often masks the genuine suffering that affects these people and those around them.  </w:t>
      </w:r>
      <w:r w:rsidR="00B663E3">
        <w:rPr>
          <w:rFonts w:ascii="Arial" w:hAnsi="Arial" w:cs="Arial"/>
          <w:sz w:val="20"/>
        </w:rPr>
        <w:t>One way of understanding the situation may be to look at our reaction to ‘difference’ in the sense of the encounter with something unknown and unfamiliar.  If this is looked at as an opportunity to know more about the other person it can become a path to therapeutic engagement rather than a trigger for therapeutic derailment.</w:t>
      </w:r>
    </w:p>
    <w:p w14:paraId="42D08BE7" w14:textId="77777777" w:rsidR="008245B1" w:rsidRDefault="008245B1" w:rsidP="008245B1">
      <w:pPr>
        <w:jc w:val="both"/>
        <w:rPr>
          <w:rFonts w:ascii="Arial" w:hAnsi="Arial" w:cs="Arial"/>
          <w:sz w:val="20"/>
        </w:rPr>
      </w:pPr>
    </w:p>
    <w:p w14:paraId="5593ECA4" w14:textId="77777777" w:rsidR="008245B1" w:rsidRDefault="008245B1" w:rsidP="00A8155A">
      <w:pPr>
        <w:keepNext/>
        <w:keepLines/>
        <w:ind w:left="720" w:hanging="720"/>
        <w:jc w:val="both"/>
        <w:rPr>
          <w:rFonts w:ascii="Arial" w:hAnsi="Arial" w:cs="Arial"/>
          <w:b/>
          <w:bCs/>
          <w:sz w:val="28"/>
          <w:bdr w:val="single" w:sz="4" w:space="0" w:color="auto"/>
        </w:rPr>
      </w:pPr>
      <w:r>
        <w:rPr>
          <w:rFonts w:ascii="Arial" w:hAnsi="Arial" w:cs="Arial"/>
          <w:b/>
          <w:bCs/>
          <w:sz w:val="28"/>
        </w:rPr>
        <w:t>F32</w:t>
      </w:r>
    </w:p>
    <w:p w14:paraId="26EA339C" w14:textId="77777777" w:rsidR="008245B1" w:rsidRDefault="008245B1" w:rsidP="008245B1">
      <w:pPr>
        <w:jc w:val="both"/>
        <w:rPr>
          <w:rFonts w:ascii="Arial" w:hAnsi="Arial" w:cs="Arial"/>
          <w:b/>
          <w:bCs/>
        </w:rPr>
      </w:pPr>
      <w:r>
        <w:rPr>
          <w:rFonts w:ascii="Arial" w:hAnsi="Arial" w:cs="Arial"/>
          <w:b/>
          <w:bCs/>
        </w:rPr>
        <w:t>Placement with Substance-abusing mothers vs. Placement with other relatives: Infant Outcomes</w:t>
      </w:r>
    </w:p>
    <w:p w14:paraId="01CAADF5" w14:textId="77777777" w:rsidR="008245B1" w:rsidRDefault="008245B1" w:rsidP="008245B1">
      <w:pPr>
        <w:jc w:val="both"/>
        <w:rPr>
          <w:rFonts w:ascii="Arial" w:hAnsi="Arial" w:cs="Arial"/>
          <w:sz w:val="20"/>
        </w:rPr>
      </w:pPr>
      <w:r>
        <w:rPr>
          <w:rFonts w:ascii="Arial" w:hAnsi="Arial" w:cs="Arial"/>
          <w:sz w:val="20"/>
        </w:rPr>
        <w:t>Rachelle Tyler, Judy Howard, Michael Espinosa and Sarah Simpson Doakes</w:t>
      </w:r>
    </w:p>
    <w:p w14:paraId="57805204" w14:textId="77777777" w:rsidR="008245B1" w:rsidRPr="00032E6E" w:rsidRDefault="008245B1" w:rsidP="008245B1">
      <w:pPr>
        <w:rPr>
          <w:rFonts w:ascii="Arial" w:hAnsi="Arial" w:cs="Arial"/>
          <w:i/>
          <w:sz w:val="20"/>
        </w:rPr>
      </w:pPr>
      <w:r w:rsidRPr="00032E6E">
        <w:rPr>
          <w:rFonts w:ascii="Arial" w:hAnsi="Arial" w:cs="Arial"/>
          <w:i/>
          <w:sz w:val="20"/>
        </w:rPr>
        <w:t>(</w:t>
      </w:r>
      <w:r>
        <w:rPr>
          <w:rFonts w:ascii="Arial" w:hAnsi="Arial" w:cs="Arial"/>
          <w:i/>
          <w:sz w:val="20"/>
        </w:rPr>
        <w:t>1997</w:t>
      </w:r>
      <w:r w:rsidRPr="00032E6E">
        <w:rPr>
          <w:rFonts w:ascii="Arial" w:hAnsi="Arial" w:cs="Arial"/>
          <w:i/>
          <w:sz w:val="20"/>
        </w:rPr>
        <w:t>), Child Abuse &amp; Neglect 2</w:t>
      </w:r>
      <w:r>
        <w:rPr>
          <w:rFonts w:ascii="Arial" w:hAnsi="Arial" w:cs="Arial"/>
          <w:i/>
          <w:sz w:val="20"/>
        </w:rPr>
        <w:t>1, pp.337-349</w:t>
      </w:r>
    </w:p>
    <w:p w14:paraId="70D73E44" w14:textId="77777777" w:rsidR="008245B1" w:rsidRDefault="008245B1" w:rsidP="008245B1">
      <w:pPr>
        <w:spacing w:before="120"/>
        <w:jc w:val="both"/>
        <w:rPr>
          <w:rFonts w:ascii="Arial" w:hAnsi="Arial" w:cs="Arial"/>
          <w:sz w:val="20"/>
        </w:rPr>
      </w:pPr>
      <w:r>
        <w:rPr>
          <w:rFonts w:ascii="Arial" w:hAnsi="Arial" w:cs="Arial"/>
          <w:sz w:val="20"/>
        </w:rPr>
        <w:t xml:space="preserve">Evaluating a subset of participants from a larger research project concerning comprehensive drug treatment services for pregnant substance-abusing women and their offspring, this investigation compared those mothers who retained custody of their </w:t>
      </w:r>
      <w:proofErr w:type="gramStart"/>
      <w:r>
        <w:rPr>
          <w:rFonts w:ascii="Arial" w:hAnsi="Arial" w:cs="Arial"/>
          <w:sz w:val="20"/>
        </w:rPr>
        <w:t>infants</w:t>
      </w:r>
      <w:proofErr w:type="gramEnd"/>
      <w:r>
        <w:rPr>
          <w:rFonts w:ascii="Arial" w:hAnsi="Arial" w:cs="Arial"/>
          <w:sz w:val="20"/>
        </w:rPr>
        <w:t xml:space="preserve"> following delivery with those who lost custody and whose infants were placed in the care of other relatives.  There were no differences between the groups with respect to maternal demographics, substance abuse (as assessed by self-report prenatally and urine toxicology screens at birth), or mental health status, or with respect to newborn characteristics (including gestational age, birth weight, medical risk status).  Further, caregiving behaviours of biological mothers and relative caregivers showed no significant differences at 6 months.  Infants who remained in the care of their biological mothers, however, demonstrated better cognitive development than infants in the care of relatives at 6 months.  There was also a discrepancy in terms of safety at 6 months, in that there were three deaths and two reported cases of suspected child abuse/neglect among infants in the care of their mothers, and no deaths and no reports of suspected child abuse among infants in relative foster care.</w:t>
      </w:r>
    </w:p>
    <w:p w14:paraId="0C7CAD3E" w14:textId="77777777" w:rsidR="00700B0B" w:rsidRDefault="00700B0B" w:rsidP="00700B0B">
      <w:pPr>
        <w:jc w:val="both"/>
        <w:rPr>
          <w:rFonts w:ascii="Arial" w:hAnsi="Arial" w:cs="Arial"/>
          <w:sz w:val="20"/>
        </w:rPr>
      </w:pPr>
    </w:p>
    <w:p w14:paraId="260EE4CA" w14:textId="77777777" w:rsidR="00700B0B" w:rsidRDefault="00700B0B" w:rsidP="00700B0B">
      <w:pPr>
        <w:ind w:left="720" w:hanging="720"/>
        <w:jc w:val="both"/>
        <w:rPr>
          <w:rFonts w:ascii="Arial" w:hAnsi="Arial" w:cs="Arial"/>
          <w:b/>
          <w:bCs/>
          <w:sz w:val="28"/>
          <w:bdr w:val="single" w:sz="4" w:space="0" w:color="auto"/>
        </w:rPr>
      </w:pPr>
      <w:r>
        <w:rPr>
          <w:rFonts w:ascii="Arial" w:hAnsi="Arial" w:cs="Arial"/>
          <w:b/>
          <w:bCs/>
          <w:sz w:val="28"/>
        </w:rPr>
        <w:t>F33</w:t>
      </w:r>
    </w:p>
    <w:p w14:paraId="246BD4E1" w14:textId="77777777" w:rsidR="00700B0B" w:rsidRDefault="00745DEF" w:rsidP="00700B0B">
      <w:pPr>
        <w:jc w:val="both"/>
        <w:rPr>
          <w:rFonts w:ascii="Arial" w:hAnsi="Arial" w:cs="Arial"/>
          <w:b/>
          <w:bCs/>
        </w:rPr>
      </w:pPr>
      <w:r>
        <w:rPr>
          <w:rFonts w:ascii="Arial" w:hAnsi="Arial" w:cs="Arial"/>
          <w:b/>
          <w:bCs/>
        </w:rPr>
        <w:t>In Search of How People Change – Applications to Addictive Behaviour</w:t>
      </w:r>
    </w:p>
    <w:p w14:paraId="57D277C1" w14:textId="77777777" w:rsidR="00745DEF" w:rsidRDefault="00745DEF" w:rsidP="0028439F">
      <w:pPr>
        <w:jc w:val="both"/>
        <w:rPr>
          <w:rFonts w:ascii="Arial" w:hAnsi="Arial" w:cs="Arial"/>
          <w:sz w:val="20"/>
        </w:rPr>
      </w:pPr>
      <w:r>
        <w:rPr>
          <w:rFonts w:ascii="Arial" w:hAnsi="Arial" w:cs="Arial"/>
          <w:sz w:val="20"/>
        </w:rPr>
        <w:t xml:space="preserve">James O Prochaska (Cancer Prevention Research Consortium,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Rhode Island</w:t>
        </w:r>
      </w:smartTag>
      <w:r>
        <w:rPr>
          <w:rFonts w:ascii="Arial" w:hAnsi="Arial" w:cs="Arial"/>
          <w:sz w:val="20"/>
        </w:rPr>
        <w:t>), Carlo C DiClemente (</w:t>
      </w: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Houston</w:t>
          </w:r>
        </w:smartTag>
      </w:smartTag>
      <w:r>
        <w:rPr>
          <w:rFonts w:ascii="Arial" w:hAnsi="Arial" w:cs="Arial"/>
          <w:sz w:val="20"/>
        </w:rPr>
        <w:t>)</w:t>
      </w:r>
    </w:p>
    <w:p w14:paraId="404913E9" w14:textId="77777777" w:rsidR="00745DEF" w:rsidRDefault="00745DEF" w:rsidP="0028439F">
      <w:pPr>
        <w:jc w:val="both"/>
        <w:rPr>
          <w:rFonts w:ascii="Arial" w:hAnsi="Arial" w:cs="Arial"/>
          <w:sz w:val="20"/>
        </w:rPr>
      </w:pPr>
      <w:r>
        <w:rPr>
          <w:rFonts w:ascii="Arial" w:hAnsi="Arial" w:cs="Arial"/>
          <w:sz w:val="20"/>
        </w:rPr>
        <w:t xml:space="preserve">John C Norcross </w:t>
      </w:r>
      <w:r w:rsidR="00D21BA4">
        <w:rPr>
          <w:rFonts w:ascii="Arial" w:hAnsi="Arial" w:cs="Arial"/>
          <w:sz w:val="20"/>
        </w:rPr>
        <w:t>(</w:t>
      </w:r>
      <w:r>
        <w:rPr>
          <w:rFonts w:ascii="Arial" w:hAnsi="Arial" w:cs="Arial"/>
          <w:sz w:val="20"/>
        </w:rPr>
        <w:t>University of Scranton)</w:t>
      </w:r>
    </w:p>
    <w:p w14:paraId="4E8DA198" w14:textId="77777777" w:rsidR="00745DEF" w:rsidRPr="00745DEF" w:rsidRDefault="00745DEF" w:rsidP="0028439F">
      <w:pPr>
        <w:jc w:val="both"/>
        <w:rPr>
          <w:rFonts w:ascii="Arial" w:hAnsi="Arial" w:cs="Arial"/>
          <w:i/>
          <w:sz w:val="20"/>
        </w:rPr>
      </w:pPr>
      <w:r w:rsidRPr="00745DEF">
        <w:rPr>
          <w:rFonts w:ascii="Arial" w:hAnsi="Arial" w:cs="Arial"/>
          <w:i/>
          <w:sz w:val="20"/>
        </w:rPr>
        <w:t>September 1992, American Psychologist, 1102-1114</w:t>
      </w:r>
    </w:p>
    <w:p w14:paraId="2A7D16CB" w14:textId="77777777" w:rsidR="00745DEF" w:rsidRDefault="00745DEF" w:rsidP="00745DEF">
      <w:pPr>
        <w:keepNext/>
        <w:keepLines/>
        <w:spacing w:before="120"/>
        <w:jc w:val="both"/>
        <w:rPr>
          <w:rFonts w:ascii="Arial" w:hAnsi="Arial" w:cs="Arial"/>
          <w:sz w:val="20"/>
        </w:rPr>
      </w:pPr>
      <w:r>
        <w:rPr>
          <w:rFonts w:ascii="Arial" w:hAnsi="Arial" w:cs="Arial"/>
          <w:sz w:val="20"/>
        </w:rPr>
        <w:t xml:space="preserve">How people intentionally change addictive behaviours with and without treatment is not well understood by behavioural scientists.  This article summarizes research on self-initiated and professionally facilitated change of addictive behaviours using the key transtheoretical constructs of stages and processes of change.  Modification of addictive behaviours involves progression through five stages – pre-contemplation, contemplation, preparation, action, and maintenance – and individuals typically recycle through these stages several times before termination of the addiction.  Multiple studies provide strong support for these stages as well as for a finite and common set of change processes used to progress through the stages.  Research to date supports a transtheoretical model of change that systematically integrates the stages with processes of </w:t>
      </w:r>
      <w:proofErr w:type="spellStart"/>
      <w:r>
        <w:rPr>
          <w:rFonts w:ascii="Arial" w:hAnsi="Arial" w:cs="Arial"/>
          <w:sz w:val="20"/>
        </w:rPr>
        <w:t>chage</w:t>
      </w:r>
      <w:proofErr w:type="spellEnd"/>
      <w:r>
        <w:rPr>
          <w:rFonts w:ascii="Arial" w:hAnsi="Arial" w:cs="Arial"/>
          <w:sz w:val="20"/>
        </w:rPr>
        <w:t xml:space="preserve"> from diverse theories of psychotherapy.</w:t>
      </w:r>
    </w:p>
    <w:p w14:paraId="1BE023AB" w14:textId="77777777" w:rsidR="00700B0B" w:rsidRDefault="00700B0B" w:rsidP="00700B0B">
      <w:pPr>
        <w:jc w:val="both"/>
        <w:rPr>
          <w:rFonts w:ascii="Arial" w:hAnsi="Arial" w:cs="Arial"/>
          <w:sz w:val="20"/>
        </w:rPr>
      </w:pPr>
    </w:p>
    <w:p w14:paraId="00C51A43" w14:textId="77777777" w:rsidR="00E11DDB" w:rsidRDefault="00E11DDB" w:rsidP="00E11DDB">
      <w:pPr>
        <w:keepNext/>
        <w:keepLines/>
        <w:ind w:left="720" w:hanging="720"/>
        <w:jc w:val="both"/>
        <w:rPr>
          <w:rFonts w:ascii="Arial" w:hAnsi="Arial" w:cs="Arial"/>
          <w:b/>
          <w:bCs/>
          <w:sz w:val="28"/>
          <w:bdr w:val="single" w:sz="4" w:space="0" w:color="auto"/>
        </w:rPr>
      </w:pPr>
      <w:r>
        <w:rPr>
          <w:rFonts w:ascii="Arial" w:hAnsi="Arial" w:cs="Arial"/>
          <w:b/>
          <w:bCs/>
          <w:sz w:val="28"/>
        </w:rPr>
        <w:lastRenderedPageBreak/>
        <w:t>F34</w:t>
      </w:r>
    </w:p>
    <w:p w14:paraId="248D263A" w14:textId="77777777" w:rsidR="00E11DDB" w:rsidRDefault="00E11DDB" w:rsidP="00E11DDB">
      <w:pPr>
        <w:keepNext/>
        <w:keepLines/>
        <w:jc w:val="both"/>
        <w:rPr>
          <w:rFonts w:ascii="Arial" w:hAnsi="Arial" w:cs="Arial"/>
          <w:b/>
          <w:bCs/>
        </w:rPr>
      </w:pPr>
      <w:r>
        <w:rPr>
          <w:rFonts w:ascii="Arial" w:hAnsi="Arial" w:cs="Arial"/>
          <w:b/>
          <w:bCs/>
        </w:rPr>
        <w:t>The Menace of the Internet</w:t>
      </w:r>
    </w:p>
    <w:p w14:paraId="56004727" w14:textId="77777777" w:rsidR="00E11DDB" w:rsidRDefault="00E11DDB" w:rsidP="00E11DDB">
      <w:pPr>
        <w:keepNext/>
        <w:keepLines/>
        <w:jc w:val="both"/>
        <w:rPr>
          <w:rFonts w:ascii="Arial" w:hAnsi="Arial" w:cs="Arial"/>
          <w:sz w:val="20"/>
        </w:rPr>
      </w:pPr>
      <w:proofErr w:type="spellStart"/>
      <w:r>
        <w:rPr>
          <w:rFonts w:ascii="Arial" w:hAnsi="Arial" w:cs="Arial"/>
          <w:sz w:val="20"/>
        </w:rPr>
        <w:t>H.</w:t>
      </w:r>
      <w:proofErr w:type="gramStart"/>
      <w:r>
        <w:rPr>
          <w:rFonts w:ascii="Arial" w:hAnsi="Arial" w:cs="Arial"/>
          <w:sz w:val="20"/>
        </w:rPr>
        <w:t>C.Alsop</w:t>
      </w:r>
      <w:proofErr w:type="spellEnd"/>
      <w:proofErr w:type="gramEnd"/>
      <w:r>
        <w:rPr>
          <w:rFonts w:ascii="Arial" w:hAnsi="Arial" w:cs="Arial"/>
          <w:sz w:val="20"/>
        </w:rPr>
        <w:t xml:space="preserve"> (</w:t>
      </w:r>
      <w:r w:rsidR="00745DEF">
        <w:rPr>
          <w:rFonts w:ascii="Arial" w:hAnsi="Arial" w:cs="Arial"/>
          <w:sz w:val="20"/>
        </w:rPr>
        <w:t xml:space="preserve">Magistrate, </w:t>
      </w:r>
      <w:r>
        <w:rPr>
          <w:rFonts w:ascii="Arial" w:hAnsi="Arial" w:cs="Arial"/>
          <w:sz w:val="20"/>
        </w:rPr>
        <w:t>Magistrates’ Court of Victoria)</w:t>
      </w:r>
    </w:p>
    <w:p w14:paraId="63B67E77" w14:textId="77777777" w:rsidR="00700B0B" w:rsidRPr="00E11DDB" w:rsidRDefault="00E11DDB" w:rsidP="00E11DDB">
      <w:pPr>
        <w:keepNext/>
        <w:keepLines/>
        <w:rPr>
          <w:rFonts w:ascii="Arial" w:hAnsi="Arial" w:cs="Arial"/>
          <w:i/>
          <w:sz w:val="20"/>
        </w:rPr>
      </w:pPr>
      <w:r w:rsidRPr="00E11DDB">
        <w:rPr>
          <w:rFonts w:ascii="Arial" w:hAnsi="Arial" w:cs="Arial"/>
          <w:i/>
          <w:sz w:val="20"/>
        </w:rPr>
        <w:t xml:space="preserve">Paper presented at XVII World Congress of the International Association of Youth and Family Judges and Magistrates held at </w:t>
      </w:r>
      <w:smartTag w:uri="urn:schemas-microsoft-com:office:smarttags" w:element="City">
        <w:smartTag w:uri="urn:schemas-microsoft-com:office:smarttags" w:element="place">
          <w:r w:rsidRPr="00E11DDB">
            <w:rPr>
              <w:rFonts w:ascii="Arial" w:hAnsi="Arial" w:cs="Arial"/>
              <w:i/>
              <w:sz w:val="20"/>
            </w:rPr>
            <w:t>Belfast</w:t>
          </w:r>
        </w:smartTag>
      </w:smartTag>
      <w:r w:rsidRPr="00E11DDB">
        <w:rPr>
          <w:rFonts w:ascii="Arial" w:hAnsi="Arial" w:cs="Arial"/>
          <w:i/>
          <w:sz w:val="20"/>
        </w:rPr>
        <w:t xml:space="preserve"> in August 2006</w:t>
      </w:r>
    </w:p>
    <w:p w14:paraId="6B1E94E9" w14:textId="77777777" w:rsidR="006F0F3D" w:rsidRDefault="00E11DDB" w:rsidP="00E11DDB">
      <w:pPr>
        <w:spacing w:before="120"/>
        <w:jc w:val="both"/>
        <w:rPr>
          <w:rFonts w:ascii="Arial" w:hAnsi="Arial" w:cs="Arial"/>
          <w:sz w:val="20"/>
        </w:rPr>
      </w:pPr>
      <w:r>
        <w:rPr>
          <w:rFonts w:ascii="Arial" w:hAnsi="Arial" w:cs="Arial"/>
          <w:sz w:val="20"/>
        </w:rPr>
        <w:t>This excellent paper, presented in the presence of Justice Sandra Day O’Connor, recently retired justice of the U.S. Supreme Court, discusses the potential negative impact of the internet on children and young persons.</w:t>
      </w:r>
    </w:p>
    <w:p w14:paraId="0F43AE40" w14:textId="77777777" w:rsidR="00AF6272" w:rsidRDefault="00AF6272">
      <w:pPr>
        <w:rPr>
          <w:rFonts w:ascii="Arial" w:hAnsi="Arial" w:cs="Arial"/>
          <w:sz w:val="20"/>
        </w:rPr>
      </w:pPr>
    </w:p>
    <w:p w14:paraId="32808D9D" w14:textId="77777777" w:rsidR="00745DEF" w:rsidRDefault="00745DEF" w:rsidP="00745DEF">
      <w:pPr>
        <w:keepNext/>
        <w:keepLines/>
        <w:ind w:left="720" w:hanging="720"/>
        <w:jc w:val="both"/>
        <w:rPr>
          <w:rFonts w:ascii="Arial" w:hAnsi="Arial" w:cs="Arial"/>
          <w:b/>
          <w:bCs/>
          <w:sz w:val="28"/>
          <w:bdr w:val="single" w:sz="4" w:space="0" w:color="auto"/>
        </w:rPr>
      </w:pPr>
      <w:r>
        <w:rPr>
          <w:rFonts w:ascii="Arial" w:hAnsi="Arial" w:cs="Arial"/>
          <w:b/>
          <w:bCs/>
          <w:sz w:val="28"/>
        </w:rPr>
        <w:t>F35</w:t>
      </w:r>
    </w:p>
    <w:p w14:paraId="08C59B00" w14:textId="77777777" w:rsidR="00745DEF" w:rsidRDefault="00745DEF" w:rsidP="00745DEF">
      <w:pPr>
        <w:keepNext/>
        <w:keepLines/>
        <w:jc w:val="both"/>
        <w:rPr>
          <w:rFonts w:ascii="Arial" w:hAnsi="Arial" w:cs="Arial"/>
          <w:b/>
          <w:bCs/>
        </w:rPr>
      </w:pPr>
      <w:r>
        <w:rPr>
          <w:rFonts w:ascii="Arial" w:hAnsi="Arial" w:cs="Arial"/>
          <w:b/>
          <w:bCs/>
        </w:rPr>
        <w:t>Risk behaviours in maltreated youth placed in foster care: a longitudinal study of protective and vulnerability factors</w:t>
      </w:r>
    </w:p>
    <w:p w14:paraId="1FD8161C" w14:textId="77777777" w:rsidR="00745DEF" w:rsidRDefault="00745DEF" w:rsidP="00745DEF">
      <w:pPr>
        <w:keepNext/>
        <w:keepLines/>
        <w:jc w:val="both"/>
        <w:rPr>
          <w:rFonts w:ascii="Arial" w:hAnsi="Arial" w:cs="Arial"/>
          <w:sz w:val="20"/>
        </w:rPr>
      </w:pPr>
      <w:r>
        <w:rPr>
          <w:rFonts w:ascii="Arial" w:hAnsi="Arial" w:cs="Arial"/>
          <w:sz w:val="20"/>
        </w:rPr>
        <w:t xml:space="preserve">Heather N Taussig (Department of </w:t>
      </w:r>
      <w:proofErr w:type="spellStart"/>
      <w:r>
        <w:rPr>
          <w:rFonts w:ascii="Arial" w:hAnsi="Arial" w:cs="Arial"/>
          <w:sz w:val="20"/>
        </w:rPr>
        <w:t>Pediatrics</w:t>
      </w:r>
      <w:proofErr w:type="spellEnd"/>
      <w:r>
        <w:rPr>
          <w:rFonts w:ascii="Arial" w:hAnsi="Arial" w:cs="Arial"/>
          <w:sz w:val="20"/>
        </w:rPr>
        <w:t xml:space="preserve">, Kempe Children’s </w:t>
      </w:r>
      <w:proofErr w:type="spellStart"/>
      <w:r>
        <w:rPr>
          <w:rFonts w:ascii="Arial" w:hAnsi="Arial" w:cs="Arial"/>
          <w:sz w:val="20"/>
        </w:rPr>
        <w:t>Center</w:t>
      </w:r>
      <w:proofErr w:type="spellEnd"/>
      <w:r>
        <w:rPr>
          <w:rFonts w:ascii="Arial" w:hAnsi="Arial" w:cs="Arial"/>
          <w:sz w:val="20"/>
        </w:rPr>
        <w:t xml:space="preserve">, University of Colorado Health Sciences </w:t>
      </w:r>
      <w:proofErr w:type="spellStart"/>
      <w:r>
        <w:rPr>
          <w:rFonts w:ascii="Arial" w:hAnsi="Arial" w:cs="Arial"/>
          <w:sz w:val="20"/>
        </w:rPr>
        <w:t>Center</w:t>
      </w:r>
      <w:proofErr w:type="spellEnd"/>
      <w:r>
        <w:rPr>
          <w:rFonts w:ascii="Arial" w:hAnsi="Arial" w:cs="Arial"/>
          <w:sz w:val="20"/>
        </w:rPr>
        <w:t>)</w:t>
      </w:r>
    </w:p>
    <w:p w14:paraId="3FD4F21C" w14:textId="77777777" w:rsidR="00745DEF" w:rsidRPr="00032E6E" w:rsidRDefault="00745DEF" w:rsidP="00745DEF">
      <w:pPr>
        <w:rPr>
          <w:rFonts w:ascii="Arial" w:hAnsi="Arial" w:cs="Arial"/>
          <w:i/>
          <w:sz w:val="20"/>
        </w:rPr>
      </w:pPr>
      <w:r w:rsidRPr="00032E6E">
        <w:rPr>
          <w:rFonts w:ascii="Arial" w:hAnsi="Arial" w:cs="Arial"/>
          <w:i/>
          <w:sz w:val="20"/>
        </w:rPr>
        <w:t xml:space="preserve">(2002), Child Abuse </w:t>
      </w:r>
      <w:r>
        <w:rPr>
          <w:rFonts w:ascii="Arial" w:hAnsi="Arial" w:cs="Arial"/>
          <w:i/>
          <w:sz w:val="20"/>
        </w:rPr>
        <w:t>&amp; Neglect 26, 1179-1199</w:t>
      </w:r>
    </w:p>
    <w:p w14:paraId="6758F004" w14:textId="77777777" w:rsidR="00745DEF" w:rsidRDefault="006B7708" w:rsidP="006B7708">
      <w:pPr>
        <w:spacing w:before="120"/>
        <w:jc w:val="both"/>
        <w:rPr>
          <w:rFonts w:ascii="Arial" w:hAnsi="Arial" w:cs="Arial"/>
          <w:sz w:val="20"/>
        </w:rPr>
      </w:pPr>
      <w:r w:rsidRPr="006B7708">
        <w:rPr>
          <w:rFonts w:ascii="Arial" w:hAnsi="Arial" w:cs="Arial"/>
          <w:b/>
          <w:sz w:val="20"/>
        </w:rPr>
        <w:t>Objective:</w:t>
      </w:r>
      <w:r>
        <w:rPr>
          <w:rFonts w:ascii="Arial" w:hAnsi="Arial" w:cs="Arial"/>
          <w:sz w:val="20"/>
        </w:rPr>
        <w:t xml:space="preserve">  Few studies have examined the impact of placement in foster care prospectively to determine what early responses might predict later functioning.  The current study examined protective and vulnerability factors in a longitudinal study of youth placed in foster care.</w:t>
      </w:r>
    </w:p>
    <w:p w14:paraId="59FCAD1B" w14:textId="77777777" w:rsidR="006B7708" w:rsidRDefault="006B7708" w:rsidP="006B7708">
      <w:pPr>
        <w:spacing w:before="120"/>
        <w:jc w:val="both"/>
        <w:rPr>
          <w:rFonts w:ascii="Arial" w:hAnsi="Arial" w:cs="Arial"/>
          <w:sz w:val="20"/>
        </w:rPr>
      </w:pPr>
      <w:r w:rsidRPr="006B7708">
        <w:rPr>
          <w:rFonts w:ascii="Arial" w:hAnsi="Arial" w:cs="Arial"/>
          <w:b/>
          <w:sz w:val="20"/>
        </w:rPr>
        <w:t>Methodology:</w:t>
      </w:r>
      <w:r w:rsidRPr="006B7708">
        <w:rPr>
          <w:rFonts w:ascii="Arial" w:hAnsi="Arial" w:cs="Arial"/>
          <w:sz w:val="20"/>
        </w:rPr>
        <w:t xml:space="preserve">  A cohort of </w:t>
      </w:r>
      <w:r>
        <w:rPr>
          <w:rFonts w:ascii="Arial" w:hAnsi="Arial" w:cs="Arial"/>
          <w:sz w:val="20"/>
        </w:rPr>
        <w:t>214 ethically-diverse youth, ages 7-12, who entered foster care between May 1990 and October 1991 were recruited for the Time 1 study if they remained in foster care for at least 5 months.  For the Time 1 study, youth and their caregivers were interviewed and assessed approximately 6 months following their initial placement.  Six years later, as adolescents, the youth were re-interviewed regarding their involvement in four domains of risk behaviour.</w:t>
      </w:r>
    </w:p>
    <w:p w14:paraId="4D89D4FA" w14:textId="77777777" w:rsidR="006B7708" w:rsidRDefault="006B7708" w:rsidP="006B7708">
      <w:pPr>
        <w:spacing w:before="120"/>
        <w:jc w:val="both"/>
        <w:rPr>
          <w:rFonts w:ascii="Arial" w:hAnsi="Arial" w:cs="Arial"/>
          <w:sz w:val="20"/>
        </w:rPr>
      </w:pPr>
      <w:r w:rsidRPr="006B7708">
        <w:rPr>
          <w:rFonts w:ascii="Arial" w:hAnsi="Arial" w:cs="Arial"/>
          <w:b/>
          <w:sz w:val="20"/>
        </w:rPr>
        <w:t>Results:</w:t>
      </w:r>
      <w:r w:rsidRPr="006B7708">
        <w:rPr>
          <w:rFonts w:ascii="Arial" w:hAnsi="Arial" w:cs="Arial"/>
          <w:sz w:val="20"/>
        </w:rPr>
        <w:t xml:space="preserve">  Bivariate analyses </w:t>
      </w:r>
      <w:r>
        <w:rPr>
          <w:rFonts w:ascii="Arial" w:hAnsi="Arial" w:cs="Arial"/>
          <w:sz w:val="20"/>
        </w:rPr>
        <w:t>indicated that several Time 1 control variables (e.g. age, ethnicity, type of maltreatment, behaviour problems) and Time 1 psychosocial predictor variables (i.e. dimensions of social support and self-perception) were related to the Time 2 risk behaviour outcomes.  Regression analyses with all variables accounted for between 33% and 46% of the variance, with the psychosocial predictor variables, as a group, significant over and above the control variables.</w:t>
      </w:r>
    </w:p>
    <w:p w14:paraId="3BBC5170" w14:textId="77777777" w:rsidR="006B7708" w:rsidRPr="006B7708" w:rsidRDefault="006B7708" w:rsidP="006B7708">
      <w:pPr>
        <w:spacing w:before="120"/>
        <w:jc w:val="both"/>
        <w:rPr>
          <w:rFonts w:ascii="Arial" w:hAnsi="Arial" w:cs="Arial"/>
          <w:b/>
          <w:sz w:val="20"/>
        </w:rPr>
      </w:pPr>
      <w:r w:rsidRPr="006B7708">
        <w:rPr>
          <w:rFonts w:ascii="Arial" w:hAnsi="Arial" w:cs="Arial"/>
          <w:b/>
          <w:sz w:val="20"/>
        </w:rPr>
        <w:t>Conclusions:</w:t>
      </w:r>
      <w:r>
        <w:rPr>
          <w:rFonts w:ascii="Arial" w:hAnsi="Arial" w:cs="Arial"/>
          <w:sz w:val="20"/>
        </w:rPr>
        <w:t xml:space="preserve">  The results suggest that there are some modifiable protective and vulnerability factors present shortly after maltreated youth are placed in fostercare that predict their engagement in adolescent risk behaviours 6 years later.</w:t>
      </w:r>
    </w:p>
    <w:p w14:paraId="428D0EA1" w14:textId="77777777" w:rsidR="00745DEF" w:rsidRDefault="00745DEF" w:rsidP="00745DEF">
      <w:pPr>
        <w:jc w:val="both"/>
        <w:rPr>
          <w:rFonts w:ascii="Arial" w:hAnsi="Arial" w:cs="Arial"/>
          <w:sz w:val="20"/>
        </w:rPr>
      </w:pPr>
    </w:p>
    <w:p w14:paraId="38770144" w14:textId="77777777" w:rsidR="00745DEF" w:rsidRDefault="00745DEF" w:rsidP="00745DEF">
      <w:pPr>
        <w:keepNext/>
        <w:keepLines/>
        <w:ind w:left="720" w:hanging="720"/>
        <w:jc w:val="both"/>
        <w:rPr>
          <w:rFonts w:ascii="Arial" w:hAnsi="Arial" w:cs="Arial"/>
          <w:b/>
          <w:bCs/>
          <w:sz w:val="28"/>
          <w:bdr w:val="single" w:sz="4" w:space="0" w:color="auto"/>
        </w:rPr>
      </w:pPr>
      <w:r>
        <w:rPr>
          <w:rFonts w:ascii="Arial" w:hAnsi="Arial" w:cs="Arial"/>
          <w:b/>
          <w:bCs/>
          <w:sz w:val="28"/>
        </w:rPr>
        <w:t>F36</w:t>
      </w:r>
    </w:p>
    <w:p w14:paraId="4878722F" w14:textId="77777777" w:rsidR="00745DEF" w:rsidRDefault="006B7708" w:rsidP="00745DEF">
      <w:pPr>
        <w:keepNext/>
        <w:keepLines/>
        <w:jc w:val="both"/>
        <w:rPr>
          <w:rFonts w:ascii="Arial" w:hAnsi="Arial" w:cs="Arial"/>
          <w:b/>
          <w:bCs/>
        </w:rPr>
      </w:pPr>
      <w:r>
        <w:rPr>
          <w:rFonts w:ascii="Arial" w:hAnsi="Arial" w:cs="Arial"/>
          <w:b/>
          <w:bCs/>
        </w:rPr>
        <w:t xml:space="preserve">The </w:t>
      </w:r>
      <w:smartTag w:uri="urn:schemas-microsoft-com:office:smarttags" w:element="City">
        <w:r>
          <w:rPr>
            <w:rFonts w:ascii="Arial" w:hAnsi="Arial" w:cs="Arial"/>
            <w:b/>
            <w:bCs/>
          </w:rPr>
          <w:t>Independence</w:t>
        </w:r>
      </w:smartTag>
      <w:r>
        <w:rPr>
          <w:rFonts w:ascii="Arial" w:hAnsi="Arial" w:cs="Arial"/>
          <w:b/>
          <w:bCs/>
        </w:rPr>
        <w:t xml:space="preserve"> of the Children’s Court Clinic of </w:t>
      </w:r>
      <w:smartTag w:uri="urn:schemas-microsoft-com:office:smarttags" w:element="State">
        <w:smartTag w:uri="urn:schemas-microsoft-com:office:smarttags" w:element="place">
          <w:r>
            <w:rPr>
              <w:rFonts w:ascii="Arial" w:hAnsi="Arial" w:cs="Arial"/>
              <w:b/>
              <w:bCs/>
            </w:rPr>
            <w:t>Victoria</w:t>
          </w:r>
        </w:smartTag>
      </w:smartTag>
      <w:r>
        <w:rPr>
          <w:rFonts w:ascii="Arial" w:hAnsi="Arial" w:cs="Arial"/>
          <w:b/>
          <w:bCs/>
        </w:rPr>
        <w:t>: An indulgence or a necessity in the child forensic field?</w:t>
      </w:r>
    </w:p>
    <w:p w14:paraId="4FC13ECE" w14:textId="77777777" w:rsidR="006B7708" w:rsidRDefault="006B7708" w:rsidP="006B7708">
      <w:pPr>
        <w:jc w:val="both"/>
        <w:rPr>
          <w:rFonts w:ascii="Arial" w:hAnsi="Arial" w:cs="Arial"/>
          <w:sz w:val="20"/>
        </w:rPr>
      </w:pPr>
      <w:r>
        <w:rPr>
          <w:rFonts w:ascii="Arial" w:hAnsi="Arial" w:cs="Arial"/>
          <w:sz w:val="20"/>
        </w:rPr>
        <w:t xml:space="preserve">Dr Patricia F Brown (Director, Children's Court Clinic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w:t>
      </w:r>
    </w:p>
    <w:p w14:paraId="4393347C" w14:textId="77777777" w:rsidR="006B7708" w:rsidRPr="00E11DDB" w:rsidRDefault="006B7708" w:rsidP="006B7708">
      <w:pPr>
        <w:keepNext/>
        <w:keepLines/>
        <w:jc w:val="both"/>
        <w:rPr>
          <w:rFonts w:ascii="Arial" w:hAnsi="Arial" w:cs="Arial"/>
          <w:i/>
          <w:sz w:val="20"/>
        </w:rPr>
      </w:pPr>
      <w:r w:rsidRPr="00E11DDB">
        <w:rPr>
          <w:rFonts w:ascii="Arial" w:hAnsi="Arial" w:cs="Arial"/>
          <w:i/>
          <w:sz w:val="20"/>
        </w:rPr>
        <w:t xml:space="preserve">Paper presented at XVII World Congress of the International Association </w:t>
      </w:r>
      <w:r>
        <w:rPr>
          <w:rFonts w:ascii="Arial" w:hAnsi="Arial" w:cs="Arial"/>
          <w:i/>
          <w:sz w:val="20"/>
        </w:rPr>
        <w:t xml:space="preserve">for Child and Adolescent Psychiatry and Allied Professions </w:t>
      </w:r>
      <w:r w:rsidRPr="00E11DDB">
        <w:rPr>
          <w:rFonts w:ascii="Arial" w:hAnsi="Arial" w:cs="Arial"/>
          <w:i/>
          <w:sz w:val="20"/>
        </w:rPr>
        <w:t xml:space="preserve">held at </w:t>
      </w:r>
      <w:smartTag w:uri="urn:schemas-microsoft-com:office:smarttags" w:element="City">
        <w:smartTag w:uri="urn:schemas-microsoft-com:office:smarttags" w:element="place">
          <w:r>
            <w:rPr>
              <w:rFonts w:ascii="Arial" w:hAnsi="Arial" w:cs="Arial"/>
              <w:i/>
              <w:sz w:val="20"/>
            </w:rPr>
            <w:t>Melbourne</w:t>
          </w:r>
        </w:smartTag>
      </w:smartTag>
      <w:r w:rsidRPr="00E11DDB">
        <w:rPr>
          <w:rFonts w:ascii="Arial" w:hAnsi="Arial" w:cs="Arial"/>
          <w:i/>
          <w:sz w:val="20"/>
        </w:rPr>
        <w:t xml:space="preserve"> in </w:t>
      </w:r>
      <w:r>
        <w:rPr>
          <w:rFonts w:ascii="Arial" w:hAnsi="Arial" w:cs="Arial"/>
          <w:i/>
          <w:sz w:val="20"/>
        </w:rPr>
        <w:t>September</w:t>
      </w:r>
      <w:r w:rsidRPr="00E11DDB">
        <w:rPr>
          <w:rFonts w:ascii="Arial" w:hAnsi="Arial" w:cs="Arial"/>
          <w:i/>
          <w:sz w:val="20"/>
        </w:rPr>
        <w:t xml:space="preserve"> 2006</w:t>
      </w:r>
    </w:p>
    <w:p w14:paraId="0151561D" w14:textId="77777777" w:rsidR="00745DEF" w:rsidRDefault="006B7708" w:rsidP="00745DEF">
      <w:pPr>
        <w:spacing w:before="120"/>
        <w:jc w:val="both"/>
        <w:rPr>
          <w:rFonts w:ascii="Arial" w:hAnsi="Arial" w:cs="Arial"/>
          <w:sz w:val="20"/>
        </w:rPr>
      </w:pPr>
      <w:r>
        <w:rPr>
          <w:rFonts w:ascii="Arial" w:hAnsi="Arial" w:cs="Arial"/>
          <w:sz w:val="20"/>
        </w:rPr>
        <w:t xml:space="preserve">This paper explains the present role and functioning of the Children’s Court Clinic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and presents a strong argument for the necessity for its actual independence – and its perceived independence - from all of the parties in any proceedings in the Children’s Court.  Central to the paper is the author’s view that the Court Clinic, being the clinical investigative arm of the Court, works only for the magistrates and judges of the Court and not for any party in Court proceedings.  As such, it must be seen to be assiduously independent of all of the parties to maintain the Court’s confidence in its impartiality.</w:t>
      </w:r>
    </w:p>
    <w:p w14:paraId="28613A94" w14:textId="77777777" w:rsidR="000922DB" w:rsidRDefault="000922DB" w:rsidP="000922DB">
      <w:pPr>
        <w:jc w:val="both"/>
        <w:rPr>
          <w:rFonts w:ascii="Arial" w:hAnsi="Arial" w:cs="Arial"/>
          <w:sz w:val="20"/>
        </w:rPr>
      </w:pPr>
    </w:p>
    <w:p w14:paraId="35110168" w14:textId="77777777" w:rsidR="000922DB" w:rsidRDefault="000922DB" w:rsidP="000922DB">
      <w:pPr>
        <w:keepNext/>
        <w:keepLines/>
        <w:ind w:left="720" w:hanging="720"/>
        <w:jc w:val="both"/>
        <w:rPr>
          <w:rFonts w:ascii="Arial" w:hAnsi="Arial" w:cs="Arial"/>
          <w:b/>
          <w:bCs/>
          <w:sz w:val="28"/>
          <w:bdr w:val="single" w:sz="4" w:space="0" w:color="auto"/>
        </w:rPr>
      </w:pPr>
      <w:r>
        <w:rPr>
          <w:rFonts w:ascii="Arial" w:hAnsi="Arial" w:cs="Arial"/>
          <w:b/>
          <w:bCs/>
          <w:sz w:val="28"/>
        </w:rPr>
        <w:t>F37</w:t>
      </w:r>
    </w:p>
    <w:p w14:paraId="686FB641" w14:textId="77777777" w:rsidR="000922DB" w:rsidRDefault="000922DB" w:rsidP="000922DB">
      <w:pPr>
        <w:keepNext/>
        <w:keepLines/>
        <w:jc w:val="both"/>
        <w:rPr>
          <w:rFonts w:ascii="Arial" w:hAnsi="Arial" w:cs="Arial"/>
          <w:b/>
          <w:bCs/>
        </w:rPr>
      </w:pPr>
      <w:r>
        <w:rPr>
          <w:rFonts w:ascii="Arial" w:hAnsi="Arial" w:cs="Arial"/>
          <w:b/>
          <w:bCs/>
        </w:rPr>
        <w:t>Family Law and Parent-Child Contact: Assessing the Risk of Sexual Abuse</w:t>
      </w:r>
    </w:p>
    <w:p w14:paraId="20AFB80A" w14:textId="77777777" w:rsidR="000922DB" w:rsidRDefault="000922DB" w:rsidP="000922DB">
      <w:pPr>
        <w:jc w:val="both"/>
        <w:rPr>
          <w:rFonts w:ascii="Arial" w:hAnsi="Arial" w:cs="Arial"/>
          <w:sz w:val="20"/>
        </w:rPr>
      </w:pPr>
      <w:r>
        <w:rPr>
          <w:rFonts w:ascii="Arial" w:hAnsi="Arial" w:cs="Arial"/>
          <w:sz w:val="20"/>
        </w:rPr>
        <w:t>Patrick Parkinson</w:t>
      </w:r>
    </w:p>
    <w:p w14:paraId="10342051" w14:textId="77777777" w:rsidR="000922DB" w:rsidRPr="00E11DDB" w:rsidRDefault="000922DB" w:rsidP="00862834">
      <w:pPr>
        <w:jc w:val="both"/>
        <w:rPr>
          <w:rFonts w:ascii="Arial" w:hAnsi="Arial" w:cs="Arial"/>
          <w:i/>
          <w:sz w:val="20"/>
        </w:rPr>
      </w:pPr>
      <w:r>
        <w:rPr>
          <w:rFonts w:ascii="Arial" w:hAnsi="Arial" w:cs="Arial"/>
          <w:i/>
          <w:sz w:val="20"/>
        </w:rPr>
        <w:t>[1999] MULR 15</w:t>
      </w:r>
    </w:p>
    <w:p w14:paraId="3AC87E3F" w14:textId="77777777" w:rsidR="000922DB" w:rsidRDefault="000922DB" w:rsidP="000922DB">
      <w:pPr>
        <w:spacing w:before="120"/>
        <w:jc w:val="both"/>
        <w:rPr>
          <w:rFonts w:ascii="Arial" w:hAnsi="Arial" w:cs="Arial"/>
          <w:sz w:val="20"/>
        </w:rPr>
      </w:pPr>
      <w:r>
        <w:rPr>
          <w:rFonts w:ascii="Arial" w:hAnsi="Arial" w:cs="Arial"/>
          <w:sz w:val="20"/>
        </w:rPr>
        <w:t xml:space="preserve">Child sexual abuse allegations cause great difficulties for the Family Court, not only because so often there is no corroborative evidence, but because of the way that lawyers approach the </w:t>
      </w:r>
      <w:r>
        <w:rPr>
          <w:rFonts w:ascii="Arial" w:hAnsi="Arial" w:cs="Arial"/>
          <w:sz w:val="20"/>
        </w:rPr>
        <w:lastRenderedPageBreak/>
        <w:t xml:space="preserve">notion of proof, and restrict the evidence which may be used to support a finding that a parent has sexually abused the child.  </w:t>
      </w:r>
      <w:r w:rsidR="00B43DA4">
        <w:rPr>
          <w:rFonts w:ascii="Arial" w:hAnsi="Arial" w:cs="Arial"/>
          <w:sz w:val="20"/>
        </w:rPr>
        <w:t xml:space="preserve">The High Court held in </w:t>
      </w:r>
      <w:r w:rsidR="00B43DA4" w:rsidRPr="00B43DA4">
        <w:rPr>
          <w:rFonts w:ascii="Arial" w:hAnsi="Arial" w:cs="Arial"/>
          <w:i/>
          <w:sz w:val="20"/>
        </w:rPr>
        <w:t>M v M (1988)</w:t>
      </w:r>
      <w:r w:rsidR="00B43DA4">
        <w:rPr>
          <w:rFonts w:ascii="Arial" w:hAnsi="Arial" w:cs="Arial"/>
          <w:sz w:val="20"/>
        </w:rPr>
        <w:t xml:space="preserve"> that the Family Court could restrict or deny contact where there is an unacceptable risk of abuse.  However, there are differences between judges of the court on the application of the test and, in particular, whether the assessment of risk needs to be based upon findings of fact from which that risk may be inferred.  In assessing the risk to the child of abuse in the future, more attention needs to be paid to risk factors other than the contested accounts of past abuse, based upon which is known in the social science literature about intrafamilial child sexual abuse and, in particular, what is known about the way offenders ‘groom’ their child victims.  This article proposes a four stage process for decision-making in the Family Court which will require the court to examine a range of possible risk factors, and also factors which may reduce the risk of abuse in the future.  In this way, courts may be able to make findings based upon facts, even though the facts relied upon may not involve findings about past abuse.</w:t>
      </w:r>
    </w:p>
    <w:p w14:paraId="38A000EB" w14:textId="77777777" w:rsidR="005C291D" w:rsidRDefault="005C291D" w:rsidP="005C291D">
      <w:pPr>
        <w:jc w:val="both"/>
        <w:rPr>
          <w:rFonts w:ascii="Arial" w:hAnsi="Arial" w:cs="Arial"/>
          <w:sz w:val="20"/>
        </w:rPr>
      </w:pPr>
    </w:p>
    <w:p w14:paraId="6D4FFC87" w14:textId="77777777" w:rsidR="00431CCA" w:rsidRDefault="00431CCA" w:rsidP="00431CCA">
      <w:pPr>
        <w:keepNext/>
        <w:keepLines/>
        <w:ind w:left="720" w:hanging="720"/>
        <w:jc w:val="both"/>
        <w:rPr>
          <w:rFonts w:ascii="Arial" w:hAnsi="Arial" w:cs="Arial"/>
          <w:b/>
          <w:bCs/>
          <w:sz w:val="28"/>
          <w:bdr w:val="single" w:sz="4" w:space="0" w:color="auto"/>
        </w:rPr>
      </w:pPr>
      <w:r>
        <w:rPr>
          <w:rFonts w:ascii="Arial" w:hAnsi="Arial" w:cs="Arial"/>
          <w:b/>
          <w:bCs/>
          <w:sz w:val="28"/>
        </w:rPr>
        <w:t>F3</w:t>
      </w:r>
      <w:r w:rsidR="005B2534">
        <w:rPr>
          <w:rFonts w:ascii="Arial" w:hAnsi="Arial" w:cs="Arial"/>
          <w:b/>
          <w:bCs/>
          <w:sz w:val="28"/>
        </w:rPr>
        <w:t>8</w:t>
      </w:r>
    </w:p>
    <w:p w14:paraId="3097B9FC" w14:textId="77777777" w:rsidR="00431CCA" w:rsidRDefault="00E45350" w:rsidP="00431CCA">
      <w:pPr>
        <w:keepNext/>
        <w:keepLines/>
        <w:jc w:val="both"/>
        <w:rPr>
          <w:rFonts w:ascii="Arial" w:hAnsi="Arial" w:cs="Arial"/>
          <w:b/>
          <w:bCs/>
        </w:rPr>
      </w:pPr>
      <w:r>
        <w:rPr>
          <w:rFonts w:ascii="Arial" w:hAnsi="Arial" w:cs="Arial"/>
          <w:b/>
          <w:bCs/>
        </w:rPr>
        <w:t>Neurodevelopmental impact of Maltreatment: Support materials</w:t>
      </w:r>
    </w:p>
    <w:p w14:paraId="47C6C499" w14:textId="77777777" w:rsidR="00431CCA" w:rsidRDefault="00431CCA" w:rsidP="00431CCA">
      <w:pPr>
        <w:jc w:val="both"/>
        <w:rPr>
          <w:rFonts w:ascii="Arial" w:hAnsi="Arial" w:cs="Arial"/>
          <w:sz w:val="20"/>
        </w:rPr>
      </w:pPr>
      <w:r>
        <w:rPr>
          <w:rFonts w:ascii="Arial" w:hAnsi="Arial" w:cs="Arial"/>
          <w:sz w:val="20"/>
        </w:rPr>
        <w:t xml:space="preserve">Bruce D. Perry (The </w:t>
      </w:r>
      <w:proofErr w:type="spellStart"/>
      <w:smartTag w:uri="urn:schemas-microsoft-com:office:smarttags" w:element="PlaceName">
        <w:r>
          <w:rPr>
            <w:rFonts w:ascii="Arial" w:hAnsi="Arial" w:cs="Arial"/>
            <w:sz w:val="20"/>
          </w:rPr>
          <w:t>ChildTrauma</w:t>
        </w:r>
      </w:smartTag>
      <w:proofErr w:type="spellEnd"/>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5161 San Felipe,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320</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2F71096F" w14:textId="77777777" w:rsidR="00E45350" w:rsidRDefault="00E45350" w:rsidP="00E45350">
      <w:pPr>
        <w:jc w:val="both"/>
        <w:rPr>
          <w:rFonts w:ascii="Arial" w:hAnsi="Arial" w:cs="Arial"/>
          <w:sz w:val="20"/>
        </w:rPr>
      </w:pPr>
    </w:p>
    <w:p w14:paraId="1E83B7BA" w14:textId="77777777" w:rsidR="00E45350" w:rsidRDefault="00E45350" w:rsidP="00E45350">
      <w:pPr>
        <w:jc w:val="both"/>
        <w:rPr>
          <w:rFonts w:ascii="Arial" w:hAnsi="Arial" w:cs="Arial"/>
          <w:sz w:val="20"/>
        </w:rPr>
      </w:pPr>
      <w:r>
        <w:rPr>
          <w:rFonts w:ascii="Arial" w:hAnsi="Arial" w:cs="Arial"/>
          <w:sz w:val="20"/>
        </w:rPr>
        <w:t>This bundle of materials deals in point form with Brain Development, Brain Organization and Adaptive Responses to Trauma.</w:t>
      </w:r>
    </w:p>
    <w:p w14:paraId="3E2C0A3A" w14:textId="77777777" w:rsidR="00431CCA" w:rsidRDefault="00431CCA" w:rsidP="00431CCA">
      <w:pPr>
        <w:jc w:val="both"/>
        <w:rPr>
          <w:rFonts w:ascii="Arial" w:hAnsi="Arial" w:cs="Arial"/>
          <w:sz w:val="20"/>
        </w:rPr>
      </w:pPr>
    </w:p>
    <w:p w14:paraId="3A911AA1" w14:textId="77777777" w:rsidR="00D030B1" w:rsidRDefault="00D030B1" w:rsidP="00D030B1">
      <w:pPr>
        <w:keepNext/>
        <w:keepLines/>
        <w:ind w:left="720" w:hanging="720"/>
        <w:jc w:val="both"/>
        <w:rPr>
          <w:rFonts w:ascii="Arial" w:hAnsi="Arial" w:cs="Arial"/>
          <w:b/>
          <w:bCs/>
          <w:sz w:val="28"/>
          <w:bdr w:val="single" w:sz="4" w:space="0" w:color="auto"/>
        </w:rPr>
      </w:pPr>
      <w:r>
        <w:rPr>
          <w:rFonts w:ascii="Arial" w:hAnsi="Arial" w:cs="Arial"/>
          <w:b/>
          <w:bCs/>
          <w:sz w:val="28"/>
        </w:rPr>
        <w:t>F</w:t>
      </w:r>
      <w:r w:rsidR="005B2534">
        <w:rPr>
          <w:rFonts w:ascii="Arial" w:hAnsi="Arial" w:cs="Arial"/>
          <w:b/>
          <w:bCs/>
          <w:sz w:val="28"/>
        </w:rPr>
        <w:t>39</w:t>
      </w:r>
    </w:p>
    <w:p w14:paraId="6BB757DF" w14:textId="77777777" w:rsidR="00D030B1" w:rsidRDefault="00D030B1" w:rsidP="00D030B1">
      <w:pPr>
        <w:keepNext/>
        <w:keepLines/>
        <w:jc w:val="both"/>
        <w:rPr>
          <w:rFonts w:ascii="Arial" w:hAnsi="Arial" w:cs="Arial"/>
          <w:b/>
          <w:bCs/>
        </w:rPr>
      </w:pPr>
      <w:r>
        <w:rPr>
          <w:rFonts w:ascii="Arial" w:hAnsi="Arial" w:cs="Arial"/>
          <w:b/>
          <w:bCs/>
        </w:rPr>
        <w:t>Maltreatment and the Developing Child: How Early Childhood Experience Shapes Child and Culture</w:t>
      </w:r>
    </w:p>
    <w:p w14:paraId="73B2E77E" w14:textId="77777777" w:rsidR="00D030B1" w:rsidRDefault="00D030B1" w:rsidP="00D030B1">
      <w:pPr>
        <w:jc w:val="both"/>
        <w:rPr>
          <w:rFonts w:ascii="Arial" w:hAnsi="Arial" w:cs="Arial"/>
          <w:sz w:val="20"/>
        </w:rPr>
      </w:pPr>
      <w:r>
        <w:rPr>
          <w:rFonts w:ascii="Arial" w:hAnsi="Arial" w:cs="Arial"/>
          <w:sz w:val="20"/>
        </w:rPr>
        <w:t xml:space="preserve">Bruce D. Perry (The </w:t>
      </w:r>
      <w:proofErr w:type="spellStart"/>
      <w:smartTag w:uri="urn:schemas-microsoft-com:office:smarttags" w:element="PlaceName">
        <w:r>
          <w:rPr>
            <w:rFonts w:ascii="Arial" w:hAnsi="Arial" w:cs="Arial"/>
            <w:sz w:val="20"/>
          </w:rPr>
          <w:t>ChildTrauma</w:t>
        </w:r>
      </w:smartTag>
      <w:proofErr w:type="spellEnd"/>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5161 San Felipe,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320</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3167B2C1" w14:textId="77777777" w:rsidR="00D030B1" w:rsidRPr="00E11DDB" w:rsidRDefault="00D030B1" w:rsidP="00D030B1">
      <w:pPr>
        <w:keepNext/>
        <w:keepLines/>
        <w:jc w:val="both"/>
        <w:rPr>
          <w:rFonts w:ascii="Arial" w:hAnsi="Arial" w:cs="Arial"/>
          <w:i/>
          <w:sz w:val="20"/>
        </w:rPr>
      </w:pPr>
      <w:r>
        <w:rPr>
          <w:rFonts w:ascii="Arial" w:hAnsi="Arial" w:cs="Arial"/>
          <w:i/>
          <w:sz w:val="20"/>
        </w:rPr>
        <w:t>Inaugural Lecture – The Margaret McCain Lecture Series</w:t>
      </w:r>
    </w:p>
    <w:p w14:paraId="724151D4" w14:textId="77777777" w:rsidR="00D030B1" w:rsidRDefault="00D030B1" w:rsidP="00D030B1">
      <w:pPr>
        <w:spacing w:before="120"/>
        <w:jc w:val="both"/>
        <w:rPr>
          <w:rFonts w:ascii="Arial" w:hAnsi="Arial" w:cs="Arial"/>
          <w:sz w:val="20"/>
        </w:rPr>
      </w:pPr>
      <w:r>
        <w:rPr>
          <w:rFonts w:ascii="Arial" w:hAnsi="Arial" w:cs="Arial"/>
          <w:sz w:val="20"/>
        </w:rPr>
        <w:t xml:space="preserve">Human beings are complex creatures.  While having the capacity to be humane, we also have the capacity to be cruel.  Why?  What determines whether a child grows up to be compassionate, thoughtful, and productive?  Or Impulsive, aggressive, hateful, and non-productive?  Is it genetic? </w:t>
      </w:r>
    </w:p>
    <w:p w14:paraId="4EED294D" w14:textId="77777777" w:rsidR="00D030B1" w:rsidRDefault="00AD37C5" w:rsidP="00AD37C5">
      <w:pPr>
        <w:spacing w:before="120"/>
        <w:jc w:val="both"/>
        <w:rPr>
          <w:rFonts w:ascii="Arial" w:hAnsi="Arial" w:cs="Arial"/>
          <w:sz w:val="20"/>
        </w:rPr>
      </w:pPr>
      <w:r>
        <w:rPr>
          <w:rFonts w:ascii="Arial" w:hAnsi="Arial" w:cs="Arial"/>
          <w:sz w:val="20"/>
        </w:rPr>
        <w:t>Likely not.  Human beings become a reflection of the world in which they develop.  If that world is safe, predictable, and characterized by relationally and cognitively enriched opportunities, the child can grow to be self-regulating, thoughtful, and a productive member of family, community, and society.  In contrast, if the developing child’s world is chaotic, threatening, and devoid of kind words and supportive relationships, a child may become impulsive, aggressive, inattentive, and have difficulties with relationships.  That child may require special educational services, mental health or even criminal justice intervention.</w:t>
      </w:r>
    </w:p>
    <w:p w14:paraId="7B564F67" w14:textId="77777777" w:rsidR="00AD37C5" w:rsidRDefault="00AD37C5" w:rsidP="00AD37C5">
      <w:pPr>
        <w:spacing w:before="120"/>
        <w:jc w:val="both"/>
        <w:rPr>
          <w:rFonts w:ascii="Arial" w:hAnsi="Arial" w:cs="Arial"/>
          <w:sz w:val="20"/>
        </w:rPr>
      </w:pPr>
      <w:r>
        <w:rPr>
          <w:rFonts w:ascii="Arial" w:hAnsi="Arial" w:cs="Arial"/>
          <w:sz w:val="20"/>
        </w:rPr>
        <w:t>The challenge for us is to help each child reach his or her potential to be humane.  To better understand how, we must appreciate the remarkable malleability of our species and the unique role played by the human brain.</w:t>
      </w:r>
    </w:p>
    <w:p w14:paraId="393119DB" w14:textId="77777777" w:rsidR="00D030B1" w:rsidRDefault="00D030B1" w:rsidP="00D030B1">
      <w:pPr>
        <w:jc w:val="both"/>
        <w:rPr>
          <w:rFonts w:ascii="Arial" w:hAnsi="Arial" w:cs="Arial"/>
          <w:sz w:val="20"/>
        </w:rPr>
      </w:pPr>
    </w:p>
    <w:p w14:paraId="2BB9AEB7" w14:textId="77777777" w:rsidR="00D030B1" w:rsidRDefault="00D030B1" w:rsidP="00D030B1">
      <w:pPr>
        <w:keepNext/>
        <w:keepLines/>
        <w:ind w:left="720" w:hanging="720"/>
        <w:jc w:val="both"/>
        <w:rPr>
          <w:rFonts w:ascii="Arial" w:hAnsi="Arial" w:cs="Arial"/>
          <w:b/>
          <w:bCs/>
          <w:sz w:val="28"/>
          <w:bdr w:val="single" w:sz="4" w:space="0" w:color="auto"/>
        </w:rPr>
      </w:pPr>
      <w:r>
        <w:rPr>
          <w:rFonts w:ascii="Arial" w:hAnsi="Arial" w:cs="Arial"/>
          <w:b/>
          <w:bCs/>
          <w:sz w:val="28"/>
        </w:rPr>
        <w:t>F4</w:t>
      </w:r>
      <w:r w:rsidR="005B2534">
        <w:rPr>
          <w:rFonts w:ascii="Arial" w:hAnsi="Arial" w:cs="Arial"/>
          <w:b/>
          <w:bCs/>
          <w:sz w:val="28"/>
        </w:rPr>
        <w:t>0</w:t>
      </w:r>
    </w:p>
    <w:p w14:paraId="0D707940" w14:textId="77777777" w:rsidR="00D030B1" w:rsidRDefault="00AD37C5" w:rsidP="00D030B1">
      <w:pPr>
        <w:keepNext/>
        <w:keepLines/>
        <w:jc w:val="both"/>
        <w:rPr>
          <w:rFonts w:ascii="Arial" w:hAnsi="Arial" w:cs="Arial"/>
          <w:b/>
          <w:bCs/>
        </w:rPr>
      </w:pPr>
      <w:proofErr w:type="spellStart"/>
      <w:r>
        <w:rPr>
          <w:rFonts w:ascii="Arial" w:hAnsi="Arial" w:cs="Arial"/>
          <w:b/>
          <w:bCs/>
        </w:rPr>
        <w:t>Neurosequential</w:t>
      </w:r>
      <w:proofErr w:type="spellEnd"/>
      <w:r>
        <w:rPr>
          <w:rFonts w:ascii="Arial" w:hAnsi="Arial" w:cs="Arial"/>
          <w:b/>
          <w:bCs/>
        </w:rPr>
        <w:t xml:space="preserve"> Model of Therapeutics – Protocol for Core Elements of the Therapeutic Program in the Pre-school Setting</w:t>
      </w:r>
    </w:p>
    <w:p w14:paraId="2EE84CC4" w14:textId="77777777" w:rsidR="00D030B1" w:rsidRDefault="00D030B1" w:rsidP="00D030B1">
      <w:pPr>
        <w:jc w:val="both"/>
        <w:rPr>
          <w:rFonts w:ascii="Arial" w:hAnsi="Arial" w:cs="Arial"/>
          <w:sz w:val="20"/>
        </w:rPr>
      </w:pPr>
      <w:r>
        <w:rPr>
          <w:rFonts w:ascii="Arial" w:hAnsi="Arial" w:cs="Arial"/>
          <w:sz w:val="20"/>
        </w:rPr>
        <w:t xml:space="preserve">Bruce D. Perry (The </w:t>
      </w:r>
      <w:proofErr w:type="spellStart"/>
      <w:smartTag w:uri="urn:schemas-microsoft-com:office:smarttags" w:element="PlaceName">
        <w:r>
          <w:rPr>
            <w:rFonts w:ascii="Arial" w:hAnsi="Arial" w:cs="Arial"/>
            <w:sz w:val="20"/>
          </w:rPr>
          <w:t>ChildTrauma</w:t>
        </w:r>
      </w:smartTag>
      <w:proofErr w:type="spellEnd"/>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5161 San Felipe,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320</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20D5BDBE" w14:textId="77777777" w:rsidR="00D030B1" w:rsidRDefault="00AD37C5" w:rsidP="00D030B1">
      <w:pPr>
        <w:spacing w:before="120"/>
        <w:jc w:val="both"/>
        <w:rPr>
          <w:rFonts w:ascii="Arial" w:hAnsi="Arial" w:cs="Arial"/>
          <w:sz w:val="20"/>
        </w:rPr>
      </w:pPr>
      <w:r>
        <w:rPr>
          <w:rFonts w:ascii="Arial" w:hAnsi="Arial" w:cs="Arial"/>
          <w:sz w:val="20"/>
        </w:rPr>
        <w:t xml:space="preserve">The human brain develops from a small group of cells in early </w:t>
      </w:r>
      <w:proofErr w:type="spellStart"/>
      <w:r>
        <w:rPr>
          <w:rFonts w:ascii="Arial" w:hAnsi="Arial" w:cs="Arial"/>
          <w:sz w:val="20"/>
        </w:rPr>
        <w:t>fetal</w:t>
      </w:r>
      <w:proofErr w:type="spellEnd"/>
      <w:r>
        <w:rPr>
          <w:rFonts w:ascii="Arial" w:hAnsi="Arial" w:cs="Arial"/>
          <w:sz w:val="20"/>
        </w:rPr>
        <w:t xml:space="preserve"> life into a magnificent complexity of thousands of neural networks comprised of billions of neurons and glial cells and trillions of synaptic connections.  This astounding construction occurs primarily in utero and in the first four years of life.  Full understanding of neurodevelopment is well beyond the current capacity of the neurosciences; yet we do know the core principles underlying neurodevelopment.</w:t>
      </w:r>
    </w:p>
    <w:p w14:paraId="42DCE0E3" w14:textId="77777777" w:rsidR="00AD37C5" w:rsidRDefault="00AD37C5" w:rsidP="00D030B1">
      <w:pPr>
        <w:spacing w:before="120"/>
        <w:jc w:val="both"/>
        <w:rPr>
          <w:rFonts w:ascii="Arial" w:hAnsi="Arial" w:cs="Arial"/>
          <w:sz w:val="20"/>
        </w:rPr>
      </w:pPr>
      <w:r>
        <w:rPr>
          <w:rFonts w:ascii="Arial" w:hAnsi="Arial" w:cs="Arial"/>
          <w:sz w:val="20"/>
        </w:rPr>
        <w:t xml:space="preserve">The </w:t>
      </w:r>
      <w:proofErr w:type="spellStart"/>
      <w:r>
        <w:rPr>
          <w:rFonts w:ascii="Arial" w:hAnsi="Arial" w:cs="Arial"/>
          <w:sz w:val="20"/>
        </w:rPr>
        <w:t>Neurosequential</w:t>
      </w:r>
      <w:proofErr w:type="spellEnd"/>
      <w:r>
        <w:rPr>
          <w:rFonts w:ascii="Arial" w:hAnsi="Arial" w:cs="Arial"/>
          <w:sz w:val="20"/>
        </w:rPr>
        <w:t xml:space="preserve"> Model of Therapeutics uses a number of techniques from many sources.  Each of these techniques is prescribed to give additional opportunities to master developmental issues, organized neural networks, and create permanent neural connections.   This allows for organization, regulation, and development of neural networks needing enrichment.  These techniques are prescribed as a result of a </w:t>
      </w:r>
      <w:proofErr w:type="spellStart"/>
      <w:r>
        <w:rPr>
          <w:rFonts w:ascii="Arial" w:hAnsi="Arial" w:cs="Arial"/>
          <w:sz w:val="20"/>
        </w:rPr>
        <w:t>Neurosequential</w:t>
      </w:r>
      <w:proofErr w:type="spellEnd"/>
      <w:r>
        <w:rPr>
          <w:rFonts w:ascii="Arial" w:hAnsi="Arial" w:cs="Arial"/>
          <w:sz w:val="20"/>
        </w:rPr>
        <w:t xml:space="preserve"> archaeological assessment completed on each child admitted to treatment by the treatment team.</w:t>
      </w:r>
    </w:p>
    <w:p w14:paraId="2EAC4D84" w14:textId="77777777" w:rsidR="00D030B1" w:rsidRDefault="00D030B1" w:rsidP="00D030B1">
      <w:pPr>
        <w:jc w:val="both"/>
        <w:rPr>
          <w:rFonts w:ascii="Arial" w:hAnsi="Arial" w:cs="Arial"/>
          <w:sz w:val="20"/>
        </w:rPr>
      </w:pPr>
    </w:p>
    <w:p w14:paraId="23268DC2" w14:textId="77777777" w:rsidR="00D030B1" w:rsidRDefault="00D030B1" w:rsidP="00D030B1">
      <w:pPr>
        <w:keepNext/>
        <w:keepLines/>
        <w:ind w:left="720" w:hanging="720"/>
        <w:jc w:val="both"/>
        <w:rPr>
          <w:rFonts w:ascii="Arial" w:hAnsi="Arial" w:cs="Arial"/>
          <w:b/>
          <w:bCs/>
          <w:sz w:val="28"/>
          <w:bdr w:val="single" w:sz="4" w:space="0" w:color="auto"/>
        </w:rPr>
      </w:pPr>
      <w:r>
        <w:rPr>
          <w:rFonts w:ascii="Arial" w:hAnsi="Arial" w:cs="Arial"/>
          <w:b/>
          <w:bCs/>
          <w:sz w:val="28"/>
        </w:rPr>
        <w:t>F4</w:t>
      </w:r>
      <w:r w:rsidR="005B2534">
        <w:rPr>
          <w:rFonts w:ascii="Arial" w:hAnsi="Arial" w:cs="Arial"/>
          <w:b/>
          <w:bCs/>
          <w:sz w:val="28"/>
        </w:rPr>
        <w:t>1</w:t>
      </w:r>
    </w:p>
    <w:p w14:paraId="191905EC" w14:textId="77777777" w:rsidR="00D030B1" w:rsidRDefault="00AD37C5" w:rsidP="00D030B1">
      <w:pPr>
        <w:keepNext/>
        <w:keepLines/>
        <w:jc w:val="both"/>
        <w:rPr>
          <w:rFonts w:ascii="Arial" w:hAnsi="Arial" w:cs="Arial"/>
          <w:b/>
          <w:bCs/>
        </w:rPr>
      </w:pPr>
      <w:r>
        <w:rPr>
          <w:rFonts w:ascii="Arial" w:hAnsi="Arial" w:cs="Arial"/>
          <w:b/>
          <w:bCs/>
        </w:rPr>
        <w:t>The Best Interests principles: a conceptual overview</w:t>
      </w:r>
    </w:p>
    <w:p w14:paraId="7004FC48" w14:textId="77777777" w:rsidR="00774D82" w:rsidRDefault="00774D82" w:rsidP="00774D82">
      <w:pPr>
        <w:jc w:val="both"/>
        <w:rPr>
          <w:rFonts w:ascii="Arial" w:hAnsi="Arial" w:cs="Arial"/>
          <w:sz w:val="20"/>
        </w:rPr>
      </w:pPr>
      <w:r>
        <w:rPr>
          <w:rFonts w:ascii="Arial" w:hAnsi="Arial" w:cs="Arial"/>
          <w:sz w:val="20"/>
        </w:rPr>
        <w:t>Robyn Miller, Victorian Government Department of Human Services</w:t>
      </w:r>
    </w:p>
    <w:p w14:paraId="0A4F564A" w14:textId="77777777" w:rsidR="00D169A4" w:rsidRPr="00E11DDB" w:rsidRDefault="00D169A4" w:rsidP="00D169A4">
      <w:pPr>
        <w:keepNext/>
        <w:keepLines/>
        <w:jc w:val="both"/>
        <w:rPr>
          <w:rFonts w:ascii="Arial" w:hAnsi="Arial" w:cs="Arial"/>
          <w:i/>
          <w:sz w:val="20"/>
        </w:rPr>
      </w:pPr>
      <w:r>
        <w:rPr>
          <w:rFonts w:ascii="Arial" w:hAnsi="Arial" w:cs="Arial"/>
          <w:i/>
          <w:sz w:val="20"/>
        </w:rPr>
        <w:t xml:space="preserve">Booklet in the Best </w:t>
      </w:r>
      <w:proofErr w:type="gramStart"/>
      <w:r>
        <w:rPr>
          <w:rFonts w:ascii="Arial" w:hAnsi="Arial" w:cs="Arial"/>
          <w:i/>
          <w:sz w:val="20"/>
        </w:rPr>
        <w:t>interests</w:t>
      </w:r>
      <w:proofErr w:type="gramEnd"/>
      <w:r>
        <w:rPr>
          <w:rFonts w:ascii="Arial" w:hAnsi="Arial" w:cs="Arial"/>
          <w:i/>
          <w:sz w:val="20"/>
        </w:rPr>
        <w:t xml:space="preserve"> series published by the Department of Human Services (2007)</w:t>
      </w:r>
    </w:p>
    <w:p w14:paraId="20ADF960" w14:textId="77777777" w:rsidR="00D030B1" w:rsidRDefault="00774D82" w:rsidP="00D030B1">
      <w:pPr>
        <w:spacing w:before="120"/>
        <w:jc w:val="both"/>
        <w:rPr>
          <w:rFonts w:ascii="Arial" w:hAnsi="Arial" w:cs="Arial"/>
          <w:sz w:val="20"/>
        </w:rPr>
      </w:pPr>
      <w:r>
        <w:rPr>
          <w:rFonts w:ascii="Arial" w:hAnsi="Arial" w:cs="Arial"/>
          <w:sz w:val="20"/>
        </w:rPr>
        <w:t xml:space="preserve">This paper focuses on the Best Interests Principles of the </w:t>
      </w:r>
      <w:r w:rsidRPr="00774D82">
        <w:rPr>
          <w:rFonts w:ascii="Arial" w:hAnsi="Arial" w:cs="Arial"/>
          <w:i/>
          <w:sz w:val="20"/>
        </w:rPr>
        <w:t>Children, Youth and Families Act 2005</w:t>
      </w:r>
      <w:r>
        <w:rPr>
          <w:rFonts w:ascii="Arial" w:hAnsi="Arial" w:cs="Arial"/>
          <w:sz w:val="20"/>
        </w:rPr>
        <w:t>.</w:t>
      </w:r>
    </w:p>
    <w:p w14:paraId="4D449CF5" w14:textId="77777777" w:rsidR="00D030B1" w:rsidRDefault="00D030B1" w:rsidP="00D030B1">
      <w:pPr>
        <w:jc w:val="both"/>
        <w:rPr>
          <w:rFonts w:ascii="Arial" w:hAnsi="Arial" w:cs="Arial"/>
          <w:sz w:val="20"/>
        </w:rPr>
      </w:pPr>
    </w:p>
    <w:p w14:paraId="5C464EF9" w14:textId="77777777" w:rsidR="00431CCA" w:rsidRDefault="00431CCA" w:rsidP="00431CCA">
      <w:pPr>
        <w:keepNext/>
        <w:keepLines/>
        <w:ind w:left="720" w:hanging="720"/>
        <w:jc w:val="both"/>
        <w:rPr>
          <w:rFonts w:ascii="Arial" w:hAnsi="Arial" w:cs="Arial"/>
          <w:b/>
          <w:bCs/>
          <w:sz w:val="28"/>
          <w:bdr w:val="single" w:sz="4" w:space="0" w:color="auto"/>
        </w:rPr>
      </w:pPr>
      <w:r>
        <w:rPr>
          <w:rFonts w:ascii="Arial" w:hAnsi="Arial" w:cs="Arial"/>
          <w:b/>
          <w:bCs/>
          <w:sz w:val="28"/>
        </w:rPr>
        <w:t>F4</w:t>
      </w:r>
      <w:r w:rsidR="005B2534">
        <w:rPr>
          <w:rFonts w:ascii="Arial" w:hAnsi="Arial" w:cs="Arial"/>
          <w:b/>
          <w:bCs/>
          <w:sz w:val="28"/>
        </w:rPr>
        <w:t>2</w:t>
      </w:r>
    </w:p>
    <w:p w14:paraId="10509CD9" w14:textId="77777777" w:rsidR="00431CCA" w:rsidRDefault="00AD37C5" w:rsidP="00431CCA">
      <w:pPr>
        <w:keepNext/>
        <w:keepLines/>
        <w:jc w:val="both"/>
        <w:rPr>
          <w:rFonts w:ascii="Arial" w:hAnsi="Arial" w:cs="Arial"/>
          <w:b/>
          <w:bCs/>
        </w:rPr>
      </w:pPr>
      <w:r>
        <w:rPr>
          <w:rFonts w:ascii="Arial" w:hAnsi="Arial" w:cs="Arial"/>
          <w:b/>
          <w:bCs/>
        </w:rPr>
        <w:t>Cumulative harm: a conceptual overview</w:t>
      </w:r>
    </w:p>
    <w:p w14:paraId="7F9DE401" w14:textId="77777777" w:rsidR="00431CCA" w:rsidRDefault="00D169A4" w:rsidP="00431CCA">
      <w:pPr>
        <w:jc w:val="both"/>
        <w:rPr>
          <w:rFonts w:ascii="Arial" w:hAnsi="Arial" w:cs="Arial"/>
          <w:sz w:val="20"/>
        </w:rPr>
      </w:pPr>
      <w:r>
        <w:rPr>
          <w:rFonts w:ascii="Arial" w:hAnsi="Arial" w:cs="Arial"/>
          <w:sz w:val="20"/>
        </w:rPr>
        <w:t>Robyn Miller, Victorian Government Department of Human Services</w:t>
      </w:r>
    </w:p>
    <w:p w14:paraId="6740FCE3" w14:textId="77777777" w:rsidR="00431CCA" w:rsidRPr="00E11DDB" w:rsidRDefault="00D169A4" w:rsidP="00431CCA">
      <w:pPr>
        <w:keepNext/>
        <w:keepLines/>
        <w:jc w:val="both"/>
        <w:rPr>
          <w:rFonts w:ascii="Arial" w:hAnsi="Arial" w:cs="Arial"/>
          <w:i/>
          <w:sz w:val="20"/>
        </w:rPr>
      </w:pPr>
      <w:r>
        <w:rPr>
          <w:rFonts w:ascii="Arial" w:hAnsi="Arial" w:cs="Arial"/>
          <w:i/>
          <w:sz w:val="20"/>
        </w:rPr>
        <w:t xml:space="preserve">Booklet in the Best </w:t>
      </w:r>
      <w:proofErr w:type="gramStart"/>
      <w:r>
        <w:rPr>
          <w:rFonts w:ascii="Arial" w:hAnsi="Arial" w:cs="Arial"/>
          <w:i/>
          <w:sz w:val="20"/>
        </w:rPr>
        <w:t>interests</w:t>
      </w:r>
      <w:proofErr w:type="gramEnd"/>
      <w:r>
        <w:rPr>
          <w:rFonts w:ascii="Arial" w:hAnsi="Arial" w:cs="Arial"/>
          <w:i/>
          <w:sz w:val="20"/>
        </w:rPr>
        <w:t xml:space="preserve"> series published by the Department of Human Services (2007)</w:t>
      </w:r>
    </w:p>
    <w:p w14:paraId="43327A7D" w14:textId="77777777" w:rsidR="00431CCA" w:rsidRDefault="00D169A4" w:rsidP="00431CCA">
      <w:pPr>
        <w:spacing w:before="120"/>
        <w:jc w:val="both"/>
        <w:rPr>
          <w:rFonts w:ascii="Arial" w:hAnsi="Arial" w:cs="Arial"/>
          <w:sz w:val="20"/>
        </w:rPr>
      </w:pPr>
      <w:r>
        <w:rPr>
          <w:rFonts w:ascii="Arial" w:hAnsi="Arial" w:cs="Arial"/>
          <w:sz w:val="20"/>
        </w:rPr>
        <w:t>The writer discusses various manifestations of cumulative harm and provides a conceptual overview of the issue.  The historical context is discussed, the theoretical underpinnings are explored and a range of relevant paradigms and research is presented under various headings.</w:t>
      </w:r>
    </w:p>
    <w:p w14:paraId="0291E814" w14:textId="77777777" w:rsidR="00745DEF" w:rsidRDefault="00745DEF">
      <w:pPr>
        <w:rPr>
          <w:rFonts w:ascii="Arial" w:hAnsi="Arial" w:cs="Arial"/>
          <w:sz w:val="20"/>
        </w:rPr>
      </w:pPr>
    </w:p>
    <w:p w14:paraId="3280F280" w14:textId="77777777" w:rsidR="00693223" w:rsidRDefault="00693223">
      <w:pPr>
        <w:pBdr>
          <w:top w:val="single" w:sz="4" w:space="1" w:color="auto"/>
        </w:pBdr>
        <w:rPr>
          <w:rFonts w:ascii="Arial" w:hAnsi="Arial" w:cs="Arial"/>
          <w:sz w:val="20"/>
        </w:rPr>
      </w:pPr>
    </w:p>
    <w:p w14:paraId="17E3EAED" w14:textId="77777777" w:rsidR="00693223" w:rsidRDefault="00693223">
      <w:pPr>
        <w:jc w:val="both"/>
        <w:rPr>
          <w:rFonts w:ascii="Arial" w:hAnsi="Arial" w:cs="Arial"/>
          <w:sz w:val="20"/>
        </w:rPr>
      </w:pPr>
      <w:r>
        <w:rPr>
          <w:rFonts w:ascii="Arial" w:hAnsi="Arial" w:cs="Arial"/>
          <w:sz w:val="20"/>
        </w:rPr>
        <w:t>A number of papers with relevance to child protection, child welfare and/or children's cases were delivered at the XVI World Congress of the International Association of Youth and Family Judges and Magistrates held at Melbourne in October 2002.</w:t>
      </w:r>
    </w:p>
    <w:p w14:paraId="1DB84916" w14:textId="77777777" w:rsidR="00693223" w:rsidRDefault="00693223">
      <w:pPr>
        <w:jc w:val="both"/>
        <w:rPr>
          <w:rFonts w:ascii="Arial" w:hAnsi="Arial" w:cs="Arial"/>
          <w:sz w:val="20"/>
        </w:rPr>
      </w:pPr>
    </w:p>
    <w:p w14:paraId="41D8934E" w14:textId="77777777" w:rsidR="00693223" w:rsidRDefault="00693223">
      <w:pPr>
        <w:ind w:left="1440" w:hanging="1440"/>
        <w:jc w:val="both"/>
        <w:rPr>
          <w:rFonts w:ascii="Arial" w:hAnsi="Arial" w:cs="Arial"/>
          <w:b/>
          <w:bCs/>
          <w:sz w:val="28"/>
          <w:bdr w:val="single" w:sz="4" w:space="0" w:color="auto"/>
        </w:rPr>
      </w:pPr>
      <w:r>
        <w:rPr>
          <w:rFonts w:ascii="Arial" w:hAnsi="Arial" w:cs="Arial"/>
          <w:b/>
          <w:bCs/>
          <w:sz w:val="28"/>
        </w:rPr>
        <w:t>WCF1</w:t>
      </w:r>
      <w:r w:rsidR="00E26E9E">
        <w:rPr>
          <w:rFonts w:ascii="Arial" w:hAnsi="Arial" w:cs="Arial"/>
          <w:b/>
          <w:bCs/>
          <w:sz w:val="28"/>
        </w:rPr>
        <w:t>6.1</w:t>
      </w:r>
    </w:p>
    <w:p w14:paraId="2C97E7A9" w14:textId="77777777" w:rsidR="00693223" w:rsidRDefault="00693223">
      <w:pPr>
        <w:jc w:val="both"/>
        <w:rPr>
          <w:rFonts w:ascii="Arial" w:hAnsi="Arial" w:cs="Arial"/>
          <w:b/>
          <w:bCs/>
          <w:sz w:val="32"/>
        </w:rPr>
      </w:pPr>
      <w:r>
        <w:rPr>
          <w:rFonts w:ascii="Arial" w:hAnsi="Arial" w:cs="Arial"/>
          <w:b/>
          <w:bCs/>
        </w:rPr>
        <w:t>Children's Court Clinics and Their Role in Informing Judicial Decision Making [2 PAPERS]</w:t>
      </w:r>
    </w:p>
    <w:p w14:paraId="5A9F0D71" w14:textId="77777777" w:rsidR="00693223" w:rsidRDefault="00693223">
      <w:pPr>
        <w:jc w:val="both"/>
        <w:rPr>
          <w:rFonts w:ascii="Arial" w:hAnsi="Arial" w:cs="Arial"/>
          <w:sz w:val="20"/>
        </w:rPr>
      </w:pPr>
      <w:r>
        <w:rPr>
          <w:rFonts w:ascii="Arial" w:hAnsi="Arial" w:cs="Arial"/>
          <w:sz w:val="20"/>
        </w:rPr>
        <w:t xml:space="preserve">Dr Patricia F Brown (Director, Children's Court Clinic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w:t>
      </w:r>
    </w:p>
    <w:p w14:paraId="22D39A18" w14:textId="77777777" w:rsidR="00693223" w:rsidRDefault="00693223">
      <w:pPr>
        <w:jc w:val="both"/>
        <w:rPr>
          <w:rFonts w:ascii="Arial" w:hAnsi="Arial" w:cs="Arial"/>
          <w:sz w:val="20"/>
        </w:rPr>
      </w:pPr>
      <w:r>
        <w:rPr>
          <w:rFonts w:ascii="Arial" w:hAnsi="Arial" w:cs="Arial"/>
          <w:sz w:val="20"/>
        </w:rPr>
        <w:t>Dr Gwenda Schreiber (Director, Children's Court Clinic, NSW)</w:t>
      </w:r>
    </w:p>
    <w:p w14:paraId="2ACB4FBB"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A brief historical perspective is given by Dr Patricia Brown of the Victorian Children's Court Clinic.  Emphasis is made on the need for independence of opinion, on a model of service which reflects the presenting problems of the court population and on where best to place such a service.  The functions of the Clinic are discussed with its primary task of providing expert opinion in a family systems context and the priority given to teaching.</w:t>
      </w:r>
    </w:p>
    <w:p w14:paraId="54BE7793"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Dr Gwenda Schreiber illustrates the basic similarities of the two court clinics but also differences which relate to a new service needing more legal formalisation to forge a path and to the larger geographical and current demands in NSW.</w:t>
      </w:r>
    </w:p>
    <w:p w14:paraId="29FE168C" w14:textId="77777777" w:rsidR="00693223" w:rsidRDefault="00693223">
      <w:pPr>
        <w:jc w:val="both"/>
        <w:rPr>
          <w:rFonts w:ascii="Arial" w:hAnsi="Arial" w:cs="Arial"/>
          <w:sz w:val="20"/>
        </w:rPr>
      </w:pPr>
    </w:p>
    <w:p w14:paraId="13B3D207"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16.2</w:t>
      </w:r>
    </w:p>
    <w:p w14:paraId="748D0FDC" w14:textId="77777777" w:rsidR="00693223" w:rsidRDefault="00693223">
      <w:pPr>
        <w:keepNext/>
        <w:keepLines/>
        <w:jc w:val="both"/>
        <w:rPr>
          <w:rFonts w:ascii="Arial" w:hAnsi="Arial" w:cs="Arial"/>
          <w:b/>
          <w:bCs/>
          <w:sz w:val="32"/>
        </w:rPr>
      </w:pPr>
      <w:r>
        <w:rPr>
          <w:rFonts w:ascii="Arial" w:hAnsi="Arial" w:cs="Arial"/>
          <w:b/>
          <w:bCs/>
        </w:rPr>
        <w:t>The Role of Experts in Assisting Courts in Children's Cases: A Judicial View</w:t>
      </w:r>
    </w:p>
    <w:p w14:paraId="62A66966" w14:textId="77777777" w:rsidR="00693223" w:rsidRDefault="00693223">
      <w:pPr>
        <w:jc w:val="both"/>
        <w:rPr>
          <w:rFonts w:ascii="Arial" w:hAnsi="Arial" w:cs="Arial"/>
          <w:sz w:val="20"/>
        </w:rPr>
      </w:pPr>
      <w:r>
        <w:rPr>
          <w:rFonts w:ascii="Arial" w:hAnsi="Arial" w:cs="Arial"/>
          <w:sz w:val="20"/>
        </w:rPr>
        <w:t xml:space="preserve">Justice Richard Chisholm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w:t>
      </w:r>
    </w:p>
    <w:p w14:paraId="25265F46"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Family Court benefits greatly from expert's reports in children's matters.  Such reports are normally prepared by psychiatrists or psychologists with specialist qualifications or experience in child and family psychiatry.  There are also 'family reports' prepared by counsellors attached to the Family Court. The authors of these reports are independent of the parties to the proceedings, in that they are either employed by the Court or engaged by it or by the child's representative.  In addition, it is open to the parties to present their own expert evidence, subject to some restrictions.  This paper discusses the preparation of such expert reports and the evidence given when the authors are cross-examined on them in court.  It considers the way in which experts can most assist the court, and how they might deal with some of the problems they face.  It suggests that many of the difficulties facing report writers can be addressed by considering three essential components of such reports: a body of information, a chain of reasoning, and the conclusions.</w:t>
      </w:r>
    </w:p>
    <w:p w14:paraId="4C21C583" w14:textId="77777777" w:rsidR="00693223" w:rsidRDefault="00693223">
      <w:pPr>
        <w:jc w:val="both"/>
        <w:rPr>
          <w:rFonts w:ascii="Arial" w:hAnsi="Arial" w:cs="Arial"/>
          <w:sz w:val="20"/>
        </w:rPr>
      </w:pPr>
    </w:p>
    <w:p w14:paraId="46A31E90" w14:textId="77777777" w:rsidR="00693223" w:rsidRDefault="00693223" w:rsidP="00CC0325">
      <w:pPr>
        <w:keepNext/>
        <w:keepLines/>
        <w:jc w:val="both"/>
        <w:rPr>
          <w:rFonts w:ascii="Arial" w:hAnsi="Arial" w:cs="Arial"/>
          <w:b/>
          <w:bCs/>
          <w:sz w:val="28"/>
          <w:bdr w:val="single" w:sz="4" w:space="0" w:color="auto"/>
        </w:rPr>
      </w:pPr>
      <w:r>
        <w:rPr>
          <w:rFonts w:ascii="Arial" w:hAnsi="Arial" w:cs="Arial"/>
          <w:b/>
          <w:bCs/>
          <w:sz w:val="28"/>
        </w:rPr>
        <w:lastRenderedPageBreak/>
        <w:t>WCF</w:t>
      </w:r>
      <w:r w:rsidR="00E26E9E">
        <w:rPr>
          <w:rFonts w:ascii="Arial" w:hAnsi="Arial" w:cs="Arial"/>
          <w:b/>
          <w:bCs/>
          <w:sz w:val="28"/>
        </w:rPr>
        <w:t>16.</w:t>
      </w:r>
      <w:r>
        <w:rPr>
          <w:rFonts w:ascii="Arial" w:hAnsi="Arial" w:cs="Arial"/>
          <w:b/>
          <w:bCs/>
          <w:sz w:val="28"/>
        </w:rPr>
        <w:t>3</w:t>
      </w:r>
    </w:p>
    <w:p w14:paraId="7AD84A55" w14:textId="77777777" w:rsidR="00693223" w:rsidRDefault="00693223" w:rsidP="00CC0325">
      <w:pPr>
        <w:keepNext/>
        <w:keepLines/>
        <w:jc w:val="both"/>
        <w:rPr>
          <w:rFonts w:ascii="Arial" w:hAnsi="Arial" w:cs="Arial"/>
          <w:b/>
          <w:bCs/>
          <w:sz w:val="32"/>
        </w:rPr>
      </w:pPr>
      <w:r>
        <w:rPr>
          <w:rFonts w:ascii="Arial" w:hAnsi="Arial" w:cs="Arial"/>
          <w:b/>
          <w:bCs/>
        </w:rPr>
        <w:t xml:space="preserve">The Children Act 1989 - </w:t>
      </w:r>
      <w:smartTag w:uri="urn:schemas-microsoft-com:office:smarttags" w:element="country-region">
        <w:r>
          <w:rPr>
            <w:rFonts w:ascii="Arial" w:hAnsi="Arial" w:cs="Arial"/>
            <w:b/>
            <w:bCs/>
          </w:rPr>
          <w:t>England</w:t>
        </w:r>
      </w:smartTag>
      <w:r>
        <w:rPr>
          <w:rFonts w:ascii="Arial" w:hAnsi="Arial" w:cs="Arial"/>
          <w:b/>
          <w:bCs/>
        </w:rPr>
        <w:t xml:space="preserve"> and </w:t>
      </w:r>
      <w:smartTag w:uri="urn:schemas-microsoft-com:office:smarttags" w:element="country-region">
        <w:smartTag w:uri="urn:schemas-microsoft-com:office:smarttags" w:element="place">
          <w:r>
            <w:rPr>
              <w:rFonts w:ascii="Arial" w:hAnsi="Arial" w:cs="Arial"/>
              <w:b/>
              <w:bCs/>
            </w:rPr>
            <w:t>Wales</w:t>
          </w:r>
        </w:smartTag>
      </w:smartTag>
    </w:p>
    <w:p w14:paraId="56A89EC8" w14:textId="77777777" w:rsidR="00693223" w:rsidRDefault="00693223" w:rsidP="00CC0325">
      <w:pPr>
        <w:keepNext/>
        <w:keepLines/>
        <w:jc w:val="both"/>
        <w:rPr>
          <w:rFonts w:ascii="Arial" w:hAnsi="Arial" w:cs="Arial"/>
          <w:sz w:val="20"/>
        </w:rPr>
      </w:pPr>
      <w:r>
        <w:rPr>
          <w:rFonts w:ascii="Arial" w:hAnsi="Arial" w:cs="Arial"/>
          <w:sz w:val="20"/>
        </w:rPr>
        <w:t>District Judge (Magistrates' Courts) Nicholas Crichton</w:t>
      </w:r>
    </w:p>
    <w:p w14:paraId="1DE03AE5"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Children Act 1989 distinguishes 'private law' (issues to be dealt with on the break-up of marriage/relationship) from 'public law' (child protection issues where the state intervenes).  In all matters relating to children there are 3 basis principles:</w:t>
      </w:r>
    </w:p>
    <w:p w14:paraId="3E402DAC" w14:textId="77777777" w:rsidR="00693223" w:rsidRDefault="00693223">
      <w:pPr>
        <w:autoSpaceDE w:val="0"/>
        <w:autoSpaceDN w:val="0"/>
        <w:adjustRightInd w:val="0"/>
        <w:jc w:val="both"/>
        <w:rPr>
          <w:rFonts w:ascii="Arial" w:hAnsi="Arial" w:cs="Arial"/>
          <w:sz w:val="20"/>
        </w:rPr>
      </w:pPr>
      <w:r>
        <w:rPr>
          <w:rFonts w:ascii="Arial" w:hAnsi="Arial" w:cs="Arial"/>
          <w:sz w:val="20"/>
        </w:rPr>
        <w:t>1.</w:t>
      </w:r>
      <w:r>
        <w:rPr>
          <w:rFonts w:ascii="Arial" w:hAnsi="Arial" w:cs="Arial"/>
          <w:sz w:val="20"/>
        </w:rPr>
        <w:tab/>
        <w:t>The welfare of the child is paramount.</w:t>
      </w:r>
    </w:p>
    <w:p w14:paraId="3F24E817" w14:textId="77777777" w:rsidR="00693223" w:rsidRDefault="00693223">
      <w:pPr>
        <w:autoSpaceDE w:val="0"/>
        <w:autoSpaceDN w:val="0"/>
        <w:adjustRightInd w:val="0"/>
        <w:jc w:val="both"/>
        <w:rPr>
          <w:rFonts w:ascii="Arial" w:hAnsi="Arial" w:cs="Arial"/>
          <w:sz w:val="20"/>
        </w:rPr>
      </w:pPr>
      <w:r>
        <w:rPr>
          <w:rFonts w:ascii="Arial" w:hAnsi="Arial" w:cs="Arial"/>
          <w:sz w:val="20"/>
        </w:rPr>
        <w:t>2.</w:t>
      </w:r>
      <w:r>
        <w:rPr>
          <w:rFonts w:ascii="Arial" w:hAnsi="Arial" w:cs="Arial"/>
          <w:sz w:val="20"/>
        </w:rPr>
        <w:tab/>
        <w:t>Delay is detrimental to the interests of the child.</w:t>
      </w:r>
    </w:p>
    <w:p w14:paraId="05E89493" w14:textId="77777777" w:rsidR="00693223" w:rsidRDefault="00693223">
      <w:pPr>
        <w:autoSpaceDE w:val="0"/>
        <w:autoSpaceDN w:val="0"/>
        <w:adjustRightInd w:val="0"/>
        <w:ind w:left="720" w:hanging="720"/>
        <w:jc w:val="both"/>
        <w:rPr>
          <w:rFonts w:ascii="Arial" w:hAnsi="Arial" w:cs="Arial"/>
          <w:sz w:val="20"/>
        </w:rPr>
      </w:pPr>
      <w:r>
        <w:rPr>
          <w:rFonts w:ascii="Arial" w:hAnsi="Arial" w:cs="Arial"/>
          <w:sz w:val="20"/>
        </w:rPr>
        <w:t>3.</w:t>
      </w:r>
      <w:r>
        <w:rPr>
          <w:rFonts w:ascii="Arial" w:hAnsi="Arial" w:cs="Arial"/>
          <w:sz w:val="20"/>
        </w:rPr>
        <w:tab/>
        <w:t>The court should not make an order unless by doing so it can improve the child's circumstances.</w:t>
      </w:r>
    </w:p>
    <w:p w14:paraId="46987330" w14:textId="77777777" w:rsidR="00693223" w:rsidRDefault="00693223">
      <w:pPr>
        <w:jc w:val="both"/>
        <w:rPr>
          <w:rFonts w:ascii="Arial" w:hAnsi="Arial" w:cs="Arial"/>
          <w:sz w:val="20"/>
        </w:rPr>
      </w:pPr>
      <w:r>
        <w:rPr>
          <w:rFonts w:ascii="Arial" w:hAnsi="Arial" w:cs="Arial"/>
          <w:sz w:val="20"/>
        </w:rPr>
        <w:t>This paper discusses some aspects of the public law, the newly created Children and Family Court Advisory Court Service and the President's Inter-Disciplinary Committee, as well as highlighting the increasing recognition of the need for specialization in family law, the Inner London Family Proceedings Court being the first discrete, specialised family proceedings court in England and Wales dealing solely with children's work.</w:t>
      </w:r>
    </w:p>
    <w:p w14:paraId="6187E395" w14:textId="77777777" w:rsidR="00693223" w:rsidRDefault="00693223">
      <w:pPr>
        <w:jc w:val="both"/>
        <w:rPr>
          <w:rFonts w:ascii="Arial" w:hAnsi="Arial" w:cs="Arial"/>
          <w:sz w:val="20"/>
        </w:rPr>
      </w:pPr>
    </w:p>
    <w:p w14:paraId="3532C197" w14:textId="77777777" w:rsidR="00693223" w:rsidRDefault="00693223" w:rsidP="00A8155A">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4</w:t>
      </w:r>
    </w:p>
    <w:p w14:paraId="77399E5C" w14:textId="77777777" w:rsidR="00693223" w:rsidRDefault="00693223" w:rsidP="00A8155A">
      <w:pPr>
        <w:keepNext/>
        <w:keepLines/>
        <w:jc w:val="both"/>
        <w:rPr>
          <w:rFonts w:ascii="Arial" w:hAnsi="Arial" w:cs="Arial"/>
          <w:b/>
          <w:bCs/>
          <w:sz w:val="32"/>
        </w:rPr>
      </w:pPr>
      <w:r>
        <w:rPr>
          <w:rFonts w:ascii="Arial" w:hAnsi="Arial" w:cs="Arial"/>
          <w:b/>
          <w:bCs/>
        </w:rPr>
        <w:t>Alternative Futures of Families, Communities and Courts</w:t>
      </w:r>
    </w:p>
    <w:p w14:paraId="787D2DD3" w14:textId="77777777" w:rsidR="00693223" w:rsidRDefault="00693223" w:rsidP="00A8155A">
      <w:pPr>
        <w:keepNext/>
        <w:keepLines/>
        <w:jc w:val="both"/>
        <w:rPr>
          <w:rFonts w:ascii="Arial" w:hAnsi="Arial" w:cs="Arial"/>
          <w:sz w:val="20"/>
        </w:rPr>
      </w:pPr>
      <w:r>
        <w:rPr>
          <w:rFonts w:ascii="Arial" w:hAnsi="Arial" w:cs="Arial"/>
          <w:sz w:val="20"/>
        </w:rPr>
        <w:t xml:space="preserve">Jim </w:t>
      </w:r>
      <w:proofErr w:type="spellStart"/>
      <w:r>
        <w:rPr>
          <w:rFonts w:ascii="Arial" w:hAnsi="Arial" w:cs="Arial"/>
          <w:sz w:val="20"/>
        </w:rPr>
        <w:t>Dator</w:t>
      </w:r>
      <w:proofErr w:type="spellEnd"/>
      <w:r>
        <w:rPr>
          <w:rFonts w:ascii="Arial" w:hAnsi="Arial" w:cs="Arial"/>
          <w:sz w:val="20"/>
        </w:rPr>
        <w:t xml:space="preserve"> (Department of Political Science and Hawaii Research </w:t>
      </w:r>
      <w:proofErr w:type="spellStart"/>
      <w:r>
        <w:rPr>
          <w:rFonts w:ascii="Arial" w:hAnsi="Arial" w:cs="Arial"/>
          <w:sz w:val="20"/>
        </w:rPr>
        <w:t>Center</w:t>
      </w:r>
      <w:proofErr w:type="spellEnd"/>
      <w:r>
        <w:rPr>
          <w:rFonts w:ascii="Arial" w:hAnsi="Arial" w:cs="Arial"/>
          <w:sz w:val="20"/>
        </w:rPr>
        <w:t xml:space="preserve"> for Futures Studies, University of Hawaii, Honolulu, HI, USA)</w:t>
      </w:r>
    </w:p>
    <w:p w14:paraId="7553E1F9"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This paper briefly discusses what futures studies is and is not, reminds the reader of the dire present and problematic future of children and families but suggests that, as dire as the present might be, the condition of children and families is much better now than it ever was in the past.  The paper concludes by suggesting how electronic, biological, and nano-technologies might over the span of the 21</w:t>
      </w:r>
      <w:r>
        <w:rPr>
          <w:rFonts w:ascii="Arial" w:hAnsi="Arial" w:cs="Arial"/>
          <w:sz w:val="20"/>
          <w:vertAlign w:val="superscript"/>
        </w:rPr>
        <w:t>st</w:t>
      </w:r>
      <w:r>
        <w:rPr>
          <w:rFonts w:ascii="Arial" w:hAnsi="Arial" w:cs="Arial"/>
          <w:sz w:val="20"/>
        </w:rPr>
        <w:t xml:space="preserve"> century transform humans and human society into something without historical precedence.</w:t>
      </w:r>
    </w:p>
    <w:p w14:paraId="2E110412" w14:textId="77777777" w:rsidR="00693223" w:rsidRDefault="00693223">
      <w:pPr>
        <w:jc w:val="both"/>
        <w:rPr>
          <w:rFonts w:ascii="Arial" w:hAnsi="Arial" w:cs="Arial"/>
          <w:sz w:val="20"/>
        </w:rPr>
      </w:pPr>
    </w:p>
    <w:p w14:paraId="5DD5EEB2" w14:textId="77777777" w:rsidR="00693223" w:rsidRDefault="00693223">
      <w:pPr>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5</w:t>
      </w:r>
    </w:p>
    <w:p w14:paraId="7332F96E" w14:textId="77777777" w:rsidR="00693223" w:rsidRDefault="00693223">
      <w:pPr>
        <w:jc w:val="both"/>
        <w:rPr>
          <w:rFonts w:ascii="Arial" w:hAnsi="Arial" w:cs="Arial"/>
          <w:b/>
          <w:bCs/>
          <w:sz w:val="32"/>
        </w:rPr>
      </w:pPr>
      <w:r>
        <w:rPr>
          <w:rFonts w:ascii="Arial" w:hAnsi="Arial" w:cs="Arial"/>
          <w:b/>
          <w:bCs/>
        </w:rPr>
        <w:t>Judicial Management of Complex Child Abuse Cases</w:t>
      </w:r>
    </w:p>
    <w:p w14:paraId="0597D7D7" w14:textId="77777777" w:rsidR="00693223" w:rsidRDefault="00693223">
      <w:pPr>
        <w:jc w:val="both"/>
        <w:rPr>
          <w:rFonts w:ascii="Arial" w:hAnsi="Arial" w:cs="Arial"/>
          <w:sz w:val="20"/>
        </w:rPr>
      </w:pPr>
      <w:r>
        <w:rPr>
          <w:rFonts w:ascii="Arial" w:hAnsi="Arial" w:cs="Arial"/>
          <w:sz w:val="20"/>
        </w:rPr>
        <w:t xml:space="preserve">Justice Linda Dessau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w:t>
      </w:r>
    </w:p>
    <w:p w14:paraId="2D4015B8"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Family law cases involving complex issues of child abuse are at the most difficult end of the spectrum of residence and contact cases.  The difficulties are compounded where, as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there is some fragmentation of services and jurisdiction between child protection on the one hand and family law disputes on the other.</w:t>
      </w:r>
    </w:p>
    <w:p w14:paraId="0E8DF9AE"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paper highlights some of the complexities and showcases the special case management approach recently adopted by the Family Court of Australia in the "Magellan Project".  At the heart of this project was a co-ordinated and co-operative approach between the Court and outside agencies including Legal Aid, Child Protection and Police; a judge-led team approach within the Court; and the investment of resources in the early stages of litigation.</w:t>
      </w:r>
    </w:p>
    <w:p w14:paraId="77B046C6" w14:textId="77777777" w:rsidR="00693223" w:rsidRDefault="00693223">
      <w:pPr>
        <w:jc w:val="both"/>
        <w:rPr>
          <w:rFonts w:ascii="Arial" w:hAnsi="Arial" w:cs="Arial"/>
          <w:sz w:val="20"/>
        </w:rPr>
      </w:pPr>
    </w:p>
    <w:p w14:paraId="40980D78" w14:textId="77777777" w:rsidR="00693223" w:rsidRDefault="00693223" w:rsidP="0028439F">
      <w:pPr>
        <w:keepNext/>
        <w:keepLines/>
        <w:jc w:val="both"/>
        <w:rPr>
          <w:rFonts w:ascii="Arial" w:hAnsi="Arial" w:cs="Arial"/>
          <w:b/>
          <w:bCs/>
          <w:sz w:val="28"/>
        </w:rPr>
      </w:pPr>
      <w:r>
        <w:rPr>
          <w:rFonts w:ascii="Arial" w:hAnsi="Arial" w:cs="Arial"/>
          <w:b/>
          <w:bCs/>
          <w:sz w:val="28"/>
        </w:rPr>
        <w:t>WCF</w:t>
      </w:r>
      <w:r w:rsidR="00E26E9E">
        <w:rPr>
          <w:rFonts w:ascii="Arial" w:hAnsi="Arial" w:cs="Arial"/>
          <w:b/>
          <w:bCs/>
          <w:sz w:val="28"/>
        </w:rPr>
        <w:t>16.</w:t>
      </w:r>
      <w:r>
        <w:rPr>
          <w:rFonts w:ascii="Arial" w:hAnsi="Arial" w:cs="Arial"/>
          <w:b/>
          <w:bCs/>
          <w:sz w:val="28"/>
        </w:rPr>
        <w:t>6</w:t>
      </w:r>
    </w:p>
    <w:p w14:paraId="24499208" w14:textId="77777777" w:rsidR="00693223" w:rsidRDefault="00693223" w:rsidP="0028439F">
      <w:pPr>
        <w:keepNext/>
        <w:keepLines/>
        <w:jc w:val="both"/>
        <w:rPr>
          <w:rFonts w:ascii="Arial" w:hAnsi="Arial" w:cs="Arial"/>
          <w:b/>
          <w:bCs/>
          <w:sz w:val="32"/>
        </w:rPr>
      </w:pPr>
      <w:r>
        <w:rPr>
          <w:rFonts w:ascii="Arial" w:hAnsi="Arial" w:cs="Arial"/>
          <w:b/>
          <w:bCs/>
        </w:rPr>
        <w:t>Juvenile Dependency Drug Treatment Court (focussing on parents with serious substance abuse problems who are willing to comply with strict treatment plans established by the Drug Court Team) [PAPER + 32 MINUTE FILM]</w:t>
      </w:r>
    </w:p>
    <w:p w14:paraId="357403CA" w14:textId="77777777" w:rsidR="00693223" w:rsidRDefault="00693223">
      <w:pPr>
        <w:jc w:val="both"/>
        <w:rPr>
          <w:rFonts w:ascii="Arial" w:hAnsi="Arial" w:cs="Arial"/>
          <w:sz w:val="20"/>
        </w:rPr>
      </w:pPr>
      <w:r>
        <w:rPr>
          <w:rFonts w:ascii="Arial" w:hAnsi="Arial" w:cs="Arial"/>
          <w:sz w:val="20"/>
        </w:rPr>
        <w:t xml:space="preserve">Judge Len Edwards (President, </w:t>
      </w:r>
      <w:smartTag w:uri="urn:schemas-microsoft-com:office:smarttags" w:element="City">
        <w:r>
          <w:rPr>
            <w:rFonts w:ascii="Arial" w:hAnsi="Arial" w:cs="Arial"/>
            <w:sz w:val="20"/>
          </w:rPr>
          <w:t>Santa Clara</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County Superior Court</w:t>
          </w:r>
        </w:smartTag>
        <w:r>
          <w:rPr>
            <w:rFonts w:ascii="Arial" w:hAnsi="Arial" w:cs="Arial"/>
            <w:sz w:val="20"/>
          </w:rPr>
          <w:t xml:space="preserve">, </w:t>
        </w:r>
        <w:smartTag w:uri="urn:schemas-microsoft-com:office:smarttags" w:element="State">
          <w:r>
            <w:rPr>
              <w:rFonts w:ascii="Arial" w:hAnsi="Arial" w:cs="Arial"/>
              <w:sz w:val="20"/>
            </w:rPr>
            <w:t>California</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3EC22FC7"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w:t>
      </w:r>
      <w:smartTag w:uri="urn:schemas-microsoft-com:office:smarttags" w:element="address">
        <w:smartTag w:uri="urn:schemas-microsoft-com:office:smarttags" w:element="Street">
          <w:r>
            <w:rPr>
              <w:rFonts w:ascii="Arial" w:hAnsi="Arial" w:cs="Arial"/>
              <w:sz w:val="20"/>
            </w:rPr>
            <w:t>Santa Clara County Juvenile Dependency Drug Treatment Court</w:t>
          </w:r>
        </w:smartTag>
      </w:smartTag>
      <w:r>
        <w:rPr>
          <w:rFonts w:ascii="Arial" w:hAnsi="Arial" w:cs="Arial"/>
          <w:sz w:val="20"/>
        </w:rPr>
        <w:t xml:space="preserve"> is one of only a handful of such courts in the </w:t>
      </w:r>
      <w:smartTag w:uri="urn:schemas-microsoft-com:office:smarttags" w:element="country-region">
        <w:smartTag w:uri="urn:schemas-microsoft-com:office:smarttags" w:element="place">
          <w:r>
            <w:rPr>
              <w:rFonts w:ascii="Arial" w:hAnsi="Arial" w:cs="Arial"/>
              <w:sz w:val="20"/>
            </w:rPr>
            <w:t>USA</w:t>
          </w:r>
        </w:smartTag>
      </w:smartTag>
      <w:r>
        <w:rPr>
          <w:rFonts w:ascii="Arial" w:hAnsi="Arial" w:cs="Arial"/>
          <w:sz w:val="20"/>
        </w:rPr>
        <w:t xml:space="preserve">.  Drug courts are very popular in the </w:t>
      </w:r>
      <w:smartTag w:uri="urn:schemas-microsoft-com:office:smarttags" w:element="country-region">
        <w:smartTag w:uri="urn:schemas-microsoft-com:office:smarttags" w:element="place">
          <w:r>
            <w:rPr>
              <w:rFonts w:ascii="Arial" w:hAnsi="Arial" w:cs="Arial"/>
              <w:sz w:val="20"/>
            </w:rPr>
            <w:t>United States</w:t>
          </w:r>
        </w:smartTag>
      </w:smartTag>
      <w:r>
        <w:rPr>
          <w:rFonts w:ascii="Arial" w:hAnsi="Arial" w:cs="Arial"/>
          <w:sz w:val="20"/>
        </w:rPr>
        <w:t xml:space="preserve"> </w:t>
      </w:r>
      <w:proofErr w:type="gramStart"/>
      <w:r>
        <w:rPr>
          <w:rFonts w:ascii="Arial" w:hAnsi="Arial" w:cs="Arial"/>
          <w:sz w:val="20"/>
        </w:rPr>
        <w:t>but  most</w:t>
      </w:r>
      <w:proofErr w:type="gramEnd"/>
      <w:r>
        <w:rPr>
          <w:rFonts w:ascii="Arial" w:hAnsi="Arial" w:cs="Arial"/>
          <w:sz w:val="20"/>
        </w:rPr>
        <w:t xml:space="preserve"> are located in the criminal or juvenile delinquency courts.  This </w:t>
      </w:r>
      <w:smartTag w:uri="urn:schemas-microsoft-com:office:smarttags" w:element="address">
        <w:smartTag w:uri="urn:schemas-microsoft-com:office:smarttags" w:element="Street">
          <w:r>
            <w:rPr>
              <w:rFonts w:ascii="Arial" w:hAnsi="Arial" w:cs="Arial"/>
              <w:sz w:val="20"/>
            </w:rPr>
            <w:t>Drug Treatment Court</w:t>
          </w:r>
        </w:smartTag>
      </w:smartTag>
      <w:r>
        <w:rPr>
          <w:rFonts w:ascii="Arial" w:hAnsi="Arial" w:cs="Arial"/>
          <w:sz w:val="20"/>
        </w:rPr>
        <w:t xml:space="preserve"> is established in a dependency jurisdiction and involves the parents of children who have been abused or neglected.  In most dependency courts in the </w:t>
      </w:r>
      <w:smartTag w:uri="urn:schemas-microsoft-com:office:smarttags" w:element="country-region">
        <w:smartTag w:uri="urn:schemas-microsoft-com:office:smarttags" w:element="place">
          <w:r>
            <w:rPr>
              <w:rFonts w:ascii="Arial" w:hAnsi="Arial" w:cs="Arial"/>
              <w:sz w:val="20"/>
            </w:rPr>
            <w:t>USA</w:t>
          </w:r>
        </w:smartTag>
      </w:smartTag>
      <w:r>
        <w:rPr>
          <w:rFonts w:ascii="Arial" w:hAnsi="Arial" w:cs="Arial"/>
          <w:sz w:val="20"/>
        </w:rPr>
        <w:t xml:space="preserve"> substance abuse is the presenting problem for parents who have abused or neglected their children.  This court brings together under the leadership of the court a team of professionals including the attorneys and social workers in dependency cases and substance abuse professionals.  To this team the </w:t>
      </w:r>
      <w:smartTag w:uri="urn:schemas-microsoft-com:office:smarttags" w:element="City">
        <w:smartTag w:uri="urn:schemas-microsoft-com:office:smarttags" w:element="place">
          <w:r>
            <w:rPr>
              <w:rFonts w:ascii="Arial" w:hAnsi="Arial" w:cs="Arial"/>
              <w:sz w:val="20"/>
            </w:rPr>
            <w:t>Santa Clara</w:t>
          </w:r>
        </w:smartTag>
      </w:smartTag>
      <w:r>
        <w:rPr>
          <w:rFonts w:ascii="Arial" w:hAnsi="Arial" w:cs="Arial"/>
          <w:sz w:val="20"/>
        </w:rPr>
        <w:t xml:space="preserve"> court has added domestic violence and mental health experts, a public health nurse, a housing expert, and a welfare to work representative.  Over the past 4 years the team has developed </w:t>
      </w:r>
      <w:r>
        <w:rPr>
          <w:rFonts w:ascii="Arial" w:hAnsi="Arial" w:cs="Arial"/>
          <w:sz w:val="20"/>
        </w:rPr>
        <w:lastRenderedPageBreak/>
        <w:t xml:space="preserve">protocols and policies which have refined the ways in which clients are assessed for substance abuse problems, the application process, regular case reviews before the Drug Treatment Court, rewards and punishments, and the relationship between progress in the Drug Treatment Court and the child welfare proceedings which are separate.  The </w:t>
      </w:r>
      <w:smartTag w:uri="urn:schemas-microsoft-com:office:smarttags" w:element="address">
        <w:smartTag w:uri="urn:schemas-microsoft-com:office:smarttags" w:element="Street">
          <w:r>
            <w:rPr>
              <w:rFonts w:ascii="Arial" w:hAnsi="Arial" w:cs="Arial"/>
              <w:sz w:val="20"/>
            </w:rPr>
            <w:t>Drug Treatment Court</w:t>
          </w:r>
        </w:smartTag>
      </w:smartTag>
      <w:r>
        <w:rPr>
          <w:rFonts w:ascii="Arial" w:hAnsi="Arial" w:cs="Arial"/>
          <w:sz w:val="20"/>
        </w:rPr>
        <w:t xml:space="preserve"> has been evaluated and the results are promising.</w:t>
      </w:r>
    </w:p>
    <w:p w14:paraId="3AAFC580" w14:textId="77777777" w:rsidR="00693223" w:rsidRDefault="00693223">
      <w:pPr>
        <w:jc w:val="both"/>
        <w:rPr>
          <w:rFonts w:ascii="Arial" w:hAnsi="Arial" w:cs="Arial"/>
          <w:sz w:val="20"/>
        </w:rPr>
      </w:pPr>
    </w:p>
    <w:p w14:paraId="0438A209" w14:textId="77777777" w:rsidR="00693223" w:rsidRDefault="00693223" w:rsidP="002C17CA">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7</w:t>
      </w:r>
    </w:p>
    <w:p w14:paraId="0BACE147" w14:textId="77777777" w:rsidR="00693223" w:rsidRDefault="00693223" w:rsidP="002C17CA">
      <w:pPr>
        <w:keepNext/>
        <w:keepLines/>
        <w:jc w:val="both"/>
        <w:rPr>
          <w:rFonts w:ascii="Arial" w:hAnsi="Arial" w:cs="Arial"/>
          <w:b/>
          <w:bCs/>
          <w:sz w:val="32"/>
        </w:rPr>
      </w:pPr>
      <w:r>
        <w:rPr>
          <w:rFonts w:ascii="Arial" w:hAnsi="Arial" w:cs="Arial"/>
          <w:b/>
          <w:bCs/>
        </w:rPr>
        <w:t xml:space="preserve">Children and Family Law - </w:t>
      </w:r>
      <w:smartTag w:uri="urn:schemas-microsoft-com:office:smarttags" w:element="place">
        <w:r>
          <w:rPr>
            <w:rFonts w:ascii="Arial" w:hAnsi="Arial" w:cs="Arial"/>
            <w:b/>
            <w:bCs/>
          </w:rPr>
          <w:t>Paramount</w:t>
        </w:r>
      </w:smartTag>
      <w:r>
        <w:rPr>
          <w:rFonts w:ascii="Arial" w:hAnsi="Arial" w:cs="Arial"/>
          <w:b/>
          <w:bCs/>
        </w:rPr>
        <w:t xml:space="preserve"> Interests and Human Rights</w:t>
      </w:r>
    </w:p>
    <w:p w14:paraId="024B2881" w14:textId="77777777" w:rsidR="00693223" w:rsidRDefault="00693223">
      <w:pPr>
        <w:jc w:val="both"/>
        <w:rPr>
          <w:rFonts w:ascii="Arial" w:hAnsi="Arial" w:cs="Arial"/>
          <w:sz w:val="20"/>
        </w:rPr>
      </w:pPr>
      <w:r>
        <w:rPr>
          <w:rFonts w:ascii="Arial" w:hAnsi="Arial" w:cs="Arial"/>
          <w:sz w:val="20"/>
        </w:rPr>
        <w:t xml:space="preserve">The Hon Justice Michael Kirby AC CMG (High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w:t>
      </w:r>
    </w:p>
    <w:p w14:paraId="185D89D3"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This broad-ranging paper lists some profound changes to the social context upon which family law is required to operate today in many countries, including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and asks a number of questions.  Why, when compared to the years and even centuries that went before, have we seen so many radical alterations?  The increase in the breakdown of lifelong relationships?  The increase in serial personal relationships?  The reduction in the number of births within such relationships?  The virtual disappearance of the stigma of illegitimacy and the unmarried state?  The expended demands for recognition of new human relationships, including those of de facto married opposite-sex couples and same sex couples?  The suggested expansion of the concept of 'marriage' itself to include civil unions other than those between a man and a woman for life?  The desire of single and infertile couples to secure children using the modern technology of human reproduction?  Even the demand of some couples to have access to progeny produced by techniques of reproductive cloning?</w:t>
      </w:r>
    </w:p>
    <w:p w14:paraId="577D1688"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aspect of profound change to the social context of family law upon which the paper primarily focuses is the issue of relocation of a mother having custody of a child.  Because of the growth of international travel, especially in countries like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with large immigrant populations, this would seem to be a problem likely to increase rather than to diminish.  It is a problem which faces virtually every legal system.</w:t>
      </w:r>
    </w:p>
    <w:p w14:paraId="74D636B2"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Under the heading "The National Relocation Paradigm" His Honour discusses the case of </w:t>
      </w:r>
      <w:r>
        <w:rPr>
          <w:rFonts w:ascii="Arial" w:hAnsi="Arial" w:cs="Arial"/>
          <w:i/>
          <w:iCs/>
          <w:sz w:val="20"/>
        </w:rPr>
        <w:t>AMS v AIF</w:t>
      </w:r>
      <w:r>
        <w:rPr>
          <w:rFonts w:ascii="Arial" w:hAnsi="Arial" w:cs="Arial"/>
          <w:sz w:val="20"/>
        </w:rPr>
        <w:t xml:space="preserve"> (1999) 199 CLR 160 in which the High Court dealt with a proposed relocation of the custodial parent from </w:t>
      </w:r>
      <w:smartTag w:uri="urn:schemas-microsoft-com:office:smarttags" w:element="City">
        <w:r>
          <w:rPr>
            <w:rFonts w:ascii="Arial" w:hAnsi="Arial" w:cs="Arial"/>
            <w:sz w:val="20"/>
          </w:rPr>
          <w:t>Perth</w:t>
        </w:r>
      </w:smartTag>
      <w:r>
        <w:rPr>
          <w:rFonts w:ascii="Arial" w:hAnsi="Arial" w:cs="Arial"/>
          <w:sz w:val="20"/>
        </w:rPr>
        <w:t xml:space="preserve"> to </w:t>
      </w:r>
      <w:smartTag w:uri="urn:schemas-microsoft-com:office:smarttags" w:element="City">
        <w:smartTag w:uri="urn:schemas-microsoft-com:office:smarttags" w:element="place">
          <w:r>
            <w:rPr>
              <w:rFonts w:ascii="Arial" w:hAnsi="Arial" w:cs="Arial"/>
              <w:sz w:val="20"/>
            </w:rPr>
            <w:t>Darwin</w:t>
          </w:r>
        </w:smartTag>
      </w:smartTag>
      <w:r>
        <w:rPr>
          <w:rFonts w:ascii="Arial" w:hAnsi="Arial" w:cs="Arial"/>
          <w:sz w:val="20"/>
        </w:rPr>
        <w:t xml:space="preserve">.  Although distances were great, the move was within the one country.  The High Court explored the issue of relocation and held that "a more relaxed attitude should be adopted to relocation within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than relocation overseas".</w:t>
      </w:r>
    </w:p>
    <w:p w14:paraId="58FD3BF4"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Under the heading "The International Relocation Challenge" His Honour discusses the case of </w:t>
      </w:r>
      <w:r>
        <w:rPr>
          <w:rFonts w:ascii="Arial" w:hAnsi="Arial" w:cs="Arial"/>
          <w:i/>
          <w:iCs/>
          <w:sz w:val="20"/>
        </w:rPr>
        <w:t>U v U</w:t>
      </w:r>
      <w:r>
        <w:rPr>
          <w:rFonts w:ascii="Arial" w:hAnsi="Arial" w:cs="Arial"/>
          <w:sz w:val="20"/>
        </w:rPr>
        <w:t xml:space="preserve"> (2002) 191 ALR 289 in which the High Court was faced with a proposed relocation of the custodial parent (mother) from </w:t>
      </w:r>
      <w:smartTag w:uri="urn:schemas-microsoft-com:office:smarttags" w:element="country-region">
        <w:r>
          <w:rPr>
            <w:rFonts w:ascii="Arial" w:hAnsi="Arial" w:cs="Arial"/>
            <w:sz w:val="20"/>
          </w:rPr>
          <w:t>Australia</w:t>
        </w:r>
      </w:smartTag>
      <w:r>
        <w:rPr>
          <w:rFonts w:ascii="Arial" w:hAnsi="Arial" w:cs="Arial"/>
          <w:sz w:val="20"/>
        </w:rPr>
        <w:t xml:space="preserve"> to </w:t>
      </w:r>
      <w:smartTag w:uri="urn:schemas-microsoft-com:office:smarttags" w:element="country-region">
        <w:smartTag w:uri="urn:schemas-microsoft-com:office:smarttags" w:element="place">
          <w:r>
            <w:rPr>
              <w:rFonts w:ascii="Arial" w:hAnsi="Arial" w:cs="Arial"/>
              <w:sz w:val="20"/>
            </w:rPr>
            <w:t>India</w:t>
          </w:r>
        </w:smartTag>
      </w:smartTag>
      <w:r>
        <w:rPr>
          <w:rFonts w:ascii="Arial" w:hAnsi="Arial" w:cs="Arial"/>
          <w:sz w:val="20"/>
        </w:rPr>
        <w:t xml:space="preserve">.  The trial judge had made a parenting order in favour of the mother but the order required her to live close to </w:t>
      </w:r>
      <w:smartTag w:uri="urn:schemas-microsoft-com:office:smarttags" w:element="City">
        <w:smartTag w:uri="urn:schemas-microsoft-com:office:smarttags" w:element="place">
          <w:r>
            <w:rPr>
              <w:rFonts w:ascii="Arial" w:hAnsi="Arial" w:cs="Arial"/>
              <w:sz w:val="20"/>
            </w:rPr>
            <w:t>Sydney</w:t>
          </w:r>
        </w:smartTag>
      </w:smartTag>
      <w:r>
        <w:rPr>
          <w:rFonts w:ascii="Arial" w:hAnsi="Arial" w:cs="Arial"/>
          <w:sz w:val="20"/>
        </w:rPr>
        <w:t xml:space="preserve">.  Her appeal to the </w:t>
      </w:r>
      <w:smartTag w:uri="urn:schemas-microsoft-com:office:smarttags" w:element="address">
        <w:smartTag w:uri="urn:schemas-microsoft-com:office:smarttags" w:element="Street">
          <w:r>
            <w:rPr>
              <w:rFonts w:ascii="Arial" w:hAnsi="Arial" w:cs="Arial"/>
              <w:sz w:val="20"/>
            </w:rPr>
            <w:t>Full Court</w:t>
          </w:r>
        </w:smartTag>
      </w:smartTag>
      <w:r>
        <w:rPr>
          <w:rFonts w:ascii="Arial" w:hAnsi="Arial" w:cs="Arial"/>
          <w:sz w:val="20"/>
        </w:rPr>
        <w:t xml:space="preserve"> having been dismissed, the mother appealed to the High Court.  By a majority of 5 to 2 the High Court dismissed the appeal.  The issues of relocation were fully debated, the mother relying on a series of English cases culminating in </w:t>
      </w:r>
      <w:r>
        <w:rPr>
          <w:rFonts w:ascii="Arial" w:hAnsi="Arial" w:cs="Arial"/>
          <w:i/>
          <w:iCs/>
          <w:sz w:val="20"/>
        </w:rPr>
        <w:t>Payne v Payne</w:t>
      </w:r>
      <w:r>
        <w:rPr>
          <w:rFonts w:ascii="Arial" w:hAnsi="Arial" w:cs="Arial"/>
          <w:sz w:val="20"/>
        </w:rPr>
        <w:t xml:space="preserve"> [2001] 2 WLR 1826.  His Honour explains the views expressed in the case of </w:t>
      </w:r>
      <w:r>
        <w:rPr>
          <w:rFonts w:ascii="Arial" w:hAnsi="Arial" w:cs="Arial"/>
          <w:i/>
          <w:iCs/>
          <w:sz w:val="20"/>
        </w:rPr>
        <w:t>U V U</w:t>
      </w:r>
      <w:r>
        <w:rPr>
          <w:rFonts w:ascii="Arial" w:hAnsi="Arial" w:cs="Arial"/>
          <w:sz w:val="20"/>
        </w:rPr>
        <w:t xml:space="preserve"> and identifies and discusses the difficult problems presented by cases of international relocation.</w:t>
      </w:r>
    </w:p>
    <w:p w14:paraId="05F1F20F" w14:textId="77777777" w:rsidR="00693223" w:rsidRDefault="00693223">
      <w:pPr>
        <w:autoSpaceDE w:val="0"/>
        <w:autoSpaceDN w:val="0"/>
        <w:adjustRightInd w:val="0"/>
        <w:spacing w:before="120"/>
        <w:jc w:val="both"/>
        <w:rPr>
          <w:rFonts w:ascii="Arial" w:hAnsi="Arial" w:cs="Arial"/>
          <w:sz w:val="20"/>
        </w:rPr>
      </w:pPr>
    </w:p>
    <w:p w14:paraId="2DDFEAF0" w14:textId="77777777" w:rsidR="00693223" w:rsidRDefault="00693223">
      <w:pPr>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8</w:t>
      </w:r>
    </w:p>
    <w:p w14:paraId="0244C997" w14:textId="77777777" w:rsidR="00693223" w:rsidRDefault="00693223">
      <w:pPr>
        <w:jc w:val="both"/>
        <w:rPr>
          <w:rFonts w:ascii="Arial" w:hAnsi="Arial" w:cs="Arial"/>
          <w:b/>
          <w:bCs/>
          <w:sz w:val="32"/>
        </w:rPr>
      </w:pPr>
      <w:r>
        <w:rPr>
          <w:rFonts w:ascii="Arial" w:hAnsi="Arial" w:cs="Arial"/>
          <w:b/>
          <w:bCs/>
        </w:rPr>
        <w:t>The Challenge of the International Institute of the Rights of the Child [PAPER IN ENGLISH &amp; FRENCH]</w:t>
      </w:r>
    </w:p>
    <w:p w14:paraId="23F65583" w14:textId="77777777" w:rsidR="00693223" w:rsidRDefault="00693223">
      <w:pPr>
        <w:jc w:val="both"/>
        <w:rPr>
          <w:rFonts w:ascii="Arial" w:hAnsi="Arial" w:cs="Arial"/>
          <w:sz w:val="20"/>
        </w:rPr>
      </w:pPr>
      <w:r>
        <w:rPr>
          <w:rFonts w:ascii="Arial" w:hAnsi="Arial" w:cs="Arial"/>
          <w:sz w:val="20"/>
        </w:rPr>
        <w:t xml:space="preserve">Judge Michel </w:t>
      </w:r>
      <w:proofErr w:type="spellStart"/>
      <w:r>
        <w:rPr>
          <w:rFonts w:ascii="Arial" w:hAnsi="Arial" w:cs="Arial"/>
          <w:sz w:val="20"/>
        </w:rPr>
        <w:t>Lachat</w:t>
      </w:r>
      <w:proofErr w:type="spellEnd"/>
      <w:r>
        <w:rPr>
          <w:rFonts w:ascii="Arial" w:hAnsi="Arial" w:cs="Arial"/>
          <w:sz w:val="20"/>
        </w:rPr>
        <w:t xml:space="preserve"> (President, </w:t>
      </w:r>
      <w:smartTag w:uri="urn:schemas-microsoft-com:office:smarttags" w:element="place">
        <w:smartTag w:uri="urn:schemas-microsoft-com:office:smarttags" w:element="City">
          <w:r>
            <w:rPr>
              <w:rFonts w:ascii="Arial" w:hAnsi="Arial" w:cs="Arial"/>
              <w:sz w:val="20"/>
            </w:rPr>
            <w:t>Juvenile</w:t>
          </w:r>
        </w:smartTag>
        <w:r>
          <w:rPr>
            <w:rFonts w:ascii="Arial" w:hAnsi="Arial" w:cs="Arial"/>
            <w:sz w:val="20"/>
          </w:rPr>
          <w:t xml:space="preserve"> Court, </w:t>
        </w:r>
        <w:smartTag w:uri="urn:schemas-microsoft-com:office:smarttags" w:element="country-region">
          <w:r>
            <w:rPr>
              <w:rFonts w:ascii="Arial" w:hAnsi="Arial" w:cs="Arial"/>
              <w:sz w:val="20"/>
            </w:rPr>
            <w:t>Switzerland</w:t>
          </w:r>
        </w:smartTag>
      </w:smartTag>
      <w:r>
        <w:rPr>
          <w:rFonts w:ascii="Arial" w:hAnsi="Arial" w:cs="Arial"/>
          <w:sz w:val="20"/>
        </w:rPr>
        <w:t xml:space="preserve"> &amp; Founding Member of the IDE [International Institute for the Rights of Children])</w:t>
      </w:r>
    </w:p>
    <w:p w14:paraId="3C3B4A26" w14:textId="77777777" w:rsidR="00693223" w:rsidRDefault="00693223">
      <w:pPr>
        <w:spacing w:before="120"/>
        <w:jc w:val="both"/>
        <w:rPr>
          <w:rFonts w:ascii="Arial" w:hAnsi="Arial" w:cs="Arial"/>
          <w:sz w:val="20"/>
        </w:rPr>
      </w:pPr>
      <w:r>
        <w:rPr>
          <w:rFonts w:ascii="Arial" w:hAnsi="Arial" w:cs="Arial"/>
          <w:sz w:val="20"/>
        </w:rPr>
        <w:t xml:space="preserve">It has been 75 years since the </w:t>
      </w:r>
      <w:smartTag w:uri="urn:schemas-microsoft-com:office:smarttags" w:element="place">
        <w:r>
          <w:rPr>
            <w:rFonts w:ascii="Arial" w:hAnsi="Arial" w:cs="Arial"/>
            <w:sz w:val="20"/>
          </w:rPr>
          <w:t>League of Nations</w:t>
        </w:r>
      </w:smartTag>
      <w:r>
        <w:rPr>
          <w:rFonts w:ascii="Arial" w:hAnsi="Arial" w:cs="Arial"/>
          <w:sz w:val="20"/>
        </w:rPr>
        <w:t xml:space="preserve"> adopted the first Declaration of the Rights of the Child in 1924.  We have come a long way since then, culminating in the Proclamation of the United Nations Convention on the Rights of the Child on </w:t>
      </w:r>
      <w:smartTag w:uri="urn:schemas-microsoft-com:office:smarttags" w:element="date">
        <w:smartTagPr>
          <w:attr w:name="Year" w:val="1989"/>
          <w:attr w:name="Day" w:val="20"/>
          <w:attr w:name="Month" w:val="11"/>
        </w:smartTagPr>
        <w:r>
          <w:rPr>
            <w:rFonts w:ascii="Arial" w:hAnsi="Arial" w:cs="Arial"/>
            <w:sz w:val="20"/>
          </w:rPr>
          <w:t>20/11/1989</w:t>
        </w:r>
      </w:smartTag>
      <w:r>
        <w:rPr>
          <w:rFonts w:ascii="Arial" w:hAnsi="Arial" w:cs="Arial"/>
          <w:sz w:val="20"/>
        </w:rPr>
        <w:t>.  The convention confers on the child a new, revolutionary status.  He or she is no longer viewed as an inchoate adult but rather as a fully-fledged person who has rights that he or she can assert independently.  Since then there has been a profusion of international treaties concerning children's issues, most notably:</w:t>
      </w:r>
    </w:p>
    <w:p w14:paraId="49987031"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The African Charter on the rights and protection of the child (ACRPC) (1990)</w:t>
      </w:r>
    </w:p>
    <w:p w14:paraId="7814E037"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The Guiding Principles of Riyadh on the prevention of juvenile delinquency (1990)</w:t>
      </w:r>
    </w:p>
    <w:p w14:paraId="53EA84B5"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The Havana Rules on minors deprived of liberty (1990)</w:t>
      </w:r>
    </w:p>
    <w:p w14:paraId="66F1EECA"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lastRenderedPageBreak/>
        <w:t xml:space="preserve">The Convention of </w:t>
      </w:r>
      <w:smartTag w:uri="urn:schemas-microsoft-com:office:smarttags" w:element="City">
        <w:smartTag w:uri="urn:schemas-microsoft-com:office:smarttags" w:element="place">
          <w:r>
            <w:rPr>
              <w:rFonts w:ascii="Arial" w:hAnsi="Arial" w:cs="Arial"/>
              <w:sz w:val="20"/>
            </w:rPr>
            <w:t>the Hague</w:t>
          </w:r>
        </w:smartTag>
      </w:smartTag>
      <w:r>
        <w:rPr>
          <w:rFonts w:ascii="Arial" w:hAnsi="Arial" w:cs="Arial"/>
          <w:sz w:val="20"/>
        </w:rPr>
        <w:t xml:space="preserve"> on international adoption (1993) which came into force on </w:t>
      </w:r>
      <w:smartTag w:uri="urn:schemas-microsoft-com:office:smarttags" w:element="date">
        <w:smartTagPr>
          <w:attr w:name="Year" w:val="1995"/>
          <w:attr w:name="Day" w:val="1"/>
          <w:attr w:name="Month" w:val="5"/>
        </w:smartTagPr>
        <w:r>
          <w:rPr>
            <w:rFonts w:ascii="Arial" w:hAnsi="Arial" w:cs="Arial"/>
            <w:sz w:val="20"/>
          </w:rPr>
          <w:t>01/05/1995</w:t>
        </w:r>
      </w:smartTag>
    </w:p>
    <w:p w14:paraId="6A62AFD2"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The Interamerican Convention on International Trafficking of Minors (1994)</w:t>
      </w:r>
    </w:p>
    <w:p w14:paraId="66FFEF77"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Convention No.182 on banning the worst forms of labour and taking immediate action to eliminate them (1999).</w:t>
      </w:r>
    </w:p>
    <w:p w14:paraId="0392A2D1" w14:textId="77777777" w:rsidR="00693223" w:rsidRDefault="00693223">
      <w:pPr>
        <w:spacing w:before="120"/>
        <w:jc w:val="both"/>
        <w:rPr>
          <w:rFonts w:ascii="Arial" w:hAnsi="Arial" w:cs="Arial"/>
          <w:sz w:val="20"/>
        </w:rPr>
      </w:pPr>
      <w:r>
        <w:rPr>
          <w:rFonts w:ascii="Arial" w:hAnsi="Arial" w:cs="Arial"/>
          <w:sz w:val="20"/>
        </w:rPr>
        <w:t>The great challenge with regard to the rights of the child is to ensure that the conventions and treaties are effectively and tangibly enforced in the field.  With this in mind, a small group of people who are knowledgeable in this field came up with the idea of establishing an "International Institute for the Rights of the Child" which would bridge the gap between theory and practical implementation of the most important treaties by:</w:t>
      </w:r>
    </w:p>
    <w:p w14:paraId="2B7CE5B2" w14:textId="77777777" w:rsidR="00693223" w:rsidRDefault="00693223" w:rsidP="002239D1">
      <w:pPr>
        <w:numPr>
          <w:ilvl w:val="1"/>
          <w:numId w:val="21"/>
        </w:numPr>
        <w:ind w:left="357" w:hanging="357"/>
        <w:jc w:val="both"/>
        <w:rPr>
          <w:rFonts w:ascii="Arial" w:hAnsi="Arial" w:cs="Arial"/>
          <w:sz w:val="20"/>
        </w:rPr>
      </w:pPr>
      <w:r>
        <w:rPr>
          <w:rFonts w:ascii="Arial" w:hAnsi="Arial" w:cs="Arial"/>
          <w:sz w:val="20"/>
        </w:rPr>
        <w:t>publicising the relevant international instruments;</w:t>
      </w:r>
    </w:p>
    <w:p w14:paraId="7184B939" w14:textId="77777777" w:rsidR="00693223" w:rsidRDefault="00693223" w:rsidP="002239D1">
      <w:pPr>
        <w:numPr>
          <w:ilvl w:val="1"/>
          <w:numId w:val="21"/>
        </w:numPr>
        <w:ind w:left="357" w:hanging="357"/>
        <w:jc w:val="both"/>
        <w:rPr>
          <w:rFonts w:ascii="Arial" w:hAnsi="Arial" w:cs="Arial"/>
          <w:sz w:val="20"/>
        </w:rPr>
      </w:pPr>
      <w:r>
        <w:rPr>
          <w:rFonts w:ascii="Arial" w:hAnsi="Arial" w:cs="Arial"/>
          <w:sz w:val="20"/>
        </w:rPr>
        <w:t>helping those who are called upon to enforce them to understand their practical significance;</w:t>
      </w:r>
    </w:p>
    <w:p w14:paraId="0BC2BE90" w14:textId="77777777" w:rsidR="00693223" w:rsidRDefault="00693223" w:rsidP="002239D1">
      <w:pPr>
        <w:numPr>
          <w:ilvl w:val="1"/>
          <w:numId w:val="21"/>
        </w:numPr>
        <w:ind w:left="357" w:hanging="357"/>
        <w:jc w:val="both"/>
        <w:rPr>
          <w:rFonts w:ascii="Arial" w:hAnsi="Arial" w:cs="Arial"/>
          <w:sz w:val="20"/>
        </w:rPr>
      </w:pPr>
      <w:r>
        <w:rPr>
          <w:rFonts w:ascii="Arial" w:hAnsi="Arial" w:cs="Arial"/>
          <w:sz w:val="20"/>
        </w:rPr>
        <w:t>raising awareness of the rights of the child among those who are responsible for the protection of minors;</w:t>
      </w:r>
    </w:p>
    <w:p w14:paraId="491561B8" w14:textId="77777777" w:rsidR="00693223" w:rsidRDefault="00693223" w:rsidP="002239D1">
      <w:pPr>
        <w:numPr>
          <w:ilvl w:val="1"/>
          <w:numId w:val="21"/>
        </w:numPr>
        <w:ind w:left="357" w:hanging="357"/>
        <w:jc w:val="both"/>
        <w:rPr>
          <w:rFonts w:ascii="Arial" w:hAnsi="Arial" w:cs="Arial"/>
          <w:sz w:val="20"/>
        </w:rPr>
      </w:pPr>
      <w:r>
        <w:rPr>
          <w:rFonts w:ascii="Arial" w:hAnsi="Arial" w:cs="Arial"/>
          <w:sz w:val="20"/>
        </w:rPr>
        <w:t>providing inspiration to national legislators in all areas pertaining to children;</w:t>
      </w:r>
    </w:p>
    <w:p w14:paraId="5452ADA7" w14:textId="77777777" w:rsidR="00693223" w:rsidRDefault="00693223" w:rsidP="002239D1">
      <w:pPr>
        <w:numPr>
          <w:ilvl w:val="1"/>
          <w:numId w:val="21"/>
        </w:numPr>
        <w:ind w:left="357" w:hanging="357"/>
        <w:jc w:val="both"/>
        <w:rPr>
          <w:rFonts w:ascii="Arial" w:hAnsi="Arial" w:cs="Arial"/>
          <w:sz w:val="20"/>
        </w:rPr>
      </w:pPr>
      <w:r>
        <w:rPr>
          <w:rFonts w:ascii="Arial" w:hAnsi="Arial" w:cs="Arial"/>
          <w:sz w:val="20"/>
        </w:rPr>
        <w:t>fostering a "rights of the child" culture and consciousness.</w:t>
      </w:r>
    </w:p>
    <w:p w14:paraId="02DCC965" w14:textId="77777777" w:rsidR="00693223" w:rsidRDefault="00693223">
      <w:pPr>
        <w:spacing w:before="120"/>
        <w:jc w:val="both"/>
        <w:rPr>
          <w:rFonts w:ascii="Arial" w:hAnsi="Arial" w:cs="Arial"/>
          <w:sz w:val="20"/>
        </w:rPr>
      </w:pPr>
      <w:r>
        <w:rPr>
          <w:rFonts w:ascii="Arial" w:hAnsi="Arial" w:cs="Arial"/>
          <w:sz w:val="20"/>
        </w:rPr>
        <w:t>This paper details some of the work of the Institute and its affiliated organizations.</w:t>
      </w:r>
    </w:p>
    <w:p w14:paraId="6B26E67B" w14:textId="77777777" w:rsidR="00693223" w:rsidRDefault="00693223">
      <w:pPr>
        <w:jc w:val="both"/>
        <w:rPr>
          <w:rFonts w:ascii="Arial" w:hAnsi="Arial" w:cs="Arial"/>
          <w:sz w:val="20"/>
        </w:rPr>
      </w:pPr>
    </w:p>
    <w:p w14:paraId="4E64DEC4" w14:textId="77777777" w:rsidR="00693223" w:rsidRDefault="00693223">
      <w:pPr>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9</w:t>
      </w:r>
    </w:p>
    <w:p w14:paraId="0EC2ED22" w14:textId="77777777" w:rsidR="00693223" w:rsidRDefault="00693223">
      <w:pPr>
        <w:jc w:val="both"/>
        <w:rPr>
          <w:rFonts w:ascii="Arial" w:hAnsi="Arial" w:cs="Arial"/>
          <w:b/>
          <w:bCs/>
          <w:sz w:val="32"/>
        </w:rPr>
      </w:pPr>
      <w:smartTag w:uri="urn:schemas-microsoft-com:office:smarttags" w:element="country-region">
        <w:smartTag w:uri="urn:schemas-microsoft-com:office:smarttags" w:element="place">
          <w:r>
            <w:rPr>
              <w:rFonts w:ascii="Arial" w:hAnsi="Arial" w:cs="Arial"/>
              <w:b/>
              <w:bCs/>
            </w:rPr>
            <w:t>New Zealand</w:t>
          </w:r>
        </w:smartTag>
      </w:smartTag>
      <w:r>
        <w:rPr>
          <w:rFonts w:ascii="Arial" w:hAnsi="Arial" w:cs="Arial"/>
          <w:b/>
          <w:bCs/>
        </w:rPr>
        <w:t xml:space="preserve"> Initiatives in Decision Making Around Child Protection Issues</w:t>
      </w:r>
    </w:p>
    <w:p w14:paraId="670FE25A" w14:textId="77777777" w:rsidR="00693223" w:rsidRDefault="00693223">
      <w:pPr>
        <w:jc w:val="both"/>
        <w:rPr>
          <w:rFonts w:ascii="Arial" w:hAnsi="Arial" w:cs="Arial"/>
          <w:sz w:val="20"/>
        </w:rPr>
      </w:pPr>
      <w:r>
        <w:rPr>
          <w:rFonts w:ascii="Arial" w:hAnsi="Arial" w:cs="Arial"/>
          <w:sz w:val="20"/>
        </w:rPr>
        <w:t>Judge Patrick D Mahoney (Principal Family Court Judge, District Court of New Zealand)</w:t>
      </w:r>
    </w:p>
    <w:p w14:paraId="676B8EF4" w14:textId="77777777" w:rsidR="00693223" w:rsidRDefault="00693223">
      <w:pPr>
        <w:spacing w:before="120"/>
        <w:jc w:val="both"/>
        <w:rPr>
          <w:rFonts w:ascii="Arial" w:hAnsi="Arial" w:cs="Arial"/>
          <w:sz w:val="20"/>
        </w:rPr>
      </w:pPr>
      <w:r>
        <w:rPr>
          <w:rFonts w:ascii="Arial" w:hAnsi="Arial" w:cs="Arial"/>
          <w:sz w:val="20"/>
        </w:rPr>
        <w:t xml:space="preserve">The Children, Young Persons and Their Families Act 1989 and the Domestic Violence Act 1995 are examples of contrasting pieces of </w:t>
      </w:r>
      <w:smartTag w:uri="urn:schemas-microsoft-com:office:smarttags" w:element="country-region">
        <w:smartTag w:uri="urn:schemas-microsoft-com:office:smarttags" w:element="place">
          <w:r>
            <w:rPr>
              <w:rFonts w:ascii="Arial" w:hAnsi="Arial" w:cs="Arial"/>
              <w:sz w:val="20"/>
            </w:rPr>
            <w:t>New Zealand</w:t>
          </w:r>
        </w:smartTag>
      </w:smartTag>
      <w:r>
        <w:rPr>
          <w:rFonts w:ascii="Arial" w:hAnsi="Arial" w:cs="Arial"/>
          <w:sz w:val="20"/>
        </w:rPr>
        <w:t xml:space="preserve"> legislation passed in response to different social pressures and needs within a six year period.  The Acts embody two quite different approaches and reflect different societal expectations of Courts and the legal system.</w:t>
      </w:r>
    </w:p>
    <w:p w14:paraId="245814F0" w14:textId="77777777" w:rsidR="00693223" w:rsidRDefault="00693223">
      <w:pPr>
        <w:spacing w:before="120"/>
        <w:jc w:val="both"/>
        <w:rPr>
          <w:rFonts w:ascii="Arial" w:hAnsi="Arial" w:cs="Arial"/>
          <w:sz w:val="20"/>
        </w:rPr>
      </w:pPr>
      <w:r>
        <w:rPr>
          <w:rFonts w:ascii="Arial" w:hAnsi="Arial" w:cs="Arial"/>
          <w:sz w:val="20"/>
        </w:rPr>
        <w:t>This paper discusses in some detail the operation of both of these acts and concludes with some interesting questions and observations.</w:t>
      </w:r>
    </w:p>
    <w:p w14:paraId="6227FD0C" w14:textId="77777777" w:rsidR="00693223" w:rsidRDefault="00693223">
      <w:pPr>
        <w:spacing w:before="120"/>
        <w:jc w:val="both"/>
        <w:rPr>
          <w:rFonts w:ascii="Arial" w:hAnsi="Arial" w:cs="Arial"/>
          <w:sz w:val="20"/>
        </w:rPr>
      </w:pPr>
      <w:r>
        <w:rPr>
          <w:rFonts w:ascii="Arial" w:hAnsi="Arial" w:cs="Arial"/>
          <w:sz w:val="20"/>
        </w:rPr>
        <w:t>On the one hand the Children, Young Persons and Their Families Act shows a confidence in the ability of the family to deal with care and protection issues, supported by the State, with the legal process being managed by the Family Court, i.e. minimal intervention.  Does this place reliance on the family too far ahead of care and protection of children?  Put another way, can care and protection issues be adequately addressed by this process?</w:t>
      </w:r>
    </w:p>
    <w:p w14:paraId="3323A89A" w14:textId="77777777" w:rsidR="00693223" w:rsidRDefault="00693223">
      <w:pPr>
        <w:spacing w:before="120"/>
        <w:jc w:val="both"/>
        <w:rPr>
          <w:rFonts w:ascii="Arial" w:hAnsi="Arial" w:cs="Arial"/>
          <w:sz w:val="20"/>
        </w:rPr>
      </w:pPr>
      <w:r>
        <w:rPr>
          <w:rFonts w:ascii="Arial" w:hAnsi="Arial" w:cs="Arial"/>
          <w:sz w:val="20"/>
        </w:rPr>
        <w:t>On the other hand, the Domestic Violence Act provides for legal intervention through Court orders, cutting across family connections and promoting children's safety ahead of family relationships.  In the past the law had tended to be more passive than this.  Which is the right approach?</w:t>
      </w:r>
    </w:p>
    <w:p w14:paraId="7A07DD5B" w14:textId="77777777" w:rsidR="00693223" w:rsidRDefault="00693223">
      <w:pPr>
        <w:spacing w:before="120"/>
        <w:jc w:val="both"/>
        <w:rPr>
          <w:rFonts w:ascii="Arial" w:hAnsi="Arial" w:cs="Arial"/>
          <w:sz w:val="20"/>
        </w:rPr>
      </w:pPr>
      <w:r>
        <w:rPr>
          <w:rFonts w:ascii="Arial" w:hAnsi="Arial" w:cs="Arial"/>
          <w:sz w:val="20"/>
        </w:rPr>
        <w:t>These two statutes highlight the changing environment in which Family and Youth Courts works to promote fair and realistic outcomes for parties and their children.  Against a background of change and conflicting expectations of Courts there is the paramountcy principle - the single overriding principle against which all other considerations must be measured.  In each case the Court must look at the individualised circumstances of the family before the Court.  This is the task and challenge facing our Courts.</w:t>
      </w:r>
    </w:p>
    <w:p w14:paraId="1AC3DBDB" w14:textId="77777777" w:rsidR="00693223" w:rsidRDefault="00693223">
      <w:pPr>
        <w:jc w:val="both"/>
        <w:rPr>
          <w:rFonts w:ascii="Arial" w:hAnsi="Arial" w:cs="Arial"/>
          <w:sz w:val="20"/>
        </w:rPr>
      </w:pPr>
    </w:p>
    <w:p w14:paraId="66D61455"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10</w:t>
      </w:r>
    </w:p>
    <w:p w14:paraId="3DD6EE6D" w14:textId="77777777" w:rsidR="00693223" w:rsidRDefault="00693223">
      <w:pPr>
        <w:keepNext/>
        <w:keepLines/>
        <w:jc w:val="both"/>
        <w:rPr>
          <w:rFonts w:ascii="Arial" w:hAnsi="Arial" w:cs="Arial"/>
          <w:b/>
          <w:bCs/>
          <w:sz w:val="32"/>
        </w:rPr>
      </w:pPr>
      <w:r>
        <w:rPr>
          <w:rFonts w:ascii="Arial" w:hAnsi="Arial" w:cs="Arial"/>
          <w:b/>
          <w:bCs/>
        </w:rPr>
        <w:t>The Scottish Children's Hearing Systems: An Integrated Approach</w:t>
      </w:r>
    </w:p>
    <w:p w14:paraId="79859480" w14:textId="77777777" w:rsidR="00693223" w:rsidRDefault="00693223">
      <w:pPr>
        <w:keepNext/>
        <w:keepLines/>
        <w:jc w:val="both"/>
        <w:rPr>
          <w:rFonts w:ascii="Arial" w:hAnsi="Arial" w:cs="Arial"/>
          <w:sz w:val="20"/>
        </w:rPr>
      </w:pPr>
      <w:r>
        <w:rPr>
          <w:rFonts w:ascii="Arial" w:hAnsi="Arial" w:cs="Arial"/>
          <w:sz w:val="20"/>
        </w:rPr>
        <w:t>Mr Alan D Miller (Principal Reporter, Scottish Children's Reporter Administration)</w:t>
      </w:r>
    </w:p>
    <w:p w14:paraId="149EE897"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Since 1971, </w:t>
      </w:r>
      <w:smartTag w:uri="urn:schemas-microsoft-com:office:smarttags" w:element="country-region">
        <w:smartTag w:uri="urn:schemas-microsoft-com:office:smarttags" w:element="place">
          <w:r>
            <w:rPr>
              <w:rFonts w:ascii="Arial" w:hAnsi="Arial" w:cs="Arial"/>
              <w:sz w:val="20"/>
            </w:rPr>
            <w:t>Scotland</w:t>
          </w:r>
        </w:smartTag>
      </w:smartTag>
      <w:r>
        <w:rPr>
          <w:rFonts w:ascii="Arial" w:hAnsi="Arial" w:cs="Arial"/>
          <w:sz w:val="20"/>
        </w:rPr>
        <w:t xml:space="preserve"> has pioneered a radical and integrated approach to care and justice for children.  The key elements of the Scottish Children's Hearing Systems are:</w:t>
      </w:r>
    </w:p>
    <w:p w14:paraId="2F4DA686"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The same system deals with children who offend, children who are at risk, abused or neglected (often they are the same children).</w:t>
      </w:r>
    </w:p>
    <w:p w14:paraId="50FA28F6"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The focus of the system is on addressing both welfare needs and behaviour, in the context of the family and the community.</w:t>
      </w:r>
    </w:p>
    <w:p w14:paraId="28024DBE"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Cases are screened by an independent public official, the Children's Reporter.</w:t>
      </w:r>
    </w:p>
    <w:p w14:paraId="7B6D4CD5"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lastRenderedPageBreak/>
        <w:t>Decisions about public intervention are made by a lay tribunal (the Children's Hearing) following round the table dialogue.</w:t>
      </w:r>
    </w:p>
    <w:p w14:paraId="2B298D47" w14:textId="77777777" w:rsidR="00693223" w:rsidRDefault="00693223">
      <w:pPr>
        <w:numPr>
          <w:ilvl w:val="0"/>
          <w:numId w:val="21"/>
        </w:numPr>
        <w:autoSpaceDE w:val="0"/>
        <w:autoSpaceDN w:val="0"/>
        <w:adjustRightInd w:val="0"/>
        <w:jc w:val="both"/>
        <w:rPr>
          <w:rFonts w:ascii="Arial" w:hAnsi="Arial" w:cs="Arial"/>
          <w:sz w:val="20"/>
        </w:rPr>
      </w:pPr>
      <w:r>
        <w:rPr>
          <w:rFonts w:ascii="Arial" w:hAnsi="Arial" w:cs="Arial"/>
          <w:sz w:val="20"/>
        </w:rPr>
        <w:t>The courts have specific roles restricted to adjudicating on disputed evidence and hearing appeals.</w:t>
      </w:r>
    </w:p>
    <w:p w14:paraId="741DA70B" w14:textId="77777777" w:rsidR="00693223" w:rsidRDefault="00693223">
      <w:pPr>
        <w:autoSpaceDE w:val="0"/>
        <w:autoSpaceDN w:val="0"/>
        <w:adjustRightInd w:val="0"/>
        <w:jc w:val="both"/>
        <w:rPr>
          <w:rFonts w:ascii="Arial" w:hAnsi="Arial" w:cs="Arial"/>
          <w:sz w:val="20"/>
        </w:rPr>
      </w:pPr>
      <w:r>
        <w:rPr>
          <w:rFonts w:ascii="Arial" w:hAnsi="Arial" w:cs="Arial"/>
          <w:sz w:val="20"/>
        </w:rPr>
        <w:t>Recent developments in the system have focussed on:</w:t>
      </w:r>
    </w:p>
    <w:p w14:paraId="309E516D" w14:textId="77777777" w:rsidR="00693223" w:rsidRDefault="00693223">
      <w:pPr>
        <w:numPr>
          <w:ilvl w:val="0"/>
          <w:numId w:val="22"/>
        </w:numPr>
        <w:autoSpaceDE w:val="0"/>
        <w:autoSpaceDN w:val="0"/>
        <w:adjustRightInd w:val="0"/>
        <w:jc w:val="both"/>
        <w:rPr>
          <w:rFonts w:ascii="Arial" w:hAnsi="Arial" w:cs="Arial"/>
          <w:sz w:val="20"/>
        </w:rPr>
      </w:pPr>
      <w:r>
        <w:rPr>
          <w:rFonts w:ascii="Arial" w:hAnsi="Arial" w:cs="Arial"/>
          <w:sz w:val="20"/>
        </w:rPr>
        <w:t>managing the impact of international human rights obligations so as to maintain the ethos of dialogue at the heart of the system; and</w:t>
      </w:r>
    </w:p>
    <w:p w14:paraId="44A682F6" w14:textId="77777777" w:rsidR="00693223" w:rsidRDefault="00693223">
      <w:pPr>
        <w:numPr>
          <w:ilvl w:val="0"/>
          <w:numId w:val="22"/>
        </w:numPr>
        <w:autoSpaceDE w:val="0"/>
        <w:autoSpaceDN w:val="0"/>
        <w:adjustRightInd w:val="0"/>
        <w:jc w:val="both"/>
        <w:rPr>
          <w:rFonts w:ascii="Arial" w:hAnsi="Arial" w:cs="Arial"/>
          <w:sz w:val="20"/>
        </w:rPr>
      </w:pPr>
      <w:r>
        <w:rPr>
          <w:rFonts w:ascii="Arial" w:hAnsi="Arial" w:cs="Arial"/>
          <w:sz w:val="20"/>
        </w:rPr>
        <w:t>improving the effectiveness of services, and of the system as a whole, at addressing youth offending.</w:t>
      </w:r>
    </w:p>
    <w:p w14:paraId="42FAF255" w14:textId="77777777" w:rsidR="00693223" w:rsidRDefault="00693223">
      <w:pPr>
        <w:autoSpaceDE w:val="0"/>
        <w:autoSpaceDN w:val="0"/>
        <w:adjustRightInd w:val="0"/>
        <w:jc w:val="both"/>
        <w:rPr>
          <w:rFonts w:ascii="Arial" w:hAnsi="Arial" w:cs="Arial"/>
          <w:sz w:val="20"/>
        </w:rPr>
      </w:pPr>
      <w:r>
        <w:rPr>
          <w:rFonts w:ascii="Arial" w:hAnsi="Arial" w:cs="Arial"/>
          <w:sz w:val="20"/>
        </w:rPr>
        <w:t>International research evidence increasingly demonstrates the necessity of a joined-up approach to the "needs and deeds" of children and young people who are at risk or already offending.  Active encouragement with the child and family is also critical to dealing effectively with youth crime and its causes.  As it focuses increasingly on achieving better long-term outcomes for troubled and troublesome children, the aspiration for Scotland's Children's Hearings System is that it should become demonstrably world-class as a 21</w:t>
      </w:r>
      <w:r>
        <w:rPr>
          <w:rFonts w:ascii="Arial" w:hAnsi="Arial" w:cs="Arial"/>
          <w:sz w:val="20"/>
          <w:vertAlign w:val="superscript"/>
        </w:rPr>
        <w:t>st</w:t>
      </w:r>
      <w:r>
        <w:rPr>
          <w:rFonts w:ascii="Arial" w:hAnsi="Arial" w:cs="Arial"/>
          <w:sz w:val="20"/>
        </w:rPr>
        <w:t xml:space="preserve"> century system of care and justice for children.</w:t>
      </w:r>
    </w:p>
    <w:p w14:paraId="302F6DFD" w14:textId="77777777" w:rsidR="00693223" w:rsidRDefault="00693223">
      <w:pPr>
        <w:jc w:val="both"/>
        <w:rPr>
          <w:rFonts w:ascii="Arial" w:hAnsi="Arial" w:cs="Arial"/>
          <w:sz w:val="20"/>
        </w:rPr>
      </w:pPr>
    </w:p>
    <w:p w14:paraId="269B44D9"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11</w:t>
      </w:r>
    </w:p>
    <w:p w14:paraId="2DAD0CAE" w14:textId="77777777" w:rsidR="00693223" w:rsidRDefault="00693223">
      <w:pPr>
        <w:keepNext/>
        <w:keepLines/>
        <w:jc w:val="both"/>
        <w:rPr>
          <w:rFonts w:ascii="Arial" w:hAnsi="Arial" w:cs="Arial"/>
          <w:b/>
          <w:bCs/>
          <w:sz w:val="32"/>
        </w:rPr>
      </w:pPr>
      <w:r>
        <w:rPr>
          <w:rFonts w:ascii="Arial" w:hAnsi="Arial" w:cs="Arial"/>
          <w:b/>
          <w:bCs/>
        </w:rPr>
        <w:t>Why Children's Participation in Decision-Making is Important</w:t>
      </w:r>
    </w:p>
    <w:p w14:paraId="62CC2C80" w14:textId="77777777" w:rsidR="00693223" w:rsidRDefault="00693223">
      <w:pPr>
        <w:keepNext/>
        <w:keepLines/>
        <w:jc w:val="both"/>
        <w:rPr>
          <w:rFonts w:ascii="Arial" w:hAnsi="Arial" w:cs="Arial"/>
          <w:sz w:val="20"/>
        </w:rPr>
      </w:pPr>
      <w:r>
        <w:rPr>
          <w:rFonts w:ascii="Arial" w:hAnsi="Arial" w:cs="Arial"/>
          <w:sz w:val="20"/>
        </w:rPr>
        <w:t xml:space="preserve">Ms Moira Rayner (Formerly Director, Office of the Children's Rights Commissioner for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 In October 2002 Acting Commissioner for Equal Opportunity)</w:t>
      </w:r>
    </w:p>
    <w:p w14:paraId="4DD41AAB"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This fascinating paper starts with a compelling illustration of its theme:</w:t>
      </w:r>
    </w:p>
    <w:p w14:paraId="5D0FE8BD"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 began legal practice 30 years ago.  One of my first cases required an appearance in a Children's Court.  I was instructed to prevent an order for care and protection being made with respect to a teenager whose response to her family breakdown had been to attempt suicide.  Nobody represented her.  She wasn’t even in the court, though she was 15 years old.  The Departmental social worker advised the court it was in the child's best interests.  I acted for the mother who said it wasn’t.  The order was made and the child was placed in an institution from which she then ran away repeatedly for which she was repeatedly punished.</w:t>
      </w:r>
    </w:p>
    <w:p w14:paraId="4660739A"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It was not until her case was well over that the fact and extent of my mother's condonation, connivance and collusion of her husband, the father's sexual exploitation of all of their six children became known.  Neither the magistrate nor the social workers no</w:t>
      </w:r>
      <w:r w:rsidR="00AA3B81">
        <w:rPr>
          <w:rFonts w:ascii="Arial" w:hAnsi="Arial" w:cs="Arial"/>
          <w:sz w:val="20"/>
        </w:rPr>
        <w:t>r</w:t>
      </w:r>
      <w:r>
        <w:rPr>
          <w:rFonts w:ascii="Arial" w:hAnsi="Arial" w:cs="Arial"/>
          <w:sz w:val="20"/>
        </w:rPr>
        <w:t xml:space="preserve"> the lawyers for the respective parents, all claiming to be advocating the 'best interests' of the suicidal girl actually spoke to her.  I found out the truth while preparing her mother's divorce petition (fault-based, in those days) and had to speak to the other children to establish the evidence (adultery).  My client, the mother, expressed astonishment.  The children insisted, 'We told you'.  She honestly believed they never had.</w:t>
      </w:r>
    </w:p>
    <w:p w14:paraId="7D3FA5B8"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It was a lesson that parents have various and fluctuating capacities to protect their children's rights, and sometimes-conflicting interests interfere with the children's.  My client wanted to keep her marriage and so did not 'see' the monstrous behaviour of her husband.  'Natural' guardianship is not enough protection for children's rights.</w:t>
      </w:r>
    </w:p>
    <w:p w14:paraId="0DC58EB0"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This did not prevent my slipping into another lawyers' error.  When I represented children directly in various courts I began to assume that I was an expert in assessing the 'best interests' of my clients, simply because I was so familiar with the courts and could predict what judges would probably do.  After another catastrophic incident involving child abuse I realized I was no expert on what is good for another person.  I was making things worse.  So I resolved to work out a policy approach to the role of lawyers who represent and advise children."</w:t>
      </w:r>
    </w:p>
    <w:p w14:paraId="6EFFBFBD"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author then discusses her work as founding Director of the Office of the Children's Rights Commissioner for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 a non-government 'children's rights commissioner' and the fundamental principle which underpins it: the protection of children's rights, including the right to "participate".  The author concludes:</w:t>
      </w:r>
    </w:p>
    <w:p w14:paraId="646BB2A3"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 xml:space="preserve">"Involving children in adult decision-making is necessary because they learn to use the little power they actually have.  Like talent, children's social and negotiation </w:t>
      </w:r>
      <w:r>
        <w:rPr>
          <w:rFonts w:ascii="Arial" w:hAnsi="Arial" w:cs="Arial"/>
          <w:sz w:val="20"/>
        </w:rPr>
        <w:lastRenderedPageBreak/>
        <w:t>skills grow through use, and their judgment through trial, error, success and compromise.  They become involved with their families, adults and society's rules.  They learn that participation is a normal and useful social function.  They learn that they can influence their own lives and create positive social change and they are far more likely to respect the rights of others.</w:t>
      </w:r>
    </w:p>
    <w:p w14:paraId="12B11685"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 xml:space="preserve">The most important reason for children's participation is, as ever, an adult benefit.  In respecting children's rights, </w:t>
      </w:r>
      <w:r>
        <w:rPr>
          <w:rFonts w:ascii="Arial" w:hAnsi="Arial" w:cs="Arial"/>
          <w:i/>
          <w:iCs/>
          <w:sz w:val="20"/>
        </w:rPr>
        <w:t>we</w:t>
      </w:r>
      <w:r>
        <w:rPr>
          <w:rFonts w:ascii="Arial" w:hAnsi="Arial" w:cs="Arial"/>
          <w:sz w:val="20"/>
        </w:rPr>
        <w:t xml:space="preserve"> remind </w:t>
      </w:r>
      <w:r>
        <w:rPr>
          <w:rFonts w:ascii="Arial" w:hAnsi="Arial" w:cs="Arial"/>
          <w:i/>
          <w:iCs/>
          <w:sz w:val="20"/>
        </w:rPr>
        <w:t>ourselves</w:t>
      </w:r>
      <w:r>
        <w:rPr>
          <w:rFonts w:ascii="Arial" w:hAnsi="Arial" w:cs="Arial"/>
          <w:sz w:val="20"/>
        </w:rPr>
        <w:t xml:space="preserve"> that children are important and that what matters for children is their lives, here and now.  A rights-owner has to be taken seriously; participation implies respect and equality.</w:t>
      </w:r>
    </w:p>
    <w:p w14:paraId="2EB9B719"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 xml:space="preserve">In the words of </w:t>
      </w:r>
      <w:proofErr w:type="spellStart"/>
      <w:r>
        <w:rPr>
          <w:rFonts w:ascii="Arial" w:hAnsi="Arial" w:cs="Arial"/>
          <w:sz w:val="20"/>
        </w:rPr>
        <w:t>Korczak</w:t>
      </w:r>
      <w:proofErr w:type="spellEnd"/>
      <w:r>
        <w:rPr>
          <w:rFonts w:ascii="Arial" w:hAnsi="Arial" w:cs="Arial"/>
          <w:sz w:val="20"/>
        </w:rPr>
        <w:t xml:space="preserve"> [who refused to leave his children in a </w:t>
      </w:r>
      <w:smartTag w:uri="urn:schemas-microsoft-com:office:smarttags" w:element="City">
        <w:smartTag w:uri="urn:schemas-microsoft-com:office:smarttags" w:element="place">
          <w:r>
            <w:rPr>
              <w:rFonts w:ascii="Arial" w:hAnsi="Arial" w:cs="Arial"/>
              <w:sz w:val="20"/>
            </w:rPr>
            <w:t>Warsaw</w:t>
          </w:r>
        </w:smartTag>
      </w:smartTag>
      <w:r>
        <w:rPr>
          <w:rFonts w:ascii="Arial" w:hAnsi="Arial" w:cs="Arial"/>
          <w:sz w:val="20"/>
        </w:rPr>
        <w:t xml:space="preserve"> orphanage and went with them to Treblinka]:</w:t>
      </w:r>
    </w:p>
    <w:p w14:paraId="25B1F833" w14:textId="77777777" w:rsidR="00693223" w:rsidRDefault="00693223">
      <w:pPr>
        <w:ind w:left="1134" w:right="1134"/>
        <w:jc w:val="both"/>
        <w:rPr>
          <w:rFonts w:ascii="Arial" w:hAnsi="Arial" w:cs="Arial"/>
          <w:sz w:val="20"/>
        </w:rPr>
      </w:pPr>
      <w:r>
        <w:rPr>
          <w:rFonts w:ascii="Arial" w:hAnsi="Arial" w:cs="Arial"/>
          <w:i/>
          <w:iCs/>
          <w:sz w:val="20"/>
        </w:rPr>
        <w:t xml:space="preserve">'Children are not the people of tomorrow, but people today.  They are entitled to be taken seriously.  They have a right to be treated by adults with courtesy and respect, as equals.' </w:t>
      </w:r>
      <w:r>
        <w:rPr>
          <w:rFonts w:ascii="Arial" w:hAnsi="Arial" w:cs="Arial"/>
          <w:sz w:val="20"/>
        </w:rPr>
        <w:t>"</w:t>
      </w:r>
    </w:p>
    <w:p w14:paraId="378B8642" w14:textId="77777777" w:rsidR="00693223" w:rsidRDefault="00693223">
      <w:pPr>
        <w:jc w:val="both"/>
        <w:rPr>
          <w:rFonts w:ascii="Arial" w:hAnsi="Arial" w:cs="Arial"/>
          <w:sz w:val="20"/>
        </w:rPr>
      </w:pPr>
    </w:p>
    <w:p w14:paraId="7EAA619F"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12</w:t>
      </w:r>
    </w:p>
    <w:p w14:paraId="6970142F" w14:textId="77777777" w:rsidR="00693223" w:rsidRDefault="00693223">
      <w:pPr>
        <w:keepNext/>
        <w:keepLines/>
        <w:jc w:val="both"/>
        <w:rPr>
          <w:rFonts w:ascii="Arial" w:hAnsi="Arial" w:cs="Arial"/>
          <w:b/>
          <w:bCs/>
          <w:sz w:val="32"/>
        </w:rPr>
      </w:pPr>
      <w:r>
        <w:rPr>
          <w:rFonts w:ascii="Arial" w:hAnsi="Arial" w:cs="Arial"/>
          <w:b/>
          <w:bCs/>
        </w:rPr>
        <w:t>Juvenile Domestic and Family Violence: An Evaluation of a Specialized Juvenile Court Program</w:t>
      </w:r>
    </w:p>
    <w:p w14:paraId="0BC33FFF" w14:textId="77777777" w:rsidR="00693223" w:rsidRDefault="00693223">
      <w:pPr>
        <w:jc w:val="both"/>
        <w:rPr>
          <w:rFonts w:ascii="Arial" w:hAnsi="Arial" w:cs="Arial"/>
          <w:sz w:val="20"/>
        </w:rPr>
      </w:pPr>
      <w:r>
        <w:rPr>
          <w:rFonts w:ascii="Arial" w:hAnsi="Arial" w:cs="Arial"/>
          <w:sz w:val="20"/>
        </w:rPr>
        <w:t xml:space="preserve">Dr Inger </w:t>
      </w:r>
      <w:proofErr w:type="spellStart"/>
      <w:r>
        <w:rPr>
          <w:rFonts w:ascii="Arial" w:hAnsi="Arial" w:cs="Arial"/>
          <w:sz w:val="20"/>
        </w:rPr>
        <w:t>Sagatun</w:t>
      </w:r>
      <w:proofErr w:type="spellEnd"/>
      <w:r>
        <w:rPr>
          <w:rFonts w:ascii="Arial" w:hAnsi="Arial" w:cs="Arial"/>
          <w:sz w:val="20"/>
        </w:rPr>
        <w:t>-Edwards (Chair, Administration of Justice Department, San Jose State University, San Jose, California USA) &amp; Hon Eugene M. Hyman (Juvenile Domestic and Family Violence Court, Superior Court, Santa Clara County, San Jose, California, USA)</w:t>
      </w:r>
    </w:p>
    <w:p w14:paraId="5C7AC2D9"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Juvenile domestic and family violence has become a growing problem while courts have largely ignored the issue.  This paper briefly summarizes relevant research and legislation, and then describes and evaluates an innovative juvenile court-based intervention program.  In 1999 the </w:t>
      </w:r>
      <w:smartTag w:uri="urn:schemas-microsoft-com:office:smarttags" w:element="PlaceName">
        <w:r>
          <w:rPr>
            <w:rFonts w:ascii="Arial" w:hAnsi="Arial" w:cs="Arial"/>
            <w:sz w:val="20"/>
          </w:rPr>
          <w:t>Superior</w:t>
        </w:r>
      </w:smartTag>
      <w:r>
        <w:rPr>
          <w:rFonts w:ascii="Arial" w:hAnsi="Arial" w:cs="Arial"/>
          <w:sz w:val="20"/>
        </w:rPr>
        <w:t xml:space="preserve"> </w:t>
      </w:r>
      <w:smartTag w:uri="urn:schemas-microsoft-com:office:smarttags" w:element="PlaceType">
        <w:r>
          <w:rPr>
            <w:rFonts w:ascii="Arial" w:hAnsi="Arial" w:cs="Arial"/>
            <w:sz w:val="20"/>
          </w:rPr>
          <w:t>Court</w:t>
        </w:r>
      </w:smartTag>
      <w:r>
        <w:rPr>
          <w:rFonts w:ascii="Arial" w:hAnsi="Arial" w:cs="Arial"/>
          <w:sz w:val="20"/>
        </w:rPr>
        <w:t xml:space="preserve"> </w:t>
      </w:r>
      <w:smartTag w:uri="urn:schemas-microsoft-com:office:smarttags" w:element="PlaceName">
        <w:r>
          <w:rPr>
            <w:rFonts w:ascii="Arial" w:hAnsi="Arial" w:cs="Arial"/>
            <w:sz w:val="20"/>
          </w:rPr>
          <w:t>of</w:t>
        </w:r>
      </w:smartTag>
      <w:r>
        <w:rPr>
          <w:rFonts w:ascii="Arial" w:hAnsi="Arial" w:cs="Arial"/>
          <w:sz w:val="20"/>
        </w:rPr>
        <w:t xml:space="preserve"> </w:t>
      </w:r>
      <w:smartTag w:uri="urn:schemas-microsoft-com:office:smarttags" w:element="PlaceName">
        <w:r>
          <w:rPr>
            <w:rFonts w:ascii="Arial" w:hAnsi="Arial" w:cs="Arial"/>
            <w:sz w:val="20"/>
          </w:rPr>
          <w:t>Santa Clara</w:t>
        </w:r>
      </w:smartTag>
      <w:r>
        <w:rPr>
          <w:rFonts w:ascii="Arial" w:hAnsi="Arial" w:cs="Arial"/>
          <w:sz w:val="20"/>
        </w:rPr>
        <w:t xml:space="preserve"> </w:t>
      </w:r>
      <w:smartTag w:uri="urn:schemas-microsoft-com:office:smarttags" w:element="PlaceType">
        <w:r>
          <w:rPr>
            <w:rFonts w:ascii="Arial" w:hAnsi="Arial" w:cs="Arial"/>
            <w:sz w:val="20"/>
          </w:rPr>
          <w:t>County</w:t>
        </w:r>
      </w:smartTag>
      <w:r>
        <w:rPr>
          <w:rFonts w:ascii="Arial" w:hAnsi="Arial" w:cs="Arial"/>
          <w:sz w:val="20"/>
        </w:rPr>
        <w:t xml:space="preserve"> in </w:t>
      </w:r>
      <w:smartTag w:uri="urn:schemas-microsoft-com:office:smarttags" w:element="State">
        <w:r>
          <w:rPr>
            <w:rFonts w:ascii="Arial" w:hAnsi="Arial" w:cs="Arial"/>
            <w:sz w:val="20"/>
          </w:rPr>
          <w:t>California</w:t>
        </w:r>
      </w:smartTag>
      <w:r>
        <w:rPr>
          <w:rFonts w:ascii="Arial" w:hAnsi="Arial" w:cs="Arial"/>
          <w:sz w:val="20"/>
        </w:rPr>
        <w:t xml:space="preserve"> established the first Juvenile Domestic and Family Violence Court Program in the </w:t>
      </w:r>
      <w:smartTag w:uri="urn:schemas-microsoft-com:office:smarttags" w:element="country-region">
        <w:smartTag w:uri="urn:schemas-microsoft-com:office:smarttags" w:element="place">
          <w:r>
            <w:rPr>
              <w:rFonts w:ascii="Arial" w:hAnsi="Arial" w:cs="Arial"/>
              <w:sz w:val="20"/>
            </w:rPr>
            <w:t>U.S.</w:t>
          </w:r>
        </w:smartTag>
      </w:smartTag>
      <w:r>
        <w:rPr>
          <w:rFonts w:ascii="Arial" w:hAnsi="Arial" w:cs="Arial"/>
          <w:sz w:val="20"/>
        </w:rPr>
        <w:t>, with a dedicated court calendar and probation unit, enhanced services for offenders and victims, and interagency collaboration.  Here domestic violence refers to violence against a boyfriend/girlfriend, while family violence refers to violence against siblings and parents.</w:t>
      </w:r>
    </w:p>
    <w:p w14:paraId="6C91D4EC"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juvenile and adult court records of the youth in the program and a comparison group were tracked over two years.  We also recorded the minors' demographic background and history of child abuse and family violence.  The data show more female domestic violence offenders than typically found for adult offenders.  Among the family violence offenders, there were significantly more females, often with a history of mental violence.  Most minors had a history of prior delinquency, and almost half came from homes with a history of child abuse and family violence.  Within the intervention group, the offenders who completed the court-based program had significantly lower recidivism rates than those who did not.  They also had fewer new DV/FV offences than the comparison group, but more new probation violations, due to the increased supervision in the court program.  These data show the importance of a proactive juvenile court response to juvenile domestic and family violence.</w:t>
      </w:r>
    </w:p>
    <w:p w14:paraId="31A256A0" w14:textId="77777777" w:rsidR="00693223" w:rsidRDefault="00693223">
      <w:pPr>
        <w:jc w:val="both"/>
        <w:rPr>
          <w:rFonts w:ascii="Arial" w:hAnsi="Arial" w:cs="Arial"/>
          <w:sz w:val="20"/>
        </w:rPr>
      </w:pPr>
    </w:p>
    <w:p w14:paraId="3BE1F963"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13</w:t>
      </w:r>
    </w:p>
    <w:p w14:paraId="67292CD2" w14:textId="77777777" w:rsidR="00693223" w:rsidRDefault="00693223">
      <w:pPr>
        <w:keepNext/>
        <w:keepLines/>
        <w:jc w:val="both"/>
        <w:rPr>
          <w:rFonts w:ascii="Arial" w:hAnsi="Arial" w:cs="Arial"/>
          <w:b/>
          <w:bCs/>
          <w:sz w:val="32"/>
        </w:rPr>
      </w:pPr>
      <w:r>
        <w:rPr>
          <w:rFonts w:ascii="Arial" w:hAnsi="Arial" w:cs="Arial"/>
          <w:b/>
          <w:bCs/>
        </w:rPr>
        <w:t>Child Abuse: Judicial Discretion in the Scottish Civil Courts</w:t>
      </w:r>
    </w:p>
    <w:p w14:paraId="31A956AC" w14:textId="77777777" w:rsidR="00693223" w:rsidRDefault="00693223">
      <w:pPr>
        <w:jc w:val="both"/>
        <w:rPr>
          <w:rFonts w:ascii="Arial" w:hAnsi="Arial" w:cs="Arial"/>
          <w:sz w:val="20"/>
        </w:rPr>
      </w:pPr>
      <w:r>
        <w:rPr>
          <w:rFonts w:ascii="Arial" w:hAnsi="Arial" w:cs="Arial"/>
          <w:sz w:val="20"/>
        </w:rPr>
        <w:t xml:space="preserve">Sherriff A V Sheehan (Scottish Law Commission,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w:t>
      </w:r>
    </w:p>
    <w:p w14:paraId="486ECAEB"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management of child abuse cases in </w:t>
      </w:r>
      <w:smartTag w:uri="urn:schemas-microsoft-com:office:smarttags" w:element="country-region">
        <w:smartTag w:uri="urn:schemas-microsoft-com:office:smarttags" w:element="place">
          <w:r>
            <w:rPr>
              <w:rFonts w:ascii="Arial" w:hAnsi="Arial" w:cs="Arial"/>
              <w:sz w:val="20"/>
            </w:rPr>
            <w:t>Scotland</w:t>
          </w:r>
        </w:smartTag>
      </w:smartTag>
      <w:r>
        <w:rPr>
          <w:rFonts w:ascii="Arial" w:hAnsi="Arial" w:cs="Arial"/>
          <w:sz w:val="20"/>
        </w:rPr>
        <w:t xml:space="preserve"> is to some extent determined by the authority or agency to which the allegation of abuse is made.  When the allegation arises in the course of a family or matrimonial dispute in the civil court, the sheriff or judge is given very wide discretionary powers as to how matters are to proceed.  This flexibility of approach is a key feature of Scottish procedure which is based on the principle that the welfare of a child is paramount.  It also ensures that the allegation can be investigated promptly and without undue delay.</w:t>
      </w:r>
    </w:p>
    <w:p w14:paraId="5D6B6951"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In the first instance, the sheriff or judge has numerous options as to how the allegation is to be investigated, how the facts are to be established and how much weight is to be placed upon it.  He may order a special hearing for evidence to be led; he may order an independent reporter to investigate the allegation; he may refer the matter to the Reporter to the Children's Hearing, a non-judicial authority specialising in child welfare; he may report the allegation to the Social Work Department; or he may order that it be brought to the attention of the public prosecutor.  </w:t>
      </w:r>
      <w:r>
        <w:rPr>
          <w:rFonts w:ascii="Arial" w:hAnsi="Arial" w:cs="Arial"/>
          <w:sz w:val="20"/>
        </w:rPr>
        <w:lastRenderedPageBreak/>
        <w:t xml:space="preserve">Thereafter, if the allegation is substantiated, the court has considerable discretion as to the most appropriate course of action to be taken and in reaching its decision, the views of the child must, if possible, be considered.  In addition, the child may also become a party to the action by means of </w:t>
      </w:r>
      <w:proofErr w:type="gramStart"/>
      <w:r>
        <w:rPr>
          <w:rFonts w:ascii="Arial" w:hAnsi="Arial" w:cs="Arial"/>
          <w:sz w:val="20"/>
        </w:rPr>
        <w:t xml:space="preserve">a </w:t>
      </w:r>
      <w:r>
        <w:rPr>
          <w:rFonts w:ascii="Arial" w:hAnsi="Arial" w:cs="Arial"/>
          <w:i/>
          <w:iCs/>
          <w:sz w:val="20"/>
        </w:rPr>
        <w:t>Curator ad litem</w:t>
      </w:r>
      <w:proofErr w:type="gramEnd"/>
      <w:r>
        <w:rPr>
          <w:rFonts w:ascii="Arial" w:hAnsi="Arial" w:cs="Arial"/>
          <w:sz w:val="20"/>
        </w:rPr>
        <w:t>.</w:t>
      </w:r>
    </w:p>
    <w:p w14:paraId="7CB4415B" w14:textId="77777777" w:rsidR="00693223" w:rsidRDefault="00693223">
      <w:pPr>
        <w:jc w:val="both"/>
        <w:rPr>
          <w:rFonts w:ascii="Arial" w:hAnsi="Arial" w:cs="Arial"/>
          <w:sz w:val="20"/>
        </w:rPr>
      </w:pPr>
    </w:p>
    <w:p w14:paraId="2A3C46B5"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14</w:t>
      </w:r>
    </w:p>
    <w:p w14:paraId="657150F6" w14:textId="77777777" w:rsidR="00693223" w:rsidRDefault="00693223">
      <w:pPr>
        <w:keepNext/>
        <w:keepLines/>
        <w:jc w:val="both"/>
        <w:rPr>
          <w:rFonts w:ascii="Arial" w:hAnsi="Arial" w:cs="Arial"/>
          <w:b/>
          <w:bCs/>
          <w:sz w:val="32"/>
        </w:rPr>
      </w:pPr>
      <w:r>
        <w:rPr>
          <w:rFonts w:ascii="Arial" w:hAnsi="Arial" w:cs="Arial"/>
          <w:b/>
          <w:bCs/>
        </w:rPr>
        <w:t>How Can We Interpret What Children Say?</w:t>
      </w:r>
    </w:p>
    <w:p w14:paraId="473BEAF2" w14:textId="77777777" w:rsidR="00693223" w:rsidRDefault="00693223">
      <w:pPr>
        <w:jc w:val="both"/>
        <w:rPr>
          <w:rFonts w:ascii="Arial" w:hAnsi="Arial" w:cs="Arial"/>
          <w:sz w:val="20"/>
        </w:rPr>
      </w:pPr>
      <w:r>
        <w:rPr>
          <w:rFonts w:ascii="Arial" w:hAnsi="Arial" w:cs="Arial"/>
          <w:sz w:val="20"/>
        </w:rPr>
        <w:t xml:space="preserve">Ms Rosa Silvestro (Family Court Counsellor -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xml:space="preserve"> Registry)</w:t>
      </w:r>
    </w:p>
    <w:p w14:paraId="60B1303C" w14:textId="77777777" w:rsidR="00693223" w:rsidRDefault="00693223">
      <w:pPr>
        <w:spacing w:before="120"/>
        <w:jc w:val="both"/>
        <w:rPr>
          <w:rFonts w:ascii="Arial" w:hAnsi="Arial" w:cs="Arial"/>
          <w:sz w:val="20"/>
        </w:rPr>
      </w:pPr>
      <w:r>
        <w:rPr>
          <w:rFonts w:ascii="Arial" w:hAnsi="Arial" w:cs="Arial"/>
          <w:sz w:val="20"/>
        </w:rPr>
        <w:t xml:space="preserve">Interviewing children can be a challenge even for the skilled professional.  This stimulating paper presents an overview of the most important factors about which a </w:t>
      </w:r>
      <w:proofErr w:type="gramStart"/>
      <w:r>
        <w:rPr>
          <w:rFonts w:ascii="Arial" w:hAnsi="Arial" w:cs="Arial"/>
          <w:sz w:val="20"/>
        </w:rPr>
        <w:t>professional needs</w:t>
      </w:r>
      <w:proofErr w:type="gramEnd"/>
      <w:r>
        <w:rPr>
          <w:rFonts w:ascii="Arial" w:hAnsi="Arial" w:cs="Arial"/>
          <w:sz w:val="20"/>
        </w:rPr>
        <w:t xml:space="preserve"> to be mindful when interviewing or speaking with children and focuses on broadening our understanding of what children say so that they are heard as accurately and as well as possible so that subsequently we can respond appropriately to their needs.  In interviewing children and making assessments, we apply theories which seek to explain human behaviour, theories of child development, attachment, socio/linguistic development, moral development and so on.  But we also need to:</w:t>
      </w:r>
    </w:p>
    <w:p w14:paraId="08946456" w14:textId="77777777" w:rsidR="00693223" w:rsidRDefault="00693223" w:rsidP="002239D1">
      <w:pPr>
        <w:numPr>
          <w:ilvl w:val="0"/>
          <w:numId w:val="25"/>
        </w:numPr>
        <w:ind w:left="357" w:hanging="357"/>
        <w:jc w:val="both"/>
        <w:rPr>
          <w:rFonts w:ascii="Arial" w:hAnsi="Arial" w:cs="Arial"/>
          <w:sz w:val="20"/>
        </w:rPr>
      </w:pPr>
      <w:r>
        <w:rPr>
          <w:rFonts w:ascii="Arial" w:hAnsi="Arial" w:cs="Arial"/>
          <w:sz w:val="20"/>
        </w:rPr>
        <w:t>STOP: to get into the child's world, step into their shoes;</w:t>
      </w:r>
    </w:p>
    <w:p w14:paraId="3FD9F85B" w14:textId="77777777" w:rsidR="00693223" w:rsidRDefault="00693223" w:rsidP="002239D1">
      <w:pPr>
        <w:numPr>
          <w:ilvl w:val="0"/>
          <w:numId w:val="25"/>
        </w:numPr>
        <w:ind w:left="357" w:hanging="357"/>
        <w:jc w:val="both"/>
        <w:rPr>
          <w:rFonts w:ascii="Arial" w:hAnsi="Arial" w:cs="Arial"/>
          <w:sz w:val="20"/>
        </w:rPr>
      </w:pPr>
      <w:r>
        <w:rPr>
          <w:rFonts w:ascii="Arial" w:hAnsi="Arial" w:cs="Arial"/>
          <w:sz w:val="20"/>
        </w:rPr>
        <w:t>LOOK with the eyes of the child; and</w:t>
      </w:r>
    </w:p>
    <w:p w14:paraId="28198EFB" w14:textId="77777777" w:rsidR="00693223" w:rsidRDefault="00693223" w:rsidP="002239D1">
      <w:pPr>
        <w:numPr>
          <w:ilvl w:val="0"/>
          <w:numId w:val="25"/>
        </w:numPr>
        <w:ind w:left="357" w:hanging="357"/>
        <w:jc w:val="both"/>
        <w:rPr>
          <w:rFonts w:ascii="Arial" w:hAnsi="Arial" w:cs="Arial"/>
          <w:sz w:val="20"/>
        </w:rPr>
      </w:pPr>
      <w:r>
        <w:rPr>
          <w:rFonts w:ascii="Arial" w:hAnsi="Arial" w:cs="Arial"/>
          <w:sz w:val="20"/>
        </w:rPr>
        <w:t>LISTEN to what the child is saying.</w:t>
      </w:r>
    </w:p>
    <w:p w14:paraId="778EF771" w14:textId="77777777" w:rsidR="00693223" w:rsidRDefault="00693223">
      <w:pPr>
        <w:spacing w:before="120"/>
        <w:jc w:val="both"/>
        <w:rPr>
          <w:rFonts w:ascii="Arial" w:hAnsi="Arial" w:cs="Arial"/>
          <w:sz w:val="20"/>
        </w:rPr>
      </w:pPr>
      <w:r>
        <w:rPr>
          <w:rFonts w:ascii="Arial" w:hAnsi="Arial" w:cs="Arial"/>
          <w:sz w:val="20"/>
        </w:rPr>
        <w:t>The author then lists the 4 developmental stages-</w:t>
      </w:r>
    </w:p>
    <w:p w14:paraId="42B79619" w14:textId="77777777" w:rsidR="00693223" w:rsidRDefault="00693223">
      <w:pPr>
        <w:numPr>
          <w:ilvl w:val="0"/>
          <w:numId w:val="26"/>
        </w:numPr>
        <w:jc w:val="both"/>
        <w:rPr>
          <w:rFonts w:ascii="Arial" w:hAnsi="Arial" w:cs="Arial"/>
          <w:sz w:val="20"/>
        </w:rPr>
      </w:pPr>
      <w:r>
        <w:rPr>
          <w:rFonts w:ascii="Arial" w:hAnsi="Arial" w:cs="Arial"/>
          <w:sz w:val="20"/>
        </w:rPr>
        <w:t>THE BABY</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The </w:t>
      </w:r>
      <w:proofErr w:type="spellStart"/>
      <w:r>
        <w:rPr>
          <w:rFonts w:ascii="Arial" w:hAnsi="Arial" w:cs="Arial"/>
          <w:sz w:val="20"/>
        </w:rPr>
        <w:t>Snuggler</w:t>
      </w:r>
      <w:proofErr w:type="spellEnd"/>
      <w:r>
        <w:rPr>
          <w:rFonts w:ascii="Arial" w:hAnsi="Arial" w:cs="Arial"/>
          <w:sz w:val="20"/>
        </w:rPr>
        <w:tab/>
      </w:r>
      <w:r>
        <w:rPr>
          <w:rFonts w:ascii="Arial" w:hAnsi="Arial" w:cs="Arial"/>
          <w:i/>
          <w:iCs/>
          <w:sz w:val="20"/>
        </w:rPr>
        <w:t>Ability to grow and thrive</w:t>
      </w:r>
    </w:p>
    <w:p w14:paraId="1806143A" w14:textId="77777777" w:rsidR="00693223" w:rsidRDefault="00693223">
      <w:pPr>
        <w:numPr>
          <w:ilvl w:val="0"/>
          <w:numId w:val="26"/>
        </w:numPr>
        <w:jc w:val="both"/>
        <w:rPr>
          <w:rFonts w:ascii="Arial" w:hAnsi="Arial" w:cs="Arial"/>
          <w:sz w:val="20"/>
        </w:rPr>
      </w:pPr>
      <w:r>
        <w:rPr>
          <w:rFonts w:ascii="Arial" w:hAnsi="Arial" w:cs="Arial"/>
          <w:sz w:val="20"/>
        </w:rPr>
        <w:t>THE TODDLER</w:t>
      </w:r>
      <w:r>
        <w:rPr>
          <w:rFonts w:ascii="Arial" w:hAnsi="Arial" w:cs="Arial"/>
          <w:sz w:val="20"/>
        </w:rPr>
        <w:tab/>
      </w:r>
      <w:r>
        <w:rPr>
          <w:rFonts w:ascii="Arial" w:hAnsi="Arial" w:cs="Arial"/>
          <w:sz w:val="20"/>
        </w:rPr>
        <w:tab/>
      </w:r>
      <w:r>
        <w:rPr>
          <w:rFonts w:ascii="Arial" w:hAnsi="Arial" w:cs="Arial"/>
          <w:i/>
          <w:iCs/>
          <w:sz w:val="20"/>
        </w:rPr>
        <w:tab/>
      </w:r>
      <w:r>
        <w:rPr>
          <w:rFonts w:ascii="Arial" w:hAnsi="Arial" w:cs="Arial"/>
          <w:sz w:val="20"/>
        </w:rPr>
        <w:t>The Explorer</w:t>
      </w:r>
      <w:r>
        <w:rPr>
          <w:rFonts w:ascii="Arial" w:hAnsi="Arial" w:cs="Arial"/>
          <w:i/>
          <w:iCs/>
          <w:sz w:val="20"/>
        </w:rPr>
        <w:tab/>
        <w:t>Attachment issues</w:t>
      </w:r>
    </w:p>
    <w:p w14:paraId="3C42B210" w14:textId="77777777" w:rsidR="00693223" w:rsidRDefault="00693223">
      <w:pPr>
        <w:numPr>
          <w:ilvl w:val="0"/>
          <w:numId w:val="26"/>
        </w:numPr>
        <w:jc w:val="both"/>
        <w:rPr>
          <w:rFonts w:ascii="Arial" w:hAnsi="Arial" w:cs="Arial"/>
          <w:sz w:val="20"/>
        </w:rPr>
      </w:pPr>
      <w:r>
        <w:rPr>
          <w:rFonts w:ascii="Arial" w:hAnsi="Arial" w:cs="Arial"/>
          <w:sz w:val="20"/>
        </w:rPr>
        <w:t>THE PRE-SCHOOL CHILD</w:t>
      </w:r>
      <w:r>
        <w:rPr>
          <w:rFonts w:ascii="Arial" w:hAnsi="Arial" w:cs="Arial"/>
          <w:sz w:val="20"/>
        </w:rPr>
        <w:tab/>
      </w:r>
      <w:r>
        <w:rPr>
          <w:rFonts w:ascii="Arial" w:hAnsi="Arial" w:cs="Arial"/>
          <w:sz w:val="20"/>
        </w:rPr>
        <w:tab/>
        <w:t>The Actor</w:t>
      </w:r>
      <w:r>
        <w:rPr>
          <w:rFonts w:ascii="Arial" w:hAnsi="Arial" w:cs="Arial"/>
          <w:i/>
          <w:iCs/>
          <w:sz w:val="20"/>
        </w:rPr>
        <w:tab/>
        <w:t>Behavioural responses</w:t>
      </w:r>
    </w:p>
    <w:p w14:paraId="65B5E41B" w14:textId="77777777" w:rsidR="00693223" w:rsidRDefault="00693223">
      <w:pPr>
        <w:numPr>
          <w:ilvl w:val="0"/>
          <w:numId w:val="26"/>
        </w:numPr>
        <w:jc w:val="both"/>
        <w:rPr>
          <w:rFonts w:ascii="Arial" w:hAnsi="Arial" w:cs="Arial"/>
          <w:sz w:val="20"/>
        </w:rPr>
      </w:pPr>
      <w:r>
        <w:rPr>
          <w:rFonts w:ascii="Arial" w:hAnsi="Arial" w:cs="Arial"/>
          <w:sz w:val="20"/>
        </w:rPr>
        <w:t>THE SCHOOL AGED CHILD</w:t>
      </w:r>
      <w:r>
        <w:rPr>
          <w:rFonts w:ascii="Arial" w:hAnsi="Arial" w:cs="Arial"/>
          <w:sz w:val="20"/>
        </w:rPr>
        <w:tab/>
        <w:t>The Builder</w:t>
      </w:r>
      <w:r>
        <w:rPr>
          <w:rFonts w:ascii="Arial" w:hAnsi="Arial" w:cs="Arial"/>
          <w:sz w:val="20"/>
        </w:rPr>
        <w:tab/>
      </w:r>
      <w:r>
        <w:rPr>
          <w:rFonts w:ascii="Arial" w:hAnsi="Arial" w:cs="Arial"/>
          <w:i/>
          <w:iCs/>
          <w:sz w:val="20"/>
        </w:rPr>
        <w:t>Loyalty conflicts</w:t>
      </w:r>
    </w:p>
    <w:p w14:paraId="0DFCC6EA" w14:textId="77777777" w:rsidR="00693223" w:rsidRDefault="00693223">
      <w:pPr>
        <w:jc w:val="both"/>
        <w:rPr>
          <w:rFonts w:ascii="Arial" w:hAnsi="Arial" w:cs="Arial"/>
          <w:sz w:val="20"/>
        </w:rPr>
      </w:pPr>
      <w:r>
        <w:rPr>
          <w:rFonts w:ascii="Arial" w:hAnsi="Arial" w:cs="Arial"/>
          <w:sz w:val="20"/>
        </w:rPr>
        <w:t>and discusses the cues and pitfalls of communication with each but limiting the 4</w:t>
      </w:r>
      <w:r>
        <w:rPr>
          <w:rFonts w:ascii="Arial" w:hAnsi="Arial" w:cs="Arial"/>
          <w:sz w:val="20"/>
          <w:vertAlign w:val="superscript"/>
        </w:rPr>
        <w:t>th</w:t>
      </w:r>
      <w:r>
        <w:rPr>
          <w:rFonts w:ascii="Arial" w:hAnsi="Arial" w:cs="Arial"/>
          <w:sz w:val="20"/>
        </w:rPr>
        <w:t xml:space="preserve"> category to children under 8.</w:t>
      </w:r>
    </w:p>
    <w:p w14:paraId="3567B016" w14:textId="77777777" w:rsidR="00693223" w:rsidRDefault="00693223">
      <w:pPr>
        <w:spacing w:before="120"/>
        <w:jc w:val="both"/>
        <w:rPr>
          <w:rFonts w:ascii="Arial" w:hAnsi="Arial" w:cs="Arial"/>
          <w:sz w:val="20"/>
        </w:rPr>
      </w:pPr>
      <w:r>
        <w:rPr>
          <w:rFonts w:ascii="Arial" w:hAnsi="Arial" w:cs="Arial"/>
          <w:sz w:val="20"/>
        </w:rPr>
        <w:t>The paper concludes with a bibliography of recommended reading:</w:t>
      </w:r>
    </w:p>
    <w:p w14:paraId="65DB14DB" w14:textId="77777777" w:rsidR="00693223" w:rsidRDefault="00693223" w:rsidP="002239D1">
      <w:pPr>
        <w:numPr>
          <w:ilvl w:val="0"/>
          <w:numId w:val="25"/>
        </w:numPr>
        <w:ind w:left="357" w:hanging="357"/>
        <w:jc w:val="both"/>
        <w:rPr>
          <w:rFonts w:ascii="Arial" w:hAnsi="Arial" w:cs="Arial"/>
          <w:sz w:val="20"/>
        </w:rPr>
      </w:pPr>
      <w:r>
        <w:rPr>
          <w:rFonts w:ascii="Arial" w:hAnsi="Arial" w:cs="Arial"/>
          <w:sz w:val="20"/>
        </w:rPr>
        <w:t xml:space="preserve">Myers, Goodman, </w:t>
      </w:r>
      <w:proofErr w:type="spellStart"/>
      <w:r>
        <w:rPr>
          <w:rFonts w:ascii="Arial" w:hAnsi="Arial" w:cs="Arial"/>
          <w:sz w:val="20"/>
        </w:rPr>
        <w:t>Saywitz</w:t>
      </w:r>
      <w:proofErr w:type="spellEnd"/>
      <w:r>
        <w:rPr>
          <w:rFonts w:ascii="Arial" w:hAnsi="Arial" w:cs="Arial"/>
          <w:sz w:val="20"/>
        </w:rPr>
        <w:t xml:space="preserve">, </w:t>
      </w:r>
      <w:r>
        <w:rPr>
          <w:rFonts w:ascii="Arial" w:hAnsi="Arial" w:cs="Arial"/>
          <w:i/>
          <w:iCs/>
          <w:sz w:val="20"/>
        </w:rPr>
        <w:t>Psychological Research on Children as Witnesses: Practical Implications for Forensic Interviewers and Courtroom Testimony</w:t>
      </w:r>
      <w:r>
        <w:rPr>
          <w:rFonts w:ascii="Arial" w:hAnsi="Arial" w:cs="Arial"/>
          <w:sz w:val="20"/>
        </w:rPr>
        <w:t>, 27 Pacific Law Journal 1, 26 (1996)</w:t>
      </w:r>
    </w:p>
    <w:p w14:paraId="20BBFFBC" w14:textId="77777777" w:rsidR="00693223" w:rsidRDefault="00693223" w:rsidP="002239D1">
      <w:pPr>
        <w:numPr>
          <w:ilvl w:val="0"/>
          <w:numId w:val="25"/>
        </w:numPr>
        <w:ind w:left="357" w:hanging="357"/>
        <w:jc w:val="both"/>
        <w:rPr>
          <w:rFonts w:ascii="Arial" w:hAnsi="Arial" w:cs="Arial"/>
          <w:sz w:val="20"/>
        </w:rPr>
      </w:pPr>
      <w:r>
        <w:rPr>
          <w:rFonts w:ascii="Arial" w:hAnsi="Arial" w:cs="Arial"/>
          <w:sz w:val="20"/>
        </w:rPr>
        <w:t xml:space="preserve">M Aldridge &amp; J Wood, </w:t>
      </w:r>
      <w:r>
        <w:rPr>
          <w:rFonts w:ascii="Arial" w:hAnsi="Arial" w:cs="Arial"/>
          <w:i/>
          <w:iCs/>
          <w:sz w:val="20"/>
        </w:rPr>
        <w:t>Interviewing Children: A Guide for Child Care and Forensic Practitioners,</w:t>
      </w:r>
      <w:r>
        <w:rPr>
          <w:rFonts w:ascii="Arial" w:hAnsi="Arial" w:cs="Arial"/>
          <w:sz w:val="20"/>
        </w:rPr>
        <w:t xml:space="preserve"> Wiley &amp; Sons (1998)</w:t>
      </w:r>
    </w:p>
    <w:p w14:paraId="674E9188" w14:textId="77777777" w:rsidR="00693223" w:rsidRDefault="00693223" w:rsidP="002239D1">
      <w:pPr>
        <w:numPr>
          <w:ilvl w:val="0"/>
          <w:numId w:val="25"/>
        </w:numPr>
        <w:ind w:left="357" w:hanging="357"/>
        <w:jc w:val="both"/>
        <w:rPr>
          <w:rFonts w:ascii="Arial" w:hAnsi="Arial" w:cs="Arial"/>
          <w:sz w:val="20"/>
        </w:rPr>
      </w:pPr>
      <w:r>
        <w:rPr>
          <w:rFonts w:ascii="Arial" w:hAnsi="Arial" w:cs="Arial"/>
          <w:sz w:val="20"/>
        </w:rPr>
        <w:t xml:space="preserve">Anne </w:t>
      </w:r>
      <w:proofErr w:type="spellStart"/>
      <w:r>
        <w:rPr>
          <w:rFonts w:ascii="Arial" w:hAnsi="Arial" w:cs="Arial"/>
          <w:sz w:val="20"/>
        </w:rPr>
        <w:t>Graffam</w:t>
      </w:r>
      <w:proofErr w:type="spellEnd"/>
      <w:r>
        <w:rPr>
          <w:rFonts w:ascii="Arial" w:hAnsi="Arial" w:cs="Arial"/>
          <w:sz w:val="20"/>
        </w:rPr>
        <w:t xml:space="preserve"> Walker, </w:t>
      </w:r>
      <w:r>
        <w:rPr>
          <w:rFonts w:ascii="Arial" w:hAnsi="Arial" w:cs="Arial"/>
          <w:i/>
          <w:iCs/>
          <w:sz w:val="20"/>
        </w:rPr>
        <w:t>Handbook on Questioning Children: A Linguistic Perspective,</w:t>
      </w:r>
      <w:r>
        <w:rPr>
          <w:rFonts w:ascii="Arial" w:hAnsi="Arial" w:cs="Arial"/>
          <w:sz w:val="20"/>
        </w:rPr>
        <w:t xml:space="preserve"> 2</w:t>
      </w:r>
      <w:r>
        <w:rPr>
          <w:rFonts w:ascii="Arial" w:hAnsi="Arial" w:cs="Arial"/>
          <w:sz w:val="20"/>
          <w:vertAlign w:val="superscript"/>
        </w:rPr>
        <w:t>nd</w:t>
      </w:r>
      <w:r>
        <w:rPr>
          <w:rFonts w:ascii="Arial" w:hAnsi="Arial" w:cs="Arial"/>
          <w:sz w:val="20"/>
        </w:rPr>
        <w:t xml:space="preserve"> ed., American Bar </w:t>
      </w:r>
      <w:proofErr w:type="spellStart"/>
      <w:r>
        <w:rPr>
          <w:rFonts w:ascii="Arial" w:hAnsi="Arial" w:cs="Arial"/>
          <w:sz w:val="20"/>
        </w:rPr>
        <w:t>Assocation</w:t>
      </w:r>
      <w:proofErr w:type="spellEnd"/>
      <w:r>
        <w:rPr>
          <w:rFonts w:ascii="Arial" w:hAnsi="Arial" w:cs="Arial"/>
          <w:sz w:val="20"/>
        </w:rPr>
        <w:t xml:space="preserve"> (1999)</w:t>
      </w:r>
    </w:p>
    <w:p w14:paraId="4C31FE20" w14:textId="77777777" w:rsidR="00693223" w:rsidRDefault="00693223" w:rsidP="002239D1">
      <w:pPr>
        <w:numPr>
          <w:ilvl w:val="0"/>
          <w:numId w:val="25"/>
        </w:numPr>
        <w:ind w:left="357" w:hanging="357"/>
        <w:jc w:val="both"/>
        <w:rPr>
          <w:rFonts w:ascii="Arial" w:hAnsi="Arial" w:cs="Arial"/>
          <w:sz w:val="20"/>
        </w:rPr>
      </w:pPr>
      <w:r>
        <w:rPr>
          <w:rFonts w:ascii="Arial" w:hAnsi="Arial" w:cs="Arial"/>
          <w:sz w:val="20"/>
        </w:rPr>
        <w:t>K Budd, L M Poindexter, E D Felix &amp; A T Naik-</w:t>
      </w:r>
      <w:proofErr w:type="spellStart"/>
      <w:r>
        <w:rPr>
          <w:rFonts w:ascii="Arial" w:hAnsi="Arial" w:cs="Arial"/>
          <w:sz w:val="20"/>
        </w:rPr>
        <w:t>Polan</w:t>
      </w:r>
      <w:proofErr w:type="spellEnd"/>
      <w:r>
        <w:rPr>
          <w:rFonts w:ascii="Arial" w:hAnsi="Arial" w:cs="Arial"/>
          <w:sz w:val="20"/>
        </w:rPr>
        <w:t xml:space="preserve">, </w:t>
      </w:r>
      <w:r>
        <w:rPr>
          <w:rFonts w:ascii="Arial" w:hAnsi="Arial" w:cs="Arial"/>
          <w:i/>
          <w:iCs/>
          <w:sz w:val="20"/>
        </w:rPr>
        <w:t>Clinical Assessment of Parents in Child Protection cases: An empirical analysis</w:t>
      </w:r>
      <w:r>
        <w:rPr>
          <w:rFonts w:ascii="Arial" w:hAnsi="Arial" w:cs="Arial"/>
          <w:sz w:val="20"/>
        </w:rPr>
        <w:t>, Law and Human Behaviour 25, 93-108 (2001).</w:t>
      </w:r>
    </w:p>
    <w:p w14:paraId="34EEE4CC" w14:textId="77777777" w:rsidR="00693223" w:rsidRDefault="00693223">
      <w:pPr>
        <w:jc w:val="both"/>
        <w:rPr>
          <w:rFonts w:ascii="Arial" w:hAnsi="Arial" w:cs="Arial"/>
          <w:sz w:val="20"/>
        </w:rPr>
      </w:pPr>
    </w:p>
    <w:p w14:paraId="4BCC3169" w14:textId="77777777" w:rsidR="00693223" w:rsidRDefault="00693223">
      <w:pPr>
        <w:jc w:val="both"/>
        <w:rPr>
          <w:rFonts w:ascii="Arial" w:hAnsi="Arial" w:cs="Arial"/>
          <w:sz w:val="20"/>
        </w:rPr>
      </w:pPr>
    </w:p>
    <w:p w14:paraId="73907809"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15</w:t>
      </w:r>
    </w:p>
    <w:p w14:paraId="0859EAE2" w14:textId="77777777" w:rsidR="00693223" w:rsidRDefault="00693223">
      <w:pPr>
        <w:keepNext/>
        <w:keepLines/>
        <w:autoSpaceDE w:val="0"/>
        <w:autoSpaceDN w:val="0"/>
        <w:adjustRightInd w:val="0"/>
        <w:rPr>
          <w:rFonts w:ascii="Arial" w:hAnsi="Arial" w:cs="Arial"/>
          <w:b/>
          <w:bCs/>
          <w:lang w:val="en-US"/>
        </w:rPr>
      </w:pPr>
      <w:r>
        <w:rPr>
          <w:rFonts w:ascii="Arial" w:hAnsi="Arial" w:cs="Arial"/>
          <w:b/>
          <w:bCs/>
          <w:lang w:val="en-US"/>
        </w:rPr>
        <w:t>Fortressing the developed world: Emerging trends in asylum procedures and detention practices and the impact on children and families fleeing persecution and war.</w:t>
      </w:r>
    </w:p>
    <w:p w14:paraId="7C948C15" w14:textId="77777777" w:rsidR="00693223" w:rsidRDefault="00693223">
      <w:pPr>
        <w:keepNext/>
        <w:keepLines/>
        <w:jc w:val="both"/>
        <w:rPr>
          <w:rFonts w:ascii="Arial" w:hAnsi="Arial" w:cs="Arial"/>
          <w:sz w:val="20"/>
        </w:rPr>
      </w:pPr>
      <w:smartTag w:uri="urn:schemas-microsoft-com:office:smarttags" w:element="City">
        <w:smartTag w:uri="urn:schemas-microsoft-com:office:smarttags" w:element="place">
          <w:r>
            <w:rPr>
              <w:rFonts w:ascii="Arial" w:hAnsi="Arial" w:cs="Arial"/>
              <w:sz w:val="20"/>
            </w:rPr>
            <w:t>Paris</w:t>
          </w:r>
        </w:smartTag>
      </w:smartTag>
      <w:r>
        <w:rPr>
          <w:rFonts w:ascii="Arial" w:hAnsi="Arial" w:cs="Arial"/>
          <w:sz w:val="20"/>
        </w:rPr>
        <w:t xml:space="preserve"> Aristotle AM (Director, Victorian Foundation for Survivors of Torture)</w:t>
      </w:r>
    </w:p>
    <w:p w14:paraId="69CEF35E"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It is often said that one of the first casualties of war is truth, but perhaps the most enduring casualty lies in the shattering of childhood innocence.  In the madness of armed conflicts, persecution and abuse are commonplace and instead of hope, it is devastation and hopelessness that characterise the future of a young person.  However, it is not only the act of war that defines this bit also the manner in which the international community responds to young people as refugees in countries of first asylum or as asylum seekers.  The scale of this problem is enormous with more than 21 million people of concern to the UNHCR today of which an estimated 10 million are children.</w:t>
      </w:r>
    </w:p>
    <w:p w14:paraId="435B5329"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plight of refugees and asylum seekers has emerged as one of the most complex and controversial legal and public policy issues facing the international community.  As developed nations increasingly fortress themselves from people seeking asylum and the activities of people smugglers, the fate and welfare of children takes a back seat in the planning and implementation of policy.  Consequently, these attempts to keep the problems of poorer nations </w:t>
      </w:r>
      <w:r>
        <w:rPr>
          <w:rFonts w:ascii="Arial" w:hAnsi="Arial" w:cs="Arial"/>
          <w:sz w:val="20"/>
        </w:rPr>
        <w:lastRenderedPageBreak/>
        <w:t>at a distance, have seen the spirit and meaning of various international human rights conventions eroded and a rise in xenophobia throughout the developed world.</w:t>
      </w:r>
    </w:p>
    <w:p w14:paraId="219228F5" w14:textId="77777777" w:rsidR="00693223" w:rsidRDefault="00693223">
      <w:pPr>
        <w:jc w:val="both"/>
        <w:rPr>
          <w:rFonts w:ascii="Arial" w:hAnsi="Arial" w:cs="Arial"/>
          <w:sz w:val="20"/>
        </w:rPr>
      </w:pPr>
    </w:p>
    <w:p w14:paraId="7F3A0967"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WCF16</w:t>
      </w:r>
      <w:r w:rsidR="00E26E9E">
        <w:rPr>
          <w:rFonts w:ascii="Arial" w:hAnsi="Arial" w:cs="Arial"/>
          <w:b/>
          <w:bCs/>
          <w:sz w:val="28"/>
        </w:rPr>
        <w:t>.16</w:t>
      </w:r>
    </w:p>
    <w:p w14:paraId="7087C2C7" w14:textId="77777777" w:rsidR="00693223" w:rsidRDefault="00693223">
      <w:pPr>
        <w:autoSpaceDE w:val="0"/>
        <w:autoSpaceDN w:val="0"/>
        <w:adjustRightInd w:val="0"/>
        <w:jc w:val="both"/>
        <w:rPr>
          <w:rFonts w:ascii="Arial" w:hAnsi="Arial" w:cs="Arial"/>
          <w:b/>
          <w:bCs/>
          <w:lang w:val="en-US"/>
        </w:rPr>
      </w:pPr>
      <w:r>
        <w:rPr>
          <w:rFonts w:ascii="Arial" w:hAnsi="Arial" w:cs="Arial"/>
          <w:b/>
          <w:bCs/>
          <w:lang w:val="en-US"/>
        </w:rPr>
        <w:t>Reflections on a South African initiative: Empowering family law litigants in person</w:t>
      </w:r>
    </w:p>
    <w:p w14:paraId="234850FE" w14:textId="77777777" w:rsidR="00693223" w:rsidRDefault="00693223">
      <w:pPr>
        <w:jc w:val="both"/>
        <w:rPr>
          <w:rFonts w:ascii="Arial" w:hAnsi="Arial" w:cs="Arial"/>
          <w:sz w:val="20"/>
        </w:rPr>
      </w:pPr>
      <w:r>
        <w:rPr>
          <w:rFonts w:ascii="Arial" w:hAnsi="Arial" w:cs="Arial"/>
          <w:sz w:val="20"/>
        </w:rPr>
        <w:t xml:space="preserve">Elizabeth </w:t>
      </w:r>
      <w:proofErr w:type="spellStart"/>
      <w:r>
        <w:rPr>
          <w:rFonts w:ascii="Arial" w:hAnsi="Arial" w:cs="Arial"/>
          <w:sz w:val="20"/>
        </w:rPr>
        <w:t>Baartman</w:t>
      </w:r>
      <w:proofErr w:type="spellEnd"/>
      <w:r>
        <w:rPr>
          <w:rFonts w:ascii="Arial" w:hAnsi="Arial" w:cs="Arial"/>
          <w:sz w:val="20"/>
        </w:rPr>
        <w:t xml:space="preserve"> (</w:t>
      </w:r>
      <w:smartTag w:uri="urn:schemas-microsoft-com:office:smarttags" w:element="place">
        <w:smartTag w:uri="urn:schemas-microsoft-com:office:smarttags" w:element="PlaceType">
          <w:r>
            <w:rPr>
              <w:rFonts w:ascii="Arial" w:hAnsi="Arial" w:cs="Arial"/>
              <w:sz w:val="20"/>
            </w:rPr>
            <w:t>Republic</w:t>
          </w:r>
        </w:smartTag>
        <w:r>
          <w:rPr>
            <w:rFonts w:ascii="Arial" w:hAnsi="Arial" w:cs="Arial"/>
            <w:sz w:val="20"/>
          </w:rPr>
          <w:t xml:space="preserve"> of </w:t>
        </w:r>
        <w:smartTag w:uri="urn:schemas-microsoft-com:office:smarttags" w:element="PlaceName">
          <w:r>
            <w:rPr>
              <w:rFonts w:ascii="Arial" w:hAnsi="Arial" w:cs="Arial"/>
              <w:sz w:val="20"/>
            </w:rPr>
            <w:t>South Africa</w:t>
          </w:r>
        </w:smartTag>
      </w:smartTag>
      <w:r>
        <w:rPr>
          <w:rFonts w:ascii="Arial" w:hAnsi="Arial" w:cs="Arial"/>
          <w:sz w:val="20"/>
        </w:rPr>
        <w:t>)</w:t>
      </w:r>
    </w:p>
    <w:p w14:paraId="2857EE20" w14:textId="77777777" w:rsidR="00693223" w:rsidRDefault="00693223">
      <w:pPr>
        <w:spacing w:before="120"/>
        <w:jc w:val="both"/>
        <w:rPr>
          <w:rFonts w:ascii="Arial" w:hAnsi="Arial" w:cs="Arial"/>
          <w:sz w:val="20"/>
        </w:rPr>
      </w:pPr>
      <w:r>
        <w:rPr>
          <w:rFonts w:ascii="Arial" w:hAnsi="Arial" w:cs="Arial"/>
          <w:sz w:val="20"/>
        </w:rPr>
        <w:t xml:space="preserve">The author of this interesting paper discusses in some detail the operation of her employer the PFLC, a not for profit company which provides family law services and whose primary aim is to increase access to justice by providing effective, affordable, accessible and professional services to clients in a self-sustainable manner.  She also discusses the current provision of family court services - comprising maintenance, maintenance enforcement, domestic violence, divorce, </w:t>
      </w:r>
      <w:r w:rsidR="00502296" w:rsidRPr="00334C46">
        <w:rPr>
          <w:rFonts w:ascii="Arial" w:hAnsi="Arial" w:cs="Arial"/>
          <w:color w:val="000000"/>
          <w:sz w:val="20"/>
        </w:rPr>
        <w:t>contact</w:t>
      </w:r>
      <w:r w:rsidRPr="00334C46">
        <w:rPr>
          <w:rFonts w:ascii="Arial" w:hAnsi="Arial" w:cs="Arial"/>
          <w:color w:val="000000"/>
          <w:sz w:val="20"/>
        </w:rPr>
        <w:t xml:space="preserve"> </w:t>
      </w:r>
      <w:r>
        <w:rPr>
          <w:rFonts w:ascii="Arial" w:hAnsi="Arial" w:cs="Arial"/>
          <w:sz w:val="20"/>
        </w:rPr>
        <w:t xml:space="preserve">and children's court proceedings - to citizens of </w:t>
      </w:r>
      <w:smartTag w:uri="urn:schemas-microsoft-com:office:smarttags" w:element="country-region">
        <w:smartTag w:uri="urn:schemas-microsoft-com:office:smarttags" w:element="place">
          <w:r>
            <w:rPr>
              <w:rFonts w:ascii="Arial" w:hAnsi="Arial" w:cs="Arial"/>
              <w:sz w:val="20"/>
            </w:rPr>
            <w:t>South Africa</w:t>
          </w:r>
        </w:smartTag>
      </w:smartTag>
      <w:r>
        <w:rPr>
          <w:rFonts w:ascii="Arial" w:hAnsi="Arial" w:cs="Arial"/>
          <w:sz w:val="20"/>
        </w:rPr>
        <w:t xml:space="preserve"> and analyses the 5 pilot family courts established in 1997.  While the author acknowledges that a major failing of these pilots is that each of the areas of family law still operates in isolation - the author graphically describing the structure as "silos" - it is her view that one of the great successes demonstrated by the pilot courts is the emphasis placed on plain language and the interventionist role of the bench.  She considers this approach to be critical in </w:t>
      </w:r>
      <w:smartTag w:uri="urn:schemas-microsoft-com:office:smarttags" w:element="country-region">
        <w:smartTag w:uri="urn:schemas-microsoft-com:office:smarttags" w:element="place">
          <w:r>
            <w:rPr>
              <w:rFonts w:ascii="Arial" w:hAnsi="Arial" w:cs="Arial"/>
              <w:sz w:val="20"/>
            </w:rPr>
            <w:t>South Africa</w:t>
          </w:r>
        </w:smartTag>
      </w:smartTag>
      <w:r>
        <w:rPr>
          <w:rFonts w:ascii="Arial" w:hAnsi="Arial" w:cs="Arial"/>
          <w:sz w:val="20"/>
        </w:rPr>
        <w:t xml:space="preserve"> as over 85% of all people before the court are unrepresented and a large percentage of these are functionally illiterate and innumerate.  She concludes by noting that currently members of the PFLC are assisting the Department of Justice and Constitutional Development to strengthen the five pilot family courts and to provide a framework for the establishment of permanent family courts in </w:t>
      </w:r>
      <w:smartTag w:uri="urn:schemas-microsoft-com:office:smarttags" w:element="country-region">
        <w:smartTag w:uri="urn:schemas-microsoft-com:office:smarttags" w:element="place">
          <w:r>
            <w:rPr>
              <w:rFonts w:ascii="Arial" w:hAnsi="Arial" w:cs="Arial"/>
              <w:sz w:val="20"/>
            </w:rPr>
            <w:t>South Africa</w:t>
          </w:r>
        </w:smartTag>
      </w:smartTag>
      <w:r>
        <w:rPr>
          <w:rFonts w:ascii="Arial" w:hAnsi="Arial" w:cs="Arial"/>
          <w:sz w:val="20"/>
        </w:rPr>
        <w:t>.</w:t>
      </w:r>
    </w:p>
    <w:p w14:paraId="505710E6" w14:textId="77777777" w:rsidR="00693223" w:rsidRDefault="00693223">
      <w:pPr>
        <w:jc w:val="both"/>
        <w:rPr>
          <w:rFonts w:ascii="Arial" w:hAnsi="Arial" w:cs="Arial"/>
          <w:sz w:val="20"/>
        </w:rPr>
      </w:pPr>
    </w:p>
    <w:p w14:paraId="37302823"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WCF1</w:t>
      </w:r>
      <w:r w:rsidR="00E26E9E">
        <w:rPr>
          <w:rFonts w:ascii="Arial" w:hAnsi="Arial" w:cs="Arial"/>
          <w:b/>
          <w:bCs/>
          <w:sz w:val="28"/>
        </w:rPr>
        <w:t>6.1</w:t>
      </w:r>
      <w:r>
        <w:rPr>
          <w:rFonts w:ascii="Arial" w:hAnsi="Arial" w:cs="Arial"/>
          <w:b/>
          <w:bCs/>
          <w:sz w:val="28"/>
        </w:rPr>
        <w:t>7</w:t>
      </w:r>
    </w:p>
    <w:p w14:paraId="4D80A5B9" w14:textId="77777777" w:rsidR="00693223" w:rsidRDefault="00693223">
      <w:pPr>
        <w:keepNext/>
        <w:keepLines/>
        <w:jc w:val="both"/>
        <w:rPr>
          <w:rFonts w:ascii="Arial" w:hAnsi="Arial" w:cs="Arial"/>
          <w:b/>
          <w:bCs/>
        </w:rPr>
      </w:pPr>
      <w:r>
        <w:rPr>
          <w:rFonts w:ascii="Arial" w:hAnsi="Arial" w:cs="Arial"/>
          <w:b/>
          <w:bCs/>
        </w:rPr>
        <w:t>Is Truancy a Child Protection Issue?</w:t>
      </w:r>
    </w:p>
    <w:p w14:paraId="5B629055" w14:textId="77777777" w:rsidR="00693223" w:rsidRDefault="00693223">
      <w:pPr>
        <w:jc w:val="both"/>
        <w:rPr>
          <w:rFonts w:ascii="Arial" w:hAnsi="Arial" w:cs="Arial"/>
          <w:sz w:val="20"/>
        </w:rPr>
      </w:pPr>
      <w:r>
        <w:rPr>
          <w:rFonts w:ascii="Arial" w:hAnsi="Arial" w:cs="Arial"/>
          <w:sz w:val="20"/>
        </w:rPr>
        <w:t xml:space="preserve">Peter Green (Department of Human Services,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w:t>
      </w:r>
    </w:p>
    <w:p w14:paraId="6F47FCD2"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In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the relevant legislation in relation to truancy is:</w:t>
      </w:r>
    </w:p>
    <w:p w14:paraId="37BAEC5E" w14:textId="77777777" w:rsidR="00693223" w:rsidRDefault="00693223" w:rsidP="002239D1">
      <w:pPr>
        <w:numPr>
          <w:ilvl w:val="0"/>
          <w:numId w:val="23"/>
        </w:numPr>
        <w:autoSpaceDE w:val="0"/>
        <w:autoSpaceDN w:val="0"/>
        <w:adjustRightInd w:val="0"/>
        <w:ind w:left="419" w:hanging="357"/>
        <w:jc w:val="both"/>
        <w:rPr>
          <w:rFonts w:ascii="Arial" w:hAnsi="Arial" w:cs="Arial"/>
          <w:sz w:val="20"/>
        </w:rPr>
      </w:pPr>
      <w:r>
        <w:rPr>
          <w:rFonts w:ascii="Arial" w:hAnsi="Arial" w:cs="Arial"/>
          <w:sz w:val="20"/>
        </w:rPr>
        <w:t>the Education Act 1958 which states that children between the ages of six and fifteen must attend school; and</w:t>
      </w:r>
    </w:p>
    <w:p w14:paraId="190A912A" w14:textId="77777777" w:rsidR="00693223" w:rsidRDefault="00693223" w:rsidP="002239D1">
      <w:pPr>
        <w:numPr>
          <w:ilvl w:val="0"/>
          <w:numId w:val="23"/>
        </w:numPr>
        <w:autoSpaceDE w:val="0"/>
        <w:autoSpaceDN w:val="0"/>
        <w:adjustRightInd w:val="0"/>
        <w:ind w:left="419" w:hanging="357"/>
        <w:jc w:val="both"/>
        <w:rPr>
          <w:rFonts w:ascii="Arial" w:hAnsi="Arial" w:cs="Arial"/>
          <w:sz w:val="20"/>
        </w:rPr>
      </w:pPr>
      <w:r>
        <w:rPr>
          <w:rFonts w:ascii="Arial" w:hAnsi="Arial" w:cs="Arial"/>
          <w:sz w:val="20"/>
        </w:rPr>
        <w:t>the Community Services Act 1970 which places the responsibility for school environment and attendance on parents.</w:t>
      </w:r>
    </w:p>
    <w:p w14:paraId="456FC8E1" w14:textId="77777777" w:rsidR="00693223" w:rsidRDefault="00693223">
      <w:pPr>
        <w:autoSpaceDE w:val="0"/>
        <w:autoSpaceDN w:val="0"/>
        <w:adjustRightInd w:val="0"/>
        <w:jc w:val="both"/>
        <w:rPr>
          <w:rFonts w:ascii="Arial" w:hAnsi="Arial" w:cs="Arial"/>
          <w:sz w:val="20"/>
        </w:rPr>
      </w:pPr>
      <w:r>
        <w:rPr>
          <w:rFonts w:ascii="Arial" w:hAnsi="Arial" w:cs="Arial"/>
          <w:sz w:val="20"/>
        </w:rPr>
        <w:t>Truancy as a child protection matter needs to be examined in the context of the Children and Young Persons Act 1989 which mandates child protection intervention when a child is "in need of protection" from significant harm.  Truancy in itself is not usually a cause of significant harm and would not often lead to a need for protection.  However the effect of truancy on a child's intellectual development may, in combination with other factors, lead to an assessment that a child is in need of protection.  Alternatively, truancy may result from an attempt to conceal evidence of abuse, or from a child being required to fulfil inappropriate care responsibilities for younger siblings, from parental neglect, or problems with adjustment to the school environment as a result of harm caused by abuse.  Thus truancy may act as an indicator of abuse when viewed in the context of all the circumstances of a child's life.</w:t>
      </w:r>
    </w:p>
    <w:p w14:paraId="6C7A4AA9" w14:textId="77777777" w:rsidR="00693223" w:rsidRDefault="00693223">
      <w:pPr>
        <w:jc w:val="both"/>
        <w:rPr>
          <w:rFonts w:ascii="Arial" w:hAnsi="Arial" w:cs="Arial"/>
          <w:sz w:val="20"/>
        </w:rPr>
      </w:pPr>
    </w:p>
    <w:p w14:paraId="2A8F16F4"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18</w:t>
      </w:r>
    </w:p>
    <w:p w14:paraId="4E70554C" w14:textId="77777777" w:rsidR="00693223" w:rsidRDefault="00693223">
      <w:pPr>
        <w:autoSpaceDE w:val="0"/>
        <w:autoSpaceDN w:val="0"/>
        <w:adjustRightInd w:val="0"/>
        <w:jc w:val="both"/>
        <w:rPr>
          <w:rFonts w:ascii="Arial" w:hAnsi="Arial" w:cs="Arial"/>
          <w:b/>
          <w:bCs/>
          <w:sz w:val="28"/>
        </w:rPr>
      </w:pPr>
      <w:r>
        <w:rPr>
          <w:rFonts w:ascii="Arial" w:hAnsi="Arial" w:cs="Arial"/>
          <w:b/>
          <w:bCs/>
          <w:szCs w:val="28"/>
          <w:lang w:val="en-US"/>
        </w:rPr>
        <w:t xml:space="preserve">A Community Response to Truancy - A Model for </w:t>
      </w:r>
      <w:smartTag w:uri="urn:schemas-microsoft-com:office:smarttags" w:element="country-region">
        <w:smartTag w:uri="urn:schemas-microsoft-com:office:smarttags" w:element="place">
          <w:r>
            <w:rPr>
              <w:rFonts w:ascii="Arial" w:hAnsi="Arial" w:cs="Arial"/>
              <w:b/>
              <w:bCs/>
              <w:szCs w:val="28"/>
              <w:lang w:val="en-US"/>
            </w:rPr>
            <w:t>New Zealand</w:t>
          </w:r>
        </w:smartTag>
      </w:smartTag>
    </w:p>
    <w:p w14:paraId="46852976" w14:textId="77777777" w:rsidR="00693223" w:rsidRDefault="00693223">
      <w:pPr>
        <w:jc w:val="both"/>
        <w:rPr>
          <w:rFonts w:ascii="Arial" w:hAnsi="Arial" w:cs="Arial"/>
          <w:sz w:val="20"/>
        </w:rPr>
      </w:pPr>
      <w:r>
        <w:rPr>
          <w:rFonts w:ascii="Arial" w:hAnsi="Arial" w:cs="Arial"/>
          <w:sz w:val="20"/>
        </w:rPr>
        <w:t xml:space="preserve">Pat Harrison (Otago Youth Wellness </w:t>
      </w:r>
      <w:smartTag w:uri="urn:schemas-microsoft-com:office:smarttags" w:element="place">
        <w:smartTag w:uri="urn:schemas-microsoft-com:office:smarttags" w:element="City">
          <w:r>
            <w:rPr>
              <w:rFonts w:ascii="Arial" w:hAnsi="Arial" w:cs="Arial"/>
              <w:sz w:val="20"/>
            </w:rPr>
            <w:t>Trust</w:t>
          </w:r>
        </w:smartTag>
        <w:r>
          <w:rPr>
            <w:rFonts w:ascii="Arial" w:hAnsi="Arial" w:cs="Arial"/>
            <w:sz w:val="20"/>
          </w:rPr>
          <w:t xml:space="preserve">, </w:t>
        </w:r>
        <w:smartTag w:uri="urn:schemas-microsoft-com:office:smarttags" w:element="country-region">
          <w:r>
            <w:rPr>
              <w:rFonts w:ascii="Arial" w:hAnsi="Arial" w:cs="Arial"/>
              <w:sz w:val="20"/>
            </w:rPr>
            <w:t>New Zealand</w:t>
          </w:r>
        </w:smartTag>
      </w:smartTag>
      <w:r>
        <w:rPr>
          <w:rFonts w:ascii="Arial" w:hAnsi="Arial" w:cs="Arial"/>
          <w:sz w:val="20"/>
        </w:rPr>
        <w:t>)</w:t>
      </w:r>
    </w:p>
    <w:p w14:paraId="7D94806F" w14:textId="77777777" w:rsidR="00693223" w:rsidRDefault="00693223">
      <w:pPr>
        <w:spacing w:before="120"/>
        <w:jc w:val="both"/>
        <w:rPr>
          <w:rFonts w:ascii="Arial" w:hAnsi="Arial" w:cs="Arial"/>
          <w:sz w:val="20"/>
        </w:rPr>
      </w:pPr>
      <w:r>
        <w:rPr>
          <w:rFonts w:ascii="Arial" w:hAnsi="Arial" w:cs="Arial"/>
          <w:sz w:val="20"/>
        </w:rPr>
        <w:t xml:space="preserve">Seven years ago two studies were undertaken in </w:t>
      </w:r>
      <w:smartTag w:uri="urn:schemas-microsoft-com:office:smarttags" w:element="City">
        <w:smartTag w:uri="urn:schemas-microsoft-com:office:smarttags" w:element="place">
          <w:r>
            <w:rPr>
              <w:rFonts w:ascii="Arial" w:hAnsi="Arial" w:cs="Arial"/>
              <w:sz w:val="20"/>
            </w:rPr>
            <w:t>Dunedin</w:t>
          </w:r>
        </w:smartTag>
      </w:smartTag>
      <w:r>
        <w:rPr>
          <w:rFonts w:ascii="Arial" w:hAnsi="Arial" w:cs="Arial"/>
          <w:sz w:val="20"/>
        </w:rPr>
        <w:t xml:space="preserve"> following a rise in recidivist juvenile offending in both frequency and seriousness, together with a significant rise in school truancy.  One study was on youth health in the city, the other on how well young people were aware of services available to them.  Focus groups of young people presented their views.  The outcome of the studies was the formation of a trust - a Young Welfare Trust - charged with the responsibility of delivering a reduction in truancy, a reduction in juvenile recidivist offending, a reduction in unwanted teenage pregnancies, a reduction in youth suicide, a reduction in the number of young people taken into State care and a reduction in drug and alcohol abuse.  Education was the indisputable key and reintegration to schooling a focus.  Truancy allows for unstructured time and the growth of anti-social behaviour.  It prevents the development of healthy social interaction, the acquisition of language skills, the application of reason and the growth of intellect.  This paper looks at the progression and of the Trust from 70 young people </w:t>
      </w:r>
      <w:r>
        <w:rPr>
          <w:rFonts w:ascii="Arial" w:hAnsi="Arial" w:cs="Arial"/>
          <w:sz w:val="20"/>
        </w:rPr>
        <w:lastRenderedPageBreak/>
        <w:t>referred from schools and Youth Aid in its first year to the 300 current referrals and speaks of some of its achievements.</w:t>
      </w:r>
    </w:p>
    <w:p w14:paraId="45102A18" w14:textId="77777777" w:rsidR="00693223" w:rsidRDefault="00693223">
      <w:pPr>
        <w:jc w:val="both"/>
        <w:rPr>
          <w:rFonts w:ascii="Arial" w:hAnsi="Arial" w:cs="Arial"/>
          <w:sz w:val="20"/>
        </w:rPr>
      </w:pPr>
    </w:p>
    <w:p w14:paraId="182BB9A8"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19</w:t>
      </w:r>
    </w:p>
    <w:p w14:paraId="607E1AD3" w14:textId="77777777" w:rsidR="00693223" w:rsidRDefault="00693223">
      <w:pPr>
        <w:keepNext/>
        <w:keepLines/>
        <w:jc w:val="both"/>
        <w:rPr>
          <w:rFonts w:ascii="Arial" w:hAnsi="Arial" w:cs="Arial"/>
          <w:b/>
          <w:bCs/>
          <w:sz w:val="32"/>
        </w:rPr>
      </w:pPr>
      <w:r>
        <w:rPr>
          <w:rFonts w:ascii="Arial" w:hAnsi="Arial" w:cs="Arial"/>
          <w:b/>
          <w:bCs/>
        </w:rPr>
        <w:t>Children's Participation in the Inquisitorial System</w:t>
      </w:r>
    </w:p>
    <w:p w14:paraId="60D804B7" w14:textId="77777777" w:rsidR="00693223" w:rsidRDefault="00693223">
      <w:pPr>
        <w:jc w:val="both"/>
        <w:rPr>
          <w:rFonts w:ascii="Arial" w:hAnsi="Arial" w:cs="Arial"/>
          <w:sz w:val="20"/>
        </w:rPr>
      </w:pPr>
      <w:r>
        <w:rPr>
          <w:rFonts w:ascii="Arial" w:hAnsi="Arial" w:cs="Arial"/>
          <w:sz w:val="20"/>
        </w:rPr>
        <w:t xml:space="preserve">Judge </w:t>
      </w:r>
      <w:proofErr w:type="spellStart"/>
      <w:r>
        <w:rPr>
          <w:rFonts w:ascii="Arial" w:hAnsi="Arial" w:cs="Arial"/>
          <w:sz w:val="20"/>
        </w:rPr>
        <w:t>Herlinde</w:t>
      </w:r>
      <w:proofErr w:type="spellEnd"/>
      <w:r>
        <w:rPr>
          <w:rFonts w:ascii="Arial" w:hAnsi="Arial" w:cs="Arial"/>
          <w:sz w:val="20"/>
        </w:rPr>
        <w:t xml:space="preserve"> Van de </w:t>
      </w:r>
      <w:proofErr w:type="spellStart"/>
      <w:r>
        <w:rPr>
          <w:rFonts w:ascii="Arial" w:hAnsi="Arial" w:cs="Arial"/>
          <w:sz w:val="20"/>
        </w:rPr>
        <w:t>Wynckel</w:t>
      </w:r>
      <w:proofErr w:type="spellEnd"/>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Juvenile</w:t>
          </w:r>
        </w:smartTag>
        <w:r>
          <w:rPr>
            <w:rFonts w:ascii="Arial" w:hAnsi="Arial" w:cs="Arial"/>
            <w:sz w:val="20"/>
          </w:rPr>
          <w:t xml:space="preserve"> Court, </w:t>
        </w:r>
        <w:smartTag w:uri="urn:schemas-microsoft-com:office:smarttags" w:element="country-region">
          <w:r>
            <w:rPr>
              <w:rFonts w:ascii="Arial" w:hAnsi="Arial" w:cs="Arial"/>
              <w:sz w:val="20"/>
            </w:rPr>
            <w:t>Belgium</w:t>
          </w:r>
        </w:smartTag>
      </w:smartTag>
      <w:r>
        <w:rPr>
          <w:rFonts w:ascii="Arial" w:hAnsi="Arial" w:cs="Arial"/>
          <w:sz w:val="20"/>
        </w:rPr>
        <w:t>)</w:t>
      </w:r>
    </w:p>
    <w:p w14:paraId="5A39C82E" w14:textId="77777777" w:rsidR="00693223" w:rsidRDefault="00693223">
      <w:pPr>
        <w:spacing w:before="120"/>
        <w:jc w:val="both"/>
        <w:rPr>
          <w:rFonts w:ascii="Arial" w:hAnsi="Arial" w:cs="Arial"/>
          <w:sz w:val="20"/>
        </w:rPr>
      </w:pPr>
      <w:r>
        <w:rPr>
          <w:rFonts w:ascii="Arial" w:hAnsi="Arial" w:cs="Arial"/>
          <w:sz w:val="20"/>
        </w:rPr>
        <w:t xml:space="preserve">This paper summarises how the inquisitorial system works in </w:t>
      </w:r>
      <w:smartTag w:uri="urn:schemas-microsoft-com:office:smarttags" w:element="country-region">
        <w:smartTag w:uri="urn:schemas-microsoft-com:office:smarttags" w:element="place">
          <w:r>
            <w:rPr>
              <w:rFonts w:ascii="Arial" w:hAnsi="Arial" w:cs="Arial"/>
              <w:sz w:val="20"/>
            </w:rPr>
            <w:t>Belgium</w:t>
          </w:r>
        </w:smartTag>
      </w:smartTag>
      <w:r>
        <w:rPr>
          <w:rFonts w:ascii="Arial" w:hAnsi="Arial" w:cs="Arial"/>
          <w:sz w:val="20"/>
        </w:rPr>
        <w:t xml:space="preserve"> and discusses minors as parties in legal proceedings under 3 heads:</w:t>
      </w:r>
    </w:p>
    <w:p w14:paraId="75C17588" w14:textId="77777777" w:rsidR="00693223" w:rsidRDefault="00693223">
      <w:pPr>
        <w:numPr>
          <w:ilvl w:val="0"/>
          <w:numId w:val="24"/>
        </w:numPr>
        <w:jc w:val="both"/>
        <w:rPr>
          <w:rFonts w:ascii="Arial" w:hAnsi="Arial" w:cs="Arial"/>
          <w:sz w:val="20"/>
        </w:rPr>
      </w:pPr>
      <w:r>
        <w:rPr>
          <w:rFonts w:ascii="Arial" w:hAnsi="Arial" w:cs="Arial"/>
          <w:sz w:val="20"/>
        </w:rPr>
        <w:t>Juvenile law, encompassing juvenile delinquency and child protection.</w:t>
      </w:r>
    </w:p>
    <w:p w14:paraId="19C6E708" w14:textId="77777777" w:rsidR="00693223" w:rsidRDefault="00693223">
      <w:pPr>
        <w:numPr>
          <w:ilvl w:val="0"/>
          <w:numId w:val="24"/>
        </w:numPr>
        <w:jc w:val="both"/>
        <w:rPr>
          <w:rFonts w:ascii="Arial" w:hAnsi="Arial" w:cs="Arial"/>
          <w:sz w:val="20"/>
        </w:rPr>
      </w:pPr>
      <w:r>
        <w:rPr>
          <w:rFonts w:ascii="Arial" w:hAnsi="Arial" w:cs="Arial"/>
          <w:sz w:val="20"/>
        </w:rPr>
        <w:t>Civil proceedings.</w:t>
      </w:r>
    </w:p>
    <w:p w14:paraId="7E99E4DC" w14:textId="77777777" w:rsidR="00693223" w:rsidRDefault="00693223">
      <w:pPr>
        <w:numPr>
          <w:ilvl w:val="0"/>
          <w:numId w:val="24"/>
        </w:numPr>
        <w:jc w:val="both"/>
        <w:rPr>
          <w:rFonts w:ascii="Arial" w:hAnsi="Arial" w:cs="Arial"/>
          <w:sz w:val="20"/>
        </w:rPr>
      </w:pPr>
      <w:r>
        <w:rPr>
          <w:rFonts w:ascii="Arial" w:hAnsi="Arial" w:cs="Arial"/>
          <w:sz w:val="20"/>
        </w:rPr>
        <w:t>Criminal proceedings against adults with minors as victims.</w:t>
      </w:r>
    </w:p>
    <w:p w14:paraId="70EDCCA5" w14:textId="77777777" w:rsidR="00693223" w:rsidRDefault="00693223">
      <w:pPr>
        <w:jc w:val="both"/>
        <w:rPr>
          <w:rFonts w:ascii="Arial" w:hAnsi="Arial" w:cs="Arial"/>
          <w:sz w:val="20"/>
        </w:rPr>
      </w:pPr>
    </w:p>
    <w:p w14:paraId="6DD0D88A"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20</w:t>
      </w:r>
    </w:p>
    <w:p w14:paraId="0010170E" w14:textId="77777777" w:rsidR="00693223" w:rsidRDefault="00693223">
      <w:pPr>
        <w:keepNext/>
        <w:keepLines/>
        <w:jc w:val="both"/>
        <w:rPr>
          <w:rFonts w:ascii="Arial" w:hAnsi="Arial" w:cs="Arial"/>
          <w:b/>
          <w:bCs/>
        </w:rPr>
      </w:pPr>
      <w:r>
        <w:rPr>
          <w:rFonts w:ascii="Arial" w:hAnsi="Arial" w:cs="Arial"/>
          <w:b/>
          <w:bCs/>
        </w:rPr>
        <w:t>The Rights of the Child and African Traditions</w:t>
      </w:r>
    </w:p>
    <w:p w14:paraId="04511D60" w14:textId="77777777" w:rsidR="00693223" w:rsidRDefault="00693223">
      <w:pPr>
        <w:jc w:val="both"/>
        <w:rPr>
          <w:rFonts w:ascii="Arial" w:hAnsi="Arial" w:cs="Arial"/>
          <w:sz w:val="20"/>
        </w:rPr>
      </w:pPr>
      <w:r>
        <w:rPr>
          <w:rFonts w:ascii="Arial" w:hAnsi="Arial" w:cs="Arial"/>
          <w:sz w:val="20"/>
        </w:rPr>
        <w:t xml:space="preserve">Judge </w:t>
      </w:r>
      <w:proofErr w:type="spellStart"/>
      <w:r>
        <w:rPr>
          <w:rFonts w:ascii="Arial" w:hAnsi="Arial" w:cs="Arial"/>
          <w:sz w:val="20"/>
        </w:rPr>
        <w:t>Dieudonné</w:t>
      </w:r>
      <w:proofErr w:type="spellEnd"/>
      <w:r>
        <w:rPr>
          <w:rFonts w:ascii="Arial" w:hAnsi="Arial" w:cs="Arial"/>
          <w:sz w:val="20"/>
        </w:rPr>
        <w:t xml:space="preserve"> </w:t>
      </w:r>
      <w:proofErr w:type="spellStart"/>
      <w:r>
        <w:rPr>
          <w:rFonts w:ascii="Arial" w:hAnsi="Arial" w:cs="Arial"/>
          <w:sz w:val="20"/>
        </w:rPr>
        <w:t>Eyike</w:t>
      </w:r>
      <w:proofErr w:type="spellEnd"/>
      <w:r>
        <w:rPr>
          <w:rFonts w:ascii="Arial" w:hAnsi="Arial" w:cs="Arial"/>
          <w:sz w:val="20"/>
        </w:rPr>
        <w:t xml:space="preserve">-Vieux (High </w:t>
      </w:r>
      <w:smartTag w:uri="urn:schemas-microsoft-com:office:smarttags" w:element="place">
        <w:smartTag w:uri="urn:schemas-microsoft-com:office:smarttags" w:element="City">
          <w:r>
            <w:rPr>
              <w:rFonts w:ascii="Arial" w:hAnsi="Arial" w:cs="Arial"/>
              <w:sz w:val="20"/>
            </w:rPr>
            <w:t>Court of Justice</w:t>
          </w:r>
        </w:smartTag>
        <w:r>
          <w:rPr>
            <w:rFonts w:ascii="Arial" w:hAnsi="Arial" w:cs="Arial"/>
            <w:sz w:val="20"/>
          </w:rPr>
          <w:t xml:space="preserve">, </w:t>
        </w:r>
        <w:smartTag w:uri="urn:schemas-microsoft-com:office:smarttags" w:element="country-region">
          <w:r>
            <w:rPr>
              <w:rFonts w:ascii="Arial" w:hAnsi="Arial" w:cs="Arial"/>
              <w:sz w:val="20"/>
            </w:rPr>
            <w:t>Cameroon</w:t>
          </w:r>
        </w:smartTag>
      </w:smartTag>
      <w:r>
        <w:rPr>
          <w:rFonts w:ascii="Arial" w:hAnsi="Arial" w:cs="Arial"/>
          <w:sz w:val="20"/>
        </w:rPr>
        <w:t>)</w:t>
      </w:r>
    </w:p>
    <w:p w14:paraId="36E0A293" w14:textId="77777777" w:rsidR="00693223" w:rsidRDefault="00693223">
      <w:pPr>
        <w:spacing w:before="120"/>
        <w:jc w:val="both"/>
        <w:rPr>
          <w:rFonts w:ascii="Arial" w:hAnsi="Arial" w:cs="Arial"/>
          <w:sz w:val="20"/>
        </w:rPr>
      </w:pPr>
      <w:smartTag w:uri="urn:schemas-microsoft-com:office:smarttags" w:element="place">
        <w:r>
          <w:rPr>
            <w:rFonts w:ascii="Arial" w:hAnsi="Arial" w:cs="Arial"/>
            <w:sz w:val="20"/>
          </w:rPr>
          <w:t>Africa</w:t>
        </w:r>
      </w:smartTag>
      <w:r>
        <w:rPr>
          <w:rFonts w:ascii="Arial" w:hAnsi="Arial" w:cs="Arial"/>
          <w:sz w:val="20"/>
        </w:rPr>
        <w:t xml:space="preserve"> is the cradle of humanity.  It is also unfortunately a continent where some scourges like poverty, famine, wars and diseases reign supreme.  Because of numerous external influences, </w:t>
      </w:r>
      <w:smartTag w:uri="urn:schemas-microsoft-com:office:smarttags" w:element="place">
        <w:r>
          <w:rPr>
            <w:rFonts w:ascii="Arial" w:hAnsi="Arial" w:cs="Arial"/>
            <w:sz w:val="20"/>
          </w:rPr>
          <w:t>Africa</w:t>
        </w:r>
      </w:smartTag>
      <w:r>
        <w:rPr>
          <w:rFonts w:ascii="Arial" w:hAnsi="Arial" w:cs="Arial"/>
          <w:sz w:val="20"/>
        </w:rPr>
        <w:t xml:space="preserve"> is equally sandwiched between modernism and its traditions.  Some traditions which are said to be negative constitute an obstacle towards the protection and promotion of children's rights.  Because of these obsolete traditions, a great number of African children live in vulnerable conditions.</w:t>
      </w:r>
    </w:p>
    <w:p w14:paraId="62C9B976" w14:textId="77777777" w:rsidR="00693223" w:rsidRDefault="00693223">
      <w:pPr>
        <w:spacing w:before="120"/>
        <w:jc w:val="both"/>
        <w:rPr>
          <w:rFonts w:ascii="Arial" w:hAnsi="Arial" w:cs="Arial"/>
          <w:sz w:val="20"/>
        </w:rPr>
      </w:pPr>
      <w:r>
        <w:rPr>
          <w:rFonts w:ascii="Arial" w:hAnsi="Arial" w:cs="Arial"/>
          <w:sz w:val="20"/>
        </w:rPr>
        <w:t>What are those traditions?  Can the justice system contribute to their eradication?  If yes, how can it proceed?  Those are some of the questions addressed in this paper.</w:t>
      </w:r>
    </w:p>
    <w:p w14:paraId="6FDCC63F" w14:textId="77777777" w:rsidR="00693223" w:rsidRDefault="00693223">
      <w:pPr>
        <w:spacing w:before="120"/>
        <w:jc w:val="both"/>
        <w:rPr>
          <w:rFonts w:ascii="Arial" w:hAnsi="Arial" w:cs="Arial"/>
          <w:sz w:val="20"/>
        </w:rPr>
      </w:pPr>
      <w:r>
        <w:rPr>
          <w:rFonts w:ascii="Arial" w:hAnsi="Arial" w:cs="Arial"/>
          <w:sz w:val="20"/>
        </w:rPr>
        <w:t>The traditions that hamper the rights of the African child are:</w:t>
      </w:r>
    </w:p>
    <w:p w14:paraId="03AE4BB0" w14:textId="77777777" w:rsidR="00693223" w:rsidRDefault="00693223" w:rsidP="002239D1">
      <w:pPr>
        <w:numPr>
          <w:ilvl w:val="0"/>
          <w:numId w:val="23"/>
        </w:numPr>
        <w:autoSpaceDE w:val="0"/>
        <w:autoSpaceDN w:val="0"/>
        <w:adjustRightInd w:val="0"/>
        <w:ind w:left="419" w:hanging="357"/>
        <w:jc w:val="both"/>
        <w:rPr>
          <w:rFonts w:ascii="Arial" w:hAnsi="Arial" w:cs="Arial"/>
          <w:sz w:val="20"/>
        </w:rPr>
      </w:pPr>
      <w:r>
        <w:rPr>
          <w:rFonts w:ascii="Arial" w:hAnsi="Arial" w:cs="Arial"/>
          <w:sz w:val="20"/>
        </w:rPr>
        <w:t>food restrictions (eggs are forbidden to children in some countries);</w:t>
      </w:r>
    </w:p>
    <w:p w14:paraId="509A4886" w14:textId="77777777" w:rsidR="00693223" w:rsidRDefault="00693223" w:rsidP="002239D1">
      <w:pPr>
        <w:numPr>
          <w:ilvl w:val="0"/>
          <w:numId w:val="23"/>
        </w:numPr>
        <w:autoSpaceDE w:val="0"/>
        <w:autoSpaceDN w:val="0"/>
        <w:adjustRightInd w:val="0"/>
        <w:ind w:left="419" w:hanging="357"/>
        <w:jc w:val="both"/>
        <w:rPr>
          <w:rFonts w:ascii="Arial" w:hAnsi="Arial" w:cs="Arial"/>
          <w:sz w:val="20"/>
        </w:rPr>
      </w:pPr>
      <w:r>
        <w:rPr>
          <w:rFonts w:ascii="Arial" w:hAnsi="Arial" w:cs="Arial"/>
          <w:sz w:val="20"/>
        </w:rPr>
        <w:t>apprehension vis-à-vis the school (emerging tradition); and</w:t>
      </w:r>
    </w:p>
    <w:p w14:paraId="49DD0F40" w14:textId="77777777" w:rsidR="00693223" w:rsidRDefault="00693223" w:rsidP="002239D1">
      <w:pPr>
        <w:numPr>
          <w:ilvl w:val="0"/>
          <w:numId w:val="23"/>
        </w:numPr>
        <w:autoSpaceDE w:val="0"/>
        <w:autoSpaceDN w:val="0"/>
        <w:adjustRightInd w:val="0"/>
        <w:ind w:left="419" w:hanging="357"/>
        <w:jc w:val="both"/>
        <w:rPr>
          <w:rFonts w:ascii="Arial" w:hAnsi="Arial" w:cs="Arial"/>
          <w:sz w:val="20"/>
        </w:rPr>
      </w:pPr>
      <w:r>
        <w:rPr>
          <w:rFonts w:ascii="Arial" w:hAnsi="Arial" w:cs="Arial"/>
          <w:sz w:val="20"/>
        </w:rPr>
        <w:t>abuse in respect of bride-price (young people cannot get married easily).</w:t>
      </w:r>
    </w:p>
    <w:p w14:paraId="409EEA88" w14:textId="77777777" w:rsidR="00693223" w:rsidRDefault="00693223">
      <w:pPr>
        <w:jc w:val="both"/>
        <w:rPr>
          <w:rFonts w:ascii="Arial" w:hAnsi="Arial" w:cs="Arial"/>
          <w:sz w:val="20"/>
        </w:rPr>
      </w:pPr>
      <w:r>
        <w:rPr>
          <w:rFonts w:ascii="Arial" w:hAnsi="Arial" w:cs="Arial"/>
          <w:sz w:val="20"/>
        </w:rPr>
        <w:t>The girl is particularly penalised here.  She is a victim of excision or 'infibulation' which involves a total or partial closure of the vagina (almost half the African countries practice this), early or forced marriages (the youngest grandmother on earth is 16 and she is Nigerian), discriminations of all kind especially in the domain of education and the right to inherit.  The boy ensures the perpetuation of the family.  The girl enriches someone else's family.</w:t>
      </w:r>
    </w:p>
    <w:p w14:paraId="2B984CE8" w14:textId="77777777" w:rsidR="00693223" w:rsidRDefault="00693223">
      <w:pPr>
        <w:spacing w:before="120"/>
        <w:jc w:val="both"/>
        <w:rPr>
          <w:rFonts w:ascii="Arial" w:hAnsi="Arial" w:cs="Arial"/>
          <w:sz w:val="20"/>
        </w:rPr>
      </w:pPr>
      <w:r>
        <w:rPr>
          <w:rFonts w:ascii="Arial" w:hAnsi="Arial" w:cs="Arial"/>
          <w:sz w:val="20"/>
        </w:rPr>
        <w:t>The law condemns those traditions in almost all African countries.  Magistrates and judges more and more are making courageous decisions in that domain.  But retrograde mentalities, unawareness of the laws and the influence of some traditional chiefs still prevail.</w:t>
      </w:r>
    </w:p>
    <w:p w14:paraId="0CCB3088" w14:textId="77777777" w:rsidR="00693223" w:rsidRDefault="00693223">
      <w:pPr>
        <w:spacing w:before="120"/>
        <w:jc w:val="both"/>
        <w:rPr>
          <w:rFonts w:ascii="Arial" w:hAnsi="Arial" w:cs="Arial"/>
          <w:sz w:val="20"/>
        </w:rPr>
      </w:pPr>
      <w:r>
        <w:rPr>
          <w:rFonts w:ascii="Arial" w:hAnsi="Arial" w:cs="Arial"/>
          <w:sz w:val="20"/>
        </w:rPr>
        <w:t>Hope lies in the new generation of magistrates and judges, the recent creation of the African Court of Human Rights and a growing consciousness at the international level.</w:t>
      </w:r>
    </w:p>
    <w:p w14:paraId="6A11997C" w14:textId="77777777" w:rsidR="00ED3628" w:rsidRDefault="00ED3628" w:rsidP="00F43701">
      <w:pPr>
        <w:rPr>
          <w:rFonts w:ascii="Arial" w:hAnsi="Arial" w:cs="Arial"/>
          <w:sz w:val="20"/>
        </w:rPr>
      </w:pPr>
    </w:p>
    <w:p w14:paraId="403A2036" w14:textId="77777777" w:rsidR="00F43701" w:rsidRDefault="00F43701" w:rsidP="00F43701">
      <w:pPr>
        <w:pBdr>
          <w:top w:val="single" w:sz="4" w:space="1" w:color="auto"/>
        </w:pBdr>
        <w:rPr>
          <w:rFonts w:ascii="Arial" w:hAnsi="Arial" w:cs="Arial"/>
          <w:sz w:val="20"/>
        </w:rPr>
      </w:pPr>
    </w:p>
    <w:p w14:paraId="10F27C41" w14:textId="77777777" w:rsidR="00F43701" w:rsidRPr="00F43701" w:rsidRDefault="00F43701" w:rsidP="00F43701">
      <w:pPr>
        <w:jc w:val="both"/>
        <w:rPr>
          <w:rFonts w:ascii="Arial" w:hAnsi="Arial" w:cs="Arial"/>
          <w:sz w:val="20"/>
        </w:rPr>
      </w:pPr>
      <w:r>
        <w:rPr>
          <w:rFonts w:ascii="Arial" w:hAnsi="Arial" w:cs="Arial"/>
          <w:sz w:val="20"/>
        </w:rPr>
        <w:t>A number of papers with relevance to parents, children and families were delivered at the 9</w:t>
      </w:r>
      <w:r w:rsidRPr="00F43701">
        <w:rPr>
          <w:rFonts w:ascii="Arial" w:hAnsi="Arial" w:cs="Arial"/>
          <w:sz w:val="20"/>
          <w:vertAlign w:val="superscript"/>
        </w:rPr>
        <w:t>th</w:t>
      </w:r>
      <w:r>
        <w:rPr>
          <w:rFonts w:ascii="Arial" w:hAnsi="Arial" w:cs="Arial"/>
          <w:sz w:val="20"/>
        </w:rPr>
        <w:t xml:space="preserve"> Australian Institute of Family Studies Conference in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xml:space="preserve"> in February 2005 and are available at </w:t>
      </w:r>
      <w:hyperlink r:id="rId21" w:history="1">
        <w:r w:rsidR="00EE45D1" w:rsidRPr="007B2FAF">
          <w:rPr>
            <w:rStyle w:val="Hyperlink"/>
            <w:rFonts w:ascii="Arial" w:hAnsi="Arial" w:cs="Arial"/>
            <w:sz w:val="20"/>
          </w:rPr>
          <w:t>http://www.aifs.gov.au/institute/afrc9/papers.html</w:t>
        </w:r>
      </w:hyperlink>
      <w:r>
        <w:rPr>
          <w:rFonts w:ascii="Arial" w:hAnsi="Arial" w:cs="Arial"/>
          <w:sz w:val="20"/>
        </w:rPr>
        <w:t>.</w:t>
      </w:r>
    </w:p>
    <w:p w14:paraId="41958BC6" w14:textId="77777777" w:rsidR="00F43701" w:rsidRDefault="00F43701">
      <w:pPr>
        <w:jc w:val="both"/>
        <w:rPr>
          <w:rFonts w:ascii="Arial" w:hAnsi="Arial" w:cs="Arial"/>
          <w:sz w:val="20"/>
        </w:rPr>
      </w:pPr>
    </w:p>
    <w:p w14:paraId="212013AF" w14:textId="6CAD38AA" w:rsidR="00693223" w:rsidRDefault="002237AE">
      <w:pPr>
        <w:jc w:val="center"/>
      </w:pPr>
      <w:r>
        <w:rPr>
          <w:noProof/>
        </w:rPr>
        <w:drawing>
          <wp:inline distT="0" distB="0" distL="0" distR="0" wp14:anchorId="48366CE5" wp14:editId="07052D73">
            <wp:extent cx="1801495"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1495" cy="416560"/>
                    </a:xfrm>
                    <a:prstGeom prst="rect">
                      <a:avLst/>
                    </a:prstGeom>
                    <a:noFill/>
                    <a:ln>
                      <a:noFill/>
                    </a:ln>
                  </pic:spPr>
                </pic:pic>
              </a:graphicData>
            </a:graphic>
          </wp:inline>
        </w:drawing>
      </w:r>
    </w:p>
    <w:sectPr w:rsidR="00693223">
      <w:type w:val="continuous"/>
      <w:pgSz w:w="11906" w:h="16838" w:code="9"/>
      <w:pgMar w:top="1298" w:right="1797" w:bottom="1298"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BAF11" w14:textId="77777777" w:rsidR="00A262FE" w:rsidRDefault="00A262FE">
      <w:r>
        <w:separator/>
      </w:r>
    </w:p>
  </w:endnote>
  <w:endnote w:type="continuationSeparator" w:id="0">
    <w:p w14:paraId="155A3A4F" w14:textId="77777777" w:rsidR="00A262FE" w:rsidRDefault="00A26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5384" w14:textId="77777777" w:rsidR="00F53921" w:rsidRDefault="00F53921">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B50940">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7D69DA19" w14:textId="74C4B9A8" w:rsidR="00F53921" w:rsidRPr="003D5DFA" w:rsidRDefault="00F53921">
    <w:pPr>
      <w:pStyle w:val="Footer"/>
      <w:rPr>
        <w:color w:val="000000"/>
      </w:rPr>
    </w:pPr>
    <w:r w:rsidRPr="00B05537">
      <w:rPr>
        <w:rStyle w:val="PageNumber"/>
        <w:rFonts w:ascii="Arial" w:hAnsi="Arial" w:cs="Arial"/>
        <w:b/>
        <w:bCs/>
        <w:color w:val="000000"/>
        <w:sz w:val="16"/>
      </w:rPr>
      <w:t xml:space="preserve">Last updated </w:t>
    </w:r>
    <w:r w:rsidR="001202C2">
      <w:rPr>
        <w:rStyle w:val="PageNumber"/>
        <w:rFonts w:ascii="Arial" w:hAnsi="Arial" w:cs="Arial"/>
        <w:b/>
        <w:bCs/>
        <w:color w:val="000000"/>
        <w:sz w:val="16"/>
      </w:rPr>
      <w:t>23</w:t>
    </w:r>
    <w:r w:rsidR="008708AB">
      <w:rPr>
        <w:rStyle w:val="PageNumber"/>
        <w:rFonts w:ascii="Arial" w:hAnsi="Arial" w:cs="Arial"/>
        <w:b/>
        <w:bCs/>
        <w:color w:val="000000"/>
        <w:sz w:val="16"/>
      </w:rPr>
      <w:t xml:space="preserve"> </w:t>
    </w:r>
    <w:r w:rsidR="001202C2">
      <w:rPr>
        <w:rStyle w:val="PageNumber"/>
        <w:rFonts w:ascii="Arial" w:hAnsi="Arial" w:cs="Arial"/>
        <w:b/>
        <w:bCs/>
        <w:color w:val="000000"/>
        <w:sz w:val="16"/>
      </w:rPr>
      <w:t>June</w:t>
    </w:r>
    <w:r w:rsidR="002D1FF3">
      <w:rPr>
        <w:rStyle w:val="PageNumber"/>
        <w:rFonts w:ascii="Arial" w:hAnsi="Arial" w:cs="Arial"/>
        <w:b/>
        <w:bCs/>
        <w:color w:val="000000"/>
        <w:sz w:val="16"/>
      </w:rPr>
      <w:t xml:space="preserve"> 2022</w:t>
    </w:r>
    <w:r w:rsidRPr="003D5DFA">
      <w:rPr>
        <w:rStyle w:val="PageNumber"/>
        <w:rFonts w:ascii="Arial" w:hAnsi="Arial" w:cs="Arial"/>
        <w:b/>
        <w:bCs/>
        <w:color w:val="000000"/>
        <w:sz w:val="18"/>
      </w:rPr>
      <w:tab/>
    </w:r>
    <w:r w:rsidRPr="003D5DFA">
      <w:rPr>
        <w:rStyle w:val="PageNumber"/>
        <w:rFonts w:ascii="Arial" w:hAnsi="Arial" w:cs="Arial"/>
        <w:b/>
        <w:bCs/>
        <w:color w:val="000000"/>
      </w:rPr>
      <w:tab/>
    </w:r>
    <w:r w:rsidRPr="003D5DFA">
      <w:rPr>
        <w:rStyle w:val="PageNumber"/>
        <w:rFonts w:ascii="Arial" w:hAnsi="Arial" w:cs="Arial"/>
        <w:b/>
        <w:bCs/>
        <w:color w:val="000000"/>
        <w:sz w:val="16"/>
      </w:rPr>
      <w:t>4.</w:t>
    </w:r>
    <w:r w:rsidRPr="003D5DFA">
      <w:rPr>
        <w:rStyle w:val="PageNumber"/>
        <w:rFonts w:ascii="Arial" w:hAnsi="Arial" w:cs="Arial"/>
        <w:b/>
        <w:bCs/>
        <w:color w:val="000000"/>
        <w:sz w:val="16"/>
      </w:rPr>
      <w:fldChar w:fldCharType="begin"/>
    </w:r>
    <w:r w:rsidRPr="003D5DFA">
      <w:rPr>
        <w:rStyle w:val="PageNumber"/>
        <w:rFonts w:ascii="Arial" w:hAnsi="Arial" w:cs="Arial"/>
        <w:b/>
        <w:bCs/>
        <w:color w:val="000000"/>
        <w:sz w:val="16"/>
      </w:rPr>
      <w:instrText xml:space="preserve"> PAGE </w:instrText>
    </w:r>
    <w:r w:rsidRPr="003D5DFA">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54</w:t>
    </w:r>
    <w:r w:rsidRPr="003D5DFA">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5FD2" w14:textId="77777777" w:rsidR="00FF1EA6" w:rsidRDefault="00FF1EA6">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58307D">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47D9D20E" w14:textId="25742C55" w:rsidR="00FF1EA6" w:rsidRPr="00B05537" w:rsidRDefault="00FF1EA6">
    <w:pPr>
      <w:pStyle w:val="Footer"/>
      <w:rPr>
        <w:color w:val="000000"/>
      </w:rPr>
    </w:pPr>
    <w:r w:rsidRPr="00B05537">
      <w:rPr>
        <w:rStyle w:val="PageNumber"/>
        <w:rFonts w:ascii="Arial" w:hAnsi="Arial" w:cs="Arial"/>
        <w:b/>
        <w:bCs/>
        <w:color w:val="000000"/>
        <w:sz w:val="16"/>
      </w:rPr>
      <w:t xml:space="preserve">Last updated </w:t>
    </w:r>
    <w:r w:rsidR="001202C2">
      <w:rPr>
        <w:rStyle w:val="PageNumber"/>
        <w:rFonts w:ascii="Arial" w:hAnsi="Arial" w:cs="Arial"/>
        <w:b/>
        <w:bCs/>
        <w:color w:val="000000"/>
        <w:sz w:val="16"/>
      </w:rPr>
      <w:t>23</w:t>
    </w:r>
    <w:r w:rsidR="002D1FF3">
      <w:rPr>
        <w:rStyle w:val="PageNumber"/>
        <w:rFonts w:ascii="Arial" w:hAnsi="Arial" w:cs="Arial"/>
        <w:b/>
        <w:bCs/>
        <w:color w:val="000000"/>
        <w:sz w:val="16"/>
      </w:rPr>
      <w:t xml:space="preserve"> </w:t>
    </w:r>
    <w:r w:rsidR="001202C2">
      <w:rPr>
        <w:rStyle w:val="PageNumber"/>
        <w:rFonts w:ascii="Arial" w:hAnsi="Arial" w:cs="Arial"/>
        <w:b/>
        <w:bCs/>
        <w:color w:val="000000"/>
        <w:sz w:val="16"/>
      </w:rPr>
      <w:t>June</w:t>
    </w:r>
    <w:r w:rsidR="002D1FF3">
      <w:rPr>
        <w:rStyle w:val="PageNumber"/>
        <w:rFonts w:ascii="Arial" w:hAnsi="Arial" w:cs="Arial"/>
        <w:b/>
        <w:bCs/>
        <w:color w:val="000000"/>
        <w:sz w:val="16"/>
      </w:rPr>
      <w:t xml:space="preserve"> 2022</w:t>
    </w:r>
    <w:r w:rsidRPr="00B05537">
      <w:rPr>
        <w:rStyle w:val="PageNumber"/>
        <w:rFonts w:ascii="Arial" w:hAnsi="Arial" w:cs="Arial"/>
        <w:b/>
        <w:bCs/>
        <w:color w:val="000000"/>
        <w:sz w:val="18"/>
      </w:rPr>
      <w:tab/>
    </w:r>
    <w:r w:rsidRPr="00B05537">
      <w:rPr>
        <w:rStyle w:val="PageNumber"/>
        <w:rFonts w:ascii="Arial" w:hAnsi="Arial" w:cs="Arial"/>
        <w:b/>
        <w:bCs/>
        <w:color w:val="000000"/>
      </w:rPr>
      <w:tab/>
    </w:r>
    <w:r w:rsidRPr="00B05537">
      <w:rPr>
        <w:rStyle w:val="PageNumber"/>
        <w:rFonts w:ascii="Arial" w:hAnsi="Arial" w:cs="Arial"/>
        <w:b/>
        <w:bCs/>
        <w:color w:val="000000"/>
        <w:sz w:val="16"/>
      </w:rPr>
      <w:t>4.</w:t>
    </w:r>
    <w:r w:rsidRPr="00B05537">
      <w:rPr>
        <w:rStyle w:val="PageNumber"/>
        <w:rFonts w:ascii="Arial" w:hAnsi="Arial" w:cs="Arial"/>
        <w:b/>
        <w:bCs/>
        <w:color w:val="000000"/>
        <w:sz w:val="16"/>
      </w:rPr>
      <w:fldChar w:fldCharType="begin"/>
    </w:r>
    <w:r w:rsidRPr="00B05537">
      <w:rPr>
        <w:rStyle w:val="PageNumber"/>
        <w:rFonts w:ascii="Arial" w:hAnsi="Arial" w:cs="Arial"/>
        <w:b/>
        <w:bCs/>
        <w:color w:val="000000"/>
        <w:sz w:val="16"/>
      </w:rPr>
      <w:instrText xml:space="preserve"> PAGE </w:instrText>
    </w:r>
    <w:r w:rsidRPr="00B05537">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70</w:t>
    </w:r>
    <w:r w:rsidRPr="00B05537">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5AD76" w14:textId="77777777" w:rsidR="00A262FE" w:rsidRDefault="00A262FE">
      <w:r>
        <w:separator/>
      </w:r>
    </w:p>
  </w:footnote>
  <w:footnote w:type="continuationSeparator" w:id="0">
    <w:p w14:paraId="0804D989" w14:textId="77777777" w:rsidR="00A262FE" w:rsidRDefault="00A262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03F57A23"/>
    <w:multiLevelType w:val="hybridMultilevel"/>
    <w:tmpl w:val="B988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B1F2F"/>
    <w:multiLevelType w:val="hybridMultilevel"/>
    <w:tmpl w:val="6BA072EA"/>
    <w:lvl w:ilvl="0" w:tplc="498025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DC5CDB"/>
    <w:multiLevelType w:val="hybridMultilevel"/>
    <w:tmpl w:val="0F1865FE"/>
    <w:lvl w:ilvl="0" w:tplc="D298CC9A">
      <w:start w:val="2"/>
      <w:numFmt w:val="bullet"/>
      <w:lvlText w:val=""/>
      <w:lvlJc w:val="left"/>
      <w:pPr>
        <w:tabs>
          <w:tab w:val="num" w:pos="420"/>
        </w:tabs>
        <w:ind w:left="420" w:hanging="360"/>
      </w:pPr>
      <w:rPr>
        <w:rFonts w:ascii="Wingdings" w:hAnsi="Wingdings" w:cs="Times New Roman" w:hint="default"/>
        <w:sz w:val="16"/>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79B0579"/>
    <w:multiLevelType w:val="hybridMultilevel"/>
    <w:tmpl w:val="D9F2C79A"/>
    <w:lvl w:ilvl="0" w:tplc="E3CE0E82">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86B161C"/>
    <w:multiLevelType w:val="hybridMultilevel"/>
    <w:tmpl w:val="CA9A0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0929B3"/>
    <w:multiLevelType w:val="hybridMultilevel"/>
    <w:tmpl w:val="C27E09C0"/>
    <w:lvl w:ilvl="0" w:tplc="E6C2333C">
      <w:start w:val="1"/>
      <w:numFmt w:val="bullet"/>
      <w:lvlText w:val=""/>
      <w:lvlJc w:val="left"/>
      <w:pPr>
        <w:tabs>
          <w:tab w:val="num" w:pos="1004"/>
        </w:tabs>
        <w:ind w:left="1004" w:hanging="360"/>
      </w:pPr>
      <w:rPr>
        <w:rFonts w:ascii="Symbol" w:hAnsi="Symbol" w:hint="default"/>
        <w:b w:val="0"/>
        <w:i w:val="0"/>
        <w:color w:val="000000"/>
        <w:sz w:val="24"/>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4B1FF2"/>
    <w:multiLevelType w:val="hybridMultilevel"/>
    <w:tmpl w:val="A25E5D86"/>
    <w:lvl w:ilvl="0" w:tplc="0C090001">
      <w:start w:val="1"/>
      <w:numFmt w:val="bullet"/>
      <w:lvlText w:val=""/>
      <w:lvlJc w:val="left"/>
      <w:pPr>
        <w:tabs>
          <w:tab w:val="num" w:pos="1004"/>
        </w:tabs>
        <w:ind w:left="1004" w:hanging="360"/>
      </w:pPr>
      <w:rPr>
        <w:rFonts w:ascii="Symbol" w:hAnsi="Symbol" w:hint="default"/>
        <w:b w:val="0"/>
        <w:i w:val="0"/>
        <w:sz w:val="20"/>
        <w:szCs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0C751069"/>
    <w:multiLevelType w:val="hybridMultilevel"/>
    <w:tmpl w:val="727445E2"/>
    <w:lvl w:ilvl="0" w:tplc="FFFFFFFF">
      <w:start w:val="1"/>
      <w:numFmt w:val="bullet"/>
      <w:lvlText w:val=""/>
      <w:lvlJc w:val="left"/>
      <w:pPr>
        <w:tabs>
          <w:tab w:val="num" w:pos="420"/>
        </w:tabs>
        <w:ind w:left="420" w:hanging="360"/>
      </w:pPr>
      <w:rPr>
        <w:rFonts w:ascii="Symbol" w:hAnsi="Symbol"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0" w15:restartNumberingAfterBreak="0">
    <w:nsid w:val="0E766AD8"/>
    <w:multiLevelType w:val="multilevel"/>
    <w:tmpl w:val="27C8AF64"/>
    <w:lvl w:ilvl="0">
      <w:start w:val="1"/>
      <w:numFmt w:val="decimal"/>
      <w:lvlText w:val="%1."/>
      <w:lvlJc w:val="left"/>
      <w:pPr>
        <w:tabs>
          <w:tab w:val="num" w:pos="431"/>
        </w:tabs>
        <w:ind w:left="431" w:hanging="431"/>
      </w:pPr>
      <w:rPr>
        <w:rFonts w:hint="default"/>
      </w:rPr>
    </w:lvl>
    <w:lvl w:ilvl="1">
      <w:start w:val="1"/>
      <w:numFmt w:val="lowerLetter"/>
      <w:lvlText w:val="%2)"/>
      <w:lvlJc w:val="left"/>
      <w:pPr>
        <w:tabs>
          <w:tab w:val="num" w:pos="360"/>
        </w:tabs>
        <w:ind w:left="0" w:firstLine="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C25341"/>
    <w:multiLevelType w:val="hybridMultilevel"/>
    <w:tmpl w:val="4B86B22A"/>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18C20AB1"/>
    <w:multiLevelType w:val="hybridMultilevel"/>
    <w:tmpl w:val="CA04A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62497F"/>
    <w:multiLevelType w:val="hybridMultilevel"/>
    <w:tmpl w:val="AA48F702"/>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1E1542A2"/>
    <w:multiLevelType w:val="hybridMultilevel"/>
    <w:tmpl w:val="19367B96"/>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EF60D39"/>
    <w:multiLevelType w:val="hybridMultilevel"/>
    <w:tmpl w:val="CC403574"/>
    <w:lvl w:ilvl="0" w:tplc="36E2E596">
      <w:start w:val="2"/>
      <w:numFmt w:val="bullet"/>
      <w:lvlText w:val=""/>
      <w:lvlJc w:val="left"/>
      <w:pPr>
        <w:tabs>
          <w:tab w:val="num" w:pos="735"/>
        </w:tabs>
        <w:ind w:left="735" w:hanging="363"/>
      </w:pPr>
      <w:rPr>
        <w:rFonts w:ascii="Wingdings 2" w:hAnsi="Wingdings 2" w:hint="default"/>
        <w:sz w:val="20"/>
      </w:rPr>
    </w:lvl>
    <w:lvl w:ilvl="1" w:tplc="04090019" w:tentative="1">
      <w:start w:val="1"/>
      <w:numFmt w:val="lowerLetter"/>
      <w:lvlText w:val="%2."/>
      <w:lvlJc w:val="left"/>
      <w:pPr>
        <w:tabs>
          <w:tab w:val="num" w:pos="1452"/>
        </w:tabs>
        <w:ind w:left="1452" w:hanging="360"/>
      </w:pPr>
    </w:lvl>
    <w:lvl w:ilvl="2" w:tplc="0409001B" w:tentative="1">
      <w:start w:val="1"/>
      <w:numFmt w:val="lowerRoman"/>
      <w:lvlText w:val="%3."/>
      <w:lvlJc w:val="right"/>
      <w:pPr>
        <w:tabs>
          <w:tab w:val="num" w:pos="2172"/>
        </w:tabs>
        <w:ind w:left="2172" w:hanging="180"/>
      </w:pPr>
    </w:lvl>
    <w:lvl w:ilvl="3" w:tplc="0409000F" w:tentative="1">
      <w:start w:val="1"/>
      <w:numFmt w:val="decimal"/>
      <w:lvlText w:val="%4."/>
      <w:lvlJc w:val="left"/>
      <w:pPr>
        <w:tabs>
          <w:tab w:val="num" w:pos="2892"/>
        </w:tabs>
        <w:ind w:left="2892" w:hanging="360"/>
      </w:pPr>
    </w:lvl>
    <w:lvl w:ilvl="4" w:tplc="04090019" w:tentative="1">
      <w:start w:val="1"/>
      <w:numFmt w:val="lowerLetter"/>
      <w:lvlText w:val="%5."/>
      <w:lvlJc w:val="left"/>
      <w:pPr>
        <w:tabs>
          <w:tab w:val="num" w:pos="3612"/>
        </w:tabs>
        <w:ind w:left="3612" w:hanging="360"/>
      </w:pPr>
    </w:lvl>
    <w:lvl w:ilvl="5" w:tplc="0409001B" w:tentative="1">
      <w:start w:val="1"/>
      <w:numFmt w:val="lowerRoman"/>
      <w:lvlText w:val="%6."/>
      <w:lvlJc w:val="right"/>
      <w:pPr>
        <w:tabs>
          <w:tab w:val="num" w:pos="4332"/>
        </w:tabs>
        <w:ind w:left="4332" w:hanging="180"/>
      </w:pPr>
    </w:lvl>
    <w:lvl w:ilvl="6" w:tplc="0409000F" w:tentative="1">
      <w:start w:val="1"/>
      <w:numFmt w:val="decimal"/>
      <w:lvlText w:val="%7."/>
      <w:lvlJc w:val="left"/>
      <w:pPr>
        <w:tabs>
          <w:tab w:val="num" w:pos="5052"/>
        </w:tabs>
        <w:ind w:left="5052" w:hanging="360"/>
      </w:pPr>
    </w:lvl>
    <w:lvl w:ilvl="7" w:tplc="04090019" w:tentative="1">
      <w:start w:val="1"/>
      <w:numFmt w:val="lowerLetter"/>
      <w:lvlText w:val="%8."/>
      <w:lvlJc w:val="left"/>
      <w:pPr>
        <w:tabs>
          <w:tab w:val="num" w:pos="5772"/>
        </w:tabs>
        <w:ind w:left="5772" w:hanging="360"/>
      </w:pPr>
    </w:lvl>
    <w:lvl w:ilvl="8" w:tplc="0409001B" w:tentative="1">
      <w:start w:val="1"/>
      <w:numFmt w:val="lowerRoman"/>
      <w:lvlText w:val="%9."/>
      <w:lvlJc w:val="right"/>
      <w:pPr>
        <w:tabs>
          <w:tab w:val="num" w:pos="6492"/>
        </w:tabs>
        <w:ind w:left="6492" w:hanging="180"/>
      </w:pPr>
    </w:lvl>
  </w:abstractNum>
  <w:abstractNum w:abstractNumId="16"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7B6395"/>
    <w:multiLevelType w:val="hybridMultilevel"/>
    <w:tmpl w:val="8DAA2878"/>
    <w:lvl w:ilvl="0" w:tplc="04463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6B409EC"/>
    <w:multiLevelType w:val="hybridMultilevel"/>
    <w:tmpl w:val="B96E3A6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FD6E21"/>
    <w:multiLevelType w:val="hybridMultilevel"/>
    <w:tmpl w:val="84B6BA60"/>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B32F9B"/>
    <w:multiLevelType w:val="hybridMultilevel"/>
    <w:tmpl w:val="EC9CE662"/>
    <w:lvl w:ilvl="0" w:tplc="0C3CC648">
      <w:start w:val="1"/>
      <w:numFmt w:val="lowerRoman"/>
      <w:pStyle w:val="ListNumber"/>
      <w:lvlText w:val="%1."/>
      <w:lvlJc w:val="left"/>
      <w:pPr>
        <w:tabs>
          <w:tab w:val="num" w:pos="720"/>
        </w:tabs>
        <w:ind w:left="363" w:hanging="363"/>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2AFB1D9E"/>
    <w:multiLevelType w:val="hybridMultilevel"/>
    <w:tmpl w:val="B9D6BF8E"/>
    <w:lvl w:ilvl="0" w:tplc="0409000F">
      <w:start w:val="1"/>
      <w:numFmt w:val="decimal"/>
      <w:lvlText w:val="%1."/>
      <w:lvlJc w:val="left"/>
      <w:pPr>
        <w:tabs>
          <w:tab w:val="num" w:pos="720"/>
        </w:tabs>
        <w:ind w:left="720" w:hanging="360"/>
      </w:pPr>
    </w:lvl>
    <w:lvl w:ilvl="1" w:tplc="44C0FEB8">
      <w:start w:val="1"/>
      <w:numFmt w:val="lowerLetter"/>
      <w:lvlText w:val="(%2)"/>
      <w:lvlJc w:val="left"/>
      <w:pPr>
        <w:tabs>
          <w:tab w:val="num" w:pos="1800"/>
        </w:tabs>
        <w:ind w:left="1800" w:hanging="720"/>
      </w:pPr>
      <w:rPr>
        <w:rFonts w:hint="default"/>
      </w:rPr>
    </w:lvl>
    <w:lvl w:ilvl="2" w:tplc="2642369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D3F096A"/>
    <w:multiLevelType w:val="hybridMultilevel"/>
    <w:tmpl w:val="BC522DD6"/>
    <w:lvl w:ilvl="0" w:tplc="7402E1C2">
      <w:start w:val="1"/>
      <w:numFmt w:val="bullet"/>
      <w:lvlText w:val=""/>
      <w:lvlJc w:val="left"/>
      <w:pPr>
        <w:tabs>
          <w:tab w:val="num" w:pos="0"/>
        </w:tabs>
        <w:ind w:left="1003" w:hanging="283"/>
      </w:pPr>
      <w:rPr>
        <w:rFonts w:ascii="Symbol" w:hAnsi="Symbol" w:hint="default"/>
        <w:color w:val="000000"/>
      </w:rPr>
    </w:lvl>
    <w:lvl w:ilvl="1" w:tplc="E4DC48A8">
      <w:start w:val="1"/>
      <w:numFmt w:val="bullet"/>
      <w:lvlText w:val=""/>
      <w:lvlJc w:val="left"/>
      <w:pPr>
        <w:tabs>
          <w:tab w:val="num" w:pos="1020"/>
        </w:tabs>
        <w:ind w:left="1363" w:hanging="283"/>
      </w:pPr>
      <w:rPr>
        <w:rFonts w:ascii="Symbol" w:hAnsi="Symbol" w:hint="default"/>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BF42AD"/>
    <w:multiLevelType w:val="hybridMultilevel"/>
    <w:tmpl w:val="5B58A964"/>
    <w:lvl w:ilvl="0" w:tplc="8FF2C78C">
      <w:start w:val="2"/>
      <w:numFmt w:val="bullet"/>
      <w:lvlText w:val=""/>
      <w:lvlJc w:val="left"/>
      <w:pPr>
        <w:tabs>
          <w:tab w:val="num" w:pos="363"/>
        </w:tabs>
        <w:ind w:left="363" w:hanging="363"/>
      </w:pPr>
      <w:rPr>
        <w:rFonts w:ascii="Wingdings 2" w:hAnsi="Wingdings 2" w:hint="default"/>
        <w:sz w:val="20"/>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9B1FE1"/>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25" w15:restartNumberingAfterBreak="0">
    <w:nsid w:val="300615A2"/>
    <w:multiLevelType w:val="hybridMultilevel"/>
    <w:tmpl w:val="390030FA"/>
    <w:lvl w:ilvl="0" w:tplc="1A9EA4FE">
      <w:numFmt w:val="bullet"/>
      <w:lvlText w:val=""/>
      <w:lvlJc w:val="left"/>
      <w:pPr>
        <w:tabs>
          <w:tab w:val="num" w:pos="644"/>
        </w:tabs>
        <w:ind w:left="644" w:hanging="360"/>
      </w:pPr>
      <w:rPr>
        <w:rFonts w:ascii="Wingdings" w:hAnsi="Wingdings" w:cs="Times New Roman" w:hint="default"/>
        <w:color w:val="000000"/>
        <w:sz w:val="24"/>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0172C9F"/>
    <w:multiLevelType w:val="hybridMultilevel"/>
    <w:tmpl w:val="9B16106C"/>
    <w:lvl w:ilvl="0" w:tplc="EBF6FE8E">
      <w:start w:val="1"/>
      <w:numFmt w:val="lowerRoman"/>
      <w:lvlText w:val="%1."/>
      <w:lvlJc w:val="left"/>
      <w:pPr>
        <w:tabs>
          <w:tab w:val="num" w:pos="1083"/>
        </w:tabs>
        <w:ind w:left="720" w:hanging="357"/>
      </w:pPr>
      <w:rPr>
        <w:rFonts w:hint="default"/>
      </w:rPr>
    </w:lvl>
    <w:lvl w:ilvl="1" w:tplc="8FF2C78C">
      <w:start w:val="2"/>
      <w:numFmt w:val="bullet"/>
      <w:lvlText w:val=""/>
      <w:lvlJc w:val="left"/>
      <w:pPr>
        <w:tabs>
          <w:tab w:val="num" w:pos="1806"/>
        </w:tabs>
        <w:ind w:left="1806" w:hanging="363"/>
      </w:pPr>
      <w:rPr>
        <w:rFonts w:ascii="Wingdings 2" w:hAnsi="Wingdings 2" w:hint="default"/>
        <w:sz w:val="20"/>
      </w:rPr>
    </w:lvl>
    <w:lvl w:ilvl="2" w:tplc="0409001B" w:tentative="1">
      <w:start w:val="1"/>
      <w:numFmt w:val="lowerRoman"/>
      <w:lvlText w:val="%3."/>
      <w:lvlJc w:val="right"/>
      <w:pPr>
        <w:tabs>
          <w:tab w:val="num" w:pos="2523"/>
        </w:tabs>
        <w:ind w:left="2523" w:hanging="180"/>
      </w:pPr>
    </w:lvl>
    <w:lvl w:ilvl="3" w:tplc="0409000F" w:tentative="1">
      <w:start w:val="1"/>
      <w:numFmt w:val="decimal"/>
      <w:lvlText w:val="%4."/>
      <w:lvlJc w:val="left"/>
      <w:pPr>
        <w:tabs>
          <w:tab w:val="num" w:pos="3243"/>
        </w:tabs>
        <w:ind w:left="3243" w:hanging="360"/>
      </w:pPr>
    </w:lvl>
    <w:lvl w:ilvl="4" w:tplc="04090019" w:tentative="1">
      <w:start w:val="1"/>
      <w:numFmt w:val="lowerLetter"/>
      <w:lvlText w:val="%5."/>
      <w:lvlJc w:val="left"/>
      <w:pPr>
        <w:tabs>
          <w:tab w:val="num" w:pos="3963"/>
        </w:tabs>
        <w:ind w:left="3963" w:hanging="360"/>
      </w:pPr>
    </w:lvl>
    <w:lvl w:ilvl="5" w:tplc="0409001B" w:tentative="1">
      <w:start w:val="1"/>
      <w:numFmt w:val="lowerRoman"/>
      <w:lvlText w:val="%6."/>
      <w:lvlJc w:val="right"/>
      <w:pPr>
        <w:tabs>
          <w:tab w:val="num" w:pos="4683"/>
        </w:tabs>
        <w:ind w:left="4683" w:hanging="180"/>
      </w:pPr>
    </w:lvl>
    <w:lvl w:ilvl="6" w:tplc="0409000F" w:tentative="1">
      <w:start w:val="1"/>
      <w:numFmt w:val="decimal"/>
      <w:lvlText w:val="%7."/>
      <w:lvlJc w:val="left"/>
      <w:pPr>
        <w:tabs>
          <w:tab w:val="num" w:pos="5403"/>
        </w:tabs>
        <w:ind w:left="5403" w:hanging="360"/>
      </w:pPr>
    </w:lvl>
    <w:lvl w:ilvl="7" w:tplc="04090019" w:tentative="1">
      <w:start w:val="1"/>
      <w:numFmt w:val="lowerLetter"/>
      <w:lvlText w:val="%8."/>
      <w:lvlJc w:val="left"/>
      <w:pPr>
        <w:tabs>
          <w:tab w:val="num" w:pos="6123"/>
        </w:tabs>
        <w:ind w:left="6123" w:hanging="360"/>
      </w:pPr>
    </w:lvl>
    <w:lvl w:ilvl="8" w:tplc="0409001B" w:tentative="1">
      <w:start w:val="1"/>
      <w:numFmt w:val="lowerRoman"/>
      <w:lvlText w:val="%9."/>
      <w:lvlJc w:val="right"/>
      <w:pPr>
        <w:tabs>
          <w:tab w:val="num" w:pos="6843"/>
        </w:tabs>
        <w:ind w:left="6843" w:hanging="180"/>
      </w:pPr>
    </w:lvl>
  </w:abstractNum>
  <w:abstractNum w:abstractNumId="27" w15:restartNumberingAfterBreak="0">
    <w:nsid w:val="31AF4D1C"/>
    <w:multiLevelType w:val="hybridMultilevel"/>
    <w:tmpl w:val="CA4C4D88"/>
    <w:lvl w:ilvl="0" w:tplc="CA302EC2">
      <w:start w:val="2"/>
      <w:numFmt w:val="bullet"/>
      <w:lvlText w:val=""/>
      <w:lvlJc w:val="left"/>
      <w:pPr>
        <w:tabs>
          <w:tab w:val="num" w:pos="360"/>
        </w:tabs>
        <w:ind w:left="360" w:hanging="360"/>
      </w:pPr>
      <w:rPr>
        <w:rFonts w:ascii="Wingdings" w:hAnsi="Wingdings"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1BD6B8C"/>
    <w:multiLevelType w:val="hybridMultilevel"/>
    <w:tmpl w:val="B8F6276A"/>
    <w:lvl w:ilvl="0" w:tplc="39C0D2FA">
      <w:start w:val="1"/>
      <w:numFmt w:val="bullet"/>
      <w:lvlText w:val=""/>
      <w:lvlJc w:val="left"/>
      <w:pPr>
        <w:tabs>
          <w:tab w:val="num" w:pos="360"/>
        </w:tabs>
        <w:ind w:left="360" w:hanging="360"/>
      </w:pPr>
      <w:rPr>
        <w:rFonts w:ascii="Symbol" w:hAnsi="Symbol" w:hint="default"/>
        <w:sz w:val="20"/>
      </w:rPr>
    </w:lvl>
    <w:lvl w:ilvl="1" w:tplc="D8ACE6D2">
      <w:start w:val="1"/>
      <w:numFmt w:val="bullet"/>
      <w:lvlText w:val="o"/>
      <w:lvlJc w:val="left"/>
      <w:pPr>
        <w:tabs>
          <w:tab w:val="num" w:pos="1080"/>
        </w:tabs>
        <w:ind w:left="1080" w:hanging="360"/>
      </w:pPr>
      <w:rPr>
        <w:rFonts w:ascii="Courier New" w:hAnsi="Courier New" w:hint="default"/>
        <w:sz w:val="20"/>
      </w:rPr>
    </w:lvl>
    <w:lvl w:ilvl="2" w:tplc="8806F04E" w:tentative="1">
      <w:start w:val="1"/>
      <w:numFmt w:val="bullet"/>
      <w:lvlText w:val=""/>
      <w:lvlJc w:val="left"/>
      <w:pPr>
        <w:tabs>
          <w:tab w:val="num" w:pos="1800"/>
        </w:tabs>
        <w:ind w:left="1800" w:hanging="360"/>
      </w:pPr>
      <w:rPr>
        <w:rFonts w:ascii="Wingdings" w:hAnsi="Wingdings" w:hint="default"/>
        <w:sz w:val="20"/>
      </w:rPr>
    </w:lvl>
    <w:lvl w:ilvl="3" w:tplc="7BE20F6C" w:tentative="1">
      <w:start w:val="1"/>
      <w:numFmt w:val="bullet"/>
      <w:lvlText w:val=""/>
      <w:lvlJc w:val="left"/>
      <w:pPr>
        <w:tabs>
          <w:tab w:val="num" w:pos="2520"/>
        </w:tabs>
        <w:ind w:left="2520" w:hanging="360"/>
      </w:pPr>
      <w:rPr>
        <w:rFonts w:ascii="Wingdings" w:hAnsi="Wingdings" w:hint="default"/>
        <w:sz w:val="20"/>
      </w:rPr>
    </w:lvl>
    <w:lvl w:ilvl="4" w:tplc="FCBEACEE" w:tentative="1">
      <w:start w:val="1"/>
      <w:numFmt w:val="bullet"/>
      <w:lvlText w:val=""/>
      <w:lvlJc w:val="left"/>
      <w:pPr>
        <w:tabs>
          <w:tab w:val="num" w:pos="3240"/>
        </w:tabs>
        <w:ind w:left="3240" w:hanging="360"/>
      </w:pPr>
      <w:rPr>
        <w:rFonts w:ascii="Wingdings" w:hAnsi="Wingdings" w:hint="default"/>
        <w:sz w:val="20"/>
      </w:rPr>
    </w:lvl>
    <w:lvl w:ilvl="5" w:tplc="AC4ED528" w:tentative="1">
      <w:start w:val="1"/>
      <w:numFmt w:val="bullet"/>
      <w:lvlText w:val=""/>
      <w:lvlJc w:val="left"/>
      <w:pPr>
        <w:tabs>
          <w:tab w:val="num" w:pos="3960"/>
        </w:tabs>
        <w:ind w:left="3960" w:hanging="360"/>
      </w:pPr>
      <w:rPr>
        <w:rFonts w:ascii="Wingdings" w:hAnsi="Wingdings" w:hint="default"/>
        <w:sz w:val="20"/>
      </w:rPr>
    </w:lvl>
    <w:lvl w:ilvl="6" w:tplc="0C627F2C" w:tentative="1">
      <w:start w:val="1"/>
      <w:numFmt w:val="bullet"/>
      <w:lvlText w:val=""/>
      <w:lvlJc w:val="left"/>
      <w:pPr>
        <w:tabs>
          <w:tab w:val="num" w:pos="4680"/>
        </w:tabs>
        <w:ind w:left="4680" w:hanging="360"/>
      </w:pPr>
      <w:rPr>
        <w:rFonts w:ascii="Wingdings" w:hAnsi="Wingdings" w:hint="default"/>
        <w:sz w:val="20"/>
      </w:rPr>
    </w:lvl>
    <w:lvl w:ilvl="7" w:tplc="1F36BC5E" w:tentative="1">
      <w:start w:val="1"/>
      <w:numFmt w:val="bullet"/>
      <w:lvlText w:val=""/>
      <w:lvlJc w:val="left"/>
      <w:pPr>
        <w:tabs>
          <w:tab w:val="num" w:pos="5400"/>
        </w:tabs>
        <w:ind w:left="5400" w:hanging="360"/>
      </w:pPr>
      <w:rPr>
        <w:rFonts w:ascii="Wingdings" w:hAnsi="Wingdings" w:hint="default"/>
        <w:sz w:val="20"/>
      </w:rPr>
    </w:lvl>
    <w:lvl w:ilvl="8" w:tplc="135879CA"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320C21AF"/>
    <w:multiLevelType w:val="hybridMultilevel"/>
    <w:tmpl w:val="FD929676"/>
    <w:lvl w:ilvl="0" w:tplc="0C090001">
      <w:start w:val="1"/>
      <w:numFmt w:val="bullet"/>
      <w:lvlText w:val=""/>
      <w:lvlJc w:val="left"/>
      <w:pPr>
        <w:tabs>
          <w:tab w:val="num" w:pos="1004"/>
        </w:tabs>
        <w:ind w:left="1004" w:hanging="360"/>
      </w:pPr>
      <w:rPr>
        <w:rFonts w:ascii="Symbol" w:hAnsi="Symbol" w:hint="default"/>
        <w:b w:val="0"/>
        <w:i w:val="0"/>
        <w:sz w:val="20"/>
        <w:szCs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0" w15:restartNumberingAfterBreak="0">
    <w:nsid w:val="32860DC7"/>
    <w:multiLevelType w:val="hybridMultilevel"/>
    <w:tmpl w:val="5CF47C68"/>
    <w:lvl w:ilvl="0" w:tplc="0C090001">
      <w:start w:val="1"/>
      <w:numFmt w:val="bullet"/>
      <w:lvlText w:val=""/>
      <w:lvlJc w:val="left"/>
      <w:pPr>
        <w:tabs>
          <w:tab w:val="num" w:pos="1004"/>
        </w:tabs>
        <w:ind w:left="1004" w:hanging="360"/>
      </w:pPr>
      <w:rPr>
        <w:rFonts w:ascii="Symbol" w:hAnsi="Symbol" w:hint="default"/>
        <w:b w:val="0"/>
        <w:i w:val="0"/>
        <w:sz w:val="20"/>
        <w:szCs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2" w15:restartNumberingAfterBreak="0">
    <w:nsid w:val="33562C71"/>
    <w:multiLevelType w:val="hybridMultilevel"/>
    <w:tmpl w:val="2E76B8B0"/>
    <w:lvl w:ilvl="0" w:tplc="D470771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B4767E"/>
    <w:multiLevelType w:val="hybridMultilevel"/>
    <w:tmpl w:val="24CE7CA0"/>
    <w:lvl w:ilvl="0" w:tplc="CBECD572">
      <w:start w:val="1"/>
      <w:numFmt w:val="decimal"/>
      <w:lvlText w:val="%1."/>
      <w:lvlJc w:val="left"/>
      <w:pPr>
        <w:tabs>
          <w:tab w:val="num" w:pos="928"/>
        </w:tabs>
        <w:ind w:left="928" w:hanging="36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34" w15:restartNumberingAfterBreak="0">
    <w:nsid w:val="39A34FEE"/>
    <w:multiLevelType w:val="hybridMultilevel"/>
    <w:tmpl w:val="261C787A"/>
    <w:lvl w:ilvl="0" w:tplc="9B24430C">
      <w:start w:val="4"/>
      <w:numFmt w:val="lowerLetter"/>
      <w:lvlText w:val="(%1)"/>
      <w:lvlJc w:val="left"/>
      <w:pPr>
        <w:tabs>
          <w:tab w:val="num" w:pos="1267"/>
        </w:tabs>
        <w:ind w:left="1267"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3A3308DD"/>
    <w:multiLevelType w:val="hybridMultilevel"/>
    <w:tmpl w:val="84D2F7C6"/>
    <w:lvl w:ilvl="0" w:tplc="01E4F2F2">
      <w:start w:val="1"/>
      <w:numFmt w:val="decimal"/>
      <w:lvlText w:val="%1."/>
      <w:lvlJc w:val="left"/>
      <w:pPr>
        <w:tabs>
          <w:tab w:val="num" w:pos="930"/>
        </w:tabs>
        <w:ind w:left="930" w:hanging="363"/>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36" w15:restartNumberingAfterBreak="0">
    <w:nsid w:val="3D110219"/>
    <w:multiLevelType w:val="hybridMultilevel"/>
    <w:tmpl w:val="A78E7928"/>
    <w:lvl w:ilvl="0" w:tplc="7D3A7BFA">
      <w:start w:val="1"/>
      <w:numFmt w:val="bullet"/>
      <w:lvlText w:val=""/>
      <w:lvlJc w:val="left"/>
      <w:pPr>
        <w:tabs>
          <w:tab w:val="num" w:pos="0"/>
        </w:tabs>
        <w:ind w:left="283" w:hanging="283"/>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E796C9F"/>
    <w:multiLevelType w:val="hybridMultilevel"/>
    <w:tmpl w:val="CE484ABE"/>
    <w:lvl w:ilvl="0" w:tplc="0C090001">
      <w:start w:val="1"/>
      <w:numFmt w:val="bullet"/>
      <w:lvlText w:val=""/>
      <w:lvlJc w:val="left"/>
      <w:pPr>
        <w:tabs>
          <w:tab w:val="num" w:pos="1004"/>
        </w:tabs>
        <w:ind w:left="1004" w:hanging="360"/>
      </w:pPr>
      <w:rPr>
        <w:rFonts w:ascii="Symbol" w:hAnsi="Symbol" w:hint="default"/>
        <w:b w:val="0"/>
        <w:i w:val="0"/>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8" w15:restartNumberingAfterBreak="0">
    <w:nsid w:val="3F043D60"/>
    <w:multiLevelType w:val="hybridMultilevel"/>
    <w:tmpl w:val="759423BE"/>
    <w:lvl w:ilvl="0" w:tplc="8A7C522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03A2461"/>
    <w:multiLevelType w:val="hybridMultilevel"/>
    <w:tmpl w:val="01A2E77C"/>
    <w:lvl w:ilvl="0" w:tplc="4CFCCEEE">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40" w15:restartNumberingAfterBreak="0">
    <w:nsid w:val="40496ECD"/>
    <w:multiLevelType w:val="hybridMultilevel"/>
    <w:tmpl w:val="0F4C54E6"/>
    <w:lvl w:ilvl="0" w:tplc="0C090001">
      <w:start w:val="1"/>
      <w:numFmt w:val="bullet"/>
      <w:lvlText w:val=""/>
      <w:lvlJc w:val="left"/>
      <w:pPr>
        <w:tabs>
          <w:tab w:val="num" w:pos="720"/>
        </w:tabs>
        <w:ind w:left="720" w:hanging="360"/>
      </w:pPr>
      <w:rPr>
        <w:rFonts w:ascii="Symbol" w:hAnsi="Symbo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1466EF6"/>
    <w:multiLevelType w:val="hybridMultilevel"/>
    <w:tmpl w:val="39248AE2"/>
    <w:lvl w:ilvl="0" w:tplc="5C78E8CA">
      <w:start w:val="1"/>
      <w:numFmt w:val="bullet"/>
      <w:lvlText w:val=""/>
      <w:lvlJc w:val="left"/>
      <w:pPr>
        <w:tabs>
          <w:tab w:val="num" w:pos="0"/>
        </w:tabs>
        <w:ind w:left="1003" w:hanging="283"/>
      </w:pPr>
      <w:rPr>
        <w:rFonts w:ascii="Symbol" w:hAnsi="Symbol" w:hint="default"/>
        <w:color w:val="FF0000"/>
      </w:rPr>
    </w:lvl>
    <w:lvl w:ilvl="1" w:tplc="AF0AA450">
      <w:start w:val="1"/>
      <w:numFmt w:val="bullet"/>
      <w:lvlText w:val=""/>
      <w:lvlJc w:val="left"/>
      <w:pPr>
        <w:tabs>
          <w:tab w:val="num" w:pos="1020"/>
        </w:tabs>
        <w:ind w:left="1363" w:hanging="283"/>
      </w:pPr>
      <w:rPr>
        <w:rFonts w:ascii="Symbol" w:hAnsi="Symbol" w:hint="default"/>
        <w:b/>
        <w:i w:val="0"/>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2377DFF"/>
    <w:multiLevelType w:val="hybridMultilevel"/>
    <w:tmpl w:val="48D44A18"/>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9076036"/>
    <w:multiLevelType w:val="hybridMultilevel"/>
    <w:tmpl w:val="74D20DAA"/>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A5E3DCF"/>
    <w:multiLevelType w:val="hybridMultilevel"/>
    <w:tmpl w:val="E55C844A"/>
    <w:lvl w:ilvl="0" w:tplc="23A00F4C">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EDA3B51"/>
    <w:multiLevelType w:val="hybridMultilevel"/>
    <w:tmpl w:val="AC12B8BC"/>
    <w:lvl w:ilvl="0" w:tplc="0C09000F">
      <w:start w:val="1"/>
      <w:numFmt w:val="decimal"/>
      <w:lvlText w:val="%1."/>
      <w:lvlJc w:val="left"/>
      <w:pPr>
        <w:tabs>
          <w:tab w:val="num" w:pos="1004"/>
        </w:tabs>
        <w:ind w:left="1004" w:hanging="360"/>
      </w:pPr>
      <w:rPr>
        <w:rFonts w:hint="default"/>
        <w:b w:val="0"/>
        <w:i w:val="0"/>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6" w15:restartNumberingAfterBreak="0">
    <w:nsid w:val="501A34E8"/>
    <w:multiLevelType w:val="hybridMultilevel"/>
    <w:tmpl w:val="BE1E2D28"/>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7" w15:restartNumberingAfterBreak="0">
    <w:nsid w:val="501F6E88"/>
    <w:multiLevelType w:val="hybridMultilevel"/>
    <w:tmpl w:val="68282B7C"/>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15:restartNumberingAfterBreak="0">
    <w:nsid w:val="561C3078"/>
    <w:multiLevelType w:val="hybridMultilevel"/>
    <w:tmpl w:val="5C56E2E0"/>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68C7A95"/>
    <w:multiLevelType w:val="multilevel"/>
    <w:tmpl w:val="A4028240"/>
    <w:lvl w:ilvl="0">
      <w:start w:val="1"/>
      <w:numFmt w:val="decimal"/>
      <w:lvlText w:val="%1."/>
      <w:lvlJc w:val="left"/>
      <w:pPr>
        <w:tabs>
          <w:tab w:val="num" w:pos="357"/>
        </w:tabs>
        <w:ind w:left="357" w:hanging="357"/>
      </w:pPr>
      <w:rPr>
        <w:rFonts w:hint="default"/>
        <w:color w:val="000000"/>
      </w:rPr>
    </w:lvl>
    <w:lvl w:ilvl="1">
      <w:start w:val="1"/>
      <w:numFmt w:val="bullet"/>
      <w:lvlText w:val=""/>
      <w:lvlJc w:val="left"/>
      <w:pPr>
        <w:tabs>
          <w:tab w:val="num" w:pos="720"/>
        </w:tabs>
        <w:ind w:left="357" w:firstLine="0"/>
      </w:pPr>
      <w:rPr>
        <w:rFonts w:ascii="Symbol" w:hAnsi="Symbol" w:hint="default"/>
        <w:color w:val="00000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15:restartNumberingAfterBreak="0">
    <w:nsid w:val="582722C1"/>
    <w:multiLevelType w:val="hybridMultilevel"/>
    <w:tmpl w:val="566CC7E2"/>
    <w:lvl w:ilvl="0" w:tplc="DB388C22">
      <w:start w:val="1"/>
      <w:numFmt w:val="decimal"/>
      <w:lvlText w:val="%1."/>
      <w:lvlJc w:val="left"/>
      <w:pPr>
        <w:tabs>
          <w:tab w:val="num" w:pos="1494"/>
        </w:tabs>
        <w:ind w:left="1494" w:hanging="36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52" w15:restartNumberingAfterBreak="0">
    <w:nsid w:val="5EA10011"/>
    <w:multiLevelType w:val="multilevel"/>
    <w:tmpl w:val="27C8AF64"/>
    <w:lvl w:ilvl="0">
      <w:start w:val="2"/>
      <w:numFmt w:val="bullet"/>
      <w:lvlText w:val=""/>
      <w:lvlJc w:val="left"/>
      <w:pPr>
        <w:tabs>
          <w:tab w:val="num" w:pos="360"/>
        </w:tabs>
        <w:ind w:left="360" w:hanging="360"/>
      </w:pPr>
      <w:rPr>
        <w:rFonts w:ascii="Wingdings" w:hAnsi="Wingdings" w:cs="Times New Roman" w:hint="default"/>
        <w:sz w:val="16"/>
      </w:rPr>
    </w:lvl>
    <w:lvl w:ilvl="1">
      <w:start w:val="1"/>
      <w:numFmt w:val="lowerLetter"/>
      <w:lvlText w:val="%2)"/>
      <w:lvlJc w:val="left"/>
      <w:pPr>
        <w:tabs>
          <w:tab w:val="num" w:pos="360"/>
        </w:tabs>
        <w:ind w:left="0" w:firstLine="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43E60D9"/>
    <w:multiLevelType w:val="hybridMultilevel"/>
    <w:tmpl w:val="5EAEAE46"/>
    <w:lvl w:ilvl="0" w:tplc="0C22D8EE">
      <w:start w:val="1"/>
      <w:numFmt w:val="bullet"/>
      <w:lvlText w:val=""/>
      <w:lvlJc w:val="left"/>
      <w:pPr>
        <w:tabs>
          <w:tab w:val="num" w:pos="1647"/>
        </w:tabs>
        <w:ind w:left="1647" w:hanging="360"/>
      </w:pPr>
      <w:rPr>
        <w:rFonts w:ascii="Webdings" w:hAnsi="Webdings" w:hint="default"/>
        <w:b w:val="0"/>
        <w:i w:val="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47103B6"/>
    <w:multiLevelType w:val="hybridMultilevel"/>
    <w:tmpl w:val="31BC7CC8"/>
    <w:lvl w:ilvl="0" w:tplc="7714D114">
      <w:numFmt w:val="bullet"/>
      <w:lvlText w:val=""/>
      <w:lvlJc w:val="left"/>
      <w:pPr>
        <w:tabs>
          <w:tab w:val="num" w:pos="1634"/>
        </w:tabs>
        <w:ind w:left="1634" w:hanging="287"/>
      </w:pPr>
      <w:rPr>
        <w:rFonts w:ascii="Wingdings" w:hAnsi="Wingdings" w:cs="Times New Roman" w:hint="default"/>
        <w:color w:val="000000"/>
        <w:sz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56" w15:restartNumberingAfterBreak="0">
    <w:nsid w:val="69007B51"/>
    <w:multiLevelType w:val="hybridMultilevel"/>
    <w:tmpl w:val="53B48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7" w15:restartNumberingAfterBreak="0">
    <w:nsid w:val="69C9248B"/>
    <w:multiLevelType w:val="hybridMultilevel"/>
    <w:tmpl w:val="6456D21C"/>
    <w:lvl w:ilvl="0" w:tplc="7226B65E">
      <w:start w:val="8"/>
      <w:numFmt w:val="bullet"/>
      <w:lvlText w:val=""/>
      <w:lvlJc w:val="left"/>
      <w:pPr>
        <w:tabs>
          <w:tab w:val="num" w:pos="1647"/>
        </w:tabs>
        <w:ind w:left="1647" w:hanging="360"/>
      </w:pPr>
      <w:rPr>
        <w:rFonts w:ascii="Wingdings" w:hAnsi="Wingdings" w:cs="Times New Roman" w:hint="default"/>
        <w:b w:val="0"/>
        <w:i w:val="0"/>
        <w:color w:val="000000"/>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A550FCC"/>
    <w:multiLevelType w:val="hybridMultilevel"/>
    <w:tmpl w:val="F98E431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9" w15:restartNumberingAfterBreak="0">
    <w:nsid w:val="6B235A47"/>
    <w:multiLevelType w:val="hybridMultilevel"/>
    <w:tmpl w:val="53404A38"/>
    <w:lvl w:ilvl="0" w:tplc="FC84FB98">
      <w:start w:val="1"/>
      <w:numFmt w:val="bullet"/>
      <w:lvlText w:val=""/>
      <w:lvlJc w:val="left"/>
      <w:pPr>
        <w:tabs>
          <w:tab w:val="num" w:pos="1647"/>
        </w:tabs>
        <w:ind w:left="1647" w:hanging="360"/>
      </w:pPr>
      <w:rPr>
        <w:rFonts w:ascii="Symbol" w:hAnsi="Symbol" w:hint="default"/>
        <w:b w:val="0"/>
        <w:i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B4C2142"/>
    <w:multiLevelType w:val="hybridMultilevel"/>
    <w:tmpl w:val="17F8085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1" w15:restartNumberingAfterBreak="0">
    <w:nsid w:val="6BB67472"/>
    <w:multiLevelType w:val="hybridMultilevel"/>
    <w:tmpl w:val="1D86201C"/>
    <w:lvl w:ilvl="0" w:tplc="D298CC9A">
      <w:start w:val="2"/>
      <w:numFmt w:val="bullet"/>
      <w:lvlText w:val=""/>
      <w:lvlJc w:val="left"/>
      <w:pPr>
        <w:tabs>
          <w:tab w:val="num" w:pos="420"/>
        </w:tabs>
        <w:ind w:left="420" w:hanging="360"/>
      </w:pPr>
      <w:rPr>
        <w:rFonts w:ascii="Wingdings" w:hAnsi="Wingdings" w:cs="Times New Roman" w:hint="default"/>
        <w:sz w:val="16"/>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6CA246CA"/>
    <w:multiLevelType w:val="hybridMultilevel"/>
    <w:tmpl w:val="A2B4595C"/>
    <w:lvl w:ilvl="0" w:tplc="CA187D8A">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3" w15:restartNumberingAfterBreak="0">
    <w:nsid w:val="707D3C69"/>
    <w:multiLevelType w:val="hybridMultilevel"/>
    <w:tmpl w:val="7A047FF2"/>
    <w:lvl w:ilvl="0" w:tplc="A9BAC308">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3363B59"/>
    <w:multiLevelType w:val="hybridMultilevel"/>
    <w:tmpl w:val="F692E98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3C65470"/>
    <w:multiLevelType w:val="hybridMultilevel"/>
    <w:tmpl w:val="40EE7298"/>
    <w:lvl w:ilvl="0" w:tplc="4034651C">
      <w:start w:val="1"/>
      <w:numFmt w:val="lowerLetter"/>
      <w:lvlText w:val="(%1)"/>
      <w:lvlJc w:val="left"/>
      <w:pPr>
        <w:tabs>
          <w:tab w:val="num" w:pos="1062"/>
        </w:tabs>
        <w:ind w:left="1062" w:hanging="495"/>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66" w15:restartNumberingAfterBreak="0">
    <w:nsid w:val="766D013F"/>
    <w:multiLevelType w:val="hybridMultilevel"/>
    <w:tmpl w:val="6B8E9EE4"/>
    <w:lvl w:ilvl="0" w:tplc="41081C7A">
      <w:start w:val="1"/>
      <w:numFmt w:val="lowerLetter"/>
      <w:lvlText w:val="(%1)"/>
      <w:lvlJc w:val="left"/>
      <w:pPr>
        <w:tabs>
          <w:tab w:val="num" w:pos="1070"/>
        </w:tabs>
        <w:ind w:left="1070" w:hanging="360"/>
      </w:pPr>
      <w:rPr>
        <w:rFonts w:ascii="Arial" w:hAnsi="Arial" w:cs="Times New Roman" w:hint="default"/>
      </w:rPr>
    </w:lvl>
    <w:lvl w:ilvl="1" w:tplc="0C090019" w:tentative="1">
      <w:start w:val="1"/>
      <w:numFmt w:val="lowerLetter"/>
      <w:lvlText w:val="%2."/>
      <w:lvlJc w:val="left"/>
      <w:pPr>
        <w:tabs>
          <w:tab w:val="num" w:pos="1790"/>
        </w:tabs>
        <w:ind w:left="1790" w:hanging="360"/>
      </w:pPr>
    </w:lvl>
    <w:lvl w:ilvl="2" w:tplc="0C09001B" w:tentative="1">
      <w:start w:val="1"/>
      <w:numFmt w:val="lowerRoman"/>
      <w:lvlText w:val="%3."/>
      <w:lvlJc w:val="right"/>
      <w:pPr>
        <w:tabs>
          <w:tab w:val="num" w:pos="2510"/>
        </w:tabs>
        <w:ind w:left="2510" w:hanging="180"/>
      </w:pPr>
    </w:lvl>
    <w:lvl w:ilvl="3" w:tplc="0C09000F" w:tentative="1">
      <w:start w:val="1"/>
      <w:numFmt w:val="decimal"/>
      <w:lvlText w:val="%4."/>
      <w:lvlJc w:val="left"/>
      <w:pPr>
        <w:tabs>
          <w:tab w:val="num" w:pos="3230"/>
        </w:tabs>
        <w:ind w:left="3230" w:hanging="360"/>
      </w:pPr>
    </w:lvl>
    <w:lvl w:ilvl="4" w:tplc="0C090019" w:tentative="1">
      <w:start w:val="1"/>
      <w:numFmt w:val="lowerLetter"/>
      <w:lvlText w:val="%5."/>
      <w:lvlJc w:val="left"/>
      <w:pPr>
        <w:tabs>
          <w:tab w:val="num" w:pos="3950"/>
        </w:tabs>
        <w:ind w:left="3950" w:hanging="360"/>
      </w:pPr>
    </w:lvl>
    <w:lvl w:ilvl="5" w:tplc="0C09001B" w:tentative="1">
      <w:start w:val="1"/>
      <w:numFmt w:val="lowerRoman"/>
      <w:lvlText w:val="%6."/>
      <w:lvlJc w:val="right"/>
      <w:pPr>
        <w:tabs>
          <w:tab w:val="num" w:pos="4670"/>
        </w:tabs>
        <w:ind w:left="4670" w:hanging="180"/>
      </w:pPr>
    </w:lvl>
    <w:lvl w:ilvl="6" w:tplc="0C09000F" w:tentative="1">
      <w:start w:val="1"/>
      <w:numFmt w:val="decimal"/>
      <w:lvlText w:val="%7."/>
      <w:lvlJc w:val="left"/>
      <w:pPr>
        <w:tabs>
          <w:tab w:val="num" w:pos="5390"/>
        </w:tabs>
        <w:ind w:left="5390" w:hanging="360"/>
      </w:pPr>
    </w:lvl>
    <w:lvl w:ilvl="7" w:tplc="0C090019" w:tentative="1">
      <w:start w:val="1"/>
      <w:numFmt w:val="lowerLetter"/>
      <w:lvlText w:val="%8."/>
      <w:lvlJc w:val="left"/>
      <w:pPr>
        <w:tabs>
          <w:tab w:val="num" w:pos="6110"/>
        </w:tabs>
        <w:ind w:left="6110" w:hanging="360"/>
      </w:pPr>
    </w:lvl>
    <w:lvl w:ilvl="8" w:tplc="0C09001B" w:tentative="1">
      <w:start w:val="1"/>
      <w:numFmt w:val="lowerRoman"/>
      <w:lvlText w:val="%9."/>
      <w:lvlJc w:val="right"/>
      <w:pPr>
        <w:tabs>
          <w:tab w:val="num" w:pos="6830"/>
        </w:tabs>
        <w:ind w:left="6830" w:hanging="180"/>
      </w:pPr>
    </w:lvl>
  </w:abstractNum>
  <w:abstractNum w:abstractNumId="67" w15:restartNumberingAfterBreak="0">
    <w:nsid w:val="776834AE"/>
    <w:multiLevelType w:val="hybridMultilevel"/>
    <w:tmpl w:val="1DE2EF46"/>
    <w:lvl w:ilvl="0" w:tplc="63705CDC">
      <w:start w:val="1"/>
      <w:numFmt w:val="bullet"/>
      <w:lvlText w:val=""/>
      <w:lvlJc w:val="left"/>
      <w:pPr>
        <w:tabs>
          <w:tab w:val="num" w:pos="360"/>
        </w:tabs>
        <w:ind w:left="0" w:firstLine="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77B72EF"/>
    <w:multiLevelType w:val="hybridMultilevel"/>
    <w:tmpl w:val="180AAD70"/>
    <w:lvl w:ilvl="0" w:tplc="2B1C2A8E">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8CF6A44"/>
    <w:multiLevelType w:val="hybridMultilevel"/>
    <w:tmpl w:val="7D8826FC"/>
    <w:lvl w:ilvl="0" w:tplc="911A290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71" w15:restartNumberingAfterBreak="0">
    <w:nsid w:val="7C4820AF"/>
    <w:multiLevelType w:val="hybridMultilevel"/>
    <w:tmpl w:val="199857A8"/>
    <w:lvl w:ilvl="0" w:tplc="D6806E6C">
      <w:start w:val="1"/>
      <w:numFmt w:val="lowerRoman"/>
      <w:lvlText w:val="%1."/>
      <w:lvlJc w:val="left"/>
      <w:pPr>
        <w:tabs>
          <w:tab w:val="num" w:pos="1083"/>
        </w:tabs>
        <w:ind w:left="720"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2"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E914F9B"/>
    <w:multiLevelType w:val="hybridMultilevel"/>
    <w:tmpl w:val="537C4B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4" w15:restartNumberingAfterBreak="0">
    <w:nsid w:val="7FB21B0D"/>
    <w:multiLevelType w:val="hybridMultilevel"/>
    <w:tmpl w:val="EDEE50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6711990">
    <w:abstractNumId w:val="23"/>
  </w:num>
  <w:num w:numId="2" w16cid:durableId="675376336">
    <w:abstractNumId w:val="31"/>
  </w:num>
  <w:num w:numId="3" w16cid:durableId="924458632">
    <w:abstractNumId w:val="26"/>
  </w:num>
  <w:num w:numId="4" w16cid:durableId="819033007">
    <w:abstractNumId w:val="36"/>
  </w:num>
  <w:num w:numId="5" w16cid:durableId="1152526403">
    <w:abstractNumId w:val="67"/>
  </w:num>
  <w:num w:numId="6" w16cid:durableId="404424382">
    <w:abstractNumId w:val="28"/>
  </w:num>
  <w:num w:numId="7" w16cid:durableId="466313163">
    <w:abstractNumId w:val="35"/>
  </w:num>
  <w:num w:numId="8" w16cid:durableId="1546872505">
    <w:abstractNumId w:val="24"/>
  </w:num>
  <w:num w:numId="9" w16cid:durableId="1349066511">
    <w:abstractNumId w:val="11"/>
  </w:num>
  <w:num w:numId="10" w16cid:durableId="1019313296">
    <w:abstractNumId w:val="46"/>
  </w:num>
  <w:num w:numId="11" w16cid:durableId="829442837">
    <w:abstractNumId w:val="43"/>
  </w:num>
  <w:num w:numId="12" w16cid:durableId="2146465846">
    <w:abstractNumId w:val="49"/>
  </w:num>
  <w:num w:numId="13" w16cid:durableId="606934713">
    <w:abstractNumId w:val="13"/>
  </w:num>
  <w:num w:numId="14" w16cid:durableId="27343164">
    <w:abstractNumId w:val="14"/>
  </w:num>
  <w:num w:numId="15" w16cid:durableId="192311802">
    <w:abstractNumId w:val="21"/>
  </w:num>
  <w:num w:numId="16" w16cid:durableId="1247226950">
    <w:abstractNumId w:val="64"/>
  </w:num>
  <w:num w:numId="17" w16cid:durableId="1087073322">
    <w:abstractNumId w:val="19"/>
  </w:num>
  <w:num w:numId="18" w16cid:durableId="1881286184">
    <w:abstractNumId w:val="20"/>
  </w:num>
  <w:num w:numId="19" w16cid:durableId="1258976351">
    <w:abstractNumId w:val="15"/>
  </w:num>
  <w:num w:numId="20" w16cid:durableId="1717045259">
    <w:abstractNumId w:val="18"/>
  </w:num>
  <w:num w:numId="21" w16cid:durableId="1744638575">
    <w:abstractNumId w:val="52"/>
  </w:num>
  <w:num w:numId="22" w16cid:durableId="564223561">
    <w:abstractNumId w:val="42"/>
  </w:num>
  <w:num w:numId="23" w16cid:durableId="1296792368">
    <w:abstractNumId w:val="61"/>
  </w:num>
  <w:num w:numId="24" w16cid:durableId="1115632767">
    <w:abstractNumId w:val="72"/>
  </w:num>
  <w:num w:numId="25" w16cid:durableId="2135632472">
    <w:abstractNumId w:val="3"/>
  </w:num>
  <w:num w:numId="26" w16cid:durableId="398594339">
    <w:abstractNumId w:val="10"/>
  </w:num>
  <w:num w:numId="27" w16cid:durableId="1017392532">
    <w:abstractNumId w:val="27"/>
  </w:num>
  <w:num w:numId="28" w16cid:durableId="513956590">
    <w:abstractNumId w:val="0"/>
  </w:num>
  <w:num w:numId="29" w16cid:durableId="783695046">
    <w:abstractNumId w:val="73"/>
  </w:num>
  <w:num w:numId="30" w16cid:durableId="1457213632">
    <w:abstractNumId w:val="33"/>
  </w:num>
  <w:num w:numId="31" w16cid:durableId="2059667527">
    <w:abstractNumId w:val="37"/>
  </w:num>
  <w:num w:numId="32" w16cid:durableId="2046055396">
    <w:abstractNumId w:val="45"/>
  </w:num>
  <w:num w:numId="33" w16cid:durableId="313339640">
    <w:abstractNumId w:val="58"/>
  </w:num>
  <w:num w:numId="34" w16cid:durableId="461536113">
    <w:abstractNumId w:val="65"/>
  </w:num>
  <w:num w:numId="35" w16cid:durableId="1850439731">
    <w:abstractNumId w:val="62"/>
  </w:num>
  <w:num w:numId="36" w16cid:durableId="2028285372">
    <w:abstractNumId w:val="6"/>
  </w:num>
  <w:num w:numId="37" w16cid:durableId="799419057">
    <w:abstractNumId w:val="51"/>
  </w:num>
  <w:num w:numId="38" w16cid:durableId="1114130718">
    <w:abstractNumId w:val="5"/>
  </w:num>
  <w:num w:numId="39" w16cid:durableId="600264979">
    <w:abstractNumId w:val="44"/>
  </w:num>
  <w:num w:numId="40" w16cid:durableId="1690910074">
    <w:abstractNumId w:val="63"/>
  </w:num>
  <w:num w:numId="41" w16cid:durableId="1746296867">
    <w:abstractNumId w:val="4"/>
  </w:num>
  <w:num w:numId="42" w16cid:durableId="1514539425">
    <w:abstractNumId w:val="50"/>
  </w:num>
  <w:num w:numId="43" w16cid:durableId="265621017">
    <w:abstractNumId w:val="22"/>
  </w:num>
  <w:num w:numId="44" w16cid:durableId="1125392663">
    <w:abstractNumId w:val="41"/>
  </w:num>
  <w:num w:numId="45" w16cid:durableId="652685857">
    <w:abstractNumId w:val="39"/>
  </w:num>
  <w:num w:numId="46" w16cid:durableId="839734802">
    <w:abstractNumId w:val="34"/>
  </w:num>
  <w:num w:numId="47" w16cid:durableId="513420048">
    <w:abstractNumId w:val="9"/>
  </w:num>
  <w:num w:numId="48" w16cid:durableId="725957298">
    <w:abstractNumId w:val="66"/>
  </w:num>
  <w:num w:numId="49" w16cid:durableId="2094740211">
    <w:abstractNumId w:val="25"/>
  </w:num>
  <w:num w:numId="50" w16cid:durableId="1604528448">
    <w:abstractNumId w:val="71"/>
  </w:num>
  <w:num w:numId="51" w16cid:durableId="1666931821">
    <w:abstractNumId w:val="55"/>
  </w:num>
  <w:num w:numId="52" w16cid:durableId="1866673797">
    <w:abstractNumId w:val="47"/>
  </w:num>
  <w:num w:numId="53" w16cid:durableId="2017614216">
    <w:abstractNumId w:val="70"/>
  </w:num>
  <w:num w:numId="54" w16cid:durableId="1548638732">
    <w:abstractNumId w:val="2"/>
  </w:num>
  <w:num w:numId="55" w16cid:durableId="132988659">
    <w:abstractNumId w:val="74"/>
  </w:num>
  <w:num w:numId="56" w16cid:durableId="301539494">
    <w:abstractNumId w:val="48"/>
  </w:num>
  <w:num w:numId="57" w16cid:durableId="938560407">
    <w:abstractNumId w:val="1"/>
  </w:num>
  <w:num w:numId="58" w16cid:durableId="1873881391">
    <w:abstractNumId w:val="32"/>
  </w:num>
  <w:num w:numId="59" w16cid:durableId="1520509513">
    <w:abstractNumId w:val="54"/>
  </w:num>
  <w:num w:numId="60" w16cid:durableId="332537347">
    <w:abstractNumId w:val="38"/>
  </w:num>
  <w:num w:numId="61" w16cid:durableId="1162429856">
    <w:abstractNumId w:val="53"/>
  </w:num>
  <w:num w:numId="62" w16cid:durableId="1220441509">
    <w:abstractNumId w:val="8"/>
  </w:num>
  <w:num w:numId="63" w16cid:durableId="51198179">
    <w:abstractNumId w:val="12"/>
  </w:num>
  <w:num w:numId="64" w16cid:durableId="826091171">
    <w:abstractNumId w:val="16"/>
  </w:num>
  <w:num w:numId="65" w16cid:durableId="145617500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63382506">
    <w:abstractNumId w:val="17"/>
  </w:num>
  <w:num w:numId="67" w16cid:durableId="1149132767">
    <w:abstractNumId w:val="56"/>
  </w:num>
  <w:num w:numId="68" w16cid:durableId="1141458518">
    <w:abstractNumId w:val="40"/>
  </w:num>
  <w:num w:numId="69" w16cid:durableId="1094589437">
    <w:abstractNumId w:val="7"/>
  </w:num>
  <w:num w:numId="70" w16cid:durableId="2113360249">
    <w:abstractNumId w:val="29"/>
  </w:num>
  <w:num w:numId="71" w16cid:durableId="1593784538">
    <w:abstractNumId w:val="30"/>
  </w:num>
  <w:num w:numId="72" w16cid:durableId="1856575949">
    <w:abstractNumId w:val="68"/>
  </w:num>
  <w:num w:numId="73" w16cid:durableId="1244603194">
    <w:abstractNumId w:val="60"/>
  </w:num>
  <w:num w:numId="74" w16cid:durableId="2037540563">
    <w:abstractNumId w:val="69"/>
  </w:num>
  <w:num w:numId="75" w16cid:durableId="39481758">
    <w:abstractNumId w:val="57"/>
  </w:num>
  <w:num w:numId="76" w16cid:durableId="817265496">
    <w:abstractNumId w:val="5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81"/>
    <w:rsid w:val="00000D28"/>
    <w:rsid w:val="00001F41"/>
    <w:rsid w:val="00005B83"/>
    <w:rsid w:val="00005E9C"/>
    <w:rsid w:val="0000786E"/>
    <w:rsid w:val="00007F00"/>
    <w:rsid w:val="00010480"/>
    <w:rsid w:val="00013EC4"/>
    <w:rsid w:val="000151FB"/>
    <w:rsid w:val="00021C71"/>
    <w:rsid w:val="00022424"/>
    <w:rsid w:val="00023685"/>
    <w:rsid w:val="00023781"/>
    <w:rsid w:val="00023849"/>
    <w:rsid w:val="00024CAF"/>
    <w:rsid w:val="0002583E"/>
    <w:rsid w:val="00026072"/>
    <w:rsid w:val="0002608B"/>
    <w:rsid w:val="00026393"/>
    <w:rsid w:val="00026E60"/>
    <w:rsid w:val="00030C47"/>
    <w:rsid w:val="00030E96"/>
    <w:rsid w:val="0003107A"/>
    <w:rsid w:val="00031B60"/>
    <w:rsid w:val="00032E6E"/>
    <w:rsid w:val="00033D59"/>
    <w:rsid w:val="00036A6F"/>
    <w:rsid w:val="000402B6"/>
    <w:rsid w:val="000403D3"/>
    <w:rsid w:val="000407FE"/>
    <w:rsid w:val="000420E0"/>
    <w:rsid w:val="00043E5F"/>
    <w:rsid w:val="0004476D"/>
    <w:rsid w:val="00046C07"/>
    <w:rsid w:val="00047FBE"/>
    <w:rsid w:val="0005349D"/>
    <w:rsid w:val="000547DB"/>
    <w:rsid w:val="000556AF"/>
    <w:rsid w:val="00056D8F"/>
    <w:rsid w:val="00057B61"/>
    <w:rsid w:val="000619EC"/>
    <w:rsid w:val="00061CF0"/>
    <w:rsid w:val="00061DAE"/>
    <w:rsid w:val="00062432"/>
    <w:rsid w:val="000626D1"/>
    <w:rsid w:val="00062A4F"/>
    <w:rsid w:val="00063C71"/>
    <w:rsid w:val="0006527A"/>
    <w:rsid w:val="00066867"/>
    <w:rsid w:val="000711AB"/>
    <w:rsid w:val="00071E02"/>
    <w:rsid w:val="000737BF"/>
    <w:rsid w:val="00076222"/>
    <w:rsid w:val="00081D5A"/>
    <w:rsid w:val="000841DD"/>
    <w:rsid w:val="00084EDE"/>
    <w:rsid w:val="0008501B"/>
    <w:rsid w:val="00085C8B"/>
    <w:rsid w:val="00087D51"/>
    <w:rsid w:val="000922DB"/>
    <w:rsid w:val="00092677"/>
    <w:rsid w:val="00093EB1"/>
    <w:rsid w:val="0009755F"/>
    <w:rsid w:val="00097FAC"/>
    <w:rsid w:val="000A1E13"/>
    <w:rsid w:val="000A38F6"/>
    <w:rsid w:val="000A4419"/>
    <w:rsid w:val="000A7107"/>
    <w:rsid w:val="000A7139"/>
    <w:rsid w:val="000A77E8"/>
    <w:rsid w:val="000B08A2"/>
    <w:rsid w:val="000B10C0"/>
    <w:rsid w:val="000B2C51"/>
    <w:rsid w:val="000B4173"/>
    <w:rsid w:val="000B556B"/>
    <w:rsid w:val="000B5FAA"/>
    <w:rsid w:val="000B6A6D"/>
    <w:rsid w:val="000B6B24"/>
    <w:rsid w:val="000B702A"/>
    <w:rsid w:val="000B72C2"/>
    <w:rsid w:val="000C0319"/>
    <w:rsid w:val="000C259D"/>
    <w:rsid w:val="000C3AB4"/>
    <w:rsid w:val="000C3E4C"/>
    <w:rsid w:val="000C47EE"/>
    <w:rsid w:val="000C49FD"/>
    <w:rsid w:val="000C54CD"/>
    <w:rsid w:val="000D0B7B"/>
    <w:rsid w:val="000D118D"/>
    <w:rsid w:val="000D1A4A"/>
    <w:rsid w:val="000D303C"/>
    <w:rsid w:val="000D35D1"/>
    <w:rsid w:val="000D3DF2"/>
    <w:rsid w:val="000D52F1"/>
    <w:rsid w:val="000D65DE"/>
    <w:rsid w:val="000D682D"/>
    <w:rsid w:val="000D7389"/>
    <w:rsid w:val="000E07BF"/>
    <w:rsid w:val="000E0F91"/>
    <w:rsid w:val="000E1381"/>
    <w:rsid w:val="000E260E"/>
    <w:rsid w:val="000E3BD9"/>
    <w:rsid w:val="000E481B"/>
    <w:rsid w:val="000E530E"/>
    <w:rsid w:val="000E5E7E"/>
    <w:rsid w:val="000E7138"/>
    <w:rsid w:val="000E7640"/>
    <w:rsid w:val="000E7A31"/>
    <w:rsid w:val="000F13CB"/>
    <w:rsid w:val="000F226D"/>
    <w:rsid w:val="000F24E5"/>
    <w:rsid w:val="000F27BB"/>
    <w:rsid w:val="000F4CD8"/>
    <w:rsid w:val="000F5059"/>
    <w:rsid w:val="000F5CC6"/>
    <w:rsid w:val="000F5EE9"/>
    <w:rsid w:val="000F6283"/>
    <w:rsid w:val="000F78EA"/>
    <w:rsid w:val="00100777"/>
    <w:rsid w:val="0010092D"/>
    <w:rsid w:val="001018B4"/>
    <w:rsid w:val="00102E30"/>
    <w:rsid w:val="00103F02"/>
    <w:rsid w:val="001040F9"/>
    <w:rsid w:val="00106D3A"/>
    <w:rsid w:val="00107B64"/>
    <w:rsid w:val="0011018E"/>
    <w:rsid w:val="00110B6F"/>
    <w:rsid w:val="00112297"/>
    <w:rsid w:val="00112373"/>
    <w:rsid w:val="00114761"/>
    <w:rsid w:val="001152F2"/>
    <w:rsid w:val="00115736"/>
    <w:rsid w:val="001167B3"/>
    <w:rsid w:val="00117119"/>
    <w:rsid w:val="001202B2"/>
    <w:rsid w:val="001202C2"/>
    <w:rsid w:val="00120454"/>
    <w:rsid w:val="0012075C"/>
    <w:rsid w:val="00120B81"/>
    <w:rsid w:val="00121D44"/>
    <w:rsid w:val="00122C59"/>
    <w:rsid w:val="001236B0"/>
    <w:rsid w:val="00123D44"/>
    <w:rsid w:val="00124A2A"/>
    <w:rsid w:val="00130C0F"/>
    <w:rsid w:val="00130E82"/>
    <w:rsid w:val="00132E50"/>
    <w:rsid w:val="00135B61"/>
    <w:rsid w:val="001372BD"/>
    <w:rsid w:val="00137C50"/>
    <w:rsid w:val="001400C9"/>
    <w:rsid w:val="00140FA4"/>
    <w:rsid w:val="001411EC"/>
    <w:rsid w:val="001411F9"/>
    <w:rsid w:val="00142D55"/>
    <w:rsid w:val="0014387F"/>
    <w:rsid w:val="00144AFD"/>
    <w:rsid w:val="00150328"/>
    <w:rsid w:val="0015101B"/>
    <w:rsid w:val="00151F5D"/>
    <w:rsid w:val="001533B1"/>
    <w:rsid w:val="0015410E"/>
    <w:rsid w:val="001544BF"/>
    <w:rsid w:val="0015616F"/>
    <w:rsid w:val="00156362"/>
    <w:rsid w:val="0015795E"/>
    <w:rsid w:val="00160008"/>
    <w:rsid w:val="001604BA"/>
    <w:rsid w:val="0016069D"/>
    <w:rsid w:val="00160EB1"/>
    <w:rsid w:val="00161AA0"/>
    <w:rsid w:val="001634E5"/>
    <w:rsid w:val="00163791"/>
    <w:rsid w:val="00163A4A"/>
    <w:rsid w:val="00163DB6"/>
    <w:rsid w:val="00164C09"/>
    <w:rsid w:val="00166488"/>
    <w:rsid w:val="00166C52"/>
    <w:rsid w:val="0016757A"/>
    <w:rsid w:val="001726EF"/>
    <w:rsid w:val="00175272"/>
    <w:rsid w:val="00176C77"/>
    <w:rsid w:val="00177067"/>
    <w:rsid w:val="00181BB3"/>
    <w:rsid w:val="00182678"/>
    <w:rsid w:val="00183039"/>
    <w:rsid w:val="00192251"/>
    <w:rsid w:val="00193618"/>
    <w:rsid w:val="001A06D3"/>
    <w:rsid w:val="001A1705"/>
    <w:rsid w:val="001A4C03"/>
    <w:rsid w:val="001A5C38"/>
    <w:rsid w:val="001A647B"/>
    <w:rsid w:val="001A70CF"/>
    <w:rsid w:val="001A70FC"/>
    <w:rsid w:val="001B003A"/>
    <w:rsid w:val="001B04CC"/>
    <w:rsid w:val="001B05E1"/>
    <w:rsid w:val="001B14AB"/>
    <w:rsid w:val="001B168F"/>
    <w:rsid w:val="001B348E"/>
    <w:rsid w:val="001B4618"/>
    <w:rsid w:val="001C0CAE"/>
    <w:rsid w:val="001C3CD9"/>
    <w:rsid w:val="001C4AF4"/>
    <w:rsid w:val="001C50AF"/>
    <w:rsid w:val="001C5268"/>
    <w:rsid w:val="001C536D"/>
    <w:rsid w:val="001C645E"/>
    <w:rsid w:val="001D0634"/>
    <w:rsid w:val="001D0D1F"/>
    <w:rsid w:val="001D1CD9"/>
    <w:rsid w:val="001D204F"/>
    <w:rsid w:val="001D2A19"/>
    <w:rsid w:val="001D3F93"/>
    <w:rsid w:val="001D42F1"/>
    <w:rsid w:val="001D5F56"/>
    <w:rsid w:val="001D67B9"/>
    <w:rsid w:val="001D67F1"/>
    <w:rsid w:val="001D7439"/>
    <w:rsid w:val="001D7D27"/>
    <w:rsid w:val="001E0258"/>
    <w:rsid w:val="001E0633"/>
    <w:rsid w:val="001E0C00"/>
    <w:rsid w:val="001E113D"/>
    <w:rsid w:val="001E355A"/>
    <w:rsid w:val="001E38BA"/>
    <w:rsid w:val="001E40AF"/>
    <w:rsid w:val="001E574F"/>
    <w:rsid w:val="001E5D75"/>
    <w:rsid w:val="001E6910"/>
    <w:rsid w:val="001E7017"/>
    <w:rsid w:val="001E7B33"/>
    <w:rsid w:val="001F016F"/>
    <w:rsid w:val="001F173D"/>
    <w:rsid w:val="001F4FF5"/>
    <w:rsid w:val="001F5033"/>
    <w:rsid w:val="001F6EA3"/>
    <w:rsid w:val="002005EA"/>
    <w:rsid w:val="00203234"/>
    <w:rsid w:val="00204401"/>
    <w:rsid w:val="00204586"/>
    <w:rsid w:val="00205578"/>
    <w:rsid w:val="0021082E"/>
    <w:rsid w:val="00211E08"/>
    <w:rsid w:val="0021232F"/>
    <w:rsid w:val="0021434F"/>
    <w:rsid w:val="00214659"/>
    <w:rsid w:val="002152DF"/>
    <w:rsid w:val="0021630D"/>
    <w:rsid w:val="00216B97"/>
    <w:rsid w:val="0021700E"/>
    <w:rsid w:val="00217229"/>
    <w:rsid w:val="00217708"/>
    <w:rsid w:val="0021794E"/>
    <w:rsid w:val="00217C89"/>
    <w:rsid w:val="00221FA6"/>
    <w:rsid w:val="002229EE"/>
    <w:rsid w:val="002237AE"/>
    <w:rsid w:val="002239D1"/>
    <w:rsid w:val="00225268"/>
    <w:rsid w:val="00225875"/>
    <w:rsid w:val="002317B1"/>
    <w:rsid w:val="00231CCE"/>
    <w:rsid w:val="0023460F"/>
    <w:rsid w:val="002405DC"/>
    <w:rsid w:val="00240B5E"/>
    <w:rsid w:val="00241AE0"/>
    <w:rsid w:val="00242170"/>
    <w:rsid w:val="002444EA"/>
    <w:rsid w:val="00245D7D"/>
    <w:rsid w:val="002469EA"/>
    <w:rsid w:val="00247BF7"/>
    <w:rsid w:val="00247CE5"/>
    <w:rsid w:val="002520EE"/>
    <w:rsid w:val="0025399B"/>
    <w:rsid w:val="00255AF6"/>
    <w:rsid w:val="002563EE"/>
    <w:rsid w:val="00256834"/>
    <w:rsid w:val="002572B5"/>
    <w:rsid w:val="002573D6"/>
    <w:rsid w:val="00261DF3"/>
    <w:rsid w:val="00262D84"/>
    <w:rsid w:val="00262E5E"/>
    <w:rsid w:val="002637FD"/>
    <w:rsid w:val="00264FDD"/>
    <w:rsid w:val="00265682"/>
    <w:rsid w:val="0026611B"/>
    <w:rsid w:val="00267046"/>
    <w:rsid w:val="00272B88"/>
    <w:rsid w:val="00272DD6"/>
    <w:rsid w:val="00272FD2"/>
    <w:rsid w:val="00273AB2"/>
    <w:rsid w:val="0027441A"/>
    <w:rsid w:val="00274B9C"/>
    <w:rsid w:val="00276528"/>
    <w:rsid w:val="00277335"/>
    <w:rsid w:val="002803B1"/>
    <w:rsid w:val="002805B6"/>
    <w:rsid w:val="00281666"/>
    <w:rsid w:val="00281D46"/>
    <w:rsid w:val="0028439F"/>
    <w:rsid w:val="00284783"/>
    <w:rsid w:val="00287157"/>
    <w:rsid w:val="0028753C"/>
    <w:rsid w:val="0029085F"/>
    <w:rsid w:val="002931F4"/>
    <w:rsid w:val="00294327"/>
    <w:rsid w:val="002971EF"/>
    <w:rsid w:val="002A193B"/>
    <w:rsid w:val="002A22E3"/>
    <w:rsid w:val="002A2752"/>
    <w:rsid w:val="002A5BE5"/>
    <w:rsid w:val="002A6E16"/>
    <w:rsid w:val="002A72C0"/>
    <w:rsid w:val="002A7DC4"/>
    <w:rsid w:val="002B2C97"/>
    <w:rsid w:val="002B4757"/>
    <w:rsid w:val="002B4834"/>
    <w:rsid w:val="002B604A"/>
    <w:rsid w:val="002B758B"/>
    <w:rsid w:val="002C08FE"/>
    <w:rsid w:val="002C1549"/>
    <w:rsid w:val="002C17CA"/>
    <w:rsid w:val="002C1D45"/>
    <w:rsid w:val="002C3464"/>
    <w:rsid w:val="002C7A96"/>
    <w:rsid w:val="002D0FA8"/>
    <w:rsid w:val="002D15BF"/>
    <w:rsid w:val="002D166A"/>
    <w:rsid w:val="002D1FF3"/>
    <w:rsid w:val="002D2474"/>
    <w:rsid w:val="002D43A8"/>
    <w:rsid w:val="002D5500"/>
    <w:rsid w:val="002D558D"/>
    <w:rsid w:val="002D6D75"/>
    <w:rsid w:val="002D7330"/>
    <w:rsid w:val="002D7628"/>
    <w:rsid w:val="002E020C"/>
    <w:rsid w:val="002E0E92"/>
    <w:rsid w:val="002E2492"/>
    <w:rsid w:val="002E24B3"/>
    <w:rsid w:val="002E286D"/>
    <w:rsid w:val="002E3908"/>
    <w:rsid w:val="002E5754"/>
    <w:rsid w:val="002E6172"/>
    <w:rsid w:val="002E7D28"/>
    <w:rsid w:val="002F0A49"/>
    <w:rsid w:val="002F113C"/>
    <w:rsid w:val="002F2EC1"/>
    <w:rsid w:val="002F3870"/>
    <w:rsid w:val="002F3B51"/>
    <w:rsid w:val="002F4B8C"/>
    <w:rsid w:val="002F4D64"/>
    <w:rsid w:val="002F57B0"/>
    <w:rsid w:val="002F5929"/>
    <w:rsid w:val="002F707C"/>
    <w:rsid w:val="00300654"/>
    <w:rsid w:val="00301BB1"/>
    <w:rsid w:val="0030237B"/>
    <w:rsid w:val="00302E60"/>
    <w:rsid w:val="0030413C"/>
    <w:rsid w:val="0030515F"/>
    <w:rsid w:val="0030576F"/>
    <w:rsid w:val="0031041A"/>
    <w:rsid w:val="00310561"/>
    <w:rsid w:val="003126C2"/>
    <w:rsid w:val="00312A74"/>
    <w:rsid w:val="00312B72"/>
    <w:rsid w:val="00313096"/>
    <w:rsid w:val="00314B0B"/>
    <w:rsid w:val="00315586"/>
    <w:rsid w:val="003155E1"/>
    <w:rsid w:val="00315D52"/>
    <w:rsid w:val="003163C9"/>
    <w:rsid w:val="00316C68"/>
    <w:rsid w:val="00316CD0"/>
    <w:rsid w:val="0031744F"/>
    <w:rsid w:val="003216F3"/>
    <w:rsid w:val="0032397C"/>
    <w:rsid w:val="00323CA3"/>
    <w:rsid w:val="003252C3"/>
    <w:rsid w:val="00326D15"/>
    <w:rsid w:val="00331F14"/>
    <w:rsid w:val="003325AD"/>
    <w:rsid w:val="00332929"/>
    <w:rsid w:val="00334C46"/>
    <w:rsid w:val="00335125"/>
    <w:rsid w:val="003400E4"/>
    <w:rsid w:val="00345649"/>
    <w:rsid w:val="00345F16"/>
    <w:rsid w:val="003501AF"/>
    <w:rsid w:val="00352577"/>
    <w:rsid w:val="00353EA4"/>
    <w:rsid w:val="0035421E"/>
    <w:rsid w:val="0035574D"/>
    <w:rsid w:val="003558AE"/>
    <w:rsid w:val="00361196"/>
    <w:rsid w:val="00361D59"/>
    <w:rsid w:val="0036326C"/>
    <w:rsid w:val="00365E12"/>
    <w:rsid w:val="0036761C"/>
    <w:rsid w:val="00367C49"/>
    <w:rsid w:val="00372242"/>
    <w:rsid w:val="003748B3"/>
    <w:rsid w:val="00375E1A"/>
    <w:rsid w:val="00375F2B"/>
    <w:rsid w:val="00377430"/>
    <w:rsid w:val="00380FA8"/>
    <w:rsid w:val="0038372F"/>
    <w:rsid w:val="00385B99"/>
    <w:rsid w:val="00385ED7"/>
    <w:rsid w:val="003908C8"/>
    <w:rsid w:val="00390E49"/>
    <w:rsid w:val="00391E0A"/>
    <w:rsid w:val="00392896"/>
    <w:rsid w:val="003959CF"/>
    <w:rsid w:val="00397BB2"/>
    <w:rsid w:val="00397F16"/>
    <w:rsid w:val="003A00E5"/>
    <w:rsid w:val="003A0888"/>
    <w:rsid w:val="003A279C"/>
    <w:rsid w:val="003A4C43"/>
    <w:rsid w:val="003A68FC"/>
    <w:rsid w:val="003A69D1"/>
    <w:rsid w:val="003A7BC5"/>
    <w:rsid w:val="003B2F65"/>
    <w:rsid w:val="003B40AC"/>
    <w:rsid w:val="003B47AB"/>
    <w:rsid w:val="003B4C54"/>
    <w:rsid w:val="003B555B"/>
    <w:rsid w:val="003B5C91"/>
    <w:rsid w:val="003C09B3"/>
    <w:rsid w:val="003C4430"/>
    <w:rsid w:val="003C545B"/>
    <w:rsid w:val="003C6877"/>
    <w:rsid w:val="003C6925"/>
    <w:rsid w:val="003C760C"/>
    <w:rsid w:val="003D2194"/>
    <w:rsid w:val="003D2A7E"/>
    <w:rsid w:val="003D377B"/>
    <w:rsid w:val="003D49A2"/>
    <w:rsid w:val="003D4BCE"/>
    <w:rsid w:val="003D5BB9"/>
    <w:rsid w:val="003D5DFA"/>
    <w:rsid w:val="003D6315"/>
    <w:rsid w:val="003D6604"/>
    <w:rsid w:val="003D6D13"/>
    <w:rsid w:val="003D782E"/>
    <w:rsid w:val="003E0D54"/>
    <w:rsid w:val="003E0FD1"/>
    <w:rsid w:val="003E12B3"/>
    <w:rsid w:val="003E1D83"/>
    <w:rsid w:val="003E2B31"/>
    <w:rsid w:val="003E3E6C"/>
    <w:rsid w:val="003E411F"/>
    <w:rsid w:val="003E630C"/>
    <w:rsid w:val="003E7D50"/>
    <w:rsid w:val="003F1805"/>
    <w:rsid w:val="003F1B8F"/>
    <w:rsid w:val="003F1FC2"/>
    <w:rsid w:val="003F4F64"/>
    <w:rsid w:val="003F5149"/>
    <w:rsid w:val="003F58BE"/>
    <w:rsid w:val="003F69CC"/>
    <w:rsid w:val="003F7A80"/>
    <w:rsid w:val="0040043D"/>
    <w:rsid w:val="00403196"/>
    <w:rsid w:val="004035B2"/>
    <w:rsid w:val="00403F1D"/>
    <w:rsid w:val="00404752"/>
    <w:rsid w:val="00411866"/>
    <w:rsid w:val="00411BA1"/>
    <w:rsid w:val="004126CA"/>
    <w:rsid w:val="00413A39"/>
    <w:rsid w:val="004146F9"/>
    <w:rsid w:val="0041519A"/>
    <w:rsid w:val="004162B5"/>
    <w:rsid w:val="00416425"/>
    <w:rsid w:val="00420450"/>
    <w:rsid w:val="00420BF2"/>
    <w:rsid w:val="00422778"/>
    <w:rsid w:val="00423E95"/>
    <w:rsid w:val="0042403D"/>
    <w:rsid w:val="00425E9D"/>
    <w:rsid w:val="00426392"/>
    <w:rsid w:val="00431CCA"/>
    <w:rsid w:val="004323B2"/>
    <w:rsid w:val="004336D9"/>
    <w:rsid w:val="00433AB4"/>
    <w:rsid w:val="00436120"/>
    <w:rsid w:val="00436275"/>
    <w:rsid w:val="0043680D"/>
    <w:rsid w:val="00437D4B"/>
    <w:rsid w:val="00440992"/>
    <w:rsid w:val="0044166C"/>
    <w:rsid w:val="00442DD7"/>
    <w:rsid w:val="004436CC"/>
    <w:rsid w:val="00444618"/>
    <w:rsid w:val="00444A4C"/>
    <w:rsid w:val="00446894"/>
    <w:rsid w:val="00447CE9"/>
    <w:rsid w:val="00450E55"/>
    <w:rsid w:val="004518FB"/>
    <w:rsid w:val="004531C6"/>
    <w:rsid w:val="00453A75"/>
    <w:rsid w:val="00453F5C"/>
    <w:rsid w:val="004541B4"/>
    <w:rsid w:val="00454BD5"/>
    <w:rsid w:val="00461A78"/>
    <w:rsid w:val="004622A1"/>
    <w:rsid w:val="00467735"/>
    <w:rsid w:val="00467C6C"/>
    <w:rsid w:val="00470229"/>
    <w:rsid w:val="00471EFF"/>
    <w:rsid w:val="004767BE"/>
    <w:rsid w:val="004809F9"/>
    <w:rsid w:val="00480DB1"/>
    <w:rsid w:val="004814C0"/>
    <w:rsid w:val="004818DD"/>
    <w:rsid w:val="00482ACC"/>
    <w:rsid w:val="00482CCF"/>
    <w:rsid w:val="00483E20"/>
    <w:rsid w:val="00484481"/>
    <w:rsid w:val="004844FE"/>
    <w:rsid w:val="0048483D"/>
    <w:rsid w:val="004862BD"/>
    <w:rsid w:val="0048723F"/>
    <w:rsid w:val="004872EE"/>
    <w:rsid w:val="004906DA"/>
    <w:rsid w:val="00490AD2"/>
    <w:rsid w:val="00491337"/>
    <w:rsid w:val="00491485"/>
    <w:rsid w:val="00492F82"/>
    <w:rsid w:val="004952D3"/>
    <w:rsid w:val="00495449"/>
    <w:rsid w:val="00495D0A"/>
    <w:rsid w:val="004966B2"/>
    <w:rsid w:val="00497924"/>
    <w:rsid w:val="004A382D"/>
    <w:rsid w:val="004A3DD2"/>
    <w:rsid w:val="004A5A1E"/>
    <w:rsid w:val="004A6FB7"/>
    <w:rsid w:val="004B1830"/>
    <w:rsid w:val="004B2D5C"/>
    <w:rsid w:val="004B4DC2"/>
    <w:rsid w:val="004B5056"/>
    <w:rsid w:val="004B7AF4"/>
    <w:rsid w:val="004C0B7B"/>
    <w:rsid w:val="004C1D81"/>
    <w:rsid w:val="004C24F5"/>
    <w:rsid w:val="004C3906"/>
    <w:rsid w:val="004C563E"/>
    <w:rsid w:val="004C5BBD"/>
    <w:rsid w:val="004C65F0"/>
    <w:rsid w:val="004C6AED"/>
    <w:rsid w:val="004C770E"/>
    <w:rsid w:val="004D0346"/>
    <w:rsid w:val="004D318F"/>
    <w:rsid w:val="004D3673"/>
    <w:rsid w:val="004D46D2"/>
    <w:rsid w:val="004D5D9E"/>
    <w:rsid w:val="004D6CCE"/>
    <w:rsid w:val="004E0A16"/>
    <w:rsid w:val="004E1436"/>
    <w:rsid w:val="004E262E"/>
    <w:rsid w:val="004E4AAE"/>
    <w:rsid w:val="004E4F26"/>
    <w:rsid w:val="004E60E3"/>
    <w:rsid w:val="004E63BA"/>
    <w:rsid w:val="004E7031"/>
    <w:rsid w:val="004E7AF3"/>
    <w:rsid w:val="004E7B22"/>
    <w:rsid w:val="004F0987"/>
    <w:rsid w:val="004F0F4F"/>
    <w:rsid w:val="004F3364"/>
    <w:rsid w:val="004F50B7"/>
    <w:rsid w:val="004F7054"/>
    <w:rsid w:val="004F72DF"/>
    <w:rsid w:val="00501092"/>
    <w:rsid w:val="00502296"/>
    <w:rsid w:val="00502F7D"/>
    <w:rsid w:val="00503032"/>
    <w:rsid w:val="00507E47"/>
    <w:rsid w:val="00510086"/>
    <w:rsid w:val="00510E44"/>
    <w:rsid w:val="0051174D"/>
    <w:rsid w:val="00512A88"/>
    <w:rsid w:val="00514935"/>
    <w:rsid w:val="00516042"/>
    <w:rsid w:val="00517EC1"/>
    <w:rsid w:val="00517FC1"/>
    <w:rsid w:val="00520BE4"/>
    <w:rsid w:val="0052674B"/>
    <w:rsid w:val="005275AD"/>
    <w:rsid w:val="00531EA8"/>
    <w:rsid w:val="00532D41"/>
    <w:rsid w:val="0053495D"/>
    <w:rsid w:val="00535682"/>
    <w:rsid w:val="00535BF7"/>
    <w:rsid w:val="00536EE2"/>
    <w:rsid w:val="00543BE8"/>
    <w:rsid w:val="00544049"/>
    <w:rsid w:val="00544388"/>
    <w:rsid w:val="00544F20"/>
    <w:rsid w:val="0054646E"/>
    <w:rsid w:val="00547131"/>
    <w:rsid w:val="005477EF"/>
    <w:rsid w:val="00550390"/>
    <w:rsid w:val="00550B35"/>
    <w:rsid w:val="0055262C"/>
    <w:rsid w:val="00555421"/>
    <w:rsid w:val="00555528"/>
    <w:rsid w:val="0055674E"/>
    <w:rsid w:val="00557433"/>
    <w:rsid w:val="00560327"/>
    <w:rsid w:val="00560380"/>
    <w:rsid w:val="0056075F"/>
    <w:rsid w:val="005623CD"/>
    <w:rsid w:val="00562644"/>
    <w:rsid w:val="00563057"/>
    <w:rsid w:val="00563451"/>
    <w:rsid w:val="00563531"/>
    <w:rsid w:val="00564111"/>
    <w:rsid w:val="00564409"/>
    <w:rsid w:val="00565053"/>
    <w:rsid w:val="00565E1B"/>
    <w:rsid w:val="0057250E"/>
    <w:rsid w:val="00573D72"/>
    <w:rsid w:val="00575311"/>
    <w:rsid w:val="00576974"/>
    <w:rsid w:val="005804DD"/>
    <w:rsid w:val="00580B58"/>
    <w:rsid w:val="005829E6"/>
    <w:rsid w:val="00582C0A"/>
    <w:rsid w:val="0058307D"/>
    <w:rsid w:val="005832E7"/>
    <w:rsid w:val="00583A66"/>
    <w:rsid w:val="00583A9A"/>
    <w:rsid w:val="0058415E"/>
    <w:rsid w:val="00585496"/>
    <w:rsid w:val="00585C21"/>
    <w:rsid w:val="00586291"/>
    <w:rsid w:val="005875FE"/>
    <w:rsid w:val="00590590"/>
    <w:rsid w:val="005908C4"/>
    <w:rsid w:val="005919CD"/>
    <w:rsid w:val="00592495"/>
    <w:rsid w:val="00593C49"/>
    <w:rsid w:val="00595EDE"/>
    <w:rsid w:val="0059647D"/>
    <w:rsid w:val="005A1F1D"/>
    <w:rsid w:val="005A3F47"/>
    <w:rsid w:val="005A3FD8"/>
    <w:rsid w:val="005A4138"/>
    <w:rsid w:val="005A432C"/>
    <w:rsid w:val="005A4756"/>
    <w:rsid w:val="005A494E"/>
    <w:rsid w:val="005A6770"/>
    <w:rsid w:val="005B2534"/>
    <w:rsid w:val="005B3ECA"/>
    <w:rsid w:val="005B4417"/>
    <w:rsid w:val="005B49DC"/>
    <w:rsid w:val="005B50BB"/>
    <w:rsid w:val="005B5B88"/>
    <w:rsid w:val="005B6ACF"/>
    <w:rsid w:val="005B71BA"/>
    <w:rsid w:val="005C0020"/>
    <w:rsid w:val="005C066B"/>
    <w:rsid w:val="005C069A"/>
    <w:rsid w:val="005C21C4"/>
    <w:rsid w:val="005C291D"/>
    <w:rsid w:val="005C2F06"/>
    <w:rsid w:val="005C4B22"/>
    <w:rsid w:val="005C6830"/>
    <w:rsid w:val="005C7996"/>
    <w:rsid w:val="005D1B82"/>
    <w:rsid w:val="005D33AE"/>
    <w:rsid w:val="005D4FF3"/>
    <w:rsid w:val="005D57AF"/>
    <w:rsid w:val="005D7C28"/>
    <w:rsid w:val="005E2695"/>
    <w:rsid w:val="005E2785"/>
    <w:rsid w:val="005F100D"/>
    <w:rsid w:val="005F187E"/>
    <w:rsid w:val="005F4435"/>
    <w:rsid w:val="005F4FD6"/>
    <w:rsid w:val="005F6B53"/>
    <w:rsid w:val="006021A3"/>
    <w:rsid w:val="006027DB"/>
    <w:rsid w:val="00602B3C"/>
    <w:rsid w:val="0060302A"/>
    <w:rsid w:val="00604B4D"/>
    <w:rsid w:val="006054BD"/>
    <w:rsid w:val="00606909"/>
    <w:rsid w:val="00607134"/>
    <w:rsid w:val="006149A5"/>
    <w:rsid w:val="0061568F"/>
    <w:rsid w:val="00617055"/>
    <w:rsid w:val="006212DA"/>
    <w:rsid w:val="00621FA3"/>
    <w:rsid w:val="00623773"/>
    <w:rsid w:val="00625939"/>
    <w:rsid w:val="00625B1E"/>
    <w:rsid w:val="0063057F"/>
    <w:rsid w:val="0063060A"/>
    <w:rsid w:val="0063633F"/>
    <w:rsid w:val="006421A8"/>
    <w:rsid w:val="00642457"/>
    <w:rsid w:val="0064460F"/>
    <w:rsid w:val="0064501C"/>
    <w:rsid w:val="00645F15"/>
    <w:rsid w:val="00646166"/>
    <w:rsid w:val="006463CF"/>
    <w:rsid w:val="006468FA"/>
    <w:rsid w:val="00646C1A"/>
    <w:rsid w:val="00647846"/>
    <w:rsid w:val="006504F3"/>
    <w:rsid w:val="00655035"/>
    <w:rsid w:val="006551EF"/>
    <w:rsid w:val="006555D8"/>
    <w:rsid w:val="00655A55"/>
    <w:rsid w:val="00655A69"/>
    <w:rsid w:val="0065735E"/>
    <w:rsid w:val="006614D8"/>
    <w:rsid w:val="00663643"/>
    <w:rsid w:val="006647A5"/>
    <w:rsid w:val="00664DAE"/>
    <w:rsid w:val="006662BB"/>
    <w:rsid w:val="00667485"/>
    <w:rsid w:val="006676FF"/>
    <w:rsid w:val="006679D2"/>
    <w:rsid w:val="00667D56"/>
    <w:rsid w:val="006701C6"/>
    <w:rsid w:val="00671889"/>
    <w:rsid w:val="00671AB0"/>
    <w:rsid w:val="0067232D"/>
    <w:rsid w:val="00672504"/>
    <w:rsid w:val="00674508"/>
    <w:rsid w:val="0067764C"/>
    <w:rsid w:val="00677920"/>
    <w:rsid w:val="00677D27"/>
    <w:rsid w:val="00683198"/>
    <w:rsid w:val="00683DD1"/>
    <w:rsid w:val="006858AB"/>
    <w:rsid w:val="00686A6F"/>
    <w:rsid w:val="006876EC"/>
    <w:rsid w:val="00687BBB"/>
    <w:rsid w:val="006909C2"/>
    <w:rsid w:val="006923D4"/>
    <w:rsid w:val="00693223"/>
    <w:rsid w:val="00694B07"/>
    <w:rsid w:val="006950C0"/>
    <w:rsid w:val="00695206"/>
    <w:rsid w:val="00696168"/>
    <w:rsid w:val="00696D1F"/>
    <w:rsid w:val="006A0DDA"/>
    <w:rsid w:val="006A1870"/>
    <w:rsid w:val="006A1884"/>
    <w:rsid w:val="006A1AA9"/>
    <w:rsid w:val="006A28AD"/>
    <w:rsid w:val="006A2A6D"/>
    <w:rsid w:val="006A312B"/>
    <w:rsid w:val="006A4203"/>
    <w:rsid w:val="006A48FD"/>
    <w:rsid w:val="006A4C82"/>
    <w:rsid w:val="006A5D64"/>
    <w:rsid w:val="006B04AA"/>
    <w:rsid w:val="006B3024"/>
    <w:rsid w:val="006B39AB"/>
    <w:rsid w:val="006B3A7A"/>
    <w:rsid w:val="006B48BC"/>
    <w:rsid w:val="006B7708"/>
    <w:rsid w:val="006B7A0D"/>
    <w:rsid w:val="006B7EAD"/>
    <w:rsid w:val="006C0DC2"/>
    <w:rsid w:val="006C4934"/>
    <w:rsid w:val="006C53BA"/>
    <w:rsid w:val="006C64E6"/>
    <w:rsid w:val="006C72B1"/>
    <w:rsid w:val="006D081C"/>
    <w:rsid w:val="006D17EA"/>
    <w:rsid w:val="006D2083"/>
    <w:rsid w:val="006D2D55"/>
    <w:rsid w:val="006D3360"/>
    <w:rsid w:val="006D5042"/>
    <w:rsid w:val="006D5863"/>
    <w:rsid w:val="006D5EC2"/>
    <w:rsid w:val="006D6C25"/>
    <w:rsid w:val="006D6D69"/>
    <w:rsid w:val="006D7E5E"/>
    <w:rsid w:val="006E14AC"/>
    <w:rsid w:val="006E1BBA"/>
    <w:rsid w:val="006E3804"/>
    <w:rsid w:val="006E57FB"/>
    <w:rsid w:val="006E5B6E"/>
    <w:rsid w:val="006E60F5"/>
    <w:rsid w:val="006E6871"/>
    <w:rsid w:val="006E6D20"/>
    <w:rsid w:val="006E6DAE"/>
    <w:rsid w:val="006E7C08"/>
    <w:rsid w:val="006F0B1B"/>
    <w:rsid w:val="006F0F3D"/>
    <w:rsid w:val="006F1BFF"/>
    <w:rsid w:val="006F4B48"/>
    <w:rsid w:val="006F7413"/>
    <w:rsid w:val="006F767D"/>
    <w:rsid w:val="00700B0B"/>
    <w:rsid w:val="007011E5"/>
    <w:rsid w:val="007025B2"/>
    <w:rsid w:val="007045B6"/>
    <w:rsid w:val="00705135"/>
    <w:rsid w:val="007051EC"/>
    <w:rsid w:val="00705C9E"/>
    <w:rsid w:val="00705FED"/>
    <w:rsid w:val="00706650"/>
    <w:rsid w:val="00706F2C"/>
    <w:rsid w:val="0071271A"/>
    <w:rsid w:val="00712E42"/>
    <w:rsid w:val="00713DC8"/>
    <w:rsid w:val="0071427A"/>
    <w:rsid w:val="00716B54"/>
    <w:rsid w:val="00717886"/>
    <w:rsid w:val="00717D6E"/>
    <w:rsid w:val="007201F7"/>
    <w:rsid w:val="007211B9"/>
    <w:rsid w:val="007229AB"/>
    <w:rsid w:val="00722D9E"/>
    <w:rsid w:val="007233C5"/>
    <w:rsid w:val="007270A9"/>
    <w:rsid w:val="00727E96"/>
    <w:rsid w:val="0073125B"/>
    <w:rsid w:val="00731E03"/>
    <w:rsid w:val="00733EAB"/>
    <w:rsid w:val="0073609F"/>
    <w:rsid w:val="00742B0D"/>
    <w:rsid w:val="007432FD"/>
    <w:rsid w:val="00744879"/>
    <w:rsid w:val="00745D3D"/>
    <w:rsid w:val="00745DEF"/>
    <w:rsid w:val="007510AE"/>
    <w:rsid w:val="00752155"/>
    <w:rsid w:val="00752E45"/>
    <w:rsid w:val="0075380A"/>
    <w:rsid w:val="0075505A"/>
    <w:rsid w:val="00756752"/>
    <w:rsid w:val="00757DEE"/>
    <w:rsid w:val="00760C81"/>
    <w:rsid w:val="00760E14"/>
    <w:rsid w:val="0076478E"/>
    <w:rsid w:val="007660F0"/>
    <w:rsid w:val="007664B7"/>
    <w:rsid w:val="00771977"/>
    <w:rsid w:val="00771DEB"/>
    <w:rsid w:val="00771FED"/>
    <w:rsid w:val="007726E2"/>
    <w:rsid w:val="0077281F"/>
    <w:rsid w:val="00772BBD"/>
    <w:rsid w:val="00774D82"/>
    <w:rsid w:val="00775B9E"/>
    <w:rsid w:val="00775DC6"/>
    <w:rsid w:val="00777477"/>
    <w:rsid w:val="007809DE"/>
    <w:rsid w:val="0078109B"/>
    <w:rsid w:val="00782D20"/>
    <w:rsid w:val="0078317D"/>
    <w:rsid w:val="0078379C"/>
    <w:rsid w:val="0078413B"/>
    <w:rsid w:val="00785536"/>
    <w:rsid w:val="00785D2D"/>
    <w:rsid w:val="00785E1A"/>
    <w:rsid w:val="00785EBB"/>
    <w:rsid w:val="007867B3"/>
    <w:rsid w:val="0078693F"/>
    <w:rsid w:val="00787E9B"/>
    <w:rsid w:val="0079337D"/>
    <w:rsid w:val="00796994"/>
    <w:rsid w:val="00796A19"/>
    <w:rsid w:val="007A6F97"/>
    <w:rsid w:val="007A7643"/>
    <w:rsid w:val="007A7B63"/>
    <w:rsid w:val="007A7BE3"/>
    <w:rsid w:val="007B475C"/>
    <w:rsid w:val="007B4E62"/>
    <w:rsid w:val="007B4FF6"/>
    <w:rsid w:val="007B5899"/>
    <w:rsid w:val="007B5DE3"/>
    <w:rsid w:val="007C192E"/>
    <w:rsid w:val="007C35D2"/>
    <w:rsid w:val="007C4C71"/>
    <w:rsid w:val="007C5324"/>
    <w:rsid w:val="007C5527"/>
    <w:rsid w:val="007C5CC8"/>
    <w:rsid w:val="007C7752"/>
    <w:rsid w:val="007C7845"/>
    <w:rsid w:val="007D20B1"/>
    <w:rsid w:val="007D2F69"/>
    <w:rsid w:val="007D4416"/>
    <w:rsid w:val="007D5321"/>
    <w:rsid w:val="007D6AD3"/>
    <w:rsid w:val="007D7E39"/>
    <w:rsid w:val="007E0725"/>
    <w:rsid w:val="007E2236"/>
    <w:rsid w:val="007E4D84"/>
    <w:rsid w:val="007E5CF4"/>
    <w:rsid w:val="007E7D23"/>
    <w:rsid w:val="007E7E01"/>
    <w:rsid w:val="007F0704"/>
    <w:rsid w:val="007F0CC9"/>
    <w:rsid w:val="007F1C5C"/>
    <w:rsid w:val="007F5F1E"/>
    <w:rsid w:val="007F6144"/>
    <w:rsid w:val="00800E1A"/>
    <w:rsid w:val="008019D5"/>
    <w:rsid w:val="00801CD5"/>
    <w:rsid w:val="00802251"/>
    <w:rsid w:val="00802CC2"/>
    <w:rsid w:val="00802EC5"/>
    <w:rsid w:val="008032C5"/>
    <w:rsid w:val="00803503"/>
    <w:rsid w:val="00806118"/>
    <w:rsid w:val="00807CE5"/>
    <w:rsid w:val="00810034"/>
    <w:rsid w:val="0081154A"/>
    <w:rsid w:val="008119AB"/>
    <w:rsid w:val="00811C5E"/>
    <w:rsid w:val="0081290E"/>
    <w:rsid w:val="00813A34"/>
    <w:rsid w:val="008147AD"/>
    <w:rsid w:val="0081571C"/>
    <w:rsid w:val="008164EB"/>
    <w:rsid w:val="00816B30"/>
    <w:rsid w:val="008172DA"/>
    <w:rsid w:val="0081737C"/>
    <w:rsid w:val="0082133C"/>
    <w:rsid w:val="0082157D"/>
    <w:rsid w:val="00823729"/>
    <w:rsid w:val="008245B1"/>
    <w:rsid w:val="00824827"/>
    <w:rsid w:val="008253F5"/>
    <w:rsid w:val="00825562"/>
    <w:rsid w:val="00826714"/>
    <w:rsid w:val="00826C57"/>
    <w:rsid w:val="008306D1"/>
    <w:rsid w:val="0083103D"/>
    <w:rsid w:val="008329EB"/>
    <w:rsid w:val="0083342B"/>
    <w:rsid w:val="00835661"/>
    <w:rsid w:val="00835898"/>
    <w:rsid w:val="00837521"/>
    <w:rsid w:val="008401F9"/>
    <w:rsid w:val="00841A94"/>
    <w:rsid w:val="00841BF2"/>
    <w:rsid w:val="00841D14"/>
    <w:rsid w:val="00842179"/>
    <w:rsid w:val="00845107"/>
    <w:rsid w:val="00847366"/>
    <w:rsid w:val="008512CC"/>
    <w:rsid w:val="008522D0"/>
    <w:rsid w:val="008534CC"/>
    <w:rsid w:val="00854978"/>
    <w:rsid w:val="00855531"/>
    <w:rsid w:val="00855D2E"/>
    <w:rsid w:val="00861CC5"/>
    <w:rsid w:val="00862712"/>
    <w:rsid w:val="00862720"/>
    <w:rsid w:val="00862834"/>
    <w:rsid w:val="008628E2"/>
    <w:rsid w:val="00862BCE"/>
    <w:rsid w:val="00863BC7"/>
    <w:rsid w:val="00863CAF"/>
    <w:rsid w:val="00864C36"/>
    <w:rsid w:val="00867E75"/>
    <w:rsid w:val="00870270"/>
    <w:rsid w:val="008708AB"/>
    <w:rsid w:val="008718E0"/>
    <w:rsid w:val="0087302F"/>
    <w:rsid w:val="00874A3C"/>
    <w:rsid w:val="00876B84"/>
    <w:rsid w:val="00877394"/>
    <w:rsid w:val="0087758A"/>
    <w:rsid w:val="00880331"/>
    <w:rsid w:val="00880514"/>
    <w:rsid w:val="00880795"/>
    <w:rsid w:val="00882C6A"/>
    <w:rsid w:val="00883816"/>
    <w:rsid w:val="00884B28"/>
    <w:rsid w:val="00886802"/>
    <w:rsid w:val="00886CC8"/>
    <w:rsid w:val="008905A4"/>
    <w:rsid w:val="00890D42"/>
    <w:rsid w:val="0089457C"/>
    <w:rsid w:val="008978DB"/>
    <w:rsid w:val="008979DF"/>
    <w:rsid w:val="008A1184"/>
    <w:rsid w:val="008A2308"/>
    <w:rsid w:val="008A2F26"/>
    <w:rsid w:val="008A4228"/>
    <w:rsid w:val="008A58C3"/>
    <w:rsid w:val="008B1CE9"/>
    <w:rsid w:val="008B314B"/>
    <w:rsid w:val="008B36BD"/>
    <w:rsid w:val="008B3B03"/>
    <w:rsid w:val="008B516B"/>
    <w:rsid w:val="008B63E6"/>
    <w:rsid w:val="008B6519"/>
    <w:rsid w:val="008B696F"/>
    <w:rsid w:val="008C13DE"/>
    <w:rsid w:val="008C267B"/>
    <w:rsid w:val="008C5570"/>
    <w:rsid w:val="008D0628"/>
    <w:rsid w:val="008D0BD2"/>
    <w:rsid w:val="008D1A09"/>
    <w:rsid w:val="008D2AC4"/>
    <w:rsid w:val="008D3A55"/>
    <w:rsid w:val="008D4393"/>
    <w:rsid w:val="008D7DF3"/>
    <w:rsid w:val="008D7F61"/>
    <w:rsid w:val="008E0B61"/>
    <w:rsid w:val="008E10E3"/>
    <w:rsid w:val="008E414E"/>
    <w:rsid w:val="008E5F67"/>
    <w:rsid w:val="008E6B91"/>
    <w:rsid w:val="008E744C"/>
    <w:rsid w:val="008F27E7"/>
    <w:rsid w:val="008F36C2"/>
    <w:rsid w:val="008F61E6"/>
    <w:rsid w:val="008F72B2"/>
    <w:rsid w:val="008F79DC"/>
    <w:rsid w:val="008F7E7B"/>
    <w:rsid w:val="009013EB"/>
    <w:rsid w:val="0090541F"/>
    <w:rsid w:val="00906F5E"/>
    <w:rsid w:val="009104CC"/>
    <w:rsid w:val="00911E61"/>
    <w:rsid w:val="00913FD2"/>
    <w:rsid w:val="009140E6"/>
    <w:rsid w:val="0091415A"/>
    <w:rsid w:val="00915A9E"/>
    <w:rsid w:val="00921BCD"/>
    <w:rsid w:val="00923FB5"/>
    <w:rsid w:val="0092525C"/>
    <w:rsid w:val="00926EE1"/>
    <w:rsid w:val="009276B1"/>
    <w:rsid w:val="0093104F"/>
    <w:rsid w:val="00931532"/>
    <w:rsid w:val="00940B18"/>
    <w:rsid w:val="00940D74"/>
    <w:rsid w:val="0094402D"/>
    <w:rsid w:val="00945A17"/>
    <w:rsid w:val="0094744E"/>
    <w:rsid w:val="009511A9"/>
    <w:rsid w:val="0095384E"/>
    <w:rsid w:val="00953C4C"/>
    <w:rsid w:val="00953F9E"/>
    <w:rsid w:val="0095697C"/>
    <w:rsid w:val="00961575"/>
    <w:rsid w:val="009615CF"/>
    <w:rsid w:val="00962EF5"/>
    <w:rsid w:val="00963ECB"/>
    <w:rsid w:val="00965A23"/>
    <w:rsid w:val="009672D0"/>
    <w:rsid w:val="009676A3"/>
    <w:rsid w:val="00967737"/>
    <w:rsid w:val="00970C03"/>
    <w:rsid w:val="0097170E"/>
    <w:rsid w:val="00971A75"/>
    <w:rsid w:val="009749E9"/>
    <w:rsid w:val="00974BF5"/>
    <w:rsid w:val="00974D30"/>
    <w:rsid w:val="00977468"/>
    <w:rsid w:val="0098022D"/>
    <w:rsid w:val="009809A7"/>
    <w:rsid w:val="009855F0"/>
    <w:rsid w:val="00992491"/>
    <w:rsid w:val="0099359C"/>
    <w:rsid w:val="00996046"/>
    <w:rsid w:val="00996376"/>
    <w:rsid w:val="009970B7"/>
    <w:rsid w:val="009970EC"/>
    <w:rsid w:val="00997AEE"/>
    <w:rsid w:val="009A1245"/>
    <w:rsid w:val="009A486A"/>
    <w:rsid w:val="009A491E"/>
    <w:rsid w:val="009A5523"/>
    <w:rsid w:val="009A55B9"/>
    <w:rsid w:val="009A5DF9"/>
    <w:rsid w:val="009A703E"/>
    <w:rsid w:val="009B0637"/>
    <w:rsid w:val="009B0A6B"/>
    <w:rsid w:val="009B178F"/>
    <w:rsid w:val="009B3556"/>
    <w:rsid w:val="009B3EF9"/>
    <w:rsid w:val="009B41D2"/>
    <w:rsid w:val="009B510A"/>
    <w:rsid w:val="009B53F7"/>
    <w:rsid w:val="009B633C"/>
    <w:rsid w:val="009B6762"/>
    <w:rsid w:val="009C1A40"/>
    <w:rsid w:val="009C6B03"/>
    <w:rsid w:val="009C712F"/>
    <w:rsid w:val="009D0675"/>
    <w:rsid w:val="009D1A8A"/>
    <w:rsid w:val="009D34B6"/>
    <w:rsid w:val="009D495F"/>
    <w:rsid w:val="009D4B97"/>
    <w:rsid w:val="009D5447"/>
    <w:rsid w:val="009D766C"/>
    <w:rsid w:val="009D7AA9"/>
    <w:rsid w:val="009E171F"/>
    <w:rsid w:val="009E418F"/>
    <w:rsid w:val="009E48F2"/>
    <w:rsid w:val="009E55E3"/>
    <w:rsid w:val="009E5DAC"/>
    <w:rsid w:val="009E6554"/>
    <w:rsid w:val="009E68B6"/>
    <w:rsid w:val="009E6906"/>
    <w:rsid w:val="009E6FE8"/>
    <w:rsid w:val="009E745F"/>
    <w:rsid w:val="009E77AD"/>
    <w:rsid w:val="009F1F4E"/>
    <w:rsid w:val="009F3F43"/>
    <w:rsid w:val="009F56F5"/>
    <w:rsid w:val="009F5B0E"/>
    <w:rsid w:val="009F5EE8"/>
    <w:rsid w:val="009F72A1"/>
    <w:rsid w:val="009F7EDF"/>
    <w:rsid w:val="00A007C5"/>
    <w:rsid w:val="00A03186"/>
    <w:rsid w:val="00A05185"/>
    <w:rsid w:val="00A0604C"/>
    <w:rsid w:val="00A06EBC"/>
    <w:rsid w:val="00A07795"/>
    <w:rsid w:val="00A078F1"/>
    <w:rsid w:val="00A114F1"/>
    <w:rsid w:val="00A11E93"/>
    <w:rsid w:val="00A1253E"/>
    <w:rsid w:val="00A12C55"/>
    <w:rsid w:val="00A13172"/>
    <w:rsid w:val="00A135BE"/>
    <w:rsid w:val="00A14EEB"/>
    <w:rsid w:val="00A15B62"/>
    <w:rsid w:val="00A160AD"/>
    <w:rsid w:val="00A200FB"/>
    <w:rsid w:val="00A20B65"/>
    <w:rsid w:val="00A22080"/>
    <w:rsid w:val="00A223C2"/>
    <w:rsid w:val="00A22525"/>
    <w:rsid w:val="00A22620"/>
    <w:rsid w:val="00A23E26"/>
    <w:rsid w:val="00A24F8C"/>
    <w:rsid w:val="00A25145"/>
    <w:rsid w:val="00A2580B"/>
    <w:rsid w:val="00A25BEE"/>
    <w:rsid w:val="00A25DE5"/>
    <w:rsid w:val="00A262FE"/>
    <w:rsid w:val="00A26A71"/>
    <w:rsid w:val="00A27D51"/>
    <w:rsid w:val="00A309B2"/>
    <w:rsid w:val="00A3241D"/>
    <w:rsid w:val="00A338D2"/>
    <w:rsid w:val="00A34F29"/>
    <w:rsid w:val="00A37039"/>
    <w:rsid w:val="00A40623"/>
    <w:rsid w:val="00A40D16"/>
    <w:rsid w:val="00A414E1"/>
    <w:rsid w:val="00A427BD"/>
    <w:rsid w:val="00A42FFE"/>
    <w:rsid w:val="00A4412D"/>
    <w:rsid w:val="00A44656"/>
    <w:rsid w:val="00A47FD9"/>
    <w:rsid w:val="00A5277D"/>
    <w:rsid w:val="00A5281F"/>
    <w:rsid w:val="00A53F17"/>
    <w:rsid w:val="00A54088"/>
    <w:rsid w:val="00A5524C"/>
    <w:rsid w:val="00A56679"/>
    <w:rsid w:val="00A56B34"/>
    <w:rsid w:val="00A56DB8"/>
    <w:rsid w:val="00A57E37"/>
    <w:rsid w:val="00A60563"/>
    <w:rsid w:val="00A60FC0"/>
    <w:rsid w:val="00A631C3"/>
    <w:rsid w:val="00A63F90"/>
    <w:rsid w:val="00A63FEE"/>
    <w:rsid w:val="00A6622A"/>
    <w:rsid w:val="00A662CF"/>
    <w:rsid w:val="00A663F0"/>
    <w:rsid w:val="00A66699"/>
    <w:rsid w:val="00A66799"/>
    <w:rsid w:val="00A71429"/>
    <w:rsid w:val="00A7169E"/>
    <w:rsid w:val="00A72FB4"/>
    <w:rsid w:val="00A736FD"/>
    <w:rsid w:val="00A743CB"/>
    <w:rsid w:val="00A754B5"/>
    <w:rsid w:val="00A76E6E"/>
    <w:rsid w:val="00A7717F"/>
    <w:rsid w:val="00A8112F"/>
    <w:rsid w:val="00A8155A"/>
    <w:rsid w:val="00A816C6"/>
    <w:rsid w:val="00A81CB3"/>
    <w:rsid w:val="00A8236A"/>
    <w:rsid w:val="00A82435"/>
    <w:rsid w:val="00A84325"/>
    <w:rsid w:val="00A860CC"/>
    <w:rsid w:val="00A87AA3"/>
    <w:rsid w:val="00A87AFB"/>
    <w:rsid w:val="00A9017D"/>
    <w:rsid w:val="00A90242"/>
    <w:rsid w:val="00A92378"/>
    <w:rsid w:val="00A9456A"/>
    <w:rsid w:val="00A94F2D"/>
    <w:rsid w:val="00A97263"/>
    <w:rsid w:val="00A976E1"/>
    <w:rsid w:val="00AA176A"/>
    <w:rsid w:val="00AA2600"/>
    <w:rsid w:val="00AA2A81"/>
    <w:rsid w:val="00AA3936"/>
    <w:rsid w:val="00AA3B81"/>
    <w:rsid w:val="00AA44D8"/>
    <w:rsid w:val="00AB0162"/>
    <w:rsid w:val="00AB2C73"/>
    <w:rsid w:val="00AB2E0B"/>
    <w:rsid w:val="00AB3180"/>
    <w:rsid w:val="00AB51D4"/>
    <w:rsid w:val="00AB58A8"/>
    <w:rsid w:val="00AB65D9"/>
    <w:rsid w:val="00AB751B"/>
    <w:rsid w:val="00AB79CB"/>
    <w:rsid w:val="00AC260C"/>
    <w:rsid w:val="00AC263B"/>
    <w:rsid w:val="00AC3C70"/>
    <w:rsid w:val="00AC56E1"/>
    <w:rsid w:val="00AC69EC"/>
    <w:rsid w:val="00AC7B1A"/>
    <w:rsid w:val="00AD37C5"/>
    <w:rsid w:val="00AD3B53"/>
    <w:rsid w:val="00AD487E"/>
    <w:rsid w:val="00AD6728"/>
    <w:rsid w:val="00AD6E06"/>
    <w:rsid w:val="00AE005A"/>
    <w:rsid w:val="00AE039E"/>
    <w:rsid w:val="00AE318C"/>
    <w:rsid w:val="00AE3C70"/>
    <w:rsid w:val="00AE5939"/>
    <w:rsid w:val="00AE71B6"/>
    <w:rsid w:val="00AF1FBC"/>
    <w:rsid w:val="00AF324E"/>
    <w:rsid w:val="00AF5500"/>
    <w:rsid w:val="00AF5EBE"/>
    <w:rsid w:val="00AF6272"/>
    <w:rsid w:val="00B00042"/>
    <w:rsid w:val="00B0194B"/>
    <w:rsid w:val="00B02CD7"/>
    <w:rsid w:val="00B04F7C"/>
    <w:rsid w:val="00B05537"/>
    <w:rsid w:val="00B05BA3"/>
    <w:rsid w:val="00B05EC7"/>
    <w:rsid w:val="00B063B7"/>
    <w:rsid w:val="00B06520"/>
    <w:rsid w:val="00B11151"/>
    <w:rsid w:val="00B13AE4"/>
    <w:rsid w:val="00B13BFA"/>
    <w:rsid w:val="00B140AA"/>
    <w:rsid w:val="00B20158"/>
    <w:rsid w:val="00B208C7"/>
    <w:rsid w:val="00B22C6D"/>
    <w:rsid w:val="00B22DF4"/>
    <w:rsid w:val="00B23E23"/>
    <w:rsid w:val="00B26F4C"/>
    <w:rsid w:val="00B300F5"/>
    <w:rsid w:val="00B30B7F"/>
    <w:rsid w:val="00B310F4"/>
    <w:rsid w:val="00B320A7"/>
    <w:rsid w:val="00B34839"/>
    <w:rsid w:val="00B355F8"/>
    <w:rsid w:val="00B3645D"/>
    <w:rsid w:val="00B368C5"/>
    <w:rsid w:val="00B42129"/>
    <w:rsid w:val="00B42517"/>
    <w:rsid w:val="00B43C52"/>
    <w:rsid w:val="00B43DA4"/>
    <w:rsid w:val="00B455AB"/>
    <w:rsid w:val="00B457C7"/>
    <w:rsid w:val="00B47117"/>
    <w:rsid w:val="00B47C75"/>
    <w:rsid w:val="00B47D65"/>
    <w:rsid w:val="00B50940"/>
    <w:rsid w:val="00B51860"/>
    <w:rsid w:val="00B51BBE"/>
    <w:rsid w:val="00B52BB7"/>
    <w:rsid w:val="00B537B7"/>
    <w:rsid w:val="00B5454F"/>
    <w:rsid w:val="00B54964"/>
    <w:rsid w:val="00B601FA"/>
    <w:rsid w:val="00B647F6"/>
    <w:rsid w:val="00B64827"/>
    <w:rsid w:val="00B64AF6"/>
    <w:rsid w:val="00B653A5"/>
    <w:rsid w:val="00B65813"/>
    <w:rsid w:val="00B663E3"/>
    <w:rsid w:val="00B728D9"/>
    <w:rsid w:val="00B754E1"/>
    <w:rsid w:val="00B75A27"/>
    <w:rsid w:val="00B75C64"/>
    <w:rsid w:val="00B75F4E"/>
    <w:rsid w:val="00B8027E"/>
    <w:rsid w:val="00B8277B"/>
    <w:rsid w:val="00B86CC8"/>
    <w:rsid w:val="00B86FAB"/>
    <w:rsid w:val="00B86FCC"/>
    <w:rsid w:val="00B874BC"/>
    <w:rsid w:val="00B87BB0"/>
    <w:rsid w:val="00B87DDE"/>
    <w:rsid w:val="00B93EFE"/>
    <w:rsid w:val="00B94EC5"/>
    <w:rsid w:val="00B94F90"/>
    <w:rsid w:val="00B9584D"/>
    <w:rsid w:val="00B96699"/>
    <w:rsid w:val="00B979CF"/>
    <w:rsid w:val="00B97A4D"/>
    <w:rsid w:val="00BA1D86"/>
    <w:rsid w:val="00BA36E2"/>
    <w:rsid w:val="00BA3B84"/>
    <w:rsid w:val="00BA5BD1"/>
    <w:rsid w:val="00BA78EA"/>
    <w:rsid w:val="00BB0650"/>
    <w:rsid w:val="00BB0912"/>
    <w:rsid w:val="00BB1A34"/>
    <w:rsid w:val="00BB4AF0"/>
    <w:rsid w:val="00BB52C8"/>
    <w:rsid w:val="00BB5CD0"/>
    <w:rsid w:val="00BB5D5A"/>
    <w:rsid w:val="00BB5EFF"/>
    <w:rsid w:val="00BB65ED"/>
    <w:rsid w:val="00BC229F"/>
    <w:rsid w:val="00BC3BD1"/>
    <w:rsid w:val="00BC3E65"/>
    <w:rsid w:val="00BC4C99"/>
    <w:rsid w:val="00BC5162"/>
    <w:rsid w:val="00BC54E3"/>
    <w:rsid w:val="00BC5839"/>
    <w:rsid w:val="00BC5954"/>
    <w:rsid w:val="00BC67BA"/>
    <w:rsid w:val="00BC7450"/>
    <w:rsid w:val="00BC7804"/>
    <w:rsid w:val="00BC7F5A"/>
    <w:rsid w:val="00BD2466"/>
    <w:rsid w:val="00BD26FA"/>
    <w:rsid w:val="00BD3832"/>
    <w:rsid w:val="00BD3BD4"/>
    <w:rsid w:val="00BD5B08"/>
    <w:rsid w:val="00BD63BA"/>
    <w:rsid w:val="00BD79F7"/>
    <w:rsid w:val="00BE1CD9"/>
    <w:rsid w:val="00BE25C3"/>
    <w:rsid w:val="00BE2691"/>
    <w:rsid w:val="00BE2912"/>
    <w:rsid w:val="00BE2ABB"/>
    <w:rsid w:val="00BE3166"/>
    <w:rsid w:val="00BE411C"/>
    <w:rsid w:val="00BE4A20"/>
    <w:rsid w:val="00BE5170"/>
    <w:rsid w:val="00BE5FD5"/>
    <w:rsid w:val="00BE644B"/>
    <w:rsid w:val="00BE7653"/>
    <w:rsid w:val="00BE78BC"/>
    <w:rsid w:val="00BE7A2E"/>
    <w:rsid w:val="00BF320F"/>
    <w:rsid w:val="00BF48B5"/>
    <w:rsid w:val="00BF4C4A"/>
    <w:rsid w:val="00BF4F6E"/>
    <w:rsid w:val="00BF567E"/>
    <w:rsid w:val="00BF732A"/>
    <w:rsid w:val="00BF7A03"/>
    <w:rsid w:val="00C012D0"/>
    <w:rsid w:val="00C01E83"/>
    <w:rsid w:val="00C02FC3"/>
    <w:rsid w:val="00C04B2D"/>
    <w:rsid w:val="00C0567D"/>
    <w:rsid w:val="00C05682"/>
    <w:rsid w:val="00C108E9"/>
    <w:rsid w:val="00C10F37"/>
    <w:rsid w:val="00C1122E"/>
    <w:rsid w:val="00C117DE"/>
    <w:rsid w:val="00C14D30"/>
    <w:rsid w:val="00C14FA2"/>
    <w:rsid w:val="00C15422"/>
    <w:rsid w:val="00C1633F"/>
    <w:rsid w:val="00C16C56"/>
    <w:rsid w:val="00C20A4D"/>
    <w:rsid w:val="00C216B3"/>
    <w:rsid w:val="00C21890"/>
    <w:rsid w:val="00C243E1"/>
    <w:rsid w:val="00C26F9D"/>
    <w:rsid w:val="00C277A0"/>
    <w:rsid w:val="00C30866"/>
    <w:rsid w:val="00C31E36"/>
    <w:rsid w:val="00C32207"/>
    <w:rsid w:val="00C3281E"/>
    <w:rsid w:val="00C36CC7"/>
    <w:rsid w:val="00C41F4C"/>
    <w:rsid w:val="00C41FE7"/>
    <w:rsid w:val="00C438EF"/>
    <w:rsid w:val="00C4444B"/>
    <w:rsid w:val="00C445B6"/>
    <w:rsid w:val="00C45717"/>
    <w:rsid w:val="00C46BE4"/>
    <w:rsid w:val="00C46E5F"/>
    <w:rsid w:val="00C46E65"/>
    <w:rsid w:val="00C4725F"/>
    <w:rsid w:val="00C47442"/>
    <w:rsid w:val="00C478CF"/>
    <w:rsid w:val="00C50555"/>
    <w:rsid w:val="00C51B31"/>
    <w:rsid w:val="00C53039"/>
    <w:rsid w:val="00C53366"/>
    <w:rsid w:val="00C545AC"/>
    <w:rsid w:val="00C57C45"/>
    <w:rsid w:val="00C606DD"/>
    <w:rsid w:val="00C60943"/>
    <w:rsid w:val="00C63A0D"/>
    <w:rsid w:val="00C64706"/>
    <w:rsid w:val="00C650FB"/>
    <w:rsid w:val="00C6523B"/>
    <w:rsid w:val="00C652C6"/>
    <w:rsid w:val="00C70722"/>
    <w:rsid w:val="00C70F9A"/>
    <w:rsid w:val="00C71F9C"/>
    <w:rsid w:val="00C724BF"/>
    <w:rsid w:val="00C72645"/>
    <w:rsid w:val="00C72E5B"/>
    <w:rsid w:val="00C74768"/>
    <w:rsid w:val="00C75CA9"/>
    <w:rsid w:val="00C75E68"/>
    <w:rsid w:val="00C7637B"/>
    <w:rsid w:val="00C76D7A"/>
    <w:rsid w:val="00C77527"/>
    <w:rsid w:val="00C777FC"/>
    <w:rsid w:val="00C77B78"/>
    <w:rsid w:val="00C8042A"/>
    <w:rsid w:val="00C81856"/>
    <w:rsid w:val="00C83599"/>
    <w:rsid w:val="00C8479C"/>
    <w:rsid w:val="00C86487"/>
    <w:rsid w:val="00C869A2"/>
    <w:rsid w:val="00C90E6F"/>
    <w:rsid w:val="00C916DD"/>
    <w:rsid w:val="00C9300F"/>
    <w:rsid w:val="00C930F9"/>
    <w:rsid w:val="00C943C5"/>
    <w:rsid w:val="00C9702E"/>
    <w:rsid w:val="00C977ED"/>
    <w:rsid w:val="00C97F0F"/>
    <w:rsid w:val="00CA0D0C"/>
    <w:rsid w:val="00CA1CAB"/>
    <w:rsid w:val="00CA2663"/>
    <w:rsid w:val="00CA3540"/>
    <w:rsid w:val="00CA4108"/>
    <w:rsid w:val="00CA6DAD"/>
    <w:rsid w:val="00CA797A"/>
    <w:rsid w:val="00CB1877"/>
    <w:rsid w:val="00CB70D3"/>
    <w:rsid w:val="00CB73D1"/>
    <w:rsid w:val="00CC0325"/>
    <w:rsid w:val="00CC22FC"/>
    <w:rsid w:val="00CC2566"/>
    <w:rsid w:val="00CC6037"/>
    <w:rsid w:val="00CD2126"/>
    <w:rsid w:val="00CE14F1"/>
    <w:rsid w:val="00CE1F7C"/>
    <w:rsid w:val="00CE33AB"/>
    <w:rsid w:val="00CE5847"/>
    <w:rsid w:val="00CF2B7F"/>
    <w:rsid w:val="00CF2DFD"/>
    <w:rsid w:val="00CF57B1"/>
    <w:rsid w:val="00CF6AAD"/>
    <w:rsid w:val="00CF6C15"/>
    <w:rsid w:val="00D00069"/>
    <w:rsid w:val="00D00CAA"/>
    <w:rsid w:val="00D030B1"/>
    <w:rsid w:val="00D045D7"/>
    <w:rsid w:val="00D0471A"/>
    <w:rsid w:val="00D050AD"/>
    <w:rsid w:val="00D06B37"/>
    <w:rsid w:val="00D127BE"/>
    <w:rsid w:val="00D133AC"/>
    <w:rsid w:val="00D13996"/>
    <w:rsid w:val="00D14BFE"/>
    <w:rsid w:val="00D14E5B"/>
    <w:rsid w:val="00D1540A"/>
    <w:rsid w:val="00D15CA3"/>
    <w:rsid w:val="00D15CFB"/>
    <w:rsid w:val="00D169A4"/>
    <w:rsid w:val="00D21449"/>
    <w:rsid w:val="00D214B8"/>
    <w:rsid w:val="00D21BA4"/>
    <w:rsid w:val="00D21C91"/>
    <w:rsid w:val="00D24154"/>
    <w:rsid w:val="00D25DE4"/>
    <w:rsid w:val="00D32674"/>
    <w:rsid w:val="00D343B3"/>
    <w:rsid w:val="00D34610"/>
    <w:rsid w:val="00D36D17"/>
    <w:rsid w:val="00D36F20"/>
    <w:rsid w:val="00D42E2C"/>
    <w:rsid w:val="00D4369A"/>
    <w:rsid w:val="00D43B59"/>
    <w:rsid w:val="00D43DF0"/>
    <w:rsid w:val="00D441CB"/>
    <w:rsid w:val="00D451AD"/>
    <w:rsid w:val="00D4532F"/>
    <w:rsid w:val="00D45DD9"/>
    <w:rsid w:val="00D46600"/>
    <w:rsid w:val="00D476C9"/>
    <w:rsid w:val="00D479AB"/>
    <w:rsid w:val="00D47E5D"/>
    <w:rsid w:val="00D5161E"/>
    <w:rsid w:val="00D52F77"/>
    <w:rsid w:val="00D533E2"/>
    <w:rsid w:val="00D5405F"/>
    <w:rsid w:val="00D541BC"/>
    <w:rsid w:val="00D57B51"/>
    <w:rsid w:val="00D57B5E"/>
    <w:rsid w:val="00D6007D"/>
    <w:rsid w:val="00D613EE"/>
    <w:rsid w:val="00D61BDC"/>
    <w:rsid w:val="00D62BB8"/>
    <w:rsid w:val="00D63866"/>
    <w:rsid w:val="00D66A56"/>
    <w:rsid w:val="00D66DC3"/>
    <w:rsid w:val="00D670D9"/>
    <w:rsid w:val="00D6777A"/>
    <w:rsid w:val="00D67986"/>
    <w:rsid w:val="00D70B4C"/>
    <w:rsid w:val="00D72360"/>
    <w:rsid w:val="00D73F4F"/>
    <w:rsid w:val="00D73FF3"/>
    <w:rsid w:val="00D741BD"/>
    <w:rsid w:val="00D7448A"/>
    <w:rsid w:val="00D74C22"/>
    <w:rsid w:val="00D773EF"/>
    <w:rsid w:val="00D80CC0"/>
    <w:rsid w:val="00D8131F"/>
    <w:rsid w:val="00D8254C"/>
    <w:rsid w:val="00D82C89"/>
    <w:rsid w:val="00D83D30"/>
    <w:rsid w:val="00D84018"/>
    <w:rsid w:val="00D85323"/>
    <w:rsid w:val="00D9026B"/>
    <w:rsid w:val="00D90948"/>
    <w:rsid w:val="00D90B75"/>
    <w:rsid w:val="00D90BC6"/>
    <w:rsid w:val="00D97C66"/>
    <w:rsid w:val="00DA014A"/>
    <w:rsid w:val="00DA02C6"/>
    <w:rsid w:val="00DA2346"/>
    <w:rsid w:val="00DA334D"/>
    <w:rsid w:val="00DA4E28"/>
    <w:rsid w:val="00DA604B"/>
    <w:rsid w:val="00DB2806"/>
    <w:rsid w:val="00DB31F5"/>
    <w:rsid w:val="00DB3C4C"/>
    <w:rsid w:val="00DB5203"/>
    <w:rsid w:val="00DB581E"/>
    <w:rsid w:val="00DC0A3F"/>
    <w:rsid w:val="00DC127D"/>
    <w:rsid w:val="00DC3CD1"/>
    <w:rsid w:val="00DC3FFE"/>
    <w:rsid w:val="00DC7451"/>
    <w:rsid w:val="00DC756D"/>
    <w:rsid w:val="00DC7D04"/>
    <w:rsid w:val="00DD004D"/>
    <w:rsid w:val="00DD02AE"/>
    <w:rsid w:val="00DD0300"/>
    <w:rsid w:val="00DD072C"/>
    <w:rsid w:val="00DD343E"/>
    <w:rsid w:val="00DD3832"/>
    <w:rsid w:val="00DD5297"/>
    <w:rsid w:val="00DD52AD"/>
    <w:rsid w:val="00DD61F2"/>
    <w:rsid w:val="00DD66EE"/>
    <w:rsid w:val="00DD7D4F"/>
    <w:rsid w:val="00DE097E"/>
    <w:rsid w:val="00DE3C0C"/>
    <w:rsid w:val="00DE5576"/>
    <w:rsid w:val="00DE63E7"/>
    <w:rsid w:val="00DF045F"/>
    <w:rsid w:val="00DF1862"/>
    <w:rsid w:val="00E017E8"/>
    <w:rsid w:val="00E02355"/>
    <w:rsid w:val="00E0282B"/>
    <w:rsid w:val="00E03B0D"/>
    <w:rsid w:val="00E04070"/>
    <w:rsid w:val="00E04877"/>
    <w:rsid w:val="00E05F23"/>
    <w:rsid w:val="00E0794B"/>
    <w:rsid w:val="00E10CDC"/>
    <w:rsid w:val="00E11DDB"/>
    <w:rsid w:val="00E122F1"/>
    <w:rsid w:val="00E12806"/>
    <w:rsid w:val="00E14F02"/>
    <w:rsid w:val="00E16FA2"/>
    <w:rsid w:val="00E21626"/>
    <w:rsid w:val="00E21689"/>
    <w:rsid w:val="00E21826"/>
    <w:rsid w:val="00E22166"/>
    <w:rsid w:val="00E223F2"/>
    <w:rsid w:val="00E228FA"/>
    <w:rsid w:val="00E26E9E"/>
    <w:rsid w:val="00E30736"/>
    <w:rsid w:val="00E30DD8"/>
    <w:rsid w:val="00E31A12"/>
    <w:rsid w:val="00E34149"/>
    <w:rsid w:val="00E3559F"/>
    <w:rsid w:val="00E37BEA"/>
    <w:rsid w:val="00E42774"/>
    <w:rsid w:val="00E43D86"/>
    <w:rsid w:val="00E4509A"/>
    <w:rsid w:val="00E45350"/>
    <w:rsid w:val="00E46AAD"/>
    <w:rsid w:val="00E46EA5"/>
    <w:rsid w:val="00E50918"/>
    <w:rsid w:val="00E53F32"/>
    <w:rsid w:val="00E54052"/>
    <w:rsid w:val="00E54074"/>
    <w:rsid w:val="00E5421A"/>
    <w:rsid w:val="00E55025"/>
    <w:rsid w:val="00E55A14"/>
    <w:rsid w:val="00E55AB0"/>
    <w:rsid w:val="00E56661"/>
    <w:rsid w:val="00E568FC"/>
    <w:rsid w:val="00E57737"/>
    <w:rsid w:val="00E61125"/>
    <w:rsid w:val="00E65E57"/>
    <w:rsid w:val="00E673B6"/>
    <w:rsid w:val="00E67F1F"/>
    <w:rsid w:val="00E732EA"/>
    <w:rsid w:val="00E734DF"/>
    <w:rsid w:val="00E74879"/>
    <w:rsid w:val="00E75912"/>
    <w:rsid w:val="00E76E28"/>
    <w:rsid w:val="00E76EEC"/>
    <w:rsid w:val="00E803C0"/>
    <w:rsid w:val="00E8061A"/>
    <w:rsid w:val="00E81021"/>
    <w:rsid w:val="00E815C4"/>
    <w:rsid w:val="00E81E1D"/>
    <w:rsid w:val="00E82145"/>
    <w:rsid w:val="00E8297B"/>
    <w:rsid w:val="00E8430A"/>
    <w:rsid w:val="00E90CED"/>
    <w:rsid w:val="00E9162A"/>
    <w:rsid w:val="00E92C45"/>
    <w:rsid w:val="00E952BF"/>
    <w:rsid w:val="00E96907"/>
    <w:rsid w:val="00E969C9"/>
    <w:rsid w:val="00EA0B1A"/>
    <w:rsid w:val="00EA1669"/>
    <w:rsid w:val="00EA177A"/>
    <w:rsid w:val="00EA2EB6"/>
    <w:rsid w:val="00EA38CA"/>
    <w:rsid w:val="00EA4789"/>
    <w:rsid w:val="00EA6353"/>
    <w:rsid w:val="00EB0307"/>
    <w:rsid w:val="00EB0E8E"/>
    <w:rsid w:val="00EB1822"/>
    <w:rsid w:val="00EB1C61"/>
    <w:rsid w:val="00EB2569"/>
    <w:rsid w:val="00EB3263"/>
    <w:rsid w:val="00EB3DBC"/>
    <w:rsid w:val="00EB6CF1"/>
    <w:rsid w:val="00EC234F"/>
    <w:rsid w:val="00EC3E40"/>
    <w:rsid w:val="00EC3E56"/>
    <w:rsid w:val="00EC539F"/>
    <w:rsid w:val="00EC58F7"/>
    <w:rsid w:val="00EC5F0C"/>
    <w:rsid w:val="00EC64A6"/>
    <w:rsid w:val="00ED0293"/>
    <w:rsid w:val="00ED0A0A"/>
    <w:rsid w:val="00ED1595"/>
    <w:rsid w:val="00ED1BEF"/>
    <w:rsid w:val="00ED2BF4"/>
    <w:rsid w:val="00ED3628"/>
    <w:rsid w:val="00ED4D32"/>
    <w:rsid w:val="00ED7068"/>
    <w:rsid w:val="00ED7604"/>
    <w:rsid w:val="00ED7CE1"/>
    <w:rsid w:val="00EE02FD"/>
    <w:rsid w:val="00EE0D10"/>
    <w:rsid w:val="00EE4465"/>
    <w:rsid w:val="00EE45D1"/>
    <w:rsid w:val="00EE46E4"/>
    <w:rsid w:val="00EE4D2D"/>
    <w:rsid w:val="00EE5CC6"/>
    <w:rsid w:val="00EE6974"/>
    <w:rsid w:val="00EE6C18"/>
    <w:rsid w:val="00EE6F58"/>
    <w:rsid w:val="00EE7788"/>
    <w:rsid w:val="00EE79DB"/>
    <w:rsid w:val="00EF4E8D"/>
    <w:rsid w:val="00EF55AE"/>
    <w:rsid w:val="00EF65CA"/>
    <w:rsid w:val="00EF7C07"/>
    <w:rsid w:val="00F0138C"/>
    <w:rsid w:val="00F019DC"/>
    <w:rsid w:val="00F033DE"/>
    <w:rsid w:val="00F034D2"/>
    <w:rsid w:val="00F04E13"/>
    <w:rsid w:val="00F05A0A"/>
    <w:rsid w:val="00F06EC6"/>
    <w:rsid w:val="00F10752"/>
    <w:rsid w:val="00F11D30"/>
    <w:rsid w:val="00F12238"/>
    <w:rsid w:val="00F1312D"/>
    <w:rsid w:val="00F13CFD"/>
    <w:rsid w:val="00F1747A"/>
    <w:rsid w:val="00F236C2"/>
    <w:rsid w:val="00F24325"/>
    <w:rsid w:val="00F25745"/>
    <w:rsid w:val="00F301D1"/>
    <w:rsid w:val="00F31C2F"/>
    <w:rsid w:val="00F32A61"/>
    <w:rsid w:val="00F32C0E"/>
    <w:rsid w:val="00F3414F"/>
    <w:rsid w:val="00F34779"/>
    <w:rsid w:val="00F364C1"/>
    <w:rsid w:val="00F36632"/>
    <w:rsid w:val="00F4004D"/>
    <w:rsid w:val="00F43701"/>
    <w:rsid w:val="00F448F9"/>
    <w:rsid w:val="00F45D7F"/>
    <w:rsid w:val="00F47C45"/>
    <w:rsid w:val="00F47DF6"/>
    <w:rsid w:val="00F526E6"/>
    <w:rsid w:val="00F536E9"/>
    <w:rsid w:val="00F5385C"/>
    <w:rsid w:val="00F53921"/>
    <w:rsid w:val="00F53A77"/>
    <w:rsid w:val="00F54387"/>
    <w:rsid w:val="00F54679"/>
    <w:rsid w:val="00F55BF0"/>
    <w:rsid w:val="00F55F27"/>
    <w:rsid w:val="00F5692C"/>
    <w:rsid w:val="00F569AC"/>
    <w:rsid w:val="00F604F0"/>
    <w:rsid w:val="00F6085F"/>
    <w:rsid w:val="00F62808"/>
    <w:rsid w:val="00F6672C"/>
    <w:rsid w:val="00F66746"/>
    <w:rsid w:val="00F727E6"/>
    <w:rsid w:val="00F728EF"/>
    <w:rsid w:val="00F74D9A"/>
    <w:rsid w:val="00F76283"/>
    <w:rsid w:val="00F7789A"/>
    <w:rsid w:val="00F77F34"/>
    <w:rsid w:val="00F80367"/>
    <w:rsid w:val="00F81051"/>
    <w:rsid w:val="00F82989"/>
    <w:rsid w:val="00F83923"/>
    <w:rsid w:val="00F84A93"/>
    <w:rsid w:val="00F8542D"/>
    <w:rsid w:val="00F8574F"/>
    <w:rsid w:val="00F861FF"/>
    <w:rsid w:val="00F87A99"/>
    <w:rsid w:val="00F87D39"/>
    <w:rsid w:val="00F917A7"/>
    <w:rsid w:val="00F927EC"/>
    <w:rsid w:val="00F93DE4"/>
    <w:rsid w:val="00F95054"/>
    <w:rsid w:val="00F95D40"/>
    <w:rsid w:val="00F96DCA"/>
    <w:rsid w:val="00F97169"/>
    <w:rsid w:val="00F97A9C"/>
    <w:rsid w:val="00FA01E0"/>
    <w:rsid w:val="00FA03A1"/>
    <w:rsid w:val="00FA453B"/>
    <w:rsid w:val="00FA55DD"/>
    <w:rsid w:val="00FA5C6A"/>
    <w:rsid w:val="00FA6A60"/>
    <w:rsid w:val="00FA6F7C"/>
    <w:rsid w:val="00FA7C17"/>
    <w:rsid w:val="00FB0F65"/>
    <w:rsid w:val="00FB1EE3"/>
    <w:rsid w:val="00FB23AB"/>
    <w:rsid w:val="00FB4CE4"/>
    <w:rsid w:val="00FB53EB"/>
    <w:rsid w:val="00FB6D2C"/>
    <w:rsid w:val="00FB77B7"/>
    <w:rsid w:val="00FB7EED"/>
    <w:rsid w:val="00FC191C"/>
    <w:rsid w:val="00FC1F0F"/>
    <w:rsid w:val="00FC3025"/>
    <w:rsid w:val="00FC40FC"/>
    <w:rsid w:val="00FC6386"/>
    <w:rsid w:val="00FC68FC"/>
    <w:rsid w:val="00FC719E"/>
    <w:rsid w:val="00FC7CED"/>
    <w:rsid w:val="00FD29BC"/>
    <w:rsid w:val="00FD6029"/>
    <w:rsid w:val="00FE2913"/>
    <w:rsid w:val="00FE443C"/>
    <w:rsid w:val="00FE7CF5"/>
    <w:rsid w:val="00FE7F93"/>
    <w:rsid w:val="00FF1EA6"/>
    <w:rsid w:val="00FF2FAD"/>
    <w:rsid w:val="00FF4FA5"/>
    <w:rsid w:val="00FF5112"/>
    <w:rsid w:val="00FF64B2"/>
    <w:rsid w:val="00FF65C7"/>
    <w:rsid w:val="00FF670C"/>
    <w:rsid w:val="00FF6A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country-region"/>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7F0BAB68"/>
  <w15:docId w15:val="{92AC747F-908F-4A89-B9E0-3BA7DEEB4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Heading 1 Char2,Heading 1 Char1 Char,Heading 1 Char Char Char,Heading 1 Char Char1, Char"/>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5">
    <w:name w:val="heading 5"/>
    <w:basedOn w:val="Normal"/>
    <w:next w:val="Normal"/>
    <w:qFormat/>
    <w:rsid w:val="009013EB"/>
    <w:pPr>
      <w:keepNext/>
      <w:widowControl w:val="0"/>
      <w:numPr>
        <w:ilvl w:val="4"/>
        <w:numId w:val="28"/>
      </w:numPr>
      <w:tabs>
        <w:tab w:val="clear" w:pos="0"/>
        <w:tab w:val="num" w:pos="1800"/>
      </w:tabs>
      <w:ind w:left="0" w:firstLine="0"/>
      <w:jc w:val="both"/>
      <w:outlineLvl w:val="4"/>
    </w:pPr>
    <w:rPr>
      <w:rFonts w:ascii="Arial" w:hAnsi="Arial"/>
      <w:b/>
      <w:kern w:val="28"/>
      <w:szCs w:val="20"/>
      <w:lang w:val="en-US"/>
    </w:rPr>
  </w:style>
  <w:style w:type="paragraph" w:styleId="Heading6">
    <w:name w:val="heading 6"/>
    <w:basedOn w:val="Normal"/>
    <w:next w:val="Normal"/>
    <w:qFormat/>
    <w:rsid w:val="009013EB"/>
    <w:pPr>
      <w:keepNext/>
      <w:widowControl w:val="0"/>
      <w:numPr>
        <w:ilvl w:val="5"/>
        <w:numId w:val="28"/>
      </w:numPr>
      <w:tabs>
        <w:tab w:val="clear" w:pos="0"/>
        <w:tab w:val="num" w:pos="2160"/>
      </w:tabs>
      <w:spacing w:before="120" w:after="80" w:line="240" w:lineRule="atLeast"/>
      <w:ind w:left="2160" w:hanging="360"/>
      <w:jc w:val="both"/>
      <w:outlineLvl w:val="5"/>
    </w:pPr>
    <w:rPr>
      <w:rFonts w:ascii="Arial" w:hAnsi="Arial"/>
      <w:b/>
      <w:i/>
      <w:kern w:val="28"/>
      <w:szCs w:val="20"/>
      <w:lang w:val="en-US"/>
    </w:rPr>
  </w:style>
  <w:style w:type="paragraph" w:styleId="Heading7">
    <w:name w:val="heading 7"/>
    <w:basedOn w:val="Normal"/>
    <w:next w:val="Normal"/>
    <w:qFormat/>
    <w:rsid w:val="009013EB"/>
    <w:pPr>
      <w:keepNext/>
      <w:widowControl w:val="0"/>
      <w:numPr>
        <w:ilvl w:val="6"/>
        <w:numId w:val="28"/>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Normal"/>
    <w:qFormat/>
    <w:rsid w:val="009013EB"/>
    <w:pPr>
      <w:keepNext/>
      <w:widowControl w:val="0"/>
      <w:numPr>
        <w:ilvl w:val="7"/>
        <w:numId w:val="28"/>
      </w:numPr>
      <w:tabs>
        <w:tab w:val="clear" w:pos="0"/>
        <w:tab w:val="num" w:pos="2880"/>
      </w:tabs>
      <w:spacing w:before="80" w:after="60" w:line="240" w:lineRule="atLeast"/>
      <w:ind w:left="2880" w:hanging="360"/>
      <w:jc w:val="both"/>
      <w:outlineLvl w:val="7"/>
    </w:pPr>
    <w:rPr>
      <w:rFonts w:ascii="Book Antiqua" w:hAnsi="Book Antiqua"/>
      <w:b/>
      <w:i/>
      <w:kern w:val="28"/>
      <w:szCs w:val="20"/>
      <w:lang w:val="en-US"/>
    </w:rPr>
  </w:style>
  <w:style w:type="paragraph" w:styleId="Heading9">
    <w:name w:val="heading 9"/>
    <w:basedOn w:val="Normal"/>
    <w:next w:val="Normal"/>
    <w:qFormat/>
    <w:rsid w:val="009013EB"/>
    <w:pPr>
      <w:keepNext/>
      <w:widowControl w:val="0"/>
      <w:numPr>
        <w:ilvl w:val="8"/>
        <w:numId w:val="28"/>
      </w:numPr>
      <w:tabs>
        <w:tab w:val="clear" w:pos="0"/>
        <w:tab w:val="num" w:pos="3240"/>
      </w:tabs>
      <w:spacing w:before="80" w:after="60" w:line="240" w:lineRule="atLeast"/>
      <w:ind w:left="3240" w:hanging="360"/>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rPr>
  </w:style>
  <w:style w:type="character" w:styleId="Hyperlink">
    <w:name w:val="Hyperlink"/>
    <w:rPr>
      <w:color w:val="0000FF"/>
      <w:u w:val="single"/>
    </w:rPr>
  </w:style>
  <w:style w:type="paragraph" w:customStyle="1" w:styleId="NoNumber">
    <w:name w:val="No Number"/>
    <w:basedOn w:val="Heading1"/>
    <w:autoRedefine/>
    <w:pPr>
      <w:widowControl/>
      <w:tabs>
        <w:tab w:val="clear" w:pos="1440"/>
      </w:tabs>
      <w:spacing w:before="0"/>
      <w:outlineLvl w:val="9"/>
    </w:pPr>
    <w:rPr>
      <w:lang w:val="en-GB"/>
    </w:rPr>
  </w:style>
  <w:style w:type="paragraph" w:styleId="Header">
    <w:name w:val="header"/>
    <w:basedOn w:val="Normal"/>
    <w:pPr>
      <w:tabs>
        <w:tab w:val="center" w:pos="4153"/>
        <w:tab w:val="right" w:pos="8306"/>
      </w:tabs>
    </w:pPr>
    <w:rPr>
      <w:sz w:val="20"/>
      <w:szCs w:val="20"/>
      <w:lang w:val="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after="240" w:line="240" w:lineRule="atLeast"/>
      <w:ind w:left="1541" w:right="720" w:hanging="101"/>
      <w:jc w:val="both"/>
    </w:pPr>
    <w:rPr>
      <w:rFonts w:ascii="Book Antiqua" w:hAnsi="Book Antiqua"/>
      <w:szCs w:val="20"/>
    </w:rPr>
  </w:style>
  <w:style w:type="paragraph" w:styleId="FootnoteText">
    <w:name w:val="footnote text"/>
    <w:basedOn w:val="Normal"/>
    <w:link w:val="FootnoteTextChar"/>
    <w:semiHidden/>
    <w:pPr>
      <w:widowControl w:val="0"/>
      <w:spacing w:line="240" w:lineRule="atLeast"/>
      <w:ind w:left="720" w:hanging="720"/>
      <w:jc w:val="both"/>
    </w:pPr>
    <w:rPr>
      <w:rFonts w:ascii="Book Antiqua" w:hAnsi="Book Antiqua"/>
      <w:sz w:val="20"/>
      <w:szCs w:val="20"/>
    </w:rPr>
  </w:style>
  <w:style w:type="character" w:styleId="FootnoteReference">
    <w:name w:val="footnote reference"/>
    <w:semiHidden/>
    <w:rPr>
      <w:vertAlign w:val="superscript"/>
    </w:rPr>
  </w:style>
  <w:style w:type="paragraph" w:customStyle="1" w:styleId="head">
    <w:name w:val="head"/>
    <w:basedOn w:val="Normal"/>
    <w:rsid w:val="00F43701"/>
    <w:pPr>
      <w:spacing w:before="100" w:beforeAutospacing="1" w:after="100" w:afterAutospacing="1"/>
      <w:jc w:val="center"/>
    </w:pPr>
    <w:rPr>
      <w:rFonts w:ascii="Verdana" w:hAnsi="Verdana"/>
      <w:b/>
      <w:bCs/>
      <w:color w:val="444444"/>
      <w:sz w:val="26"/>
      <w:szCs w:val="26"/>
      <w:lang w:eastAsia="en-AU"/>
    </w:rPr>
  </w:style>
  <w:style w:type="character" w:styleId="FollowedHyperlink">
    <w:name w:val="FollowedHyperlink"/>
    <w:rsid w:val="00EE45D1"/>
    <w:rPr>
      <w:color w:val="800080"/>
      <w:u w:val="single"/>
    </w:rPr>
  </w:style>
  <w:style w:type="paragraph" w:customStyle="1" w:styleId="Catchwords">
    <w:name w:val="Catchwords"/>
    <w:basedOn w:val="Normal"/>
    <w:rsid w:val="00397BB2"/>
    <w:pPr>
      <w:widowControl w:val="0"/>
      <w:jc w:val="both"/>
    </w:pPr>
    <w:rPr>
      <w:rFonts w:ascii="Book Antiqua" w:hAnsi="Book Antiqua"/>
      <w:szCs w:val="20"/>
    </w:rPr>
  </w:style>
  <w:style w:type="paragraph" w:customStyle="1" w:styleId="Level4">
    <w:name w:val="Level 4"/>
    <w:basedOn w:val="Normal"/>
    <w:next w:val="Heading1"/>
    <w:link w:val="Level4Char"/>
    <w:rsid w:val="00397BB2"/>
    <w:pPr>
      <w:widowControl w:val="0"/>
      <w:spacing w:before="240"/>
      <w:ind w:left="720"/>
      <w:jc w:val="both"/>
    </w:pPr>
    <w:rPr>
      <w:rFonts w:ascii="Book Antiqua" w:hAnsi="Book Antiqua"/>
      <w:b/>
      <w:i/>
    </w:rPr>
  </w:style>
  <w:style w:type="character" w:customStyle="1" w:styleId="Level4Char">
    <w:name w:val="Level 4 Char"/>
    <w:link w:val="Level4"/>
    <w:rsid w:val="00397BB2"/>
    <w:rPr>
      <w:rFonts w:ascii="Book Antiqua" w:hAnsi="Book Antiqua"/>
      <w:b/>
      <w:i/>
      <w:sz w:val="24"/>
      <w:szCs w:val="24"/>
      <w:lang w:val="en-AU" w:eastAsia="en-US" w:bidi="ar-SA"/>
    </w:rPr>
  </w:style>
  <w:style w:type="paragraph" w:styleId="TOC1">
    <w:name w:val="toc 1"/>
    <w:basedOn w:val="Normal"/>
    <w:next w:val="Normal"/>
    <w:autoRedefine/>
    <w:semiHidden/>
    <w:rsid w:val="00397BB2"/>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semiHidden/>
    <w:rsid w:val="00397BB2"/>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semiHidden/>
    <w:rsid w:val="00397BB2"/>
    <w:pPr>
      <w:widowControl w:val="0"/>
      <w:tabs>
        <w:tab w:val="right" w:leader="dot" w:pos="9753"/>
      </w:tabs>
      <w:ind w:left="1530" w:hanging="900"/>
      <w:jc w:val="both"/>
    </w:pPr>
    <w:rPr>
      <w:rFonts w:ascii="Book Antiqua" w:hAnsi="Book Antiqua"/>
      <w:i/>
      <w:noProof/>
      <w:szCs w:val="20"/>
    </w:rPr>
  </w:style>
  <w:style w:type="table" w:styleId="TableGrid">
    <w:name w:val="Table Grid"/>
    <w:basedOn w:val="TableNormal"/>
    <w:rsid w:val="00BA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2 Char,Heading 1 Char1 Char Char,Heading 1 Char Char Char Char,Heading 1 Char Char1 Char, Char Char"/>
    <w:link w:val="Heading1"/>
    <w:rsid w:val="004872EE"/>
    <w:rPr>
      <w:rFonts w:ascii="Book Antiqua" w:hAnsi="Book Antiqua"/>
      <w:kern w:val="28"/>
      <w:sz w:val="24"/>
      <w:lang w:eastAsia="en-US"/>
    </w:rPr>
  </w:style>
  <w:style w:type="paragraph" w:customStyle="1" w:styleId="Footer-Web">
    <w:name w:val="Footer-Web"/>
    <w:basedOn w:val="Footer"/>
    <w:rsid w:val="00544F20"/>
    <w:pPr>
      <w:widowControl w:val="0"/>
      <w:tabs>
        <w:tab w:val="clear" w:pos="4153"/>
        <w:tab w:val="clear" w:pos="8306"/>
        <w:tab w:val="center" w:pos="4896"/>
        <w:tab w:val="right" w:pos="9792"/>
      </w:tabs>
    </w:pPr>
    <w:rPr>
      <w:rFonts w:ascii="Book Antiqua" w:hAnsi="Book Antiqua"/>
      <w:sz w:val="18"/>
      <w:szCs w:val="20"/>
    </w:rPr>
  </w:style>
  <w:style w:type="character" w:customStyle="1" w:styleId="Quote1Char">
    <w:name w:val="Quote1 Char"/>
    <w:link w:val="Quote1"/>
    <w:rsid w:val="00544F20"/>
    <w:rPr>
      <w:rFonts w:ascii="Book Antiqua" w:hAnsi="Book Antiqua"/>
      <w:sz w:val="24"/>
      <w:lang w:val="en-AU" w:eastAsia="en-US" w:bidi="ar-SA"/>
    </w:rPr>
  </w:style>
  <w:style w:type="paragraph" w:customStyle="1" w:styleId="Normal-Cover">
    <w:name w:val="Normal-Cover"/>
    <w:basedOn w:val="Normal"/>
    <w:rsid w:val="000F6283"/>
    <w:pPr>
      <w:widowControl w:val="0"/>
    </w:pPr>
    <w:rPr>
      <w:rFonts w:ascii="Book Antiqua" w:hAnsi="Book Antiqua"/>
      <w:szCs w:val="20"/>
    </w:rPr>
  </w:style>
  <w:style w:type="character" w:customStyle="1" w:styleId="FootnoteTextChar">
    <w:name w:val="Footnote Text Char"/>
    <w:link w:val="FootnoteText"/>
    <w:locked/>
    <w:rsid w:val="000547DB"/>
    <w:rPr>
      <w:rFonts w:ascii="Book Antiqua" w:hAnsi="Book Antiqua"/>
      <w:lang w:val="en-AU" w:eastAsia="en-US" w:bidi="ar-SA"/>
    </w:rPr>
  </w:style>
  <w:style w:type="paragraph" w:customStyle="1" w:styleId="Normal-Indent">
    <w:name w:val="Normal - Indent"/>
    <w:basedOn w:val="Normal"/>
    <w:rsid w:val="009013EB"/>
    <w:pPr>
      <w:widowControl w:val="0"/>
      <w:spacing w:line="480" w:lineRule="atLeast"/>
      <w:ind w:left="720"/>
      <w:jc w:val="both"/>
    </w:pPr>
    <w:rPr>
      <w:rFonts w:ascii="Book Antiqua" w:hAnsi="Book Antiqua"/>
      <w:szCs w:val="20"/>
    </w:rPr>
  </w:style>
  <w:style w:type="character" w:customStyle="1" w:styleId="italic1">
    <w:name w:val="italic1"/>
    <w:rsid w:val="009013EB"/>
    <w:rPr>
      <w:i/>
      <w:iCs/>
    </w:rPr>
  </w:style>
  <w:style w:type="paragraph" w:styleId="HTMLPreformatted">
    <w:name w:val="HTML Preformatted"/>
    <w:basedOn w:val="Normal"/>
    <w:rsid w:val="00143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customStyle="1" w:styleId="BodyParagraph">
    <w:name w:val="Body Paragraph"/>
    <w:next w:val="Normal"/>
    <w:rsid w:val="000F27BB"/>
    <w:pPr>
      <w:overflowPunct w:val="0"/>
      <w:autoSpaceDE w:val="0"/>
      <w:autoSpaceDN w:val="0"/>
      <w:adjustRightInd w:val="0"/>
      <w:spacing w:before="120"/>
      <w:ind w:left="1871"/>
      <w:textAlignment w:val="baseline"/>
    </w:pPr>
    <w:rPr>
      <w:sz w:val="24"/>
      <w:lang w:eastAsia="en-US"/>
    </w:rPr>
  </w:style>
  <w:style w:type="paragraph" w:customStyle="1" w:styleId="DraftHeading4">
    <w:name w:val="Draft Heading 4"/>
    <w:basedOn w:val="Normal"/>
    <w:next w:val="Normal"/>
    <w:rsid w:val="000F27BB"/>
    <w:pPr>
      <w:overflowPunct w:val="0"/>
      <w:autoSpaceDE w:val="0"/>
      <w:autoSpaceDN w:val="0"/>
      <w:adjustRightInd w:val="0"/>
      <w:spacing w:before="120"/>
      <w:textAlignment w:val="baseline"/>
    </w:pPr>
    <w:rPr>
      <w:szCs w:val="20"/>
    </w:rPr>
  </w:style>
  <w:style w:type="paragraph" w:customStyle="1" w:styleId="DraftDefinition2">
    <w:name w:val="Draft Definition 2"/>
    <w:next w:val="Normal"/>
    <w:rsid w:val="000F27B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efterm">
    <w:name w:val="defterm"/>
    <w:rsid w:val="000F27BB"/>
    <w:rPr>
      <w:b/>
      <w:bCs/>
      <w:i/>
      <w:iCs/>
    </w:rPr>
  </w:style>
  <w:style w:type="paragraph" w:customStyle="1" w:styleId="DraftHeading2">
    <w:name w:val="Draft Heading 2"/>
    <w:basedOn w:val="Normal"/>
    <w:next w:val="Normal"/>
    <w:rsid w:val="000F27B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0F27BB"/>
    <w:pPr>
      <w:overflowPunct w:val="0"/>
      <w:autoSpaceDE w:val="0"/>
      <w:autoSpaceDN w:val="0"/>
      <w:adjustRightInd w:val="0"/>
      <w:spacing w:before="120"/>
      <w:textAlignment w:val="baseline"/>
    </w:pPr>
    <w:rPr>
      <w:szCs w:val="20"/>
    </w:rPr>
  </w:style>
  <w:style w:type="paragraph" w:customStyle="1" w:styleId="DraftSectionNote">
    <w:name w:val="Draft Section Note"/>
    <w:next w:val="Normal"/>
    <w:rsid w:val="000F27BB"/>
    <w:pPr>
      <w:spacing w:before="120"/>
    </w:pPr>
    <w:rPr>
      <w:lang w:eastAsia="en-US"/>
    </w:rPr>
  </w:style>
  <w:style w:type="paragraph" w:customStyle="1" w:styleId="DraftSub-sectionNote">
    <w:name w:val="Draft Sub-section Note"/>
    <w:next w:val="Normal"/>
    <w:rsid w:val="000F27BB"/>
    <w:pPr>
      <w:spacing w:before="120"/>
    </w:pPr>
    <w:rPr>
      <w:lang w:eastAsia="en-US"/>
    </w:rPr>
  </w:style>
  <w:style w:type="paragraph" w:customStyle="1" w:styleId="BodySectionSub">
    <w:name w:val="Body Section (Sub)"/>
    <w:next w:val="Normal"/>
    <w:rsid w:val="000F27BB"/>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rsid w:val="000F27BB"/>
    <w:pPr>
      <w:overflowPunct w:val="0"/>
      <w:autoSpaceDE w:val="0"/>
      <w:autoSpaceDN w:val="0"/>
      <w:adjustRightInd w:val="0"/>
      <w:spacing w:before="120"/>
      <w:textAlignment w:val="baseline"/>
      <w:outlineLvl w:val="2"/>
    </w:pPr>
    <w:rPr>
      <w:b/>
    </w:rPr>
  </w:style>
  <w:style w:type="character" w:customStyle="1" w:styleId="bodytext1">
    <w:name w:val="bodytext1"/>
    <w:rsid w:val="00C36CC7"/>
    <w:rPr>
      <w:rFonts w:ascii="Verdana" w:hAnsi="Verdana" w:hint="default"/>
      <w:color w:val="4D4D4D"/>
      <w:sz w:val="18"/>
      <w:szCs w:val="18"/>
    </w:rPr>
  </w:style>
  <w:style w:type="character" w:customStyle="1" w:styleId="CharChar2">
    <w:name w:val="Char Char2"/>
    <w:rsid w:val="00256834"/>
    <w:rPr>
      <w:lang w:val="en-US" w:eastAsia="en-US" w:bidi="ar-SA"/>
    </w:rPr>
  </w:style>
  <w:style w:type="paragraph" w:styleId="ListNumber">
    <w:name w:val="List Number"/>
    <w:basedOn w:val="Normal"/>
    <w:next w:val="Normal"/>
    <w:rsid w:val="00EA6353"/>
    <w:pPr>
      <w:numPr>
        <w:numId w:val="18"/>
      </w:numPr>
      <w:spacing w:after="260" w:line="280" w:lineRule="exact"/>
      <w:ind w:left="357" w:hanging="357"/>
      <w:jc w:val="both"/>
    </w:pPr>
    <w:rPr>
      <w:sz w:val="26"/>
      <w:szCs w:val="20"/>
    </w:rPr>
  </w:style>
  <w:style w:type="paragraph" w:customStyle="1" w:styleId="Default">
    <w:name w:val="Default"/>
    <w:rsid w:val="00151F5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A06D3"/>
    <w:rPr>
      <w:rFonts w:ascii="Segoe UI" w:hAnsi="Segoe UI" w:cs="Segoe UI"/>
      <w:sz w:val="18"/>
      <w:szCs w:val="18"/>
    </w:rPr>
  </w:style>
  <w:style w:type="character" w:customStyle="1" w:styleId="BalloonTextChar">
    <w:name w:val="Balloon Text Char"/>
    <w:link w:val="BalloonText"/>
    <w:rsid w:val="001A06D3"/>
    <w:rPr>
      <w:rFonts w:ascii="Segoe UI" w:hAnsi="Segoe UI" w:cs="Segoe UI"/>
      <w:sz w:val="18"/>
      <w:szCs w:val="18"/>
      <w:lang w:eastAsia="en-US"/>
    </w:rPr>
  </w:style>
  <w:style w:type="character" w:styleId="UnresolvedMention">
    <w:name w:val="Unresolved Mention"/>
    <w:uiPriority w:val="99"/>
    <w:semiHidden/>
    <w:unhideWhenUsed/>
    <w:rsid w:val="00A24F8C"/>
    <w:rPr>
      <w:color w:val="605E5C"/>
      <w:shd w:val="clear" w:color="auto" w:fill="E1DFDD"/>
    </w:rPr>
  </w:style>
  <w:style w:type="character" w:customStyle="1" w:styleId="Heading2Char">
    <w:name w:val="Heading 2 Char"/>
    <w:link w:val="Heading2"/>
    <w:rsid w:val="0048723F"/>
    <w:rPr>
      <w:rFonts w:ascii="Book Antiqua" w:hAnsi="Book Antiqua"/>
      <w:kern w:val="28"/>
      <w:sz w:val="24"/>
      <w:lang w:val="en-GB" w:eastAsia="en-US"/>
    </w:rPr>
  </w:style>
  <w:style w:type="paragraph" w:customStyle="1" w:styleId="footnotedescription">
    <w:name w:val="footnote description"/>
    <w:next w:val="Normal"/>
    <w:link w:val="footnotedescriptionChar"/>
    <w:hidden/>
    <w:rsid w:val="00C5055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C50555"/>
    <w:rPr>
      <w:rFonts w:ascii="Book Antiqua" w:eastAsia="Book Antiqua" w:hAnsi="Book Antiqua" w:cs="Book Antiqua"/>
      <w:color w:val="000000"/>
      <w:szCs w:val="22"/>
    </w:rPr>
  </w:style>
  <w:style w:type="character" w:customStyle="1" w:styleId="footnotemark">
    <w:name w:val="footnote mark"/>
    <w:hidden/>
    <w:rsid w:val="00C50555"/>
    <w:rPr>
      <w:rFonts w:ascii="Book Antiqua" w:eastAsia="Book Antiqua" w:hAnsi="Book Antiqua" w:cs="Book Antiqua"/>
      <w:color w:val="000000"/>
      <w:sz w:val="20"/>
      <w:vertAlign w:val="superscript"/>
    </w:rPr>
  </w:style>
  <w:style w:type="paragraph" w:styleId="ListParagraph">
    <w:name w:val="List Paragraph"/>
    <w:basedOn w:val="Normal"/>
    <w:uiPriority w:val="34"/>
    <w:qFormat/>
    <w:rsid w:val="007F5F1E"/>
    <w:pPr>
      <w:ind w:left="72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9416">
      <w:bodyDiv w:val="1"/>
      <w:marLeft w:val="0"/>
      <w:marRight w:val="0"/>
      <w:marTop w:val="0"/>
      <w:marBottom w:val="0"/>
      <w:divBdr>
        <w:top w:val="none" w:sz="0" w:space="0" w:color="auto"/>
        <w:left w:val="none" w:sz="0" w:space="0" w:color="auto"/>
        <w:bottom w:val="none" w:sz="0" w:space="0" w:color="auto"/>
        <w:right w:val="none" w:sz="0" w:space="0" w:color="auto"/>
      </w:divBdr>
      <w:divsChild>
        <w:div w:id="2068914759">
          <w:marLeft w:val="0"/>
          <w:marRight w:val="0"/>
          <w:marTop w:val="0"/>
          <w:marBottom w:val="0"/>
          <w:divBdr>
            <w:top w:val="none" w:sz="0" w:space="0" w:color="auto"/>
            <w:left w:val="none" w:sz="0" w:space="0" w:color="auto"/>
            <w:bottom w:val="none" w:sz="0" w:space="0" w:color="auto"/>
            <w:right w:val="none" w:sz="0" w:space="0" w:color="auto"/>
          </w:divBdr>
          <w:divsChild>
            <w:div w:id="1509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3145">
      <w:bodyDiv w:val="1"/>
      <w:marLeft w:val="0"/>
      <w:marRight w:val="0"/>
      <w:marTop w:val="0"/>
      <w:marBottom w:val="0"/>
      <w:divBdr>
        <w:top w:val="none" w:sz="0" w:space="0" w:color="auto"/>
        <w:left w:val="none" w:sz="0" w:space="0" w:color="auto"/>
        <w:bottom w:val="none" w:sz="0" w:space="0" w:color="auto"/>
        <w:right w:val="none" w:sz="0" w:space="0" w:color="auto"/>
      </w:divBdr>
    </w:div>
    <w:div w:id="345785858">
      <w:bodyDiv w:val="1"/>
      <w:marLeft w:val="0"/>
      <w:marRight w:val="0"/>
      <w:marTop w:val="0"/>
      <w:marBottom w:val="0"/>
      <w:divBdr>
        <w:top w:val="none" w:sz="0" w:space="0" w:color="auto"/>
        <w:left w:val="none" w:sz="0" w:space="0" w:color="auto"/>
        <w:bottom w:val="none" w:sz="0" w:space="0" w:color="auto"/>
        <w:right w:val="none" w:sz="0" w:space="0" w:color="auto"/>
      </w:divBdr>
    </w:div>
    <w:div w:id="353701433">
      <w:bodyDiv w:val="1"/>
      <w:marLeft w:val="0"/>
      <w:marRight w:val="0"/>
      <w:marTop w:val="0"/>
      <w:marBottom w:val="0"/>
      <w:divBdr>
        <w:top w:val="none" w:sz="0" w:space="0" w:color="auto"/>
        <w:left w:val="none" w:sz="0" w:space="0" w:color="auto"/>
        <w:bottom w:val="none" w:sz="0" w:space="0" w:color="auto"/>
        <w:right w:val="none" w:sz="0" w:space="0" w:color="auto"/>
      </w:divBdr>
    </w:div>
    <w:div w:id="922183714">
      <w:bodyDiv w:val="1"/>
      <w:marLeft w:val="0"/>
      <w:marRight w:val="0"/>
      <w:marTop w:val="0"/>
      <w:marBottom w:val="0"/>
      <w:divBdr>
        <w:top w:val="none" w:sz="0" w:space="0" w:color="auto"/>
        <w:left w:val="none" w:sz="0" w:space="0" w:color="auto"/>
        <w:bottom w:val="none" w:sz="0" w:space="0" w:color="auto"/>
        <w:right w:val="none" w:sz="0" w:space="0" w:color="auto"/>
      </w:divBdr>
    </w:div>
    <w:div w:id="1172183597">
      <w:bodyDiv w:val="1"/>
      <w:marLeft w:val="0"/>
      <w:marRight w:val="0"/>
      <w:marTop w:val="0"/>
      <w:marBottom w:val="0"/>
      <w:divBdr>
        <w:top w:val="none" w:sz="0" w:space="0" w:color="auto"/>
        <w:left w:val="none" w:sz="0" w:space="0" w:color="auto"/>
        <w:bottom w:val="none" w:sz="0" w:space="0" w:color="auto"/>
        <w:right w:val="none" w:sz="0" w:space="0" w:color="auto"/>
      </w:divBdr>
      <w:divsChild>
        <w:div w:id="1521163398">
          <w:marLeft w:val="750"/>
          <w:marRight w:val="300"/>
          <w:marTop w:val="0"/>
          <w:marBottom w:val="0"/>
          <w:divBdr>
            <w:top w:val="none" w:sz="0" w:space="0" w:color="auto"/>
            <w:left w:val="single" w:sz="6" w:space="15" w:color="555555"/>
            <w:bottom w:val="none" w:sz="0" w:space="0" w:color="auto"/>
            <w:right w:val="none" w:sz="0" w:space="0" w:color="auto"/>
          </w:divBdr>
        </w:div>
      </w:divsChild>
    </w:div>
    <w:div w:id="1479541772">
      <w:bodyDiv w:val="1"/>
      <w:marLeft w:val="0"/>
      <w:marRight w:val="0"/>
      <w:marTop w:val="0"/>
      <w:marBottom w:val="0"/>
      <w:divBdr>
        <w:top w:val="none" w:sz="0" w:space="0" w:color="auto"/>
        <w:left w:val="none" w:sz="0" w:space="0" w:color="auto"/>
        <w:bottom w:val="none" w:sz="0" w:space="0" w:color="auto"/>
        <w:right w:val="none" w:sz="0" w:space="0" w:color="auto"/>
      </w:divBdr>
      <w:divsChild>
        <w:div w:id="301421010">
          <w:marLeft w:val="0"/>
          <w:marRight w:val="0"/>
          <w:marTop w:val="0"/>
          <w:marBottom w:val="0"/>
          <w:divBdr>
            <w:top w:val="none" w:sz="0" w:space="0" w:color="auto"/>
            <w:left w:val="none" w:sz="0" w:space="0" w:color="auto"/>
            <w:bottom w:val="none" w:sz="0" w:space="0" w:color="auto"/>
            <w:right w:val="none" w:sz="0" w:space="0" w:color="auto"/>
          </w:divBdr>
        </w:div>
        <w:div w:id="322243402">
          <w:marLeft w:val="0"/>
          <w:marRight w:val="0"/>
          <w:marTop w:val="0"/>
          <w:marBottom w:val="0"/>
          <w:divBdr>
            <w:top w:val="none" w:sz="0" w:space="0" w:color="auto"/>
            <w:left w:val="none" w:sz="0" w:space="0" w:color="auto"/>
            <w:bottom w:val="none" w:sz="0" w:space="0" w:color="auto"/>
            <w:right w:val="none" w:sz="0" w:space="0" w:color="auto"/>
          </w:divBdr>
        </w:div>
        <w:div w:id="725303743">
          <w:marLeft w:val="0"/>
          <w:marRight w:val="0"/>
          <w:marTop w:val="0"/>
          <w:marBottom w:val="0"/>
          <w:divBdr>
            <w:top w:val="none" w:sz="0" w:space="0" w:color="auto"/>
            <w:left w:val="none" w:sz="0" w:space="0" w:color="auto"/>
            <w:bottom w:val="none" w:sz="0" w:space="0" w:color="auto"/>
            <w:right w:val="none" w:sz="0" w:space="0" w:color="auto"/>
          </w:divBdr>
        </w:div>
        <w:div w:id="1239972569">
          <w:marLeft w:val="0"/>
          <w:marRight w:val="0"/>
          <w:marTop w:val="0"/>
          <w:marBottom w:val="0"/>
          <w:divBdr>
            <w:top w:val="none" w:sz="0" w:space="0" w:color="auto"/>
            <w:left w:val="none" w:sz="0" w:space="0" w:color="auto"/>
            <w:bottom w:val="none" w:sz="0" w:space="0" w:color="auto"/>
            <w:right w:val="none" w:sz="0" w:space="0" w:color="auto"/>
          </w:divBdr>
        </w:div>
        <w:div w:id="1695227951">
          <w:marLeft w:val="0"/>
          <w:marRight w:val="0"/>
          <w:marTop w:val="0"/>
          <w:marBottom w:val="0"/>
          <w:divBdr>
            <w:top w:val="none" w:sz="0" w:space="0" w:color="auto"/>
            <w:left w:val="none" w:sz="0" w:space="0" w:color="auto"/>
            <w:bottom w:val="none" w:sz="0" w:space="0" w:color="auto"/>
            <w:right w:val="none" w:sz="0" w:space="0" w:color="auto"/>
          </w:divBdr>
        </w:div>
      </w:divsChild>
    </w:div>
    <w:div w:id="1672023549">
      <w:bodyDiv w:val="1"/>
      <w:marLeft w:val="0"/>
      <w:marRight w:val="0"/>
      <w:marTop w:val="0"/>
      <w:marBottom w:val="0"/>
      <w:divBdr>
        <w:top w:val="none" w:sz="0" w:space="0" w:color="auto"/>
        <w:left w:val="none" w:sz="0" w:space="0" w:color="auto"/>
        <w:bottom w:val="none" w:sz="0" w:space="0" w:color="auto"/>
        <w:right w:val="none" w:sz="0" w:space="0" w:color="auto"/>
      </w:divBdr>
    </w:div>
    <w:div w:id="2003972961">
      <w:bodyDiv w:val="1"/>
      <w:marLeft w:val="0"/>
      <w:marRight w:val="0"/>
      <w:marTop w:val="0"/>
      <w:marBottom w:val="0"/>
      <w:divBdr>
        <w:top w:val="none" w:sz="0" w:space="0" w:color="auto"/>
        <w:left w:val="none" w:sz="0" w:space="0" w:color="auto"/>
        <w:bottom w:val="none" w:sz="0" w:space="0" w:color="auto"/>
        <w:right w:val="none" w:sz="0" w:space="0" w:color="auto"/>
      </w:divBdr>
      <w:divsChild>
        <w:div w:id="52783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Baby" TargetMode="External"/><Relationship Id="rId13" Type="http://schemas.openxmlformats.org/officeDocument/2006/relationships/oleObject" Target="embeddings/Microsoft_Excel_Chart.xls"/><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aifs.gov.au/institute/afrc9/papers.htm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familycourt.gov.au" TargetMode="External"/><Relationship Id="rId20" Type="http://schemas.openxmlformats.org/officeDocument/2006/relationships/hyperlink" Target="http://www.zerotothre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oleObject" Target="embeddings/Microsoft_Excel_97-2003_Worksheet.xls"/><Relationship Id="rId19" Type="http://schemas.openxmlformats.org/officeDocument/2006/relationships/hyperlink" Target="http://www.abanet.org"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2.emf"/><Relationship Id="rId22" Type="http://schemas.openxmlformats.org/officeDocument/2006/relationships/image" Target="media/image3.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76991150442478"/>
          <c:y val="6.83453237410072E-2"/>
          <c:w val="0.78230088495575223"/>
          <c:h val="0.73381294964028776"/>
        </c:manualLayout>
      </c:layout>
      <c:lineChart>
        <c:grouping val="standard"/>
        <c:varyColors val="0"/>
        <c:ser>
          <c:idx val="0"/>
          <c:order val="0"/>
          <c:spPr>
            <a:ln w="36562">
              <a:solidFill>
                <a:srgbClr val="000080"/>
              </a:solidFill>
              <a:prstDash val="solid"/>
            </a:ln>
          </c:spPr>
          <c:marker>
            <c:symbol val="diamond"/>
            <c:size val="3"/>
            <c:spPr>
              <a:solidFill>
                <a:srgbClr val="000080"/>
              </a:solidFill>
              <a:ln>
                <a:solidFill>
                  <a:srgbClr val="000080"/>
                </a:solidFill>
                <a:prstDash val="solid"/>
              </a:ln>
            </c:spPr>
          </c:marker>
          <c:cat>
            <c:strRef>
              <c:f>Notifications!$D$8:$D$20</c:f>
              <c:strCache>
                <c:ptCount val="13"/>
                <c:pt idx="0">
                  <c:v>1989</c:v>
                </c:pt>
                <c:pt idx="1">
                  <c:v>1990</c:v>
                </c:pt>
                <c:pt idx="2">
                  <c:v>1991</c:v>
                </c:pt>
                <c:pt idx="3">
                  <c:v>1992</c:v>
                </c:pt>
                <c:pt idx="4">
                  <c:v>1993-1994</c:v>
                </c:pt>
                <c:pt idx="5">
                  <c:v>1994-1995</c:v>
                </c:pt>
                <c:pt idx="6">
                  <c:v>1995-1996</c:v>
                </c:pt>
                <c:pt idx="7">
                  <c:v>1996-1997</c:v>
                </c:pt>
                <c:pt idx="8">
                  <c:v>1997-1998</c:v>
                </c:pt>
                <c:pt idx="9">
                  <c:v>1998-1999</c:v>
                </c:pt>
                <c:pt idx="10">
                  <c:v>1999-2000</c:v>
                </c:pt>
                <c:pt idx="11">
                  <c:v>2000-2001</c:v>
                </c:pt>
                <c:pt idx="12">
                  <c:v>2001-2002</c:v>
                </c:pt>
              </c:strCache>
            </c:strRef>
          </c:cat>
          <c:val>
            <c:numRef>
              <c:f>Notifications!$E$8:$E$20</c:f>
              <c:numCache>
                <c:formatCode>General</c:formatCode>
                <c:ptCount val="13"/>
                <c:pt idx="0">
                  <c:v>13053</c:v>
                </c:pt>
                <c:pt idx="1">
                  <c:v>16524</c:v>
                </c:pt>
                <c:pt idx="2">
                  <c:v>18136</c:v>
                </c:pt>
                <c:pt idx="3">
                  <c:v>18610</c:v>
                </c:pt>
                <c:pt idx="4">
                  <c:v>26685</c:v>
                </c:pt>
                <c:pt idx="5">
                  <c:v>31699</c:v>
                </c:pt>
                <c:pt idx="6">
                  <c:v>29984</c:v>
                </c:pt>
                <c:pt idx="7">
                  <c:v>31707</c:v>
                </c:pt>
                <c:pt idx="8">
                  <c:v>33163</c:v>
                </c:pt>
                <c:pt idx="9">
                  <c:v>34697</c:v>
                </c:pt>
                <c:pt idx="10">
                  <c:v>36805</c:v>
                </c:pt>
                <c:pt idx="11">
                  <c:v>36966</c:v>
                </c:pt>
                <c:pt idx="12">
                  <c:v>37966</c:v>
                </c:pt>
              </c:numCache>
            </c:numRef>
          </c:val>
          <c:smooth val="1"/>
          <c:extLst>
            <c:ext xmlns:c16="http://schemas.microsoft.com/office/drawing/2014/chart" uri="{C3380CC4-5D6E-409C-BE32-E72D297353CC}">
              <c16:uniqueId val="{00000000-3558-4B03-8452-401CE2B8F106}"/>
            </c:ext>
          </c:extLst>
        </c:ser>
        <c:dLbls>
          <c:showLegendKey val="0"/>
          <c:showVal val="0"/>
          <c:showCatName val="0"/>
          <c:showSerName val="0"/>
          <c:showPercent val="0"/>
          <c:showBubbleSize val="0"/>
        </c:dLbls>
        <c:marker val="1"/>
        <c:smooth val="0"/>
        <c:axId val="44631504"/>
        <c:axId val="1"/>
      </c:lineChart>
      <c:catAx>
        <c:axId val="44631504"/>
        <c:scaling>
          <c:orientation val="minMax"/>
        </c:scaling>
        <c:delete val="0"/>
        <c:axPos val="b"/>
        <c:numFmt formatCode="General" sourceLinked="1"/>
        <c:majorTickMark val="out"/>
        <c:minorTickMark val="none"/>
        <c:tickLblPos val="nextTo"/>
        <c:spPr>
          <a:ln w="3047">
            <a:solidFill>
              <a:srgbClr val="000000"/>
            </a:solidFill>
            <a:prstDash val="solid"/>
          </a:ln>
        </c:spPr>
        <c:txPr>
          <a:bodyPr rot="0" vert="horz"/>
          <a:lstStyle/>
          <a:p>
            <a:pPr>
              <a:defRPr sz="744"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775" b="0" i="0" u="none" strike="noStrike" baseline="0">
                    <a:solidFill>
                      <a:srgbClr val="000000"/>
                    </a:solidFill>
                    <a:latin typeface="Arial"/>
                    <a:ea typeface="Arial"/>
                    <a:cs typeface="Arial"/>
                  </a:defRPr>
                </a:pPr>
                <a:r>
                  <a:rPr lang="en-AU"/>
                  <a:t>Notifications</a:t>
                </a:r>
              </a:p>
            </c:rich>
          </c:tx>
          <c:layout>
            <c:manualLayout>
              <c:xMode val="edge"/>
              <c:yMode val="edge"/>
              <c:x val="0"/>
              <c:y val="0.16546762589928057"/>
            </c:manualLayout>
          </c:layout>
          <c:overlay val="0"/>
          <c:spPr>
            <a:noFill/>
            <a:ln w="24374">
              <a:noFill/>
            </a:ln>
          </c:spPr>
        </c:title>
        <c:numFmt formatCode="General" sourceLinked="1"/>
        <c:majorTickMark val="out"/>
        <c:minorTickMark val="none"/>
        <c:tickLblPos val="nextTo"/>
        <c:spPr>
          <a:ln w="3047">
            <a:solidFill>
              <a:srgbClr val="000000"/>
            </a:solidFill>
            <a:prstDash val="solid"/>
          </a:ln>
        </c:spPr>
        <c:txPr>
          <a:bodyPr rot="0" vert="horz"/>
          <a:lstStyle/>
          <a:p>
            <a:pPr>
              <a:defRPr sz="1487" b="0" i="0" u="none" strike="noStrike" baseline="0">
                <a:solidFill>
                  <a:srgbClr val="000000"/>
                </a:solidFill>
                <a:latin typeface="Arial"/>
                <a:ea typeface="Arial"/>
                <a:cs typeface="Arial"/>
              </a:defRPr>
            </a:pPr>
            <a:endParaRPr lang="en-US"/>
          </a:p>
        </c:txPr>
        <c:crossAx val="44631504"/>
        <c:crosses val="autoZero"/>
        <c:crossBetween val="between"/>
      </c:valAx>
      <c:spPr>
        <a:noFill/>
        <a:ln w="24374">
          <a:noFill/>
        </a:ln>
      </c:spPr>
    </c:plotArea>
    <c:plotVisOnly val="1"/>
    <c:dispBlanksAs val="gap"/>
    <c:showDLblsOverMax val="0"/>
  </c:chart>
  <c:spPr>
    <a:noFill/>
    <a:ln w="38100" cap="flat" cmpd="dbl"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672"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239DC-82C1-44CE-A99D-71EC2B3F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60762</Words>
  <Characters>346344</Characters>
  <Application>Microsoft Office Word</Application>
  <DocSecurity>0</DocSecurity>
  <Lines>2886</Lines>
  <Paragraphs>812</Paragraphs>
  <ScaleCrop>false</ScaleCrop>
  <HeadingPairs>
    <vt:vector size="2" baseType="variant">
      <vt:variant>
        <vt:lpstr>Title</vt:lpstr>
      </vt:variant>
      <vt:variant>
        <vt:i4>1</vt:i4>
      </vt:variant>
    </vt:vector>
  </HeadingPairs>
  <TitlesOfParts>
    <vt:vector size="1" baseType="lpstr">
      <vt:lpstr>4</vt:lpstr>
    </vt:vector>
  </TitlesOfParts>
  <Company>Department of Justice Victoria</Company>
  <LinksUpToDate>false</LinksUpToDate>
  <CharactersWithSpaces>406294</CharactersWithSpaces>
  <SharedDoc>false</SharedDoc>
  <HLinks>
    <vt:vector size="504" baseType="variant">
      <vt:variant>
        <vt:i4>3866744</vt:i4>
      </vt:variant>
      <vt:variant>
        <vt:i4>261</vt:i4>
      </vt:variant>
      <vt:variant>
        <vt:i4>0</vt:i4>
      </vt:variant>
      <vt:variant>
        <vt:i4>5</vt:i4>
      </vt:variant>
      <vt:variant>
        <vt:lpwstr>http://www.aifs.gov.au/institute/afrc9/papers.html</vt:lpwstr>
      </vt:variant>
      <vt:variant>
        <vt:lpwstr/>
      </vt:variant>
      <vt:variant>
        <vt:i4>3932260</vt:i4>
      </vt:variant>
      <vt:variant>
        <vt:i4>258</vt:i4>
      </vt:variant>
      <vt:variant>
        <vt:i4>0</vt:i4>
      </vt:variant>
      <vt:variant>
        <vt:i4>5</vt:i4>
      </vt:variant>
      <vt:variant>
        <vt:lpwstr>http://www.zerotothree.org/</vt:lpwstr>
      </vt:variant>
      <vt:variant>
        <vt:lpwstr/>
      </vt:variant>
      <vt:variant>
        <vt:i4>3997728</vt:i4>
      </vt:variant>
      <vt:variant>
        <vt:i4>255</vt:i4>
      </vt:variant>
      <vt:variant>
        <vt:i4>0</vt:i4>
      </vt:variant>
      <vt:variant>
        <vt:i4>5</vt:i4>
      </vt:variant>
      <vt:variant>
        <vt:lpwstr>http://www.abanet.org/</vt:lpwstr>
      </vt:variant>
      <vt:variant>
        <vt:lpwstr/>
      </vt:variant>
      <vt:variant>
        <vt:i4>7405606</vt:i4>
      </vt:variant>
      <vt:variant>
        <vt:i4>252</vt:i4>
      </vt:variant>
      <vt:variant>
        <vt:i4>0</vt:i4>
      </vt:variant>
      <vt:variant>
        <vt:i4>5</vt:i4>
      </vt:variant>
      <vt:variant>
        <vt:lpwstr>http://www.familycourt.gov.au/</vt:lpwstr>
      </vt:variant>
      <vt:variant>
        <vt:lpwstr/>
      </vt:variant>
      <vt:variant>
        <vt:i4>3539033</vt:i4>
      </vt:variant>
      <vt:variant>
        <vt:i4>249</vt:i4>
      </vt:variant>
      <vt:variant>
        <vt:i4>0</vt:i4>
      </vt:variant>
      <vt:variant>
        <vt:i4>5</vt:i4>
      </vt:variant>
      <vt:variant>
        <vt:lpwstr/>
      </vt:variant>
      <vt:variant>
        <vt:lpwstr>_4.7.6_Child_representation</vt:lpwstr>
      </vt:variant>
      <vt:variant>
        <vt:i4>5701677</vt:i4>
      </vt:variant>
      <vt:variant>
        <vt:i4>246</vt:i4>
      </vt:variant>
      <vt:variant>
        <vt:i4>0</vt:i4>
      </vt:variant>
      <vt:variant>
        <vt:i4>5</vt:i4>
      </vt:variant>
      <vt:variant>
        <vt:lpwstr/>
      </vt:variant>
      <vt:variant>
        <vt:lpwstr>_4.7_Representation_of</vt:lpwstr>
      </vt:variant>
      <vt:variant>
        <vt:i4>2424857</vt:i4>
      </vt:variant>
      <vt:variant>
        <vt:i4>231</vt:i4>
      </vt:variant>
      <vt:variant>
        <vt:i4>0</vt:i4>
      </vt:variant>
      <vt:variant>
        <vt:i4>5</vt:i4>
      </vt:variant>
      <vt:variant>
        <vt:lpwstr/>
      </vt:variant>
      <vt:variant>
        <vt:lpwstr>_4.18_Some_other</vt:lpwstr>
      </vt:variant>
      <vt:variant>
        <vt:i4>3801100</vt:i4>
      </vt:variant>
      <vt:variant>
        <vt:i4>228</vt:i4>
      </vt:variant>
      <vt:variant>
        <vt:i4>0</vt:i4>
      </vt:variant>
      <vt:variant>
        <vt:i4>5</vt:i4>
      </vt:variant>
      <vt:variant>
        <vt:lpwstr/>
      </vt:variant>
      <vt:variant>
        <vt:lpwstr>_4.17_Family_Drug</vt:lpwstr>
      </vt:variant>
      <vt:variant>
        <vt:i4>4325496</vt:i4>
      </vt:variant>
      <vt:variant>
        <vt:i4>225</vt:i4>
      </vt:variant>
      <vt:variant>
        <vt:i4>0</vt:i4>
      </vt:variant>
      <vt:variant>
        <vt:i4>5</vt:i4>
      </vt:variant>
      <vt:variant>
        <vt:lpwstr/>
      </vt:variant>
      <vt:variant>
        <vt:lpwstr>_4.16_Effect_on</vt:lpwstr>
      </vt:variant>
      <vt:variant>
        <vt:i4>2949146</vt:i4>
      </vt:variant>
      <vt:variant>
        <vt:i4>222</vt:i4>
      </vt:variant>
      <vt:variant>
        <vt:i4>0</vt:i4>
      </vt:variant>
      <vt:variant>
        <vt:i4>5</vt:i4>
      </vt:variant>
      <vt:variant>
        <vt:lpwstr/>
      </vt:variant>
      <vt:variant>
        <vt:lpwstr>_4.15_Cumulative_harm</vt:lpwstr>
      </vt:variant>
      <vt:variant>
        <vt:i4>7077974</vt:i4>
      </vt:variant>
      <vt:variant>
        <vt:i4>219</vt:i4>
      </vt:variant>
      <vt:variant>
        <vt:i4>0</vt:i4>
      </vt:variant>
      <vt:variant>
        <vt:i4>5</vt:i4>
      </vt:variant>
      <vt:variant>
        <vt:lpwstr/>
      </vt:variant>
      <vt:variant>
        <vt:lpwstr>_4.14.4__Contact</vt:lpwstr>
      </vt:variant>
      <vt:variant>
        <vt:i4>7864405</vt:i4>
      </vt:variant>
      <vt:variant>
        <vt:i4>216</vt:i4>
      </vt:variant>
      <vt:variant>
        <vt:i4>0</vt:i4>
      </vt:variant>
      <vt:variant>
        <vt:i4>5</vt:i4>
      </vt:variant>
      <vt:variant>
        <vt:lpwstr/>
      </vt:variant>
      <vt:variant>
        <vt:lpwstr>_4.14.3__American</vt:lpwstr>
      </vt:variant>
      <vt:variant>
        <vt:i4>6553673</vt:i4>
      </vt:variant>
      <vt:variant>
        <vt:i4>213</vt:i4>
      </vt:variant>
      <vt:variant>
        <vt:i4>0</vt:i4>
      </vt:variant>
      <vt:variant>
        <vt:i4>5</vt:i4>
      </vt:variant>
      <vt:variant>
        <vt:lpwstr/>
      </vt:variant>
      <vt:variant>
        <vt:lpwstr>_4.14.2__Case</vt:lpwstr>
      </vt:variant>
      <vt:variant>
        <vt:i4>544210987</vt:i4>
      </vt:variant>
      <vt:variant>
        <vt:i4>210</vt:i4>
      </vt:variant>
      <vt:variant>
        <vt:i4>0</vt:i4>
      </vt:variant>
      <vt:variant>
        <vt:i4>5</vt:i4>
      </vt:variant>
      <vt:variant>
        <vt:lpwstr/>
      </vt:variant>
      <vt:variant>
        <vt:lpwstr>_4.14.1__“Baby</vt:lpwstr>
      </vt:variant>
      <vt:variant>
        <vt:i4>6684747</vt:i4>
      </vt:variant>
      <vt:variant>
        <vt:i4>207</vt:i4>
      </vt:variant>
      <vt:variant>
        <vt:i4>0</vt:i4>
      </vt:variant>
      <vt:variant>
        <vt:i4>5</vt:i4>
      </vt:variant>
      <vt:variant>
        <vt:lpwstr/>
      </vt:variant>
      <vt:variant>
        <vt:lpwstr>_4.14_Frequency_of</vt:lpwstr>
      </vt:variant>
      <vt:variant>
        <vt:i4>3473419</vt:i4>
      </vt:variant>
      <vt:variant>
        <vt:i4>204</vt:i4>
      </vt:variant>
      <vt:variant>
        <vt:i4>0</vt:i4>
      </vt:variant>
      <vt:variant>
        <vt:i4>5</vt:i4>
      </vt:variant>
      <vt:variant>
        <vt:lpwstr/>
      </vt:variant>
      <vt:variant>
        <vt:lpwstr>_4.13_Shared_care</vt:lpwstr>
      </vt:variant>
      <vt:variant>
        <vt:i4>6029428</vt:i4>
      </vt:variant>
      <vt:variant>
        <vt:i4>201</vt:i4>
      </vt:variant>
      <vt:variant>
        <vt:i4>0</vt:i4>
      </vt:variant>
      <vt:variant>
        <vt:i4>5</vt:i4>
      </vt:variant>
      <vt:variant>
        <vt:lpwstr/>
      </vt:variant>
      <vt:variant>
        <vt:lpwstr>_4.12_Relationship_between</vt:lpwstr>
      </vt:variant>
      <vt:variant>
        <vt:i4>6815837</vt:i4>
      </vt:variant>
      <vt:variant>
        <vt:i4>198</vt:i4>
      </vt:variant>
      <vt:variant>
        <vt:i4>0</vt:i4>
      </vt:variant>
      <vt:variant>
        <vt:i4>5</vt:i4>
      </vt:variant>
      <vt:variant>
        <vt:lpwstr/>
      </vt:variant>
      <vt:variant>
        <vt:lpwstr>_4.11.6__Sharing</vt:lpwstr>
      </vt:variant>
      <vt:variant>
        <vt:i4>7012446</vt:i4>
      </vt:variant>
      <vt:variant>
        <vt:i4>195</vt:i4>
      </vt:variant>
      <vt:variant>
        <vt:i4>0</vt:i4>
      </vt:variant>
      <vt:variant>
        <vt:i4>5</vt:i4>
      </vt:variant>
      <vt:variant>
        <vt:lpwstr/>
      </vt:variant>
      <vt:variant>
        <vt:lpwstr>_4.11.5__Priority</vt:lpwstr>
      </vt:variant>
      <vt:variant>
        <vt:i4>1638441</vt:i4>
      </vt:variant>
      <vt:variant>
        <vt:i4>192</vt:i4>
      </vt:variant>
      <vt:variant>
        <vt:i4>0</vt:i4>
      </vt:variant>
      <vt:variant>
        <vt:i4>5</vt:i4>
      </vt:variant>
      <vt:variant>
        <vt:lpwstr/>
      </vt:variant>
      <vt:variant>
        <vt:lpwstr>_4.11.4__Representation</vt:lpwstr>
      </vt:variant>
      <vt:variant>
        <vt:i4>7340107</vt:i4>
      </vt:variant>
      <vt:variant>
        <vt:i4>189</vt:i4>
      </vt:variant>
      <vt:variant>
        <vt:i4>0</vt:i4>
      </vt:variant>
      <vt:variant>
        <vt:i4>5</vt:i4>
      </vt:variant>
      <vt:variant>
        <vt:lpwstr/>
      </vt:variant>
      <vt:variant>
        <vt:lpwstr>_4.11.3__Notification</vt:lpwstr>
      </vt:variant>
      <vt:variant>
        <vt:i4>7733334</vt:i4>
      </vt:variant>
      <vt:variant>
        <vt:i4>186</vt:i4>
      </vt:variant>
      <vt:variant>
        <vt:i4>0</vt:i4>
      </vt:variant>
      <vt:variant>
        <vt:i4>5</vt:i4>
      </vt:variant>
      <vt:variant>
        <vt:lpwstr/>
      </vt:variant>
      <vt:variant>
        <vt:lpwstr>_4.11.2__Responsibilities</vt:lpwstr>
      </vt:variant>
      <vt:variant>
        <vt:i4>983095</vt:i4>
      </vt:variant>
      <vt:variant>
        <vt:i4>183</vt:i4>
      </vt:variant>
      <vt:variant>
        <vt:i4>0</vt:i4>
      </vt:variant>
      <vt:variant>
        <vt:i4>5</vt:i4>
      </vt:variant>
      <vt:variant>
        <vt:lpwstr/>
      </vt:variant>
      <vt:variant>
        <vt:lpwstr>_4.11.1__Public</vt:lpwstr>
      </vt:variant>
      <vt:variant>
        <vt:i4>5439534</vt:i4>
      </vt:variant>
      <vt:variant>
        <vt:i4>180</vt:i4>
      </vt:variant>
      <vt:variant>
        <vt:i4>0</vt:i4>
      </vt:variant>
      <vt:variant>
        <vt:i4>5</vt:i4>
      </vt:variant>
      <vt:variant>
        <vt:lpwstr/>
      </vt:variant>
      <vt:variant>
        <vt:lpwstr>_4.11_Children's_Court</vt:lpwstr>
      </vt:variant>
      <vt:variant>
        <vt:i4>6094883</vt:i4>
      </vt:variant>
      <vt:variant>
        <vt:i4>177</vt:i4>
      </vt:variant>
      <vt:variant>
        <vt:i4>0</vt:i4>
      </vt:variant>
      <vt:variant>
        <vt:i4>5</vt:i4>
      </vt:variant>
      <vt:variant>
        <vt:lpwstr/>
      </vt:variant>
      <vt:variant>
        <vt:lpwstr>_4.10.10__Judicial</vt:lpwstr>
      </vt:variant>
      <vt:variant>
        <vt:i4>1900564</vt:i4>
      </vt:variant>
      <vt:variant>
        <vt:i4>174</vt:i4>
      </vt:variant>
      <vt:variant>
        <vt:i4>0</vt:i4>
      </vt:variant>
      <vt:variant>
        <vt:i4>5</vt:i4>
      </vt:variant>
      <vt:variant>
        <vt:lpwstr/>
      </vt:variant>
      <vt:variant>
        <vt:lpwstr>_4.10.9_Statistics</vt:lpwstr>
      </vt:variant>
      <vt:variant>
        <vt:i4>5374050</vt:i4>
      </vt:variant>
      <vt:variant>
        <vt:i4>171</vt:i4>
      </vt:variant>
      <vt:variant>
        <vt:i4>0</vt:i4>
      </vt:variant>
      <vt:variant>
        <vt:i4>5</vt:i4>
      </vt:variant>
      <vt:variant>
        <vt:lpwstr/>
      </vt:variant>
      <vt:variant>
        <vt:lpwstr>_4.10.8_Court_orders</vt:lpwstr>
      </vt:variant>
      <vt:variant>
        <vt:i4>5570677</vt:i4>
      </vt:variant>
      <vt:variant>
        <vt:i4>168</vt:i4>
      </vt:variant>
      <vt:variant>
        <vt:i4>0</vt:i4>
      </vt:variant>
      <vt:variant>
        <vt:i4>5</vt:i4>
      </vt:variant>
      <vt:variant>
        <vt:lpwstr/>
      </vt:variant>
      <vt:variant>
        <vt:lpwstr>_4.10.7_Reports_&amp;</vt:lpwstr>
      </vt:variant>
      <vt:variant>
        <vt:i4>3276879</vt:i4>
      </vt:variant>
      <vt:variant>
        <vt:i4>165</vt:i4>
      </vt:variant>
      <vt:variant>
        <vt:i4>0</vt:i4>
      </vt:variant>
      <vt:variant>
        <vt:i4>5</vt:i4>
      </vt:variant>
      <vt:variant>
        <vt:lpwstr/>
      </vt:variant>
      <vt:variant>
        <vt:lpwstr>_4.10.6_Guidelines_&amp;</vt:lpwstr>
      </vt:variant>
      <vt:variant>
        <vt:i4>7012434</vt:i4>
      </vt:variant>
      <vt:variant>
        <vt:i4>162</vt:i4>
      </vt:variant>
      <vt:variant>
        <vt:i4>0</vt:i4>
      </vt:variant>
      <vt:variant>
        <vt:i4>5</vt:i4>
      </vt:variant>
      <vt:variant>
        <vt:lpwstr/>
      </vt:variant>
      <vt:variant>
        <vt:lpwstr>_4.10.5_Attendance_at</vt:lpwstr>
      </vt:variant>
      <vt:variant>
        <vt:i4>7798857</vt:i4>
      </vt:variant>
      <vt:variant>
        <vt:i4>159</vt:i4>
      </vt:variant>
      <vt:variant>
        <vt:i4>0</vt:i4>
      </vt:variant>
      <vt:variant>
        <vt:i4>5</vt:i4>
      </vt:variant>
      <vt:variant>
        <vt:lpwstr/>
      </vt:variant>
      <vt:variant>
        <vt:lpwstr>_4.10.4_Repeal_of</vt:lpwstr>
      </vt:variant>
      <vt:variant>
        <vt:i4>7405685</vt:i4>
      </vt:variant>
      <vt:variant>
        <vt:i4>156</vt:i4>
      </vt:variant>
      <vt:variant>
        <vt:i4>0</vt:i4>
      </vt:variant>
      <vt:variant>
        <vt:i4>5</vt:i4>
      </vt:variant>
      <vt:variant>
        <vt:lpwstr/>
      </vt:variant>
      <vt:variant>
        <vt:lpwstr>_4.10.3_Convenor</vt:lpwstr>
      </vt:variant>
      <vt:variant>
        <vt:i4>5111861</vt:i4>
      </vt:variant>
      <vt:variant>
        <vt:i4>153</vt:i4>
      </vt:variant>
      <vt:variant>
        <vt:i4>0</vt:i4>
      </vt:variant>
      <vt:variant>
        <vt:i4>5</vt:i4>
      </vt:variant>
      <vt:variant>
        <vt:lpwstr/>
      </vt:variant>
      <vt:variant>
        <vt:lpwstr>_4.10.2_Jurisdiction_&amp;</vt:lpwstr>
      </vt:variant>
      <vt:variant>
        <vt:i4>7274569</vt:i4>
      </vt:variant>
      <vt:variant>
        <vt:i4>150</vt:i4>
      </vt:variant>
      <vt:variant>
        <vt:i4>0</vt:i4>
      </vt:variant>
      <vt:variant>
        <vt:i4>5</vt:i4>
      </vt:variant>
      <vt:variant>
        <vt:lpwstr/>
      </vt:variant>
      <vt:variant>
        <vt:lpwstr>_4.10.1_Conciliation_Conferences</vt:lpwstr>
      </vt:variant>
      <vt:variant>
        <vt:i4>852009</vt:i4>
      </vt:variant>
      <vt:variant>
        <vt:i4>147</vt:i4>
      </vt:variant>
      <vt:variant>
        <vt:i4>0</vt:i4>
      </vt:variant>
      <vt:variant>
        <vt:i4>5</vt:i4>
      </vt:variant>
      <vt:variant>
        <vt:lpwstr/>
      </vt:variant>
      <vt:variant>
        <vt:lpwstr>_4.10_Alternative_Dispute</vt:lpwstr>
      </vt:variant>
      <vt:variant>
        <vt:i4>4128793</vt:i4>
      </vt:variant>
      <vt:variant>
        <vt:i4>144</vt:i4>
      </vt:variant>
      <vt:variant>
        <vt:i4>0</vt:i4>
      </vt:variant>
      <vt:variant>
        <vt:i4>5</vt:i4>
      </vt:variant>
      <vt:variant>
        <vt:lpwstr/>
      </vt:variant>
      <vt:variant>
        <vt:lpwstr>_4.9.6_Marram-Ngala_Ganbu</vt:lpwstr>
      </vt:variant>
      <vt:variant>
        <vt:i4>4653099</vt:i4>
      </vt:variant>
      <vt:variant>
        <vt:i4>141</vt:i4>
      </vt:variant>
      <vt:variant>
        <vt:i4>0</vt:i4>
      </vt:variant>
      <vt:variant>
        <vt:i4>5</vt:i4>
      </vt:variant>
      <vt:variant>
        <vt:lpwstr/>
      </vt:variant>
      <vt:variant>
        <vt:lpwstr>_4.9.5_Contested_hearing</vt:lpwstr>
      </vt:variant>
      <vt:variant>
        <vt:i4>6029362</vt:i4>
      </vt:variant>
      <vt:variant>
        <vt:i4>138</vt:i4>
      </vt:variant>
      <vt:variant>
        <vt:i4>0</vt:i4>
      </vt:variant>
      <vt:variant>
        <vt:i4>5</vt:i4>
      </vt:variant>
      <vt:variant>
        <vt:lpwstr/>
      </vt:variant>
      <vt:variant>
        <vt:lpwstr>_4.9.4A_Readiness_Hearing</vt:lpwstr>
      </vt:variant>
      <vt:variant>
        <vt:i4>2818130</vt:i4>
      </vt:variant>
      <vt:variant>
        <vt:i4>135</vt:i4>
      </vt:variant>
      <vt:variant>
        <vt:i4>0</vt:i4>
      </vt:variant>
      <vt:variant>
        <vt:i4>5</vt:i4>
      </vt:variant>
      <vt:variant>
        <vt:lpwstr/>
      </vt:variant>
      <vt:variant>
        <vt:lpwstr>_4.9.4_First_directions</vt:lpwstr>
      </vt:variant>
      <vt:variant>
        <vt:i4>2621544</vt:i4>
      </vt:variant>
      <vt:variant>
        <vt:i4>132</vt:i4>
      </vt:variant>
      <vt:variant>
        <vt:i4>0</vt:i4>
      </vt:variant>
      <vt:variant>
        <vt:i4>5</vt:i4>
      </vt:variant>
      <vt:variant>
        <vt:lpwstr/>
      </vt:variant>
      <vt:variant>
        <vt:lpwstr>_4.9.3_Conciliation</vt:lpwstr>
      </vt:variant>
      <vt:variant>
        <vt:i4>3866750</vt:i4>
      </vt:variant>
      <vt:variant>
        <vt:i4>129</vt:i4>
      </vt:variant>
      <vt:variant>
        <vt:i4>0</vt:i4>
      </vt:variant>
      <vt:variant>
        <vt:i4>5</vt:i4>
      </vt:variant>
      <vt:variant>
        <vt:lpwstr/>
      </vt:variant>
      <vt:variant>
        <vt:lpwstr>_4.9.2_Mention</vt:lpwstr>
      </vt:variant>
      <vt:variant>
        <vt:i4>7208963</vt:i4>
      </vt:variant>
      <vt:variant>
        <vt:i4>126</vt:i4>
      </vt:variant>
      <vt:variant>
        <vt:i4>0</vt:i4>
      </vt:variant>
      <vt:variant>
        <vt:i4>5</vt:i4>
      </vt:variant>
      <vt:variant>
        <vt:lpwstr/>
      </vt:variant>
      <vt:variant>
        <vt:lpwstr>_4.9.1_Apprehension_–</vt:lpwstr>
      </vt:variant>
      <vt:variant>
        <vt:i4>3276881</vt:i4>
      </vt:variant>
      <vt:variant>
        <vt:i4>123</vt:i4>
      </vt:variant>
      <vt:variant>
        <vt:i4>0</vt:i4>
      </vt:variant>
      <vt:variant>
        <vt:i4>5</vt:i4>
      </vt:variant>
      <vt:variant>
        <vt:lpwstr/>
      </vt:variant>
      <vt:variant>
        <vt:lpwstr>_4.9_Family_Division</vt:lpwstr>
      </vt:variant>
      <vt:variant>
        <vt:i4>7995409</vt:i4>
      </vt:variant>
      <vt:variant>
        <vt:i4>120</vt:i4>
      </vt:variant>
      <vt:variant>
        <vt:i4>0</vt:i4>
      </vt:variant>
      <vt:variant>
        <vt:i4>5</vt:i4>
      </vt:variant>
      <vt:variant>
        <vt:lpwstr/>
      </vt:variant>
      <vt:variant>
        <vt:lpwstr>_4.8.6_Attendance_of</vt:lpwstr>
      </vt:variant>
      <vt:variant>
        <vt:i4>1572963</vt:i4>
      </vt:variant>
      <vt:variant>
        <vt:i4>117</vt:i4>
      </vt:variant>
      <vt:variant>
        <vt:i4>0</vt:i4>
      </vt:variant>
      <vt:variant>
        <vt:i4>5</vt:i4>
      </vt:variant>
      <vt:variant>
        <vt:lpwstr/>
      </vt:variant>
      <vt:variant>
        <vt:lpwstr>_4.8.5_Expert_evidence</vt:lpwstr>
      </vt:variant>
      <vt:variant>
        <vt:i4>983167</vt:i4>
      </vt:variant>
      <vt:variant>
        <vt:i4>114</vt:i4>
      </vt:variant>
      <vt:variant>
        <vt:i4>0</vt:i4>
      </vt:variant>
      <vt:variant>
        <vt:i4>5</vt:i4>
      </vt:variant>
      <vt:variant>
        <vt:lpwstr/>
      </vt:variant>
      <vt:variant>
        <vt:lpwstr>_4.8.4_Findings_on</vt:lpwstr>
      </vt:variant>
      <vt:variant>
        <vt:i4>8126487</vt:i4>
      </vt:variant>
      <vt:variant>
        <vt:i4>111</vt:i4>
      </vt:variant>
      <vt:variant>
        <vt:i4>0</vt:i4>
      </vt:variant>
      <vt:variant>
        <vt:i4>5</vt:i4>
      </vt:variant>
      <vt:variant>
        <vt:lpwstr/>
      </vt:variant>
      <vt:variant>
        <vt:lpwstr>_4.8.3_Impact_of</vt:lpwstr>
      </vt:variant>
      <vt:variant>
        <vt:i4>4718627</vt:i4>
      </vt:variant>
      <vt:variant>
        <vt:i4>108</vt:i4>
      </vt:variant>
      <vt:variant>
        <vt:i4>0</vt:i4>
      </vt:variant>
      <vt:variant>
        <vt:i4>5</vt:i4>
      </vt:variant>
      <vt:variant>
        <vt:lpwstr/>
      </vt:variant>
      <vt:variant>
        <vt:lpwstr>_4.8.2_Court_may</vt:lpwstr>
      </vt:variant>
      <vt:variant>
        <vt:i4>7929871</vt:i4>
      </vt:variant>
      <vt:variant>
        <vt:i4>105</vt:i4>
      </vt:variant>
      <vt:variant>
        <vt:i4>0</vt:i4>
      </vt:variant>
      <vt:variant>
        <vt:i4>5</vt:i4>
      </vt:variant>
      <vt:variant>
        <vt:lpwstr/>
      </vt:variant>
      <vt:variant>
        <vt:lpwstr>_4.8.1_Informal_procedure</vt:lpwstr>
      </vt:variant>
      <vt:variant>
        <vt:i4>7274521</vt:i4>
      </vt:variant>
      <vt:variant>
        <vt:i4>102</vt:i4>
      </vt:variant>
      <vt:variant>
        <vt:i4>0</vt:i4>
      </vt:variant>
      <vt:variant>
        <vt:i4>5</vt:i4>
      </vt:variant>
      <vt:variant>
        <vt:lpwstr/>
      </vt:variant>
      <vt:variant>
        <vt:lpwstr>_4.8_Conduct_of</vt:lpwstr>
      </vt:variant>
      <vt:variant>
        <vt:i4>7209053</vt:i4>
      </vt:variant>
      <vt:variant>
        <vt:i4>99</vt:i4>
      </vt:variant>
      <vt:variant>
        <vt:i4>0</vt:i4>
      </vt:variant>
      <vt:variant>
        <vt:i4>5</vt:i4>
      </vt:variant>
      <vt:variant>
        <vt:lpwstr/>
      </vt:variant>
      <vt:variant>
        <vt:lpwstr>_4.7.10_Representation_of</vt:lpwstr>
      </vt:variant>
      <vt:variant>
        <vt:i4>5046320</vt:i4>
      </vt:variant>
      <vt:variant>
        <vt:i4>96</vt:i4>
      </vt:variant>
      <vt:variant>
        <vt:i4>0</vt:i4>
      </vt:variant>
      <vt:variant>
        <vt:i4>5</vt:i4>
      </vt:variant>
      <vt:variant>
        <vt:lpwstr/>
      </vt:variant>
      <vt:variant>
        <vt:lpwstr>_4.7.9_Recommendations_by</vt:lpwstr>
      </vt:variant>
      <vt:variant>
        <vt:i4>4980784</vt:i4>
      </vt:variant>
      <vt:variant>
        <vt:i4>93</vt:i4>
      </vt:variant>
      <vt:variant>
        <vt:i4>0</vt:i4>
      </vt:variant>
      <vt:variant>
        <vt:i4>5</vt:i4>
      </vt:variant>
      <vt:variant>
        <vt:lpwstr/>
      </vt:variant>
      <vt:variant>
        <vt:lpwstr>_4.7.8_Recommendations_by</vt:lpwstr>
      </vt:variant>
      <vt:variant>
        <vt:i4>4390960</vt:i4>
      </vt:variant>
      <vt:variant>
        <vt:i4>90</vt:i4>
      </vt:variant>
      <vt:variant>
        <vt:i4>0</vt:i4>
      </vt:variant>
      <vt:variant>
        <vt:i4>5</vt:i4>
      </vt:variant>
      <vt:variant>
        <vt:lpwstr/>
      </vt:variant>
      <vt:variant>
        <vt:lpwstr>_4.7.7_Recommendations_by</vt:lpwstr>
      </vt:variant>
      <vt:variant>
        <vt:i4>3539033</vt:i4>
      </vt:variant>
      <vt:variant>
        <vt:i4>87</vt:i4>
      </vt:variant>
      <vt:variant>
        <vt:i4>0</vt:i4>
      </vt:variant>
      <vt:variant>
        <vt:i4>5</vt:i4>
      </vt:variant>
      <vt:variant>
        <vt:lpwstr/>
      </vt:variant>
      <vt:variant>
        <vt:lpwstr>_4.7.6_Child_representation</vt:lpwstr>
      </vt:variant>
      <vt:variant>
        <vt:i4>8060955</vt:i4>
      </vt:variant>
      <vt:variant>
        <vt:i4>84</vt:i4>
      </vt:variant>
      <vt:variant>
        <vt:i4>0</vt:i4>
      </vt:variant>
      <vt:variant>
        <vt:i4>5</vt:i4>
      </vt:variant>
      <vt:variant>
        <vt:lpwstr/>
      </vt:variant>
      <vt:variant>
        <vt:lpwstr>_4.7.5_Representing_more</vt:lpwstr>
      </vt:variant>
      <vt:variant>
        <vt:i4>6488067</vt:i4>
      </vt:variant>
      <vt:variant>
        <vt:i4>81</vt:i4>
      </vt:variant>
      <vt:variant>
        <vt:i4>0</vt:i4>
      </vt:variant>
      <vt:variant>
        <vt:i4>5</vt:i4>
      </vt:variant>
      <vt:variant>
        <vt:lpwstr/>
      </vt:variant>
      <vt:variant>
        <vt:lpwstr>_4.7.4_Representation_of</vt:lpwstr>
      </vt:variant>
      <vt:variant>
        <vt:i4>4915237</vt:i4>
      </vt:variant>
      <vt:variant>
        <vt:i4>78</vt:i4>
      </vt:variant>
      <vt:variant>
        <vt:i4>0</vt:i4>
      </vt:variant>
      <vt:variant>
        <vt:i4>5</vt:i4>
      </vt:variant>
      <vt:variant>
        <vt:lpwstr/>
      </vt:variant>
      <vt:variant>
        <vt:lpwstr>_4.7.3_Child_usually</vt:lpwstr>
      </vt:variant>
      <vt:variant>
        <vt:i4>7143446</vt:i4>
      </vt:variant>
      <vt:variant>
        <vt:i4>75</vt:i4>
      </vt:variant>
      <vt:variant>
        <vt:i4>0</vt:i4>
      </vt:variant>
      <vt:variant>
        <vt:i4>5</vt:i4>
      </vt:variant>
      <vt:variant>
        <vt:lpwstr/>
      </vt:variant>
      <vt:variant>
        <vt:lpwstr>_4.7.2_Models_of</vt:lpwstr>
      </vt:variant>
      <vt:variant>
        <vt:i4>8192025</vt:i4>
      </vt:variant>
      <vt:variant>
        <vt:i4>72</vt:i4>
      </vt:variant>
      <vt:variant>
        <vt:i4>0</vt:i4>
      </vt:variant>
      <vt:variant>
        <vt:i4>5</vt:i4>
      </vt:variant>
      <vt:variant>
        <vt:lpwstr/>
      </vt:variant>
      <vt:variant>
        <vt:lpwstr>_4.7.1_Obligation_to</vt:lpwstr>
      </vt:variant>
      <vt:variant>
        <vt:i4>5701677</vt:i4>
      </vt:variant>
      <vt:variant>
        <vt:i4>69</vt:i4>
      </vt:variant>
      <vt:variant>
        <vt:i4>0</vt:i4>
      </vt:variant>
      <vt:variant>
        <vt:i4>5</vt:i4>
      </vt:variant>
      <vt:variant>
        <vt:lpwstr/>
      </vt:variant>
      <vt:variant>
        <vt:lpwstr>_4.7_Representation_of</vt:lpwstr>
      </vt:variant>
      <vt:variant>
        <vt:i4>65633</vt:i4>
      </vt:variant>
      <vt:variant>
        <vt:i4>66</vt:i4>
      </vt:variant>
      <vt:variant>
        <vt:i4>0</vt:i4>
      </vt:variant>
      <vt:variant>
        <vt:i4>5</vt:i4>
      </vt:variant>
      <vt:variant>
        <vt:lpwstr/>
      </vt:variant>
      <vt:variant>
        <vt:lpwstr>_4.6.5_Australian_rate</vt:lpwstr>
      </vt:variant>
      <vt:variant>
        <vt:i4>7471110</vt:i4>
      </vt:variant>
      <vt:variant>
        <vt:i4>63</vt:i4>
      </vt:variant>
      <vt:variant>
        <vt:i4>0</vt:i4>
      </vt:variant>
      <vt:variant>
        <vt:i4>5</vt:i4>
      </vt:variant>
      <vt:variant>
        <vt:lpwstr/>
      </vt:variant>
      <vt:variant>
        <vt:lpwstr>_4.6.4_Trends_in</vt:lpwstr>
      </vt:variant>
      <vt:variant>
        <vt:i4>4063319</vt:i4>
      </vt:variant>
      <vt:variant>
        <vt:i4>60</vt:i4>
      </vt:variant>
      <vt:variant>
        <vt:i4>0</vt:i4>
      </vt:variant>
      <vt:variant>
        <vt:i4>5</vt:i4>
      </vt:variant>
      <vt:variant>
        <vt:lpwstr/>
      </vt:variant>
      <vt:variant>
        <vt:lpwstr>_4.6.3_Child_protection</vt:lpwstr>
      </vt:variant>
      <vt:variant>
        <vt:i4>3932240</vt:i4>
      </vt:variant>
      <vt:variant>
        <vt:i4>57</vt:i4>
      </vt:variant>
      <vt:variant>
        <vt:i4>0</vt:i4>
      </vt:variant>
      <vt:variant>
        <vt:i4>5</vt:i4>
      </vt:variant>
      <vt:variant>
        <vt:lpwstr/>
      </vt:variant>
      <vt:variant>
        <vt:lpwstr>_4.6.2_Mandatory_protective</vt:lpwstr>
      </vt:variant>
      <vt:variant>
        <vt:i4>3866694</vt:i4>
      </vt:variant>
      <vt:variant>
        <vt:i4>54</vt:i4>
      </vt:variant>
      <vt:variant>
        <vt:i4>0</vt:i4>
      </vt:variant>
      <vt:variant>
        <vt:i4>5</vt:i4>
      </vt:variant>
      <vt:variant>
        <vt:lpwstr/>
      </vt:variant>
      <vt:variant>
        <vt:lpwstr>_4.6.1_Anonymity_of</vt:lpwstr>
      </vt:variant>
      <vt:variant>
        <vt:i4>3211350</vt:i4>
      </vt:variant>
      <vt:variant>
        <vt:i4>51</vt:i4>
      </vt:variant>
      <vt:variant>
        <vt:i4>0</vt:i4>
      </vt:variant>
      <vt:variant>
        <vt:i4>5</vt:i4>
      </vt:variant>
      <vt:variant>
        <vt:lpwstr/>
      </vt:variant>
      <vt:variant>
        <vt:lpwstr>_4.6_Protective_intervention</vt:lpwstr>
      </vt:variant>
      <vt:variant>
        <vt:i4>5242916</vt:i4>
      </vt:variant>
      <vt:variant>
        <vt:i4>48</vt:i4>
      </vt:variant>
      <vt:variant>
        <vt:i4>0</vt:i4>
      </vt:variant>
      <vt:variant>
        <vt:i4>5</vt:i4>
      </vt:variant>
      <vt:variant>
        <vt:lpwstr/>
      </vt:variant>
      <vt:variant>
        <vt:lpwstr>_4.5.4_Terms_used</vt:lpwstr>
      </vt:variant>
      <vt:variant>
        <vt:i4>2752632</vt:i4>
      </vt:variant>
      <vt:variant>
        <vt:i4>45</vt:i4>
      </vt:variant>
      <vt:variant>
        <vt:i4>0</vt:i4>
      </vt:variant>
      <vt:variant>
        <vt:i4>5</vt:i4>
      </vt:variant>
      <vt:variant>
        <vt:lpwstr/>
      </vt:variant>
      <vt:variant>
        <vt:lpwstr>_4.5.3_Contact</vt:lpwstr>
      </vt:variant>
      <vt:variant>
        <vt:i4>2555969</vt:i4>
      </vt:variant>
      <vt:variant>
        <vt:i4>42</vt:i4>
      </vt:variant>
      <vt:variant>
        <vt:i4>0</vt:i4>
      </vt:variant>
      <vt:variant>
        <vt:i4>5</vt:i4>
      </vt:variant>
      <vt:variant>
        <vt:lpwstr/>
      </vt:variant>
      <vt:variant>
        <vt:lpwstr>_4.5.2_Where_carer</vt:lpwstr>
      </vt:variant>
      <vt:variant>
        <vt:i4>589947</vt:i4>
      </vt:variant>
      <vt:variant>
        <vt:i4>39</vt:i4>
      </vt:variant>
      <vt:variant>
        <vt:i4>0</vt:i4>
      </vt:variant>
      <vt:variant>
        <vt:i4>5</vt:i4>
      </vt:variant>
      <vt:variant>
        <vt:lpwstr/>
      </vt:variant>
      <vt:variant>
        <vt:lpwstr>_4.5.1_Parental_responsibility</vt:lpwstr>
      </vt:variant>
      <vt:variant>
        <vt:i4>3670101</vt:i4>
      </vt:variant>
      <vt:variant>
        <vt:i4>36</vt:i4>
      </vt:variant>
      <vt:variant>
        <vt:i4>0</vt:i4>
      </vt:variant>
      <vt:variant>
        <vt:i4>5</vt:i4>
      </vt:variant>
      <vt:variant>
        <vt:lpwstr/>
      </vt:variant>
      <vt:variant>
        <vt:lpwstr>_4.5_Parental_responsibility</vt:lpwstr>
      </vt:variant>
      <vt:variant>
        <vt:i4>7012371</vt:i4>
      </vt:variant>
      <vt:variant>
        <vt:i4>33</vt:i4>
      </vt:variant>
      <vt:variant>
        <vt:i4>0</vt:i4>
      </vt:variant>
      <vt:variant>
        <vt:i4>5</vt:i4>
      </vt:variant>
      <vt:variant>
        <vt:lpwstr/>
      </vt:variant>
      <vt:variant>
        <vt:lpwstr>_4.4_Definitions_of</vt:lpwstr>
      </vt:variant>
      <vt:variant>
        <vt:i4>2359380</vt:i4>
      </vt:variant>
      <vt:variant>
        <vt:i4>30</vt:i4>
      </vt:variant>
      <vt:variant>
        <vt:i4>0</vt:i4>
      </vt:variant>
      <vt:variant>
        <vt:i4>5</vt:i4>
      </vt:variant>
      <vt:variant>
        <vt:lpwstr/>
      </vt:variant>
      <vt:variant>
        <vt:lpwstr>_4.3.2_Whether_jurisdiction</vt:lpwstr>
      </vt:variant>
      <vt:variant>
        <vt:i4>8060941</vt:i4>
      </vt:variant>
      <vt:variant>
        <vt:i4>27</vt:i4>
      </vt:variant>
      <vt:variant>
        <vt:i4>0</vt:i4>
      </vt:variant>
      <vt:variant>
        <vt:i4>5</vt:i4>
      </vt:variant>
      <vt:variant>
        <vt:lpwstr/>
      </vt:variant>
      <vt:variant>
        <vt:lpwstr>_4.3.1_Jurisdiction_under</vt:lpwstr>
      </vt:variant>
      <vt:variant>
        <vt:i4>2555997</vt:i4>
      </vt:variant>
      <vt:variant>
        <vt:i4>24</vt:i4>
      </vt:variant>
      <vt:variant>
        <vt:i4>0</vt:i4>
      </vt:variant>
      <vt:variant>
        <vt:i4>5</vt:i4>
      </vt:variant>
      <vt:variant>
        <vt:lpwstr/>
      </vt:variant>
      <vt:variant>
        <vt:lpwstr>_4.3_Jurisdiction_of</vt:lpwstr>
      </vt:variant>
      <vt:variant>
        <vt:i4>2162763</vt:i4>
      </vt:variant>
      <vt:variant>
        <vt:i4>21</vt:i4>
      </vt:variant>
      <vt:variant>
        <vt:i4>0</vt:i4>
      </vt:variant>
      <vt:variant>
        <vt:i4>5</vt:i4>
      </vt:variant>
      <vt:variant>
        <vt:lpwstr/>
      </vt:variant>
      <vt:variant>
        <vt:lpwstr>_4.2_Role_of</vt:lpwstr>
      </vt:variant>
      <vt:variant>
        <vt:i4>4980787</vt:i4>
      </vt:variant>
      <vt:variant>
        <vt:i4>18</vt:i4>
      </vt:variant>
      <vt:variant>
        <vt:i4>0</vt:i4>
      </vt:variant>
      <vt:variant>
        <vt:i4>5</vt:i4>
      </vt:variant>
      <vt:variant>
        <vt:lpwstr/>
      </vt:variant>
      <vt:variant>
        <vt:lpwstr>_4.1.6_The_Child</vt:lpwstr>
      </vt:variant>
      <vt:variant>
        <vt:i4>5242915</vt:i4>
      </vt:variant>
      <vt:variant>
        <vt:i4>15</vt:i4>
      </vt:variant>
      <vt:variant>
        <vt:i4>0</vt:i4>
      </vt:variant>
      <vt:variant>
        <vt:i4>5</vt:i4>
      </vt:variant>
      <vt:variant>
        <vt:lpwstr/>
      </vt:variant>
      <vt:variant>
        <vt:lpwstr>_4.1.5_Statutory_intervention</vt:lpwstr>
      </vt:variant>
      <vt:variant>
        <vt:i4>4980793</vt:i4>
      </vt:variant>
      <vt:variant>
        <vt:i4>12</vt:i4>
      </vt:variant>
      <vt:variant>
        <vt:i4>0</vt:i4>
      </vt:variant>
      <vt:variant>
        <vt:i4>5</vt:i4>
      </vt:variant>
      <vt:variant>
        <vt:lpwstr/>
      </vt:variant>
      <vt:variant>
        <vt:lpwstr>_4.1.4_Voluntary_intervention</vt:lpwstr>
      </vt:variant>
      <vt:variant>
        <vt:i4>786528</vt:i4>
      </vt:variant>
      <vt:variant>
        <vt:i4>9</vt:i4>
      </vt:variant>
      <vt:variant>
        <vt:i4>0</vt:i4>
      </vt:variant>
      <vt:variant>
        <vt:i4>5</vt:i4>
      </vt:variant>
      <vt:variant>
        <vt:lpwstr/>
      </vt:variant>
      <vt:variant>
        <vt:lpwstr>_4.1.3_Principles_governing</vt:lpwstr>
      </vt:variant>
      <vt:variant>
        <vt:i4>1966179</vt:i4>
      </vt:variant>
      <vt:variant>
        <vt:i4>6</vt:i4>
      </vt:variant>
      <vt:variant>
        <vt:i4>0</vt:i4>
      </vt:variant>
      <vt:variant>
        <vt:i4>5</vt:i4>
      </vt:variant>
      <vt:variant>
        <vt:lpwstr/>
      </vt:variant>
      <vt:variant>
        <vt:lpwstr>_4.1.2_Duty_of</vt:lpwstr>
      </vt:variant>
      <vt:variant>
        <vt:i4>3866702</vt:i4>
      </vt:variant>
      <vt:variant>
        <vt:i4>3</vt:i4>
      </vt:variant>
      <vt:variant>
        <vt:i4>0</vt:i4>
      </vt:variant>
      <vt:variant>
        <vt:i4>5</vt:i4>
      </vt:variant>
      <vt:variant>
        <vt:lpwstr/>
      </vt:variant>
      <vt:variant>
        <vt:lpwstr>_4.1.1_Functions_of</vt:lpwstr>
      </vt:variant>
      <vt:variant>
        <vt:i4>7995421</vt:i4>
      </vt:variant>
      <vt:variant>
        <vt:i4>0</vt:i4>
      </vt:variant>
      <vt:variant>
        <vt:i4>0</vt:i4>
      </vt:variant>
      <vt:variant>
        <vt:i4>5</vt:i4>
      </vt:variant>
      <vt:variant>
        <vt:lpwstr/>
      </vt:variant>
      <vt:variant>
        <vt:lpwstr>_4.1_The_Child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JMatthew</dc:creator>
  <cp:keywords/>
  <dc:description/>
  <cp:lastModifiedBy>Peter Power</cp:lastModifiedBy>
  <cp:revision>2</cp:revision>
  <cp:lastPrinted>2019-12-13T03:17:00Z</cp:lastPrinted>
  <dcterms:created xsi:type="dcterms:W3CDTF">2022-06-22T22:07:00Z</dcterms:created>
  <dcterms:modified xsi:type="dcterms:W3CDTF">2022-06-22T22:07:00Z</dcterms:modified>
</cp:coreProperties>
</file>